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eastAsia"/>
          <w:b/>
          <w:bCs/>
          <w:spacing w:val="20"/>
          <w:sz w:val="52"/>
          <w:szCs w:val="52"/>
          <w:lang w:eastAsia="zh-CN"/>
        </w:rPr>
      </w:pPr>
      <w:r>
        <w:rPr>
          <w:rFonts w:hint="eastAsia"/>
          <w:b/>
          <w:bCs/>
          <w:spacing w:val="20"/>
          <w:sz w:val="52"/>
          <w:szCs w:val="52"/>
          <w:lang w:eastAsia="zh-CN"/>
        </w:rPr>
        <w:t>年产1000万平方米瓦楞纸箱项目</w:t>
      </w:r>
    </w:p>
    <w:p>
      <w:pPr>
        <w:snapToGrid w:val="0"/>
        <w:spacing w:line="360" w:lineRule="auto"/>
        <w:jc w:val="center"/>
        <w:rPr>
          <w:b/>
          <w:bCs/>
          <w:spacing w:val="20"/>
          <w:sz w:val="52"/>
          <w:szCs w:val="52"/>
        </w:rPr>
      </w:pP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rPr>
        <w:t>建设单位：</w:t>
      </w:r>
      <w:r>
        <w:rPr>
          <w:rFonts w:ascii="宋体" w:hAnsi="宋体"/>
          <w:b/>
          <w:bCs/>
          <w:spacing w:val="20"/>
          <w:sz w:val="36"/>
          <w:szCs w:val="36"/>
          <w:u w:val="single"/>
        </w:rPr>
        <w:t xml:space="preserve">   </w:t>
      </w:r>
      <w:r>
        <w:rPr>
          <w:rFonts w:hint="eastAsia" w:ascii="宋体" w:hAnsi="宋体"/>
          <w:b/>
          <w:bCs/>
          <w:spacing w:val="20"/>
          <w:sz w:val="36"/>
          <w:szCs w:val="36"/>
          <w:u w:val="single"/>
          <w:lang w:eastAsia="zh-CN"/>
        </w:rPr>
        <w:t>安徽博嘉包装材料有限公司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w:t>
      </w:r>
    </w:p>
    <w:p>
      <w:pPr>
        <w:snapToGrid w:val="0"/>
        <w:spacing w:line="480" w:lineRule="auto"/>
        <w:ind w:firstLine="401" w:firstLineChars="100"/>
        <w:rPr>
          <w:rFonts w:ascii="宋体" w:hAnsi="宋体"/>
          <w:b/>
          <w:bCs/>
          <w:spacing w:val="20"/>
          <w:sz w:val="36"/>
          <w:szCs w:val="36"/>
          <w:u w:val="single"/>
        </w:rPr>
      </w:pPr>
      <w:r>
        <w:rPr>
          <w:rFonts w:hint="eastAsia"/>
          <w:b/>
          <w:bCs/>
          <w:spacing w:val="20"/>
          <w:sz w:val="36"/>
          <w:szCs w:val="36"/>
        </w:rPr>
        <w:t>编制单位：</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w:t>
      </w:r>
      <w:r>
        <w:rPr>
          <w:rFonts w:hint="eastAsia" w:ascii="宋体" w:hAnsi="宋体"/>
          <w:b/>
          <w:bCs/>
          <w:spacing w:val="20"/>
          <w:sz w:val="36"/>
          <w:szCs w:val="36"/>
          <w:u w:val="single"/>
          <w:lang w:eastAsia="zh-CN"/>
        </w:rPr>
        <w:t>芜湖民宇环境科技有限公司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p>
    <w:p>
      <w:pPr>
        <w:snapToGrid w:val="0"/>
        <w:spacing w:line="480" w:lineRule="auto"/>
        <w:rPr>
          <w:b/>
          <w:bCs/>
          <w:spacing w:val="20"/>
          <w:sz w:val="36"/>
          <w:szCs w:val="36"/>
          <w:u w:val="single"/>
        </w:rPr>
      </w:pPr>
    </w:p>
    <w:p>
      <w:pPr>
        <w:snapToGrid w:val="0"/>
        <w:spacing w:line="480" w:lineRule="auto"/>
        <w:rPr>
          <w:b/>
          <w:bCs/>
          <w:spacing w:val="20"/>
          <w:sz w:val="36"/>
          <w:szCs w:val="36"/>
          <w:u w:val="single"/>
        </w:rPr>
      </w:pP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20</w:t>
      </w:r>
      <w:r>
        <w:rPr>
          <w:rFonts w:hint="eastAsia" w:ascii="宋体" w:hAnsi="宋体"/>
          <w:b/>
          <w:bCs/>
          <w:spacing w:val="20"/>
          <w:sz w:val="36"/>
          <w:szCs w:val="36"/>
        </w:rPr>
        <w:t>年</w:t>
      </w:r>
      <w:r>
        <w:rPr>
          <w:rFonts w:hint="eastAsia" w:ascii="宋体" w:hAnsi="宋体"/>
          <w:b/>
          <w:bCs/>
          <w:spacing w:val="20"/>
          <w:sz w:val="36"/>
          <w:szCs w:val="36"/>
          <w:lang w:val="en-US" w:eastAsia="zh-CN"/>
        </w:rPr>
        <w:t>6</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eastAsia"/>
          <w:kern w:val="0"/>
          <w:sz w:val="30"/>
          <w:szCs w:val="30"/>
          <w:lang w:val="zh-CN" w:bidi="zh-CN"/>
        </w:rPr>
        <w:t>建设单位法人代表：</w:t>
      </w:r>
      <w:r>
        <w:rPr>
          <w:rFonts w:hint="eastAsia"/>
          <w:kern w:val="0"/>
          <w:sz w:val="30"/>
          <w:szCs w:val="30"/>
          <w:lang w:val="en-US" w:bidi="zh-CN"/>
        </w:rPr>
        <w:t>邱小丹</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eastAsia"/>
          <w:kern w:val="0"/>
          <w:sz w:val="30"/>
          <w:szCs w:val="30"/>
          <w:lang w:val="zh-CN" w:bidi="zh-CN"/>
        </w:rPr>
        <w:t>编制单位法人代表：</w:t>
      </w:r>
      <w:r>
        <w:rPr>
          <w:rFonts w:hint="eastAsia"/>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eastAsia"/>
          <w:kern w:val="0"/>
          <w:sz w:val="30"/>
          <w:szCs w:val="30"/>
          <w:lang w:val="zh-CN" w:bidi="zh-CN"/>
        </w:rPr>
        <w:t>项 目 负 责 人：</w:t>
      </w:r>
      <w:r>
        <w:rPr>
          <w:rFonts w:hint="eastAsia"/>
          <w:kern w:val="0"/>
          <w:sz w:val="30"/>
          <w:szCs w:val="30"/>
          <w:lang w:val="en-US" w:bidi="zh-CN"/>
        </w:rPr>
        <w:t>刘 康</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bidi="zh-CN"/>
        </w:rPr>
      </w:pPr>
      <w:r>
        <w:rPr>
          <w:rFonts w:hint="eastAsia"/>
          <w:kern w:val="0"/>
          <w:sz w:val="30"/>
          <w:szCs w:val="30"/>
          <w:lang w:val="zh-CN" w:bidi="zh-CN"/>
        </w:rPr>
        <w:t xml:space="preserve">填 </w:t>
      </w:r>
      <w:r>
        <w:rPr>
          <w:rFonts w:hint="default"/>
          <w:kern w:val="0"/>
          <w:sz w:val="30"/>
          <w:szCs w:val="30"/>
          <w:lang w:val="zh-CN" w:bidi="zh-CN"/>
        </w:rPr>
        <w:t xml:space="preserve">   </w:t>
      </w:r>
      <w:r>
        <w:rPr>
          <w:rFonts w:hint="eastAsia"/>
          <w:kern w:val="0"/>
          <w:sz w:val="30"/>
          <w:szCs w:val="30"/>
          <w:lang w:val="zh-CN" w:bidi="zh-CN"/>
        </w:rPr>
        <w:t xml:space="preserve">表 </w:t>
      </w:r>
      <w:r>
        <w:rPr>
          <w:rFonts w:hint="default"/>
          <w:kern w:val="0"/>
          <w:sz w:val="30"/>
          <w:szCs w:val="30"/>
          <w:lang w:val="zh-CN" w:bidi="zh-CN"/>
        </w:rPr>
        <w:t xml:space="preserve">   </w:t>
      </w:r>
      <w:r>
        <w:rPr>
          <w:rFonts w:hint="eastAsia"/>
          <w:kern w:val="0"/>
          <w:sz w:val="30"/>
          <w:szCs w:val="30"/>
          <w:lang w:val="zh-CN" w:bidi="zh-CN"/>
        </w:rPr>
        <w:t>人：</w:t>
      </w:r>
      <w:r>
        <w:rPr>
          <w:rFonts w:hint="eastAsia"/>
          <w:kern w:val="0"/>
          <w:sz w:val="30"/>
          <w:szCs w:val="30"/>
          <w:lang w:val="zh-CN" w:eastAsia="zh-CN" w:bidi="zh-CN"/>
        </w:rPr>
        <w:t>刘 珂</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eastAsia="zh-CN" w:bidi="zh-CN"/>
        </w:rPr>
      </w:pPr>
      <w:r>
        <w:rPr>
          <w:rFonts w:hint="eastAsia"/>
          <w:kern w:val="0"/>
          <w:sz w:val="30"/>
          <w:szCs w:val="30"/>
          <w:lang w:val="zh-CN" w:bidi="zh-CN"/>
        </w:rPr>
        <w:t>建设单位：</w:t>
      </w:r>
      <w:r>
        <w:rPr>
          <w:rFonts w:hint="eastAsia"/>
          <w:kern w:val="0"/>
          <w:sz w:val="30"/>
          <w:szCs w:val="30"/>
          <w:lang w:val="zh-CN" w:eastAsia="zh-CN" w:bidi="zh-CN"/>
        </w:rPr>
        <w:t>安徽博嘉包装材料有限公司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eastAsia"/>
          <w:kern w:val="0"/>
          <w:sz w:val="30"/>
          <w:szCs w:val="30"/>
          <w:lang w:val="zh-CN" w:bidi="zh-CN"/>
        </w:rPr>
        <w:t>电　　话：</w:t>
      </w:r>
      <w:r>
        <w:rPr>
          <w:rFonts w:hint="eastAsia"/>
          <w:kern w:val="0"/>
          <w:sz w:val="30"/>
          <w:szCs w:val="30"/>
          <w:lang w:val="en-US" w:eastAsia="zh-CN" w:bidi="zh-CN"/>
        </w:rPr>
        <w:t>15255725019</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eastAsia"/>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eastAsia"/>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eastAsia="zh-CN" w:bidi="zh-CN"/>
        </w:rPr>
      </w:pPr>
      <w:r>
        <w:rPr>
          <w:rFonts w:hint="eastAsia"/>
          <w:kern w:val="0"/>
          <w:sz w:val="30"/>
          <w:szCs w:val="30"/>
          <w:lang w:val="zh-CN" w:bidi="zh-CN"/>
        </w:rPr>
        <w:t>地　　址：</w:t>
      </w:r>
      <w:r>
        <w:rPr>
          <w:rFonts w:hint="eastAsia"/>
          <w:kern w:val="0"/>
          <w:sz w:val="30"/>
          <w:szCs w:val="30"/>
          <w:lang w:val="zh-CN" w:eastAsia="zh-CN" w:bidi="zh-CN"/>
        </w:rPr>
        <w:t>安徽省芜湖市江北产业集中区和睦路与新沈路交叉口</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b/>
          <w:bCs/>
          <w:sz w:val="32"/>
        </w:rPr>
      </w:pPr>
    </w:p>
    <w:p>
      <w:pPr>
        <w:sectPr>
          <w:footerReference r:id="rId4"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表一</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218"/>
        <w:gridCol w:w="2162"/>
        <w:gridCol w:w="2268"/>
        <w:gridCol w:w="992"/>
        <w:gridCol w:w="850"/>
        <w:gridCol w:w="10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建设项目名称</w:t>
            </w:r>
          </w:p>
        </w:tc>
        <w:tc>
          <w:tcPr>
            <w:tcW w:w="7285" w:type="dxa"/>
            <w:gridSpan w:val="5"/>
            <w:vAlign w:val="center"/>
          </w:tcPr>
          <w:p>
            <w:pPr>
              <w:spacing w:line="360" w:lineRule="auto"/>
              <w:jc w:val="center"/>
              <w:rPr>
                <w:rFonts w:hint="eastAsia" w:ascii="宋体" w:hAnsi="宋体" w:eastAsia="宋体"/>
                <w:b/>
                <w:sz w:val="24"/>
                <w:lang w:eastAsia="zh-CN"/>
              </w:rPr>
            </w:pPr>
            <w:r>
              <w:rPr>
                <w:rFonts w:hint="eastAsia" w:ascii="宋体" w:hAnsi="宋体" w:cs="仿宋_GB2312"/>
                <w:sz w:val="24"/>
                <w:lang w:eastAsia="zh-CN"/>
              </w:rPr>
              <w:t>年产1000万平方米瓦楞纸箱项目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建设单位名称</w:t>
            </w:r>
          </w:p>
        </w:tc>
        <w:tc>
          <w:tcPr>
            <w:tcW w:w="7285" w:type="dxa"/>
            <w:gridSpan w:val="5"/>
            <w:vAlign w:val="center"/>
          </w:tcPr>
          <w:p>
            <w:pPr>
              <w:spacing w:line="360" w:lineRule="auto"/>
              <w:jc w:val="center"/>
              <w:rPr>
                <w:rFonts w:hint="eastAsia" w:ascii="宋体" w:hAnsi="宋体" w:eastAsia="宋体"/>
                <w:b/>
                <w:sz w:val="24"/>
                <w:lang w:eastAsia="zh-CN"/>
              </w:rPr>
            </w:pPr>
            <w:r>
              <w:rPr>
                <w:rFonts w:hint="eastAsia" w:ascii="宋体" w:hAnsi="宋体" w:cs="仿宋_GB2312"/>
                <w:sz w:val="24"/>
                <w:lang w:eastAsia="zh-CN"/>
              </w:rPr>
              <w:t>安徽博嘉包装材料有限公司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建设项目性质</w:t>
            </w:r>
          </w:p>
        </w:tc>
        <w:tc>
          <w:tcPr>
            <w:tcW w:w="7285" w:type="dxa"/>
            <w:gridSpan w:val="5"/>
            <w:vAlign w:val="center"/>
          </w:tcPr>
          <w:p>
            <w:pPr>
              <w:spacing w:line="360" w:lineRule="auto"/>
              <w:jc w:val="center"/>
              <w:rPr>
                <w:rFonts w:ascii="宋体" w:hAnsi="宋体"/>
                <w:b/>
                <w:sz w:val="24"/>
              </w:rPr>
            </w:pPr>
            <w:r>
              <w:rPr>
                <w:rFonts w:hint="eastAsia" w:ascii="宋体" w:hAnsi="宋体" w:cs="仿宋_GB2312"/>
                <w:sz w:val="24"/>
              </w:rPr>
              <w:t xml:space="preserve">新建√  </w:t>
            </w:r>
            <w:r>
              <w:rPr>
                <w:rFonts w:ascii="宋体" w:hAnsi="宋体" w:cs="仿宋_GB2312"/>
                <w:sz w:val="24"/>
              </w:rPr>
              <w:t xml:space="preserve">   </w:t>
            </w:r>
            <w:r>
              <w:rPr>
                <w:rFonts w:hint="eastAsia" w:ascii="宋体" w:hAnsi="宋体" w:cs="仿宋_GB2312"/>
                <w:sz w:val="24"/>
              </w:rPr>
              <w:t>改扩建</w:t>
            </w:r>
            <w:r>
              <w:rPr>
                <w:rFonts w:ascii="宋体" w:hAnsi="宋体" w:cs="仿宋_GB2312"/>
                <w:sz w:val="24"/>
              </w:rPr>
              <w:t xml:space="preserve">   </w:t>
            </w:r>
            <w:r>
              <w:rPr>
                <w:rFonts w:hint="eastAsia" w:ascii="宋体" w:hAnsi="宋体" w:cs="仿宋_GB2312"/>
                <w:sz w:val="24"/>
              </w:rPr>
              <w:t xml:space="preserve">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建设地点</w:t>
            </w:r>
          </w:p>
        </w:tc>
        <w:tc>
          <w:tcPr>
            <w:tcW w:w="7285" w:type="dxa"/>
            <w:gridSpan w:val="5"/>
            <w:vAlign w:val="center"/>
          </w:tcPr>
          <w:p>
            <w:pPr>
              <w:spacing w:line="360" w:lineRule="auto"/>
              <w:jc w:val="center"/>
              <w:rPr>
                <w:rFonts w:hint="eastAsia" w:ascii="宋体" w:hAnsi="宋体" w:eastAsia="宋体"/>
                <w:bCs/>
                <w:sz w:val="24"/>
                <w:lang w:eastAsia="zh-CN"/>
              </w:rPr>
            </w:pPr>
            <w:r>
              <w:rPr>
                <w:rFonts w:hint="eastAsia" w:ascii="宋体" w:hAnsi="宋体"/>
                <w:bCs/>
                <w:sz w:val="24"/>
                <w:lang w:eastAsia="zh-CN"/>
              </w:rPr>
              <w:t>安徽省芜湖市江北产业集中区和睦路与新沈路交叉口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主要产品名称</w:t>
            </w:r>
          </w:p>
        </w:tc>
        <w:tc>
          <w:tcPr>
            <w:tcW w:w="7285" w:type="dxa"/>
            <w:gridSpan w:val="5"/>
            <w:vAlign w:val="center"/>
          </w:tcPr>
          <w:p>
            <w:pPr>
              <w:spacing w:line="360" w:lineRule="auto"/>
              <w:jc w:val="center"/>
              <w:rPr>
                <w:rFonts w:ascii="宋体" w:hAnsi="宋体"/>
                <w:b/>
                <w:sz w:val="24"/>
                <w:highlight w:val="yellow"/>
              </w:rPr>
            </w:pPr>
            <w:r>
              <w:rPr>
                <w:rFonts w:hint="eastAsia" w:ascii="宋体" w:hAnsi="宋体" w:cs="仿宋_GB2312"/>
                <w:sz w:val="24"/>
                <w:lang w:val="en-US" w:eastAsia="zh-CN"/>
              </w:rPr>
              <w:t>瓦楞纸箱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bookmarkStart w:id="0" w:name="_Hlk22904627"/>
            <w:r>
              <w:rPr>
                <w:rFonts w:hint="eastAsia" w:ascii="宋体" w:hAnsi="宋体" w:cs="仿宋_GB2312"/>
                <w:bCs/>
                <w:sz w:val="24"/>
              </w:rPr>
              <w:t>设计生产能力</w:t>
            </w:r>
          </w:p>
        </w:tc>
        <w:tc>
          <w:tcPr>
            <w:tcW w:w="7285" w:type="dxa"/>
            <w:gridSpan w:val="5"/>
            <w:vAlign w:val="center"/>
          </w:tcPr>
          <w:p>
            <w:pPr>
              <w:spacing w:line="360" w:lineRule="auto"/>
              <w:jc w:val="center"/>
              <w:rPr>
                <w:rFonts w:hint="default" w:ascii="宋体" w:hAnsi="宋体"/>
                <w:b/>
                <w:sz w:val="24"/>
                <w:highlight w:val="yellow"/>
                <w:lang w:val="en-US"/>
              </w:rPr>
            </w:pPr>
            <w:r>
              <w:rPr>
                <w:rFonts w:hint="eastAsia" w:ascii="宋体" w:hAnsi="宋体" w:cs="仿宋_GB2312"/>
                <w:sz w:val="24"/>
                <w:lang w:val="en-US" w:eastAsia="zh-CN"/>
              </w:rPr>
              <w:t>1000万㎡/a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实际生产能力</w:t>
            </w:r>
          </w:p>
        </w:tc>
        <w:tc>
          <w:tcPr>
            <w:tcW w:w="7285" w:type="dxa"/>
            <w:gridSpan w:val="5"/>
            <w:vAlign w:val="center"/>
          </w:tcPr>
          <w:p>
            <w:pPr>
              <w:spacing w:line="360" w:lineRule="auto"/>
              <w:jc w:val="center"/>
              <w:rPr>
                <w:rFonts w:ascii="宋体" w:hAnsi="宋体"/>
                <w:b/>
                <w:sz w:val="24"/>
                <w:highlight w:val="yellow"/>
              </w:rPr>
            </w:pPr>
            <w:r>
              <w:rPr>
                <w:rFonts w:hint="eastAsia" w:ascii="宋体" w:hAnsi="宋体" w:cs="仿宋_GB2312"/>
                <w:sz w:val="24"/>
                <w:highlight w:val="none"/>
                <w:lang w:val="en-US" w:eastAsia="zh-CN"/>
              </w:rPr>
              <w:t>1000万㎡/a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建设项目环评时间</w:t>
            </w:r>
          </w:p>
        </w:tc>
        <w:tc>
          <w:tcPr>
            <w:tcW w:w="2162" w:type="dxa"/>
            <w:vAlign w:val="center"/>
          </w:tcPr>
          <w:p>
            <w:pPr>
              <w:spacing w:line="360" w:lineRule="auto"/>
              <w:jc w:val="center"/>
              <w:rPr>
                <w:rFonts w:ascii="宋体" w:hAnsi="宋体"/>
                <w:b/>
                <w:sz w:val="24"/>
                <w:highlight w:val="yellow"/>
              </w:rPr>
            </w:pPr>
            <w:r>
              <w:rPr>
                <w:rFonts w:hint="eastAsia" w:ascii="宋体" w:hAnsi="宋体" w:cs="仿宋_GB2312"/>
                <w:sz w:val="24"/>
                <w:lang w:val="en-US" w:eastAsia="zh-CN"/>
              </w:rPr>
              <w:t>2018</w:t>
            </w:r>
            <w:r>
              <w:rPr>
                <w:rFonts w:hint="eastAsia" w:ascii="宋体" w:hAnsi="宋体" w:cs="仿宋_GB2312"/>
                <w:sz w:val="24"/>
              </w:rPr>
              <w:t>年</w:t>
            </w:r>
            <w:r>
              <w:rPr>
                <w:rFonts w:hint="eastAsia" w:ascii="宋体" w:hAnsi="宋体" w:cs="仿宋_GB2312"/>
                <w:sz w:val="24"/>
                <w:lang w:val="en-US" w:eastAsia="zh-CN"/>
              </w:rPr>
              <w:t>5</w:t>
            </w:r>
            <w:r>
              <w:rPr>
                <w:rFonts w:hint="eastAsia" w:ascii="宋体" w:hAnsi="宋体" w:cs="仿宋_GB2312"/>
                <w:sz w:val="24"/>
              </w:rPr>
              <w:t>月</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开工建设时间</w:t>
            </w:r>
          </w:p>
        </w:tc>
        <w:tc>
          <w:tcPr>
            <w:tcW w:w="2855" w:type="dxa"/>
            <w:gridSpan w:val="3"/>
            <w:vAlign w:val="center"/>
          </w:tcPr>
          <w:p>
            <w:pPr>
              <w:spacing w:line="360" w:lineRule="auto"/>
              <w:jc w:val="center"/>
              <w:rPr>
                <w:rFonts w:ascii="宋体" w:hAnsi="宋体"/>
                <w:bCs/>
                <w:sz w:val="24"/>
                <w:highlight w:val="yellow"/>
              </w:rPr>
            </w:pPr>
            <w:r>
              <w:rPr>
                <w:rFonts w:hint="eastAsia" w:ascii="宋体" w:hAnsi="宋体"/>
                <w:bCs/>
                <w:sz w:val="24"/>
                <w:highlight w:val="none"/>
              </w:rPr>
              <w:t>2</w:t>
            </w:r>
            <w:r>
              <w:rPr>
                <w:rFonts w:ascii="宋体" w:hAnsi="宋体"/>
                <w:bCs/>
                <w:sz w:val="24"/>
                <w:highlight w:val="none"/>
              </w:rPr>
              <w:t>0</w:t>
            </w:r>
            <w:r>
              <w:rPr>
                <w:rFonts w:hint="eastAsia" w:ascii="宋体" w:hAnsi="宋体"/>
                <w:bCs/>
                <w:sz w:val="24"/>
                <w:highlight w:val="none"/>
                <w:lang w:val="en-US" w:eastAsia="zh-CN"/>
              </w:rPr>
              <w:t>18</w:t>
            </w:r>
            <w:r>
              <w:rPr>
                <w:rFonts w:hint="eastAsia" w:ascii="宋体" w:hAnsi="宋体"/>
                <w:bCs/>
                <w:sz w:val="24"/>
                <w:highlight w:val="none"/>
              </w:rPr>
              <w:t>年</w:t>
            </w:r>
            <w:r>
              <w:rPr>
                <w:rFonts w:hint="eastAsia" w:ascii="宋体" w:hAnsi="宋体"/>
                <w:bCs/>
                <w:sz w:val="24"/>
                <w:highlight w:val="none"/>
                <w:lang w:val="en-US" w:eastAsia="zh-CN"/>
              </w:rPr>
              <w:t>5</w:t>
            </w:r>
            <w:r>
              <w:rPr>
                <w:rFonts w:hint="eastAsia" w:ascii="宋体" w:hAnsi="宋体"/>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调试时间</w:t>
            </w:r>
          </w:p>
        </w:tc>
        <w:tc>
          <w:tcPr>
            <w:tcW w:w="2162" w:type="dxa"/>
            <w:vAlign w:val="center"/>
          </w:tcPr>
          <w:p>
            <w:pPr>
              <w:spacing w:line="360" w:lineRule="auto"/>
              <w:jc w:val="center"/>
              <w:rPr>
                <w:rFonts w:ascii="宋体" w:hAnsi="宋体"/>
                <w:b/>
                <w:sz w:val="24"/>
              </w:rPr>
            </w:pPr>
            <w:r>
              <w:rPr>
                <w:rFonts w:hint="eastAsia" w:ascii="宋体" w:hAnsi="宋体" w:cs="仿宋_GB2312"/>
                <w:sz w:val="24"/>
              </w:rPr>
              <w:t>/</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验收现场监测时间</w:t>
            </w:r>
          </w:p>
        </w:tc>
        <w:tc>
          <w:tcPr>
            <w:tcW w:w="2855" w:type="dxa"/>
            <w:gridSpan w:val="3"/>
            <w:vAlign w:val="center"/>
          </w:tcPr>
          <w:p>
            <w:pPr>
              <w:spacing w:line="360" w:lineRule="auto"/>
              <w:jc w:val="center"/>
              <w:rPr>
                <w:rFonts w:ascii="宋体" w:hAnsi="宋体"/>
                <w:sz w:val="24"/>
                <w:highlight w:val="yellow"/>
              </w:rPr>
            </w:pPr>
            <w:r>
              <w:rPr>
                <w:rFonts w:hint="eastAsia" w:ascii="宋体" w:hAnsi="宋体"/>
                <w:sz w:val="24"/>
                <w:lang w:val="en-US" w:eastAsia="zh-CN"/>
              </w:rPr>
              <w:t>2020年3月</w:t>
            </w:r>
            <w:r>
              <w:rPr>
                <w:rFonts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cs="仿宋_GB2312"/>
                <w:bCs/>
                <w:sz w:val="24"/>
              </w:rPr>
            </w:pPr>
            <w:r>
              <w:rPr>
                <w:rFonts w:hint="eastAsia" w:ascii="宋体" w:hAnsi="宋体" w:cs="仿宋_GB2312"/>
                <w:bCs/>
                <w:sz w:val="24"/>
              </w:rPr>
              <w:t>环评报告表</w:t>
            </w:r>
          </w:p>
          <w:p>
            <w:pPr>
              <w:spacing w:line="360" w:lineRule="auto"/>
              <w:jc w:val="center"/>
              <w:rPr>
                <w:rFonts w:ascii="宋体" w:hAnsi="宋体"/>
                <w:b/>
                <w:sz w:val="24"/>
                <w:highlight w:val="yellow"/>
              </w:rPr>
            </w:pPr>
            <w:r>
              <w:rPr>
                <w:rFonts w:hint="eastAsia" w:ascii="宋体" w:hAnsi="宋体" w:cs="仿宋_GB2312"/>
                <w:bCs/>
                <w:sz w:val="24"/>
              </w:rPr>
              <w:t>审批部门</w:t>
            </w:r>
          </w:p>
        </w:tc>
        <w:tc>
          <w:tcPr>
            <w:tcW w:w="2162" w:type="dxa"/>
            <w:vAlign w:val="center"/>
          </w:tcPr>
          <w:p>
            <w:pPr>
              <w:spacing w:line="360" w:lineRule="auto"/>
              <w:jc w:val="center"/>
              <w:rPr>
                <w:rFonts w:hint="eastAsia" w:ascii="宋体" w:hAnsi="宋体" w:eastAsia="宋体"/>
                <w:b/>
                <w:sz w:val="24"/>
                <w:highlight w:val="yellow"/>
                <w:lang w:eastAsia="zh-CN"/>
              </w:rPr>
            </w:pPr>
            <w:r>
              <w:rPr>
                <w:rFonts w:hint="eastAsia" w:ascii="宋体" w:hAnsi="宋体"/>
                <w:sz w:val="24"/>
                <w:highlight w:val="none"/>
                <w:lang w:eastAsia="zh-CN"/>
              </w:rPr>
              <w:t>芜湖市环境保护局</w:t>
            </w:r>
          </w:p>
        </w:tc>
        <w:tc>
          <w:tcPr>
            <w:tcW w:w="2268" w:type="dxa"/>
            <w:vAlign w:val="center"/>
          </w:tcPr>
          <w:p>
            <w:pPr>
              <w:spacing w:line="360" w:lineRule="auto"/>
              <w:jc w:val="center"/>
              <w:rPr>
                <w:rFonts w:ascii="宋体" w:hAnsi="宋体" w:cs="仿宋_GB2312"/>
                <w:bCs/>
                <w:sz w:val="24"/>
              </w:rPr>
            </w:pPr>
            <w:r>
              <w:rPr>
                <w:rFonts w:hint="eastAsia" w:ascii="宋体" w:hAnsi="宋体" w:cs="仿宋_GB2312"/>
                <w:bCs/>
                <w:sz w:val="24"/>
              </w:rPr>
              <w:t>环评报告表</w:t>
            </w:r>
          </w:p>
          <w:p>
            <w:pPr>
              <w:spacing w:line="360" w:lineRule="auto"/>
              <w:jc w:val="center"/>
              <w:rPr>
                <w:rFonts w:ascii="宋体" w:hAnsi="宋体"/>
                <w:b/>
                <w:sz w:val="24"/>
                <w:highlight w:val="yellow"/>
              </w:rPr>
            </w:pPr>
            <w:r>
              <w:rPr>
                <w:rFonts w:hint="eastAsia" w:ascii="宋体" w:hAnsi="宋体" w:cs="仿宋_GB2312"/>
                <w:bCs/>
                <w:sz w:val="24"/>
              </w:rPr>
              <w:t>编制单位</w:t>
            </w:r>
          </w:p>
        </w:tc>
        <w:tc>
          <w:tcPr>
            <w:tcW w:w="2855" w:type="dxa"/>
            <w:gridSpan w:val="3"/>
            <w:vAlign w:val="center"/>
          </w:tcPr>
          <w:p>
            <w:pPr>
              <w:spacing w:line="360" w:lineRule="auto"/>
              <w:jc w:val="center"/>
              <w:rPr>
                <w:rFonts w:hint="eastAsia" w:ascii="宋体" w:hAnsi="宋体" w:eastAsia="宋体"/>
                <w:b/>
                <w:sz w:val="24"/>
                <w:highlight w:val="yellow"/>
                <w:lang w:eastAsia="zh-CN"/>
              </w:rPr>
            </w:pPr>
            <w:r>
              <w:rPr>
                <w:rFonts w:hint="eastAsia" w:ascii="宋体" w:hAnsi="宋体" w:cs="仿宋_GB2312"/>
                <w:sz w:val="24"/>
                <w:lang w:eastAsia="zh-CN"/>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环保设施设计单位</w:t>
            </w:r>
          </w:p>
        </w:tc>
        <w:tc>
          <w:tcPr>
            <w:tcW w:w="2162" w:type="dxa"/>
            <w:vAlign w:val="center"/>
          </w:tcPr>
          <w:p>
            <w:pPr>
              <w:spacing w:line="360" w:lineRule="auto"/>
              <w:jc w:val="center"/>
              <w:rPr>
                <w:rFonts w:ascii="宋体" w:hAnsi="宋体"/>
                <w:b/>
                <w:sz w:val="24"/>
              </w:rPr>
            </w:pPr>
            <w:r>
              <w:rPr>
                <w:rFonts w:hint="eastAsia" w:ascii="宋体" w:hAnsi="宋体" w:cs="仿宋_GB2312"/>
                <w:sz w:val="24"/>
              </w:rPr>
              <w:t>/</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环保设施施工单位</w:t>
            </w:r>
          </w:p>
        </w:tc>
        <w:tc>
          <w:tcPr>
            <w:tcW w:w="2855" w:type="dxa"/>
            <w:gridSpan w:val="3"/>
            <w:vAlign w:val="center"/>
          </w:tcPr>
          <w:p>
            <w:pPr>
              <w:spacing w:line="360" w:lineRule="auto"/>
              <w:jc w:val="center"/>
              <w:rPr>
                <w:rFonts w:ascii="宋体" w:hAnsi="宋体"/>
                <w:b/>
                <w:sz w:val="24"/>
              </w:rPr>
            </w:pPr>
            <w:r>
              <w:rPr>
                <w:rFonts w:hint="eastAsia" w:ascii="宋体" w:hAnsi="宋体" w:cs="仿宋_GB2312"/>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投资总概算</w:t>
            </w:r>
          </w:p>
        </w:tc>
        <w:tc>
          <w:tcPr>
            <w:tcW w:w="2162" w:type="dxa"/>
            <w:vAlign w:val="center"/>
          </w:tcPr>
          <w:p>
            <w:pPr>
              <w:spacing w:line="360" w:lineRule="auto"/>
              <w:jc w:val="center"/>
              <w:rPr>
                <w:rFonts w:ascii="宋体" w:hAnsi="宋体"/>
                <w:b/>
                <w:sz w:val="24"/>
              </w:rPr>
            </w:pPr>
            <w:r>
              <w:rPr>
                <w:rFonts w:hint="eastAsia" w:ascii="宋体" w:hAnsi="宋体" w:cs="仿宋_GB2312"/>
                <w:sz w:val="24"/>
                <w:lang w:val="en-US" w:eastAsia="zh-CN"/>
              </w:rPr>
              <w:t>5000</w:t>
            </w:r>
            <w:r>
              <w:rPr>
                <w:rFonts w:hint="eastAsia" w:ascii="宋体" w:hAnsi="宋体" w:cs="仿宋_GB2312"/>
                <w:sz w:val="24"/>
              </w:rPr>
              <w:t>万元</w:t>
            </w:r>
          </w:p>
        </w:tc>
        <w:tc>
          <w:tcPr>
            <w:tcW w:w="2268" w:type="dxa"/>
            <w:vAlign w:val="center"/>
          </w:tcPr>
          <w:p>
            <w:pPr>
              <w:spacing w:line="360" w:lineRule="auto"/>
              <w:jc w:val="center"/>
              <w:rPr>
                <w:rFonts w:ascii="宋体" w:hAnsi="宋体"/>
                <w:b/>
                <w:sz w:val="24"/>
              </w:rPr>
            </w:pPr>
            <w:r>
              <w:rPr>
                <w:rFonts w:hint="eastAsia" w:ascii="宋体" w:hAnsi="宋体" w:cs="仿宋_GB2312"/>
                <w:bCs/>
                <w:sz w:val="24"/>
              </w:rPr>
              <w:t>环保投资总概算</w:t>
            </w:r>
          </w:p>
        </w:tc>
        <w:tc>
          <w:tcPr>
            <w:tcW w:w="992" w:type="dxa"/>
            <w:vAlign w:val="center"/>
          </w:tcPr>
          <w:p>
            <w:pPr>
              <w:pStyle w:val="95"/>
              <w:jc w:val="center"/>
              <w:rPr>
                <w:rFonts w:ascii="宋体" w:hAnsi="宋体" w:eastAsia="宋体"/>
                <w:sz w:val="21"/>
                <w:szCs w:val="21"/>
              </w:rPr>
            </w:pPr>
            <w:r>
              <w:rPr>
                <w:rFonts w:hint="eastAsia" w:ascii="宋体" w:hAnsi="宋体" w:eastAsia="宋体"/>
                <w:sz w:val="21"/>
                <w:szCs w:val="21"/>
                <w:lang w:val="en-US" w:eastAsia="zh-CN"/>
              </w:rPr>
              <w:t>11.2</w:t>
            </w:r>
            <w:r>
              <w:rPr>
                <w:rFonts w:hint="eastAsia" w:ascii="宋体" w:hAnsi="宋体" w:eastAsia="宋体" w:cs="仿宋_GB2312"/>
                <w:sz w:val="21"/>
                <w:szCs w:val="21"/>
              </w:rPr>
              <w:t>万</w:t>
            </w:r>
          </w:p>
        </w:tc>
        <w:tc>
          <w:tcPr>
            <w:tcW w:w="850" w:type="dxa"/>
            <w:vAlign w:val="center"/>
          </w:tcPr>
          <w:p>
            <w:pPr>
              <w:spacing w:line="360" w:lineRule="auto"/>
              <w:jc w:val="center"/>
              <w:rPr>
                <w:rFonts w:ascii="宋体" w:hAnsi="宋体"/>
                <w:b/>
                <w:sz w:val="24"/>
              </w:rPr>
            </w:pPr>
            <w:r>
              <w:rPr>
                <w:rFonts w:hint="eastAsia" w:ascii="宋体" w:hAnsi="宋体" w:cs="仿宋_GB2312"/>
                <w:bCs/>
                <w:sz w:val="24"/>
              </w:rPr>
              <w:t>比例</w:t>
            </w:r>
          </w:p>
        </w:tc>
        <w:tc>
          <w:tcPr>
            <w:tcW w:w="1013" w:type="dxa"/>
            <w:vAlign w:val="center"/>
          </w:tcPr>
          <w:p>
            <w:pPr>
              <w:spacing w:line="360" w:lineRule="auto"/>
              <w:jc w:val="center"/>
              <w:rPr>
                <w:rFonts w:ascii="宋体" w:hAnsi="宋体"/>
                <w:b/>
                <w:sz w:val="24"/>
              </w:rPr>
            </w:pPr>
            <w:r>
              <w:rPr>
                <w:rFonts w:hint="eastAsia" w:ascii="宋体" w:hAnsi="宋体" w:cs="仿宋_GB2312"/>
                <w:sz w:val="24"/>
                <w:lang w:val="en-US" w:eastAsia="zh-CN"/>
              </w:rPr>
              <w:t>0.224</w:t>
            </w:r>
            <w:r>
              <w:rPr>
                <w:rFonts w:ascii="宋体" w:hAnsi="宋体" w:cs="仿宋_GB2312"/>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18" w:type="dxa"/>
            <w:vAlign w:val="center"/>
          </w:tcPr>
          <w:p>
            <w:pPr>
              <w:spacing w:line="360" w:lineRule="auto"/>
              <w:jc w:val="center"/>
              <w:rPr>
                <w:rFonts w:ascii="宋体" w:hAnsi="宋体"/>
                <w:b/>
                <w:sz w:val="24"/>
              </w:rPr>
            </w:pPr>
            <w:r>
              <w:rPr>
                <w:rFonts w:hint="eastAsia" w:ascii="宋体" w:hAnsi="宋体" w:cs="仿宋_GB2312"/>
                <w:bCs/>
                <w:sz w:val="24"/>
              </w:rPr>
              <w:t>实际总概算</w:t>
            </w:r>
          </w:p>
        </w:tc>
        <w:tc>
          <w:tcPr>
            <w:tcW w:w="2162" w:type="dxa"/>
            <w:vAlign w:val="center"/>
          </w:tcPr>
          <w:p>
            <w:pPr>
              <w:spacing w:line="360" w:lineRule="auto"/>
              <w:jc w:val="center"/>
              <w:rPr>
                <w:rFonts w:ascii="宋体" w:hAnsi="宋体"/>
                <w:bCs/>
                <w:sz w:val="24"/>
                <w:highlight w:val="none"/>
              </w:rPr>
            </w:pPr>
            <w:r>
              <w:rPr>
                <w:rFonts w:hint="eastAsia" w:ascii="宋体" w:hAnsi="宋体" w:cs="仿宋_GB2312"/>
                <w:sz w:val="24"/>
                <w:highlight w:val="none"/>
                <w:lang w:val="en-US" w:eastAsia="zh-CN"/>
              </w:rPr>
              <w:t>500</w:t>
            </w:r>
            <w:r>
              <w:rPr>
                <w:rFonts w:hint="eastAsia" w:ascii="宋体" w:hAnsi="宋体" w:cs="仿宋_GB2312"/>
                <w:sz w:val="24"/>
                <w:highlight w:val="none"/>
              </w:rPr>
              <w:t>万元</w:t>
            </w:r>
          </w:p>
        </w:tc>
        <w:tc>
          <w:tcPr>
            <w:tcW w:w="2268" w:type="dxa"/>
            <w:vAlign w:val="center"/>
          </w:tcPr>
          <w:p>
            <w:pPr>
              <w:spacing w:line="360" w:lineRule="auto"/>
              <w:jc w:val="center"/>
              <w:rPr>
                <w:rFonts w:ascii="宋体" w:hAnsi="宋体"/>
                <w:b/>
                <w:sz w:val="24"/>
                <w:highlight w:val="none"/>
              </w:rPr>
            </w:pPr>
            <w:r>
              <w:rPr>
                <w:rFonts w:hint="eastAsia" w:ascii="宋体" w:hAnsi="宋体" w:cs="仿宋_GB2312"/>
                <w:bCs/>
                <w:sz w:val="24"/>
                <w:highlight w:val="none"/>
              </w:rPr>
              <w:t>环保投资</w:t>
            </w:r>
          </w:p>
        </w:tc>
        <w:tc>
          <w:tcPr>
            <w:tcW w:w="992" w:type="dxa"/>
            <w:vAlign w:val="center"/>
          </w:tcPr>
          <w:p>
            <w:pPr>
              <w:spacing w:line="360" w:lineRule="auto"/>
              <w:jc w:val="center"/>
              <w:rPr>
                <w:rFonts w:ascii="宋体" w:hAnsi="宋体"/>
                <w:bCs/>
                <w:sz w:val="24"/>
                <w:highlight w:val="none"/>
              </w:rPr>
            </w:pPr>
            <w:r>
              <w:rPr>
                <w:rFonts w:hint="eastAsia" w:ascii="宋体" w:hAnsi="宋体"/>
                <w:szCs w:val="21"/>
                <w:highlight w:val="none"/>
                <w:lang w:val="en-US" w:eastAsia="zh-CN"/>
              </w:rPr>
              <w:t>12.6</w:t>
            </w:r>
            <w:r>
              <w:rPr>
                <w:rFonts w:ascii="宋体" w:hAnsi="宋体"/>
                <w:szCs w:val="21"/>
                <w:highlight w:val="none"/>
              </w:rPr>
              <w:t xml:space="preserve"> </w:t>
            </w:r>
            <w:r>
              <w:rPr>
                <w:rFonts w:hint="eastAsia" w:ascii="宋体" w:hAnsi="宋体" w:cs="仿宋_GB2312"/>
                <w:szCs w:val="21"/>
                <w:highlight w:val="none"/>
              </w:rPr>
              <w:t>万</w:t>
            </w:r>
          </w:p>
        </w:tc>
        <w:tc>
          <w:tcPr>
            <w:tcW w:w="850" w:type="dxa"/>
            <w:vAlign w:val="center"/>
          </w:tcPr>
          <w:p>
            <w:pPr>
              <w:spacing w:line="360" w:lineRule="auto"/>
              <w:jc w:val="center"/>
              <w:rPr>
                <w:rFonts w:ascii="宋体" w:hAnsi="宋体"/>
                <w:b/>
                <w:sz w:val="24"/>
                <w:highlight w:val="none"/>
              </w:rPr>
            </w:pPr>
            <w:r>
              <w:rPr>
                <w:rFonts w:hint="eastAsia" w:ascii="宋体" w:hAnsi="宋体" w:cs="仿宋_GB2312"/>
                <w:bCs/>
                <w:sz w:val="24"/>
                <w:highlight w:val="none"/>
              </w:rPr>
              <w:t>比例</w:t>
            </w:r>
          </w:p>
        </w:tc>
        <w:tc>
          <w:tcPr>
            <w:tcW w:w="1013" w:type="dxa"/>
            <w:vAlign w:val="center"/>
          </w:tcPr>
          <w:p>
            <w:pPr>
              <w:spacing w:line="360" w:lineRule="auto"/>
              <w:jc w:val="center"/>
              <w:rPr>
                <w:rFonts w:ascii="宋体" w:hAnsi="宋体"/>
                <w:bCs/>
                <w:sz w:val="24"/>
                <w:highlight w:val="none"/>
              </w:rPr>
            </w:pPr>
            <w:r>
              <w:rPr>
                <w:rFonts w:hint="eastAsia" w:ascii="宋体" w:hAnsi="宋体" w:cs="仿宋_GB2312"/>
                <w:sz w:val="24"/>
                <w:highlight w:val="none"/>
                <w:lang w:val="en-US" w:eastAsia="zh-CN"/>
              </w:rPr>
              <w:t>2.52</w:t>
            </w:r>
            <w:r>
              <w:rPr>
                <w:rFonts w:ascii="宋体" w:hAnsi="宋体" w:cs="仿宋_GB2312"/>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2218" w:type="dxa"/>
            <w:vAlign w:val="center"/>
          </w:tcPr>
          <w:p>
            <w:pPr>
              <w:spacing w:line="360" w:lineRule="auto"/>
              <w:jc w:val="center"/>
              <w:rPr>
                <w:rFonts w:ascii="宋体" w:hAnsi="宋体"/>
                <w:sz w:val="24"/>
              </w:rPr>
            </w:pPr>
            <w:r>
              <w:rPr>
                <w:rFonts w:hint="eastAsia" w:ascii="宋体" w:hAnsi="宋体"/>
                <w:sz w:val="24"/>
              </w:rPr>
              <w:t>验收监测依据</w:t>
            </w:r>
          </w:p>
        </w:tc>
        <w:tc>
          <w:tcPr>
            <w:tcW w:w="7285" w:type="dxa"/>
            <w:gridSpan w:val="5"/>
            <w:vAlign w:val="center"/>
          </w:tcPr>
          <w:p>
            <w:pPr>
              <w:spacing w:line="360" w:lineRule="auto"/>
              <w:jc w:val="left"/>
              <w:rPr>
                <w:rFonts w:ascii="宋体" w:hAnsi="宋体"/>
                <w:sz w:val="24"/>
              </w:rPr>
            </w:pPr>
            <w:r>
              <w:rPr>
                <w:rFonts w:ascii="宋体" w:hAnsi="宋体"/>
                <w:sz w:val="24"/>
              </w:rPr>
              <w:t>1</w:t>
            </w:r>
            <w:r>
              <w:rPr>
                <w:rFonts w:hint="eastAsia" w:ascii="宋体" w:hAnsi="宋体"/>
                <w:sz w:val="24"/>
              </w:rPr>
              <w:t>、</w:t>
            </w:r>
            <w:r>
              <w:rPr>
                <w:rFonts w:hint="eastAsia" w:ascii="宋体" w:hAnsi="宋体" w:cs="宋体"/>
                <w:color w:val="000000"/>
                <w:sz w:val="24"/>
              </w:rPr>
              <w:t>《中华人民共和国环境保护法》（2</w:t>
            </w:r>
            <w:r>
              <w:rPr>
                <w:rFonts w:ascii="宋体" w:hAnsi="宋体" w:cs="宋体"/>
                <w:color w:val="000000"/>
                <w:sz w:val="24"/>
              </w:rPr>
              <w:t>015</w:t>
            </w:r>
            <w:r>
              <w:rPr>
                <w:rFonts w:hint="eastAsia" w:ascii="宋体" w:hAnsi="宋体" w:cs="宋体"/>
                <w:color w:val="000000"/>
                <w:sz w:val="24"/>
              </w:rPr>
              <w:t>年1月1日施行）；</w:t>
            </w:r>
          </w:p>
          <w:p>
            <w:pPr>
              <w:spacing w:line="360" w:lineRule="auto"/>
              <w:ind w:right="-197" w:rightChars="-94"/>
              <w:jc w:val="left"/>
              <w:rPr>
                <w:rFonts w:ascii="宋体" w:hAnsi="宋体"/>
                <w:sz w:val="24"/>
              </w:rPr>
            </w:pPr>
            <w:r>
              <w:rPr>
                <w:rFonts w:ascii="宋体" w:hAnsi="宋体"/>
                <w:sz w:val="24"/>
              </w:rPr>
              <w:t>2</w:t>
            </w:r>
            <w:r>
              <w:rPr>
                <w:rFonts w:hint="eastAsia" w:ascii="宋体" w:hAnsi="宋体"/>
                <w:sz w:val="24"/>
              </w:rPr>
              <w:t>、</w:t>
            </w:r>
            <w:r>
              <w:rPr>
                <w:rFonts w:hint="eastAsia" w:ascii="宋体" w:hAnsi="宋体" w:cs="宋体"/>
                <w:color w:val="000000"/>
                <w:sz w:val="24"/>
              </w:rPr>
              <w:t>《中华人民共和国水污染防治法》（2</w:t>
            </w:r>
            <w:r>
              <w:rPr>
                <w:rFonts w:ascii="宋体" w:hAnsi="宋体" w:cs="宋体"/>
                <w:color w:val="000000"/>
                <w:sz w:val="24"/>
              </w:rPr>
              <w:t>018</w:t>
            </w:r>
            <w:r>
              <w:rPr>
                <w:rFonts w:hint="eastAsia" w:ascii="宋体" w:hAnsi="宋体" w:cs="宋体"/>
                <w:color w:val="000000"/>
                <w:sz w:val="24"/>
              </w:rPr>
              <w:t>年1月1日施行）</w:t>
            </w:r>
            <w:r>
              <w:rPr>
                <w:rFonts w:hint="eastAsia" w:ascii="宋体" w:hAnsi="宋体"/>
                <w:sz w:val="24"/>
              </w:rPr>
              <w:t>；</w:t>
            </w:r>
          </w:p>
          <w:p>
            <w:pPr>
              <w:spacing w:line="360" w:lineRule="auto"/>
              <w:jc w:val="left"/>
              <w:rPr>
                <w:rFonts w:ascii="宋体" w:hAnsi="宋体"/>
                <w:sz w:val="24"/>
              </w:rPr>
            </w:pPr>
            <w:r>
              <w:rPr>
                <w:rFonts w:ascii="宋体" w:hAnsi="宋体"/>
                <w:sz w:val="24"/>
              </w:rPr>
              <w:t>3</w:t>
            </w:r>
            <w:r>
              <w:rPr>
                <w:rFonts w:hint="eastAsia" w:ascii="宋体" w:hAnsi="宋体"/>
                <w:sz w:val="24"/>
              </w:rPr>
              <w:t>、</w:t>
            </w:r>
            <w:r>
              <w:rPr>
                <w:rFonts w:hint="eastAsia" w:ascii="宋体" w:hAnsi="宋体"/>
                <w:bCs/>
                <w:sz w:val="24"/>
              </w:rPr>
              <w:t>《中华人民共和国大气污染防治法》（2018年修订）</w:t>
            </w:r>
            <w:r>
              <w:rPr>
                <w:rFonts w:hint="eastAsia" w:ascii="宋体" w:hAnsi="宋体"/>
                <w:sz w:val="24"/>
              </w:rPr>
              <w:t>；</w:t>
            </w:r>
          </w:p>
          <w:p>
            <w:pPr>
              <w:spacing w:line="360" w:lineRule="auto"/>
              <w:jc w:val="left"/>
              <w:rPr>
                <w:rFonts w:ascii="宋体" w:hAnsi="宋体"/>
                <w:bCs/>
                <w:sz w:val="24"/>
              </w:rPr>
            </w:pPr>
            <w:r>
              <w:rPr>
                <w:rFonts w:ascii="宋体" w:hAnsi="宋体"/>
                <w:sz w:val="24"/>
              </w:rPr>
              <w:t>4</w:t>
            </w:r>
            <w:r>
              <w:rPr>
                <w:rFonts w:hint="eastAsia" w:ascii="宋体" w:hAnsi="宋体"/>
                <w:sz w:val="24"/>
              </w:rPr>
              <w:t>、</w:t>
            </w:r>
            <w:r>
              <w:rPr>
                <w:rFonts w:hint="eastAsia" w:ascii="宋体" w:hAnsi="宋体"/>
                <w:bCs/>
                <w:sz w:val="24"/>
              </w:rPr>
              <w:t>《中华人民共和国环境噪声污染防治法》（2018年12月29日修订）</w:t>
            </w:r>
            <w:r>
              <w:rPr>
                <w:rFonts w:hint="eastAsia" w:ascii="宋体" w:hAnsi="宋体"/>
                <w:sz w:val="24"/>
              </w:rPr>
              <w:t>；</w:t>
            </w:r>
          </w:p>
          <w:p>
            <w:pPr>
              <w:spacing w:line="360" w:lineRule="auto"/>
              <w:jc w:val="left"/>
              <w:rPr>
                <w:rFonts w:ascii="宋体" w:hAnsi="宋体"/>
                <w:sz w:val="24"/>
              </w:rPr>
            </w:pPr>
            <w:r>
              <w:rPr>
                <w:rFonts w:ascii="宋体" w:hAnsi="宋体"/>
                <w:sz w:val="24"/>
              </w:rPr>
              <w:t>5</w:t>
            </w:r>
            <w:r>
              <w:rPr>
                <w:rFonts w:hint="eastAsia" w:ascii="宋体" w:hAnsi="宋体"/>
                <w:sz w:val="24"/>
              </w:rPr>
              <w:t>、</w:t>
            </w:r>
            <w:r>
              <w:rPr>
                <w:rFonts w:hint="eastAsia" w:ascii="宋体" w:hAnsi="宋体" w:cs="宋体"/>
                <w:color w:val="000000"/>
                <w:sz w:val="24"/>
              </w:rPr>
              <w:t>《中华人民共和国固体废物污染</w:t>
            </w:r>
            <w:r>
              <w:rPr>
                <w:rFonts w:ascii="宋体" w:hAnsi="宋体"/>
                <w:bCs/>
                <w:sz w:val="24"/>
              </w:rPr>
              <w:t>环境防治法》</w:t>
            </w:r>
            <w:r>
              <w:rPr>
                <w:rFonts w:hint="eastAsia" w:ascii="宋体" w:hAnsi="宋体"/>
                <w:bCs/>
                <w:sz w:val="24"/>
              </w:rPr>
              <w:t>（2</w:t>
            </w:r>
            <w:r>
              <w:rPr>
                <w:rFonts w:ascii="宋体" w:hAnsi="宋体"/>
                <w:bCs/>
                <w:sz w:val="24"/>
              </w:rPr>
              <w:t>016</w:t>
            </w:r>
            <w:r>
              <w:rPr>
                <w:rFonts w:hint="eastAsia" w:ascii="宋体" w:hAnsi="宋体"/>
                <w:bCs/>
                <w:sz w:val="24"/>
              </w:rPr>
              <w:t>年1</w:t>
            </w:r>
            <w:r>
              <w:rPr>
                <w:rFonts w:ascii="宋体" w:hAnsi="宋体"/>
                <w:bCs/>
                <w:sz w:val="24"/>
              </w:rPr>
              <w:t>1</w:t>
            </w:r>
            <w:r>
              <w:rPr>
                <w:rFonts w:hint="eastAsia" w:ascii="宋体" w:hAnsi="宋体"/>
                <w:bCs/>
                <w:sz w:val="24"/>
              </w:rPr>
              <w:t>月7日第四次修订）</w:t>
            </w:r>
            <w:r>
              <w:rPr>
                <w:rFonts w:hint="eastAsia" w:ascii="宋体" w:hAnsi="宋体"/>
                <w:sz w:val="24"/>
              </w:rPr>
              <w:t>；</w:t>
            </w:r>
          </w:p>
          <w:p>
            <w:pPr>
              <w:spacing w:line="360" w:lineRule="auto"/>
              <w:ind w:right="-197" w:rightChars="-94"/>
              <w:jc w:val="left"/>
              <w:rPr>
                <w:rFonts w:ascii="宋体" w:hAnsi="宋体"/>
                <w:sz w:val="24"/>
              </w:rPr>
            </w:pPr>
            <w:r>
              <w:rPr>
                <w:rFonts w:ascii="宋体" w:hAnsi="宋体"/>
                <w:sz w:val="24"/>
              </w:rPr>
              <w:t>6</w:t>
            </w:r>
            <w:r>
              <w:rPr>
                <w:rFonts w:hint="eastAsia" w:ascii="宋体" w:hAnsi="宋体"/>
                <w:sz w:val="24"/>
              </w:rPr>
              <w:t>、</w:t>
            </w:r>
            <w:r>
              <w:rPr>
                <w:rFonts w:hint="eastAsia" w:ascii="宋体" w:hAnsi="宋体"/>
                <w:bCs/>
                <w:sz w:val="24"/>
              </w:rPr>
              <w:t>《建设项目环境保护管理条例》（2</w:t>
            </w:r>
            <w:r>
              <w:rPr>
                <w:rFonts w:ascii="宋体" w:hAnsi="宋体"/>
                <w:bCs/>
                <w:sz w:val="24"/>
              </w:rPr>
              <w:t>017</w:t>
            </w:r>
            <w:r>
              <w:rPr>
                <w:rFonts w:hint="eastAsia" w:ascii="宋体" w:hAnsi="宋体"/>
                <w:bCs/>
                <w:sz w:val="24"/>
              </w:rPr>
              <w:t>年1</w:t>
            </w:r>
            <w:r>
              <w:rPr>
                <w:rFonts w:ascii="宋体" w:hAnsi="宋体"/>
                <w:bCs/>
                <w:sz w:val="24"/>
              </w:rPr>
              <w:t>0</w:t>
            </w:r>
            <w:r>
              <w:rPr>
                <w:rFonts w:hint="eastAsia" w:ascii="宋体" w:hAnsi="宋体"/>
                <w:bCs/>
                <w:sz w:val="24"/>
              </w:rPr>
              <w:t>月1日起施行）；</w:t>
            </w:r>
          </w:p>
          <w:p>
            <w:pPr>
              <w:spacing w:line="360" w:lineRule="auto"/>
              <w:jc w:val="left"/>
              <w:rPr>
                <w:rFonts w:ascii="宋体" w:hAnsi="宋体"/>
                <w:sz w:val="24"/>
              </w:rPr>
            </w:pPr>
            <w:r>
              <w:rPr>
                <w:rFonts w:ascii="宋体" w:hAnsi="宋体"/>
                <w:sz w:val="24"/>
              </w:rPr>
              <w:t>7</w:t>
            </w:r>
            <w:r>
              <w:rPr>
                <w:rFonts w:hint="eastAsia" w:ascii="宋体" w:hAnsi="宋体"/>
                <w:sz w:val="24"/>
              </w:rPr>
              <w:t>、</w:t>
            </w:r>
            <w:r>
              <w:rPr>
                <w:rFonts w:hint="eastAsia" w:ascii="宋体" w:hAnsi="宋体"/>
                <w:bCs/>
                <w:sz w:val="24"/>
              </w:rPr>
              <w:t>《建设项目竣工环境保护验收暂行办法》（2</w:t>
            </w:r>
            <w:r>
              <w:rPr>
                <w:rFonts w:ascii="宋体" w:hAnsi="宋体"/>
                <w:bCs/>
                <w:sz w:val="24"/>
              </w:rPr>
              <w:t>017</w:t>
            </w:r>
            <w:r>
              <w:rPr>
                <w:rFonts w:hint="eastAsia" w:ascii="宋体" w:hAnsi="宋体"/>
                <w:bCs/>
                <w:sz w:val="24"/>
              </w:rPr>
              <w:t>年1</w:t>
            </w:r>
            <w:r>
              <w:rPr>
                <w:rFonts w:ascii="宋体" w:hAnsi="宋体"/>
                <w:bCs/>
                <w:sz w:val="24"/>
              </w:rPr>
              <w:t>1</w:t>
            </w:r>
            <w:r>
              <w:rPr>
                <w:rFonts w:hint="eastAsia" w:ascii="宋体" w:hAnsi="宋体"/>
                <w:bCs/>
                <w:sz w:val="24"/>
              </w:rPr>
              <w:t>月2</w:t>
            </w:r>
            <w:r>
              <w:rPr>
                <w:rFonts w:ascii="宋体" w:hAnsi="宋体"/>
                <w:bCs/>
                <w:sz w:val="24"/>
              </w:rPr>
              <w:t>2</w:t>
            </w:r>
            <w:r>
              <w:rPr>
                <w:rFonts w:hint="eastAsia" w:ascii="宋体" w:hAnsi="宋体"/>
                <w:bCs/>
                <w:sz w:val="24"/>
              </w:rPr>
              <w:t>日发布实施）；</w:t>
            </w:r>
          </w:p>
          <w:p>
            <w:pPr>
              <w:spacing w:line="360" w:lineRule="auto"/>
              <w:ind w:right="225" w:rightChars="107"/>
              <w:jc w:val="left"/>
              <w:rPr>
                <w:rFonts w:ascii="宋体" w:hAnsi="宋体"/>
                <w:sz w:val="24"/>
              </w:rPr>
            </w:pPr>
            <w:r>
              <w:rPr>
                <w:rFonts w:ascii="宋体" w:hAnsi="宋体"/>
                <w:sz w:val="24"/>
              </w:rPr>
              <w:t>8</w:t>
            </w:r>
            <w:r>
              <w:rPr>
                <w:rFonts w:hint="eastAsia" w:ascii="宋体" w:hAnsi="宋体"/>
                <w:sz w:val="24"/>
              </w:rPr>
              <w:t>、</w:t>
            </w:r>
            <w:r>
              <w:rPr>
                <w:rFonts w:hint="eastAsia" w:ascii="宋体" w:hAnsi="宋体"/>
                <w:bCs/>
                <w:sz w:val="24"/>
              </w:rPr>
              <w:t>《建</w:t>
            </w:r>
            <w:r>
              <w:rPr>
                <w:rFonts w:hint="eastAsia" w:ascii="宋体" w:hAnsi="宋体" w:cs="宋体"/>
                <w:color w:val="000000"/>
                <w:sz w:val="24"/>
              </w:rPr>
              <w:t>设项目竣工环境保护验收技术指南 污染影响类》（2</w:t>
            </w:r>
            <w:r>
              <w:rPr>
                <w:rFonts w:ascii="宋体" w:hAnsi="宋体" w:cs="宋体"/>
                <w:color w:val="000000"/>
                <w:sz w:val="24"/>
              </w:rPr>
              <w:t>018</w:t>
            </w:r>
            <w:r>
              <w:rPr>
                <w:rFonts w:hint="eastAsia" w:ascii="宋体" w:hAnsi="宋体" w:cs="宋体"/>
                <w:color w:val="000000"/>
                <w:sz w:val="24"/>
              </w:rPr>
              <w:t>年5月</w:t>
            </w:r>
            <w:r>
              <w:rPr>
                <w:rFonts w:ascii="宋体" w:hAnsi="宋体" w:cs="宋体"/>
                <w:color w:val="000000"/>
                <w:sz w:val="24"/>
              </w:rPr>
              <w:t>16</w:t>
            </w:r>
            <w:r>
              <w:rPr>
                <w:rFonts w:hint="eastAsia" w:ascii="宋体" w:hAnsi="宋体" w:cs="宋体"/>
                <w:color w:val="000000"/>
                <w:sz w:val="24"/>
              </w:rPr>
              <w:t>日发布）；</w:t>
            </w:r>
          </w:p>
          <w:p>
            <w:pPr>
              <w:spacing w:line="360" w:lineRule="auto"/>
              <w:ind w:left="480" w:right="225" w:rightChars="107" w:hanging="480" w:hangingChars="200"/>
              <w:jc w:val="left"/>
              <w:rPr>
                <w:rFonts w:ascii="宋体" w:hAnsi="宋体"/>
                <w:sz w:val="24"/>
              </w:rPr>
            </w:pPr>
            <w:r>
              <w:rPr>
                <w:rFonts w:ascii="宋体" w:hAnsi="宋体"/>
                <w:sz w:val="24"/>
              </w:rPr>
              <w:t>9</w:t>
            </w:r>
            <w:r>
              <w:rPr>
                <w:rFonts w:hint="eastAsia" w:ascii="宋体" w:hAnsi="宋体"/>
                <w:sz w:val="24"/>
              </w:rPr>
              <w:t>、《关于</w:t>
            </w:r>
            <w:r>
              <w:rPr>
                <w:rFonts w:hint="eastAsia" w:ascii="宋体" w:hAnsi="宋体" w:cs="仿宋_GB2312"/>
                <w:sz w:val="24"/>
                <w:lang w:eastAsia="zh-CN"/>
              </w:rPr>
              <w:t>安徽博嘉包装材料有限公司</w:t>
            </w:r>
            <w:r>
              <w:rPr>
                <w:rFonts w:hint="eastAsia" w:ascii="宋体" w:hAnsi="宋体"/>
                <w:sz w:val="24"/>
                <w:lang w:eastAsia="zh-CN"/>
              </w:rPr>
              <w:t>年产1000万平方米瓦楞纸箱项目</w:t>
            </w:r>
            <w:r>
              <w:rPr>
                <w:rFonts w:hint="eastAsia" w:ascii="宋体" w:hAnsi="宋体"/>
                <w:sz w:val="24"/>
              </w:rPr>
              <w:t>环境影响报告表批复》</w:t>
            </w:r>
            <w:r>
              <w:rPr>
                <w:rFonts w:hint="eastAsia" w:ascii="宋体" w:hAnsi="宋体"/>
                <w:sz w:val="24"/>
                <w:highlight w:val="none"/>
              </w:rPr>
              <w:t>（</w:t>
            </w:r>
            <w:r>
              <w:rPr>
                <w:rFonts w:hint="eastAsia" w:ascii="宋体" w:hAnsi="宋体"/>
                <w:sz w:val="24"/>
                <w:highlight w:val="none"/>
                <w:lang w:val="en-US" w:eastAsia="zh-CN"/>
              </w:rPr>
              <w:t>芜环评审</w:t>
            </w:r>
            <w:r>
              <w:rPr>
                <w:rFonts w:hint="eastAsia" w:ascii="宋体" w:hAnsi="宋体" w:eastAsia="宋体" w:cs="宋体"/>
                <w:sz w:val="24"/>
                <w:highlight w:val="none"/>
                <w:lang w:val="en-US" w:eastAsia="zh-CN"/>
              </w:rPr>
              <w:t>[2018]96号</w:t>
            </w:r>
            <w:r>
              <w:rPr>
                <w:rFonts w:hint="eastAsia" w:ascii="宋体" w:hAnsi="宋体"/>
                <w:sz w:val="24"/>
                <w:highlight w:val="none"/>
              </w:rPr>
              <w:t>，</w:t>
            </w:r>
            <w:r>
              <w:rPr>
                <w:rFonts w:hint="eastAsia" w:ascii="宋体" w:hAnsi="宋体"/>
                <w:sz w:val="24"/>
                <w:highlight w:val="none"/>
                <w:lang w:eastAsia="zh-CN"/>
              </w:rPr>
              <w:t>芜湖市环境保护局</w:t>
            </w:r>
            <w:r>
              <w:rPr>
                <w:rFonts w:hint="eastAsia" w:ascii="宋体" w:hAnsi="宋体"/>
                <w:sz w:val="24"/>
                <w:highlight w:val="none"/>
              </w:rPr>
              <w:t>，</w:t>
            </w:r>
            <w:r>
              <w:rPr>
                <w:rFonts w:hint="eastAsia" w:ascii="宋体" w:hAnsi="宋体"/>
                <w:sz w:val="24"/>
                <w:highlight w:val="none"/>
                <w:lang w:val="en-US" w:eastAsia="zh-CN"/>
              </w:rPr>
              <w:t>2018</w:t>
            </w:r>
            <w:r>
              <w:rPr>
                <w:rFonts w:hint="eastAsia" w:ascii="宋体" w:hAnsi="宋体"/>
                <w:sz w:val="24"/>
                <w:highlight w:val="none"/>
              </w:rPr>
              <w:t>年</w:t>
            </w:r>
            <w:r>
              <w:rPr>
                <w:rFonts w:hint="eastAsia" w:ascii="宋体" w:hAnsi="宋体"/>
                <w:sz w:val="24"/>
                <w:highlight w:val="none"/>
                <w:lang w:val="en-US" w:eastAsia="zh-CN"/>
              </w:rPr>
              <w:t>5</w:t>
            </w:r>
            <w:r>
              <w:rPr>
                <w:rFonts w:hint="eastAsia" w:ascii="宋体" w:hAnsi="宋体"/>
                <w:sz w:val="24"/>
                <w:highlight w:val="none"/>
              </w:rPr>
              <w:t>月</w:t>
            </w:r>
            <w:r>
              <w:rPr>
                <w:rFonts w:hint="eastAsia" w:ascii="宋体" w:hAnsi="宋体"/>
                <w:sz w:val="24"/>
                <w:highlight w:val="none"/>
                <w:lang w:val="en-US" w:eastAsia="zh-CN"/>
              </w:rPr>
              <w:t>28</w:t>
            </w:r>
            <w:r>
              <w:rPr>
                <w:rFonts w:hint="eastAsia" w:ascii="宋体" w:hAnsi="宋体"/>
                <w:sz w:val="24"/>
                <w:highlight w:val="none"/>
              </w:rPr>
              <w:t>日）；</w:t>
            </w:r>
          </w:p>
          <w:p>
            <w:pPr>
              <w:spacing w:line="360" w:lineRule="auto"/>
              <w:ind w:left="480" w:right="225" w:rightChars="107" w:hanging="480" w:hangingChars="200"/>
              <w:jc w:val="left"/>
              <w:rPr>
                <w:rFonts w:ascii="宋体" w:hAnsi="宋体"/>
                <w:sz w:val="24"/>
              </w:rPr>
            </w:pPr>
            <w:r>
              <w:rPr>
                <w:rFonts w:hint="eastAsia" w:ascii="宋体" w:hAnsi="宋体"/>
                <w:sz w:val="24"/>
              </w:rPr>
              <w:t>10、</w:t>
            </w:r>
            <w:r>
              <w:rPr>
                <w:rFonts w:hint="eastAsia" w:ascii="宋体" w:hAnsi="宋体" w:cs="仿宋_GB2312"/>
                <w:sz w:val="24"/>
                <w:lang w:eastAsia="zh-CN"/>
              </w:rPr>
              <w:t>安徽禹水华阳环境工程技术有限公司</w:t>
            </w:r>
            <w:r>
              <w:rPr>
                <w:rFonts w:hint="eastAsia" w:ascii="宋体" w:hAnsi="宋体" w:cs="仿宋_GB2312"/>
                <w:sz w:val="24"/>
              </w:rPr>
              <w:t>编制</w:t>
            </w:r>
            <w:r>
              <w:rPr>
                <w:rFonts w:hint="eastAsia" w:ascii="宋体" w:hAnsi="宋体"/>
                <w:sz w:val="24"/>
              </w:rPr>
              <w:t>的《</w:t>
            </w:r>
            <w:r>
              <w:rPr>
                <w:rFonts w:hint="eastAsia" w:ascii="宋体" w:hAnsi="宋体"/>
                <w:sz w:val="24"/>
                <w:lang w:eastAsia="zh-CN"/>
              </w:rPr>
              <w:t>年产1000万平方米瓦楞纸箱项目</w:t>
            </w:r>
            <w:r>
              <w:rPr>
                <w:rFonts w:hint="eastAsia" w:ascii="宋体" w:hAnsi="宋体"/>
                <w:sz w:val="24"/>
              </w:rPr>
              <w:t>环境影响报告表》（2</w:t>
            </w:r>
            <w:r>
              <w:rPr>
                <w:rFonts w:ascii="宋体" w:hAnsi="宋体"/>
                <w:sz w:val="24"/>
              </w:rPr>
              <w:t>0</w:t>
            </w:r>
            <w:r>
              <w:rPr>
                <w:rFonts w:hint="eastAsia" w:ascii="宋体" w:hAnsi="宋体"/>
                <w:sz w:val="24"/>
                <w:lang w:val="en-US" w:eastAsia="zh-CN"/>
              </w:rPr>
              <w:t>18</w:t>
            </w:r>
            <w:r>
              <w:rPr>
                <w:rFonts w:hint="eastAsia" w:ascii="宋体" w:hAnsi="宋体"/>
                <w:sz w:val="24"/>
              </w:rPr>
              <w:t>年</w:t>
            </w:r>
            <w:r>
              <w:rPr>
                <w:rFonts w:hint="eastAsia" w:ascii="宋体" w:hAnsi="宋体"/>
                <w:sz w:val="24"/>
                <w:lang w:val="en-US" w:eastAsia="zh-CN"/>
              </w:rPr>
              <w:t>5</w:t>
            </w:r>
            <w:r>
              <w:rPr>
                <w:rFonts w:hint="eastAsia" w:ascii="宋体" w:hAnsi="宋体"/>
                <w:sz w:val="24"/>
              </w:rPr>
              <w:t>月）。</w:t>
            </w: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left="480" w:right="225" w:rightChars="107" w:hanging="480" w:hangingChars="200"/>
              <w:jc w:val="left"/>
              <w:rPr>
                <w:rFonts w:ascii="宋体" w:hAnsi="宋体"/>
                <w:sz w:val="24"/>
              </w:rPr>
            </w:pPr>
          </w:p>
          <w:p>
            <w:pPr>
              <w:spacing w:line="360" w:lineRule="auto"/>
              <w:ind w:right="225" w:rightChars="107"/>
              <w:jc w:val="lef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2218" w:type="dxa"/>
            <w:vAlign w:val="center"/>
          </w:tcPr>
          <w:p>
            <w:pPr>
              <w:spacing w:line="360" w:lineRule="auto"/>
              <w:jc w:val="center"/>
              <w:rPr>
                <w:rFonts w:ascii="宋体" w:hAnsi="宋体"/>
                <w:sz w:val="24"/>
              </w:rPr>
            </w:pPr>
            <w:r>
              <w:rPr>
                <w:rFonts w:hint="eastAsia" w:ascii="宋体" w:hAnsi="宋体"/>
                <w:sz w:val="24"/>
              </w:rPr>
              <w:t>验收监测评价</w:t>
            </w:r>
          </w:p>
          <w:p>
            <w:pPr>
              <w:spacing w:line="360" w:lineRule="auto"/>
              <w:jc w:val="center"/>
              <w:rPr>
                <w:rFonts w:ascii="宋体" w:hAnsi="宋体"/>
                <w:sz w:val="24"/>
              </w:rPr>
            </w:pPr>
            <w:r>
              <w:rPr>
                <w:rFonts w:hint="eastAsia" w:ascii="宋体" w:hAnsi="宋体"/>
                <w:sz w:val="24"/>
              </w:rPr>
              <w:t>标准、标号、</w:t>
            </w:r>
          </w:p>
          <w:p>
            <w:pPr>
              <w:spacing w:line="360" w:lineRule="auto"/>
              <w:jc w:val="center"/>
              <w:rPr>
                <w:rFonts w:ascii="宋体" w:hAnsi="宋体"/>
                <w:sz w:val="24"/>
              </w:rPr>
            </w:pPr>
            <w:r>
              <w:rPr>
                <w:rFonts w:hint="eastAsia" w:ascii="宋体" w:hAnsi="宋体"/>
                <w:sz w:val="24"/>
              </w:rPr>
              <w:t>级别、限值：</w:t>
            </w:r>
          </w:p>
        </w:tc>
        <w:tc>
          <w:tcPr>
            <w:tcW w:w="7285" w:type="dxa"/>
            <w:gridSpan w:val="5"/>
          </w:tcPr>
          <w:p>
            <w:pPr>
              <w:pStyle w:val="5"/>
              <w:adjustRightInd w:val="0"/>
              <w:rPr>
                <w:rFonts w:hint="default" w:ascii="宋体" w:hAnsi="宋体" w:eastAsia="宋体" w:cs="仿宋_GB2312"/>
                <w:sz w:val="24"/>
                <w:szCs w:val="24"/>
              </w:rPr>
            </w:pPr>
            <w:r>
              <w:rPr>
                <w:rFonts w:ascii="宋体" w:hAnsi="宋体" w:eastAsia="宋体" w:cs="仿宋_GB2312"/>
                <w:sz w:val="24"/>
                <w:szCs w:val="24"/>
              </w:rPr>
              <w:t>1、水污染物排放标准</w:t>
            </w:r>
          </w:p>
          <w:p>
            <w:pPr>
              <w:adjustRightInd w:val="0"/>
              <w:snapToGrid w:val="0"/>
              <w:spacing w:line="360" w:lineRule="auto"/>
              <w:ind w:firstLine="480" w:firstLineChars="200"/>
              <w:rPr>
                <w:rFonts w:hint="eastAsia" w:ascii="宋体" w:hAnsi="宋体" w:eastAsia="宋体" w:cs="宋体"/>
                <w:bCs/>
                <w:kern w:val="0"/>
                <w:sz w:val="24"/>
                <w:lang w:eastAsia="zh-CN"/>
              </w:rPr>
            </w:pPr>
            <w:r>
              <w:rPr>
                <w:rFonts w:hint="eastAsia" w:ascii="宋体" w:hAnsi="宋体" w:cs="宋体"/>
                <w:kern w:val="0"/>
                <w:sz w:val="24"/>
                <w:lang w:val="en-US" w:eastAsia="zh-CN"/>
              </w:rPr>
              <w:t>项目</w:t>
            </w:r>
            <w:r>
              <w:rPr>
                <w:rFonts w:hint="eastAsia" w:ascii="宋体" w:hAnsi="宋体" w:cs="宋体"/>
                <w:kern w:val="0"/>
                <w:sz w:val="24"/>
              </w:rPr>
              <w:t>生活污水</w:t>
            </w:r>
            <w:r>
              <w:rPr>
                <w:rFonts w:hint="eastAsia" w:ascii="宋体" w:hAnsi="宋体" w:cs="宋体"/>
                <w:kern w:val="0"/>
                <w:sz w:val="24"/>
                <w:lang w:val="en-US" w:eastAsia="zh-CN"/>
              </w:rPr>
              <w:t>经</w:t>
            </w:r>
            <w:r>
              <w:rPr>
                <w:rFonts w:hint="eastAsia" w:ascii="宋体" w:hAnsi="宋体" w:cs="宋体"/>
                <w:kern w:val="0"/>
                <w:sz w:val="24"/>
              </w:rPr>
              <w:t>化粪池</w:t>
            </w:r>
            <w:r>
              <w:rPr>
                <w:rFonts w:hint="eastAsia" w:ascii="宋体" w:hAnsi="宋体" w:cs="宋体"/>
                <w:kern w:val="0"/>
                <w:sz w:val="24"/>
                <w:lang w:val="en-US" w:eastAsia="zh-CN"/>
              </w:rPr>
              <w:t>预处理后接管园区污水管网，达《污水综合排放标准》（GB8978-1996）表4中三级标准后排入市政污水管网，进入江北</w:t>
            </w:r>
            <w:r>
              <w:rPr>
                <w:rFonts w:hint="eastAsia" w:ascii="宋体" w:hAnsi="宋体" w:cs="宋体"/>
                <w:kern w:val="0"/>
                <w:sz w:val="24"/>
              </w:rPr>
              <w:t>污水处理厂集中处理</w:t>
            </w:r>
            <w:r>
              <w:rPr>
                <w:rFonts w:hint="eastAsia" w:ascii="宋体" w:hAnsi="宋体" w:cs="宋体"/>
                <w:kern w:val="0"/>
                <w:sz w:val="24"/>
                <w:lang w:eastAsia="zh-CN"/>
              </w:rPr>
              <w:t>。</w:t>
            </w:r>
          </w:p>
          <w:p>
            <w:pPr>
              <w:spacing w:line="360" w:lineRule="auto"/>
              <w:jc w:val="center"/>
              <w:rPr>
                <w:rFonts w:ascii="宋体" w:hAnsi="宋体"/>
                <w:b/>
                <w:sz w:val="24"/>
              </w:rPr>
            </w:pPr>
            <w:r>
              <w:rPr>
                <w:rFonts w:hint="eastAsia" w:ascii="宋体" w:hAnsi="宋体"/>
                <w:b/>
                <w:sz w:val="24"/>
              </w:rPr>
              <w:t>表1-1</w:t>
            </w:r>
            <w:r>
              <w:rPr>
                <w:rFonts w:ascii="宋体" w:hAnsi="宋体"/>
                <w:b/>
                <w:sz w:val="24"/>
              </w:rPr>
              <w:t xml:space="preserve">     </w:t>
            </w:r>
            <w:r>
              <w:rPr>
                <w:rFonts w:hint="eastAsia" w:ascii="宋体" w:hAnsi="宋体"/>
                <w:b/>
                <w:bCs/>
                <w:sz w:val="24"/>
              </w:rPr>
              <w:t>本项目废水排放标准</w:t>
            </w:r>
            <w:r>
              <w:rPr>
                <w:rFonts w:hint="eastAsia" w:ascii="宋体" w:hAnsi="宋体"/>
                <w:b/>
                <w:bCs/>
              </w:rPr>
              <w:t xml:space="preserve"> </w:t>
            </w:r>
            <w:r>
              <w:rPr>
                <w:rFonts w:ascii="宋体" w:hAnsi="宋体"/>
                <w:b/>
                <w:bCs/>
              </w:rPr>
              <w:t xml:space="preserve">    </w:t>
            </w:r>
            <w:r>
              <w:rPr>
                <w:rFonts w:hint="eastAsia" w:ascii="宋体" w:hAnsi="宋体"/>
                <w:b/>
                <w:sz w:val="24"/>
              </w:rPr>
              <w:t>单位：mg/L（pH值除外）</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24"/>
              <w:gridCol w:w="1016"/>
              <w:gridCol w:w="820"/>
              <w:gridCol w:w="826"/>
              <w:gridCol w:w="987"/>
              <w:gridCol w:w="7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224" w:type="dxa"/>
                  <w:vAlign w:val="center"/>
                </w:tcPr>
                <w:p>
                  <w:pPr>
                    <w:jc w:val="center"/>
                    <w:rPr>
                      <w:rFonts w:ascii="宋体" w:hAnsi="宋体"/>
                      <w:szCs w:val="21"/>
                    </w:rPr>
                  </w:pPr>
                  <w:r>
                    <w:rPr>
                      <w:rFonts w:hint="eastAsia" w:ascii="宋体" w:hAnsi="宋体"/>
                      <w:szCs w:val="21"/>
                    </w:rPr>
                    <w:t>污染物名称</w:t>
                  </w:r>
                </w:p>
              </w:tc>
              <w:tc>
                <w:tcPr>
                  <w:tcW w:w="1016" w:type="dxa"/>
                  <w:vAlign w:val="center"/>
                </w:tcPr>
                <w:p>
                  <w:pPr>
                    <w:jc w:val="center"/>
                    <w:rPr>
                      <w:rFonts w:ascii="宋体" w:hAnsi="宋体"/>
                      <w:szCs w:val="21"/>
                    </w:rPr>
                  </w:pPr>
                  <w:r>
                    <w:rPr>
                      <w:rFonts w:ascii="宋体" w:hAnsi="宋体"/>
                      <w:szCs w:val="21"/>
                    </w:rPr>
                    <w:t>pH</w:t>
                  </w:r>
                </w:p>
              </w:tc>
              <w:tc>
                <w:tcPr>
                  <w:tcW w:w="820" w:type="dxa"/>
                  <w:vAlign w:val="center"/>
                </w:tcPr>
                <w:p>
                  <w:pPr>
                    <w:jc w:val="center"/>
                    <w:rPr>
                      <w:rFonts w:ascii="宋体" w:hAnsi="宋体"/>
                      <w:szCs w:val="21"/>
                    </w:rPr>
                  </w:pPr>
                  <w:r>
                    <w:rPr>
                      <w:rFonts w:ascii="宋体" w:hAnsi="宋体"/>
                      <w:szCs w:val="21"/>
                    </w:rPr>
                    <w:t>C</w:t>
                  </w:r>
                  <w:r>
                    <w:rPr>
                      <w:rFonts w:ascii="宋体" w:hAnsi="宋体"/>
                      <w:spacing w:val="-2"/>
                      <w:szCs w:val="21"/>
                    </w:rPr>
                    <w:t>O</w:t>
                  </w:r>
                  <w:r>
                    <w:rPr>
                      <w:rFonts w:ascii="宋体" w:hAnsi="宋体"/>
                      <w:szCs w:val="21"/>
                    </w:rPr>
                    <w:t>D</w:t>
                  </w:r>
                </w:p>
              </w:tc>
              <w:tc>
                <w:tcPr>
                  <w:tcW w:w="826" w:type="dxa"/>
                  <w:vAlign w:val="center"/>
                </w:tcPr>
                <w:p>
                  <w:pPr>
                    <w:jc w:val="center"/>
                    <w:rPr>
                      <w:rFonts w:ascii="宋体" w:hAnsi="宋体"/>
                      <w:szCs w:val="21"/>
                    </w:rPr>
                  </w:pPr>
                  <w:r>
                    <w:rPr>
                      <w:rFonts w:hint="eastAsia" w:ascii="宋体" w:hAnsi="宋体"/>
                      <w:szCs w:val="21"/>
                    </w:rPr>
                    <w:t>B</w:t>
                  </w:r>
                  <w:r>
                    <w:rPr>
                      <w:rFonts w:ascii="宋体" w:hAnsi="宋体"/>
                      <w:szCs w:val="21"/>
                    </w:rPr>
                    <w:t>OD</w:t>
                  </w:r>
                  <w:r>
                    <w:rPr>
                      <w:rFonts w:ascii="宋体" w:hAnsi="宋体"/>
                      <w:szCs w:val="21"/>
                      <w:vertAlign w:val="subscript"/>
                    </w:rPr>
                    <w:t>5</w:t>
                  </w:r>
                </w:p>
              </w:tc>
              <w:tc>
                <w:tcPr>
                  <w:tcW w:w="987" w:type="dxa"/>
                  <w:vAlign w:val="center"/>
                </w:tcPr>
                <w:p>
                  <w:pPr>
                    <w:jc w:val="center"/>
                    <w:rPr>
                      <w:rFonts w:ascii="宋体" w:hAnsi="宋体"/>
                      <w:szCs w:val="21"/>
                    </w:rPr>
                  </w:pPr>
                  <w:r>
                    <w:rPr>
                      <w:rFonts w:hint="eastAsia" w:ascii="宋体" w:hAnsi="宋体"/>
                      <w:szCs w:val="21"/>
                    </w:rPr>
                    <w:t>S</w:t>
                  </w:r>
                  <w:r>
                    <w:rPr>
                      <w:rFonts w:ascii="宋体" w:hAnsi="宋体"/>
                      <w:szCs w:val="21"/>
                    </w:rPr>
                    <w:t>S</w:t>
                  </w:r>
                </w:p>
              </w:tc>
              <w:tc>
                <w:tcPr>
                  <w:tcW w:w="784" w:type="dxa"/>
                  <w:vAlign w:val="center"/>
                </w:tcPr>
                <w:p>
                  <w:pPr>
                    <w:jc w:val="center"/>
                    <w:rPr>
                      <w:rFonts w:ascii="宋体" w:hAnsi="宋体"/>
                      <w:szCs w:val="21"/>
                    </w:rPr>
                  </w:pPr>
                  <w:r>
                    <w:rPr>
                      <w:rFonts w:hint="eastAsia" w:ascii="宋体" w:hAnsi="宋体"/>
                      <w:szCs w:val="21"/>
                    </w:rPr>
                    <w:t>氨氮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224" w:type="dxa"/>
                  <w:vAlign w:val="center"/>
                </w:tcPr>
                <w:p>
                  <w:pPr>
                    <w:jc w:val="center"/>
                    <w:rPr>
                      <w:rFonts w:ascii="宋体" w:hAnsi="宋体"/>
                      <w:szCs w:val="21"/>
                    </w:rPr>
                  </w:pPr>
                  <w:r>
                    <w:rPr>
                      <w:rFonts w:hint="eastAsia" w:ascii="宋体" w:hAnsi="宋体" w:cs="宋体"/>
                      <w:kern w:val="0"/>
                      <w:szCs w:val="21"/>
                    </w:rPr>
                    <w:t>（GB</w:t>
                  </w:r>
                  <w:r>
                    <w:rPr>
                      <w:rFonts w:ascii="宋体" w:hAnsi="宋体" w:cs="宋体"/>
                      <w:kern w:val="0"/>
                      <w:szCs w:val="21"/>
                    </w:rPr>
                    <w:t xml:space="preserve"> </w:t>
                  </w:r>
                  <w:r>
                    <w:rPr>
                      <w:rFonts w:hint="eastAsia" w:ascii="宋体" w:hAnsi="宋体" w:cs="宋体"/>
                      <w:kern w:val="0"/>
                      <w:szCs w:val="21"/>
                    </w:rPr>
                    <w:t>8978-1996）</w:t>
                  </w:r>
                </w:p>
              </w:tc>
              <w:tc>
                <w:tcPr>
                  <w:tcW w:w="1016" w:type="dxa"/>
                  <w:vAlign w:val="center"/>
                </w:tcPr>
                <w:p>
                  <w:pPr>
                    <w:jc w:val="center"/>
                    <w:rPr>
                      <w:rFonts w:ascii="宋体" w:hAnsi="宋体"/>
                      <w:szCs w:val="21"/>
                    </w:rPr>
                  </w:pPr>
                  <w:r>
                    <w:rPr>
                      <w:rFonts w:hint="eastAsia" w:ascii="宋体" w:hAnsi="宋体"/>
                      <w:color w:val="000000"/>
                    </w:rPr>
                    <w:t>6-9</w:t>
                  </w:r>
                </w:p>
              </w:tc>
              <w:tc>
                <w:tcPr>
                  <w:tcW w:w="820" w:type="dxa"/>
                  <w:vAlign w:val="center"/>
                </w:tcPr>
                <w:p>
                  <w:pPr>
                    <w:jc w:val="center"/>
                    <w:rPr>
                      <w:rFonts w:hint="default" w:ascii="宋体" w:hAnsi="宋体" w:eastAsia="宋体"/>
                      <w:szCs w:val="21"/>
                      <w:lang w:val="en-US" w:eastAsia="zh-CN"/>
                    </w:rPr>
                  </w:pPr>
                  <w:r>
                    <w:rPr>
                      <w:rFonts w:hint="eastAsia" w:ascii="宋体" w:hAnsi="宋体"/>
                      <w:color w:val="000000"/>
                    </w:rPr>
                    <w:t>≤</w:t>
                  </w:r>
                  <w:r>
                    <w:rPr>
                      <w:rFonts w:hint="eastAsia" w:ascii="宋体" w:hAnsi="宋体"/>
                      <w:color w:val="000000"/>
                      <w:lang w:val="en-US" w:eastAsia="zh-CN"/>
                    </w:rPr>
                    <w:t>500</w:t>
                  </w:r>
                </w:p>
              </w:tc>
              <w:tc>
                <w:tcPr>
                  <w:tcW w:w="826" w:type="dxa"/>
                  <w:vAlign w:val="center"/>
                </w:tcPr>
                <w:p>
                  <w:pPr>
                    <w:jc w:val="center"/>
                    <w:rPr>
                      <w:rFonts w:hint="default" w:ascii="宋体" w:hAnsi="宋体" w:eastAsia="宋体"/>
                      <w:szCs w:val="21"/>
                      <w:lang w:val="en-US" w:eastAsia="zh-CN"/>
                    </w:rPr>
                  </w:pPr>
                  <w:r>
                    <w:rPr>
                      <w:rFonts w:hint="eastAsia" w:ascii="宋体" w:hAnsi="宋体"/>
                      <w:color w:val="000000"/>
                    </w:rPr>
                    <w:t>≤</w:t>
                  </w:r>
                  <w:r>
                    <w:rPr>
                      <w:rFonts w:hint="eastAsia" w:ascii="宋体" w:hAnsi="宋体"/>
                      <w:color w:val="000000"/>
                      <w:lang w:val="en-US" w:eastAsia="zh-CN"/>
                    </w:rPr>
                    <w:t>300</w:t>
                  </w:r>
                </w:p>
              </w:tc>
              <w:tc>
                <w:tcPr>
                  <w:tcW w:w="987" w:type="dxa"/>
                  <w:vAlign w:val="center"/>
                </w:tcPr>
                <w:p>
                  <w:pPr>
                    <w:jc w:val="center"/>
                    <w:rPr>
                      <w:rFonts w:hint="default" w:ascii="宋体" w:hAnsi="宋体" w:eastAsia="宋体"/>
                      <w:szCs w:val="21"/>
                      <w:lang w:val="en-US" w:eastAsia="zh-CN"/>
                    </w:rPr>
                  </w:pPr>
                  <w:r>
                    <w:rPr>
                      <w:rFonts w:hint="eastAsia" w:ascii="宋体" w:hAnsi="宋体"/>
                      <w:color w:val="000000"/>
                    </w:rPr>
                    <w:t>≤</w:t>
                  </w:r>
                  <w:r>
                    <w:rPr>
                      <w:rFonts w:hint="eastAsia" w:ascii="宋体" w:hAnsi="宋体"/>
                      <w:color w:val="000000"/>
                      <w:lang w:val="en-US" w:eastAsia="zh-CN"/>
                    </w:rPr>
                    <w:t>400</w:t>
                  </w:r>
                </w:p>
              </w:tc>
              <w:tc>
                <w:tcPr>
                  <w:tcW w:w="784" w:type="dxa"/>
                  <w:vAlign w:val="center"/>
                </w:tcPr>
                <w:p>
                  <w:pPr>
                    <w:jc w:val="center"/>
                    <w:rPr>
                      <w:rFonts w:hint="default" w:ascii="宋体" w:hAnsi="宋体" w:eastAsia="宋体"/>
                      <w:szCs w:val="21"/>
                      <w:lang w:val="en-US" w:eastAsia="zh-CN"/>
                    </w:rPr>
                  </w:pPr>
                  <w:r>
                    <w:rPr>
                      <w:rFonts w:hint="eastAsia" w:ascii="宋体" w:hAnsi="宋体"/>
                      <w:szCs w:val="21"/>
                      <w:lang w:val="en-US" w:eastAsia="zh-CN"/>
                    </w:rPr>
                    <w:t>--</w:t>
                  </w:r>
                </w:p>
              </w:tc>
            </w:tr>
          </w:tbl>
          <w:p>
            <w:pPr>
              <w:pStyle w:val="5"/>
              <w:adjustRightInd w:val="0"/>
              <w:rPr>
                <w:rFonts w:hint="default" w:ascii="宋体" w:hAnsi="宋体" w:eastAsia="宋体" w:cs="仿宋_GB2312"/>
                <w:sz w:val="24"/>
                <w:szCs w:val="24"/>
              </w:rPr>
            </w:pPr>
            <w:r>
              <w:rPr>
                <w:rFonts w:hint="default" w:ascii="宋体" w:hAnsi="宋体" w:eastAsia="宋体" w:cs="仿宋_GB2312"/>
                <w:sz w:val="24"/>
                <w:szCs w:val="24"/>
              </w:rPr>
              <w:t>2</w:t>
            </w:r>
            <w:r>
              <w:rPr>
                <w:rFonts w:ascii="宋体" w:hAnsi="宋体" w:eastAsia="宋体" w:cs="仿宋_GB2312"/>
                <w:sz w:val="24"/>
                <w:szCs w:val="24"/>
              </w:rPr>
              <w:t>、</w:t>
            </w:r>
            <w:r>
              <w:rPr>
                <w:rFonts w:hint="default" w:ascii="宋体" w:hAnsi="宋体" w:eastAsia="宋体" w:cs="仿宋_GB2312"/>
                <w:sz w:val="24"/>
                <w:szCs w:val="24"/>
              </w:rPr>
              <w:t>大气污染物排放标准</w:t>
            </w:r>
          </w:p>
          <w:p>
            <w:pPr>
              <w:spacing w:line="360" w:lineRule="auto"/>
              <w:ind w:firstLine="480" w:firstLineChars="200"/>
              <w:rPr>
                <w:rFonts w:hint="eastAsia" w:eastAsia="宋体"/>
                <w:b/>
                <w:lang w:eastAsia="zh-CN"/>
              </w:rPr>
            </w:pPr>
            <w:r>
              <w:rPr>
                <w:rFonts w:hint="eastAsia" w:ascii="宋体" w:hAnsi="宋体" w:cs="宋体"/>
                <w:bCs/>
                <w:sz w:val="24"/>
              </w:rPr>
              <w:t>项目废气主要为</w:t>
            </w:r>
            <w:r>
              <w:rPr>
                <w:rFonts w:hint="eastAsia" w:ascii="宋体" w:hAnsi="宋体" w:cs="宋体"/>
                <w:bCs/>
                <w:sz w:val="24"/>
                <w:lang w:val="en-US" w:eastAsia="zh-CN"/>
              </w:rPr>
              <w:t>印标过程中</w:t>
            </w:r>
            <w:r>
              <w:rPr>
                <w:rFonts w:hint="eastAsia" w:ascii="宋体" w:hAnsi="宋体" w:cs="宋体"/>
                <w:bCs/>
                <w:sz w:val="24"/>
              </w:rPr>
              <w:t>产生的</w:t>
            </w:r>
            <w:r>
              <w:rPr>
                <w:rFonts w:hint="eastAsia" w:ascii="宋体" w:hAnsi="宋体" w:cs="宋体"/>
                <w:bCs/>
                <w:sz w:val="24"/>
                <w:lang w:val="en-US" w:eastAsia="zh-CN"/>
              </w:rPr>
              <w:t>印标废气，以非甲烷总烃计</w:t>
            </w:r>
            <w:r>
              <w:rPr>
                <w:rFonts w:hint="eastAsia" w:ascii="宋体" w:hAnsi="宋体" w:cs="宋体"/>
                <w:bCs/>
                <w:sz w:val="24"/>
              </w:rPr>
              <w:t>。废气</w:t>
            </w:r>
            <w:r>
              <w:rPr>
                <w:rFonts w:hint="eastAsia" w:ascii="宋体" w:hAnsi="宋体" w:cs="宋体"/>
                <w:bCs/>
                <w:sz w:val="24"/>
                <w:lang w:val="en-US" w:eastAsia="zh-CN"/>
              </w:rPr>
              <w:t>排放执行《河北省工业企业挥发性有机物排放控制标准》（DB13/2322 -2016）印刷工业类非甲烷总烃排放浓度限值，</w:t>
            </w:r>
            <w:r>
              <w:rPr>
                <w:rFonts w:hint="eastAsia" w:ascii="宋体" w:hAnsi="宋体" w:cs="宋体"/>
                <w:bCs/>
                <w:sz w:val="24"/>
              </w:rPr>
              <w:t>详见表1</w:t>
            </w:r>
            <w:r>
              <w:rPr>
                <w:rFonts w:ascii="宋体" w:hAnsi="宋体" w:cs="宋体"/>
                <w:bCs/>
                <w:sz w:val="24"/>
              </w:rPr>
              <w:t>-2</w:t>
            </w:r>
            <w:r>
              <w:rPr>
                <w:rFonts w:hint="eastAsia" w:ascii="宋体" w:hAnsi="宋体" w:cs="宋体"/>
                <w:bCs/>
                <w:sz w:val="24"/>
                <w:lang w:eastAsia="zh-CN"/>
              </w:rPr>
              <w:t>。</w:t>
            </w:r>
          </w:p>
          <w:p>
            <w:pPr>
              <w:pStyle w:val="95"/>
              <w:jc w:val="center"/>
              <w:rPr>
                <w:rFonts w:hint="eastAsia" w:ascii="宋体" w:hAnsi="宋体" w:eastAsia="宋体"/>
                <w:b/>
                <w:bCs/>
                <w:lang w:eastAsia="zh-CN"/>
              </w:rPr>
            </w:pPr>
            <w:r>
              <w:rPr>
                <w:rFonts w:hint="eastAsia" w:ascii="宋体" w:hAnsi="宋体" w:eastAsia="宋体"/>
                <w:b/>
                <w:bCs/>
              </w:rPr>
              <w:t>表1</w:t>
            </w:r>
            <w:r>
              <w:rPr>
                <w:rFonts w:ascii="宋体" w:hAnsi="宋体" w:eastAsia="宋体"/>
                <w:b/>
                <w:bCs/>
              </w:rPr>
              <w:t xml:space="preserve">-2 </w:t>
            </w:r>
            <w:r>
              <w:rPr>
                <w:rFonts w:hint="eastAsia" w:ascii="宋体" w:hAnsi="宋体" w:eastAsia="宋体"/>
                <w:b/>
                <w:bCs/>
              </w:rPr>
              <w:t>本项目废</w:t>
            </w:r>
            <w:r>
              <w:rPr>
                <w:rFonts w:hint="eastAsia" w:ascii="宋体" w:hAnsi="宋体" w:eastAsia="宋体"/>
                <w:b/>
                <w:bCs/>
                <w:lang w:val="en-US" w:eastAsia="zh-CN"/>
              </w:rPr>
              <w:t>气</w:t>
            </w:r>
            <w:r>
              <w:rPr>
                <w:rFonts w:hint="eastAsia" w:ascii="宋体" w:hAnsi="宋体" w:eastAsia="宋体"/>
                <w:b/>
                <w:bCs/>
              </w:rPr>
              <w:t>排放标准</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01"/>
              <w:gridCol w:w="2063"/>
              <w:gridCol w:w="28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901" w:type="dxa"/>
                  <w:vMerge w:val="restart"/>
                  <w:vAlign w:val="center"/>
                </w:tcPr>
                <w:p>
                  <w:pPr>
                    <w:pStyle w:val="95"/>
                    <w:jc w:val="center"/>
                    <w:rPr>
                      <w:rFonts w:hint="eastAsia" w:ascii="宋体" w:hAnsi="宋体" w:eastAsia="宋体" w:cs="宋体"/>
                      <w:sz w:val="21"/>
                      <w:szCs w:val="21"/>
                    </w:rPr>
                  </w:pPr>
                  <w:r>
                    <w:rPr>
                      <w:rFonts w:hint="eastAsia" w:ascii="宋体" w:hAnsi="宋体" w:eastAsia="宋体" w:cs="宋体"/>
                      <w:sz w:val="21"/>
                      <w:szCs w:val="21"/>
                    </w:rPr>
                    <w:t>污染物</w:t>
                  </w:r>
                </w:p>
              </w:tc>
              <w:tc>
                <w:tcPr>
                  <w:tcW w:w="4938" w:type="dxa"/>
                  <w:gridSpan w:val="2"/>
                  <w:vAlign w:val="center"/>
                </w:tcPr>
                <w:p>
                  <w:pPr>
                    <w:pStyle w:val="95"/>
                    <w:jc w:val="center"/>
                    <w:rPr>
                      <w:rFonts w:hint="eastAsia" w:ascii="宋体" w:hAnsi="宋体" w:eastAsia="宋体" w:cs="宋体"/>
                      <w:sz w:val="21"/>
                      <w:szCs w:val="21"/>
                    </w:rPr>
                  </w:pPr>
                  <w:r>
                    <w:rPr>
                      <w:rFonts w:hint="eastAsia" w:ascii="宋体" w:hAnsi="宋体" w:eastAsia="宋体" w:cs="宋体"/>
                      <w:sz w:val="21"/>
                      <w:szCs w:val="21"/>
                    </w:rPr>
                    <w:t>排放浓度限值（mg/m³）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901" w:type="dxa"/>
                  <w:vMerge w:val="continue"/>
                  <w:vAlign w:val="center"/>
                </w:tcPr>
                <w:p>
                  <w:pPr>
                    <w:pStyle w:val="95"/>
                    <w:jc w:val="center"/>
                    <w:rPr>
                      <w:rFonts w:hint="eastAsia" w:ascii="宋体" w:hAnsi="宋体" w:eastAsia="宋体" w:cs="宋体"/>
                      <w:sz w:val="21"/>
                      <w:szCs w:val="21"/>
                    </w:rPr>
                  </w:pPr>
                </w:p>
              </w:tc>
              <w:tc>
                <w:tcPr>
                  <w:tcW w:w="2063" w:type="dxa"/>
                  <w:vAlign w:val="center"/>
                </w:tcPr>
                <w:p>
                  <w:pPr>
                    <w:pStyle w:val="95"/>
                    <w:jc w:val="center"/>
                    <w:rPr>
                      <w:rFonts w:hint="eastAsia" w:ascii="宋体" w:hAnsi="宋体" w:eastAsia="宋体" w:cs="宋体"/>
                      <w:sz w:val="21"/>
                      <w:szCs w:val="21"/>
                    </w:rPr>
                  </w:pPr>
                  <w:r>
                    <w:rPr>
                      <w:rFonts w:hint="eastAsia" w:ascii="宋体" w:hAnsi="宋体" w:eastAsia="宋体" w:cs="宋体"/>
                      <w:sz w:val="21"/>
                      <w:szCs w:val="21"/>
                    </w:rPr>
                    <w:t>有组织</w:t>
                  </w:r>
                </w:p>
              </w:tc>
              <w:tc>
                <w:tcPr>
                  <w:tcW w:w="2875" w:type="dxa"/>
                  <w:vAlign w:val="center"/>
                </w:tcPr>
                <w:p>
                  <w:pPr>
                    <w:pStyle w:val="95"/>
                    <w:jc w:val="center"/>
                    <w:rPr>
                      <w:rFonts w:hint="eastAsia" w:ascii="宋体" w:hAnsi="宋体" w:eastAsia="宋体" w:cs="宋体"/>
                      <w:sz w:val="21"/>
                      <w:szCs w:val="21"/>
                    </w:rPr>
                  </w:pPr>
                  <w:r>
                    <w:rPr>
                      <w:rFonts w:hint="eastAsia" w:ascii="宋体" w:hAnsi="宋体" w:eastAsia="宋体" w:cs="宋体"/>
                      <w:sz w:val="21"/>
                      <w:szCs w:val="21"/>
                    </w:rPr>
                    <w:t>无组织排放监控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90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color w:val="auto"/>
                      <w:kern w:val="0"/>
                      <w:sz w:val="21"/>
                      <w:szCs w:val="21"/>
                      <w:highlight w:val="none"/>
                      <w:lang w:val="en-US" w:eastAsia="zh-CN"/>
                    </w:rPr>
                    <w:t>非甲烷总烃</w:t>
                  </w:r>
                </w:p>
              </w:tc>
              <w:tc>
                <w:tcPr>
                  <w:tcW w:w="206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color w:val="auto"/>
                      <w:kern w:val="0"/>
                      <w:sz w:val="21"/>
                      <w:szCs w:val="21"/>
                      <w:highlight w:val="none"/>
                      <w:lang w:val="en-US" w:eastAsia="zh-CN"/>
                    </w:rPr>
                    <w:t>50</w:t>
                  </w:r>
                </w:p>
              </w:tc>
              <w:tc>
                <w:tcPr>
                  <w:tcW w:w="2875" w:type="dxa"/>
                  <w:vAlign w:val="center"/>
                </w:tcPr>
                <w:p>
                  <w:pPr>
                    <w:pStyle w:val="95"/>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2.0</w:t>
                  </w:r>
                </w:p>
              </w:tc>
            </w:tr>
          </w:tbl>
          <w:p>
            <w:pPr>
              <w:pStyle w:val="5"/>
              <w:adjustRightInd w:val="0"/>
              <w:rPr>
                <w:rFonts w:hint="default" w:ascii="宋体" w:hAnsi="宋体" w:eastAsia="宋体" w:cs="仿宋_GB2312"/>
                <w:sz w:val="24"/>
                <w:szCs w:val="24"/>
              </w:rPr>
            </w:pPr>
            <w:r>
              <w:rPr>
                <w:rFonts w:ascii="宋体" w:hAnsi="宋体" w:eastAsia="宋体" w:cs="仿宋_GB2312"/>
                <w:sz w:val="24"/>
                <w:szCs w:val="24"/>
              </w:rPr>
              <w:t>3、噪声</w:t>
            </w:r>
            <w:r>
              <w:rPr>
                <w:rFonts w:hint="default" w:ascii="宋体" w:hAnsi="宋体" w:eastAsia="宋体" w:cs="仿宋_GB2312"/>
                <w:sz w:val="24"/>
                <w:szCs w:val="24"/>
              </w:rPr>
              <w:t>排放标准</w:t>
            </w:r>
          </w:p>
          <w:p>
            <w:pPr>
              <w:spacing w:line="360" w:lineRule="auto"/>
              <w:ind w:firstLine="480" w:firstLineChars="200"/>
              <w:rPr>
                <w:rFonts w:ascii="宋体" w:hAnsi="宋体"/>
                <w:sz w:val="24"/>
              </w:rPr>
            </w:pPr>
            <w:r>
              <w:rPr>
                <w:rFonts w:hint="eastAsia" w:ascii="宋体" w:hAnsi="宋体"/>
                <w:sz w:val="24"/>
              </w:rPr>
              <w:t>该项目噪声排放标准执行《工业企业厂界环境噪声排放标准》(GB</w:t>
            </w:r>
            <w:r>
              <w:rPr>
                <w:rFonts w:ascii="宋体" w:hAnsi="宋体"/>
                <w:sz w:val="24"/>
              </w:rPr>
              <w:t xml:space="preserve"> </w:t>
            </w:r>
            <w:r>
              <w:rPr>
                <w:rFonts w:hint="eastAsia" w:ascii="宋体" w:hAnsi="宋体"/>
                <w:sz w:val="24"/>
              </w:rPr>
              <w:t>12348-2008)中</w:t>
            </w:r>
            <w:r>
              <w:rPr>
                <w:rFonts w:hint="eastAsia" w:ascii="宋体" w:hAnsi="宋体"/>
                <w:sz w:val="24"/>
                <w:lang w:val="en-US" w:eastAsia="zh-CN"/>
              </w:rPr>
              <w:t>3</w:t>
            </w:r>
            <w:r>
              <w:rPr>
                <w:rFonts w:hint="eastAsia" w:ascii="宋体" w:hAnsi="宋体"/>
                <w:sz w:val="24"/>
              </w:rPr>
              <w:t>类标准。</w:t>
            </w:r>
          </w:p>
          <w:p>
            <w:pPr>
              <w:spacing w:line="360" w:lineRule="auto"/>
              <w:ind w:firstLine="482" w:firstLineChars="200"/>
              <w:rPr>
                <w:rFonts w:ascii="宋体" w:hAnsi="宋体"/>
                <w:b/>
                <w:sz w:val="24"/>
              </w:rPr>
            </w:pPr>
            <w:r>
              <w:rPr>
                <w:rFonts w:ascii="宋体" w:hAnsi="宋体" w:cs="仿宋_GB2312"/>
                <w:b/>
                <w:sz w:val="24"/>
              </w:rPr>
              <w:t>表1-3《</w:t>
            </w:r>
            <w:r>
              <w:rPr>
                <w:rFonts w:hint="eastAsia" w:ascii="宋体" w:hAnsi="宋体"/>
                <w:b/>
                <w:sz w:val="24"/>
              </w:rPr>
              <w:t>工业企业厂界环境噪声排放标准</w:t>
            </w:r>
            <w:r>
              <w:rPr>
                <w:rFonts w:ascii="宋体" w:hAnsi="宋体" w:cs="仿宋_GB2312"/>
                <w:b/>
                <w:sz w:val="24"/>
              </w:rPr>
              <w:t>》(</w:t>
            </w:r>
            <w:r>
              <w:rPr>
                <w:rFonts w:hint="eastAsia" w:ascii="宋体" w:hAnsi="宋体"/>
                <w:b/>
                <w:sz w:val="24"/>
              </w:rPr>
              <w:t>GB</w:t>
            </w:r>
            <w:r>
              <w:rPr>
                <w:rFonts w:ascii="宋体" w:hAnsi="宋体"/>
                <w:b/>
                <w:sz w:val="24"/>
              </w:rPr>
              <w:t xml:space="preserve"> </w:t>
            </w:r>
            <w:r>
              <w:rPr>
                <w:rFonts w:hint="eastAsia" w:ascii="宋体" w:hAnsi="宋体"/>
                <w:b/>
                <w:sz w:val="24"/>
              </w:rPr>
              <w:t>12348-2008</w:t>
            </w:r>
            <w:r>
              <w:rPr>
                <w:rFonts w:ascii="宋体" w:hAnsi="宋体" w:cs="仿宋_GB2312"/>
                <w:b/>
                <w:sz w:val="24"/>
              </w:rPr>
              <w:t>)</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ascii="宋体" w:hAnsi="宋体"/>
                      <w:sz w:val="24"/>
                    </w:rPr>
                  </w:pPr>
                  <w:r>
                    <w:rPr>
                      <w:rFonts w:hint="eastAsia" w:ascii="宋体" w:hAnsi="宋体"/>
                      <w:sz w:val="24"/>
                    </w:rPr>
                    <w:t>类 别</w:t>
                  </w:r>
                </w:p>
              </w:tc>
              <w:tc>
                <w:tcPr>
                  <w:tcW w:w="1391" w:type="dxa"/>
                  <w:vAlign w:val="center"/>
                </w:tcPr>
                <w:p>
                  <w:pPr>
                    <w:spacing w:line="360" w:lineRule="auto"/>
                    <w:jc w:val="center"/>
                    <w:rPr>
                      <w:rFonts w:ascii="宋体" w:hAnsi="宋体"/>
                      <w:sz w:val="24"/>
                    </w:rPr>
                  </w:pPr>
                  <w:r>
                    <w:rPr>
                      <w:rFonts w:ascii="宋体" w:hAnsi="宋体" w:cs="宋体"/>
                      <w:sz w:val="24"/>
                    </w:rPr>
                    <w:t>昼间</w:t>
                  </w:r>
                </w:p>
              </w:tc>
              <w:tc>
                <w:tcPr>
                  <w:tcW w:w="1891" w:type="dxa"/>
                  <w:vAlign w:val="center"/>
                </w:tcPr>
                <w:p>
                  <w:pPr>
                    <w:spacing w:line="360" w:lineRule="auto"/>
                    <w:jc w:val="center"/>
                    <w:rPr>
                      <w:rFonts w:ascii="宋体" w:hAnsi="宋体"/>
                      <w:sz w:val="24"/>
                    </w:rPr>
                  </w:pPr>
                  <w:r>
                    <w:rPr>
                      <w:rFonts w:ascii="宋体" w:hAnsi="宋体" w:cs="宋体"/>
                      <w:sz w:val="24"/>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ascii="宋体" w:hAnsi="宋体"/>
                      <w:sz w:val="24"/>
                    </w:rPr>
                  </w:pPr>
                  <w:r>
                    <w:rPr>
                      <w:rFonts w:ascii="宋体" w:hAnsi="宋体" w:cs="宋体"/>
                      <w:sz w:val="24"/>
                    </w:rPr>
                    <w:t>（</w:t>
                  </w:r>
                  <w:r>
                    <w:rPr>
                      <w:rFonts w:ascii="宋体" w:hAnsi="宋体"/>
                      <w:spacing w:val="-2"/>
                      <w:sz w:val="24"/>
                    </w:rPr>
                    <w:t>G</w:t>
                  </w:r>
                  <w:r>
                    <w:rPr>
                      <w:rFonts w:ascii="宋体" w:hAnsi="宋体"/>
                      <w:sz w:val="24"/>
                    </w:rPr>
                    <w:t>B 1</w:t>
                  </w:r>
                  <w:r>
                    <w:rPr>
                      <w:rFonts w:ascii="宋体" w:hAnsi="宋体"/>
                      <w:spacing w:val="-3"/>
                      <w:sz w:val="24"/>
                    </w:rPr>
                    <w:t>2</w:t>
                  </w:r>
                  <w:r>
                    <w:rPr>
                      <w:rFonts w:ascii="宋体" w:hAnsi="宋体"/>
                      <w:sz w:val="24"/>
                    </w:rPr>
                    <w:t>348</w:t>
                  </w:r>
                  <w:r>
                    <w:rPr>
                      <w:rFonts w:ascii="宋体" w:hAnsi="宋体"/>
                      <w:spacing w:val="-4"/>
                      <w:sz w:val="24"/>
                    </w:rPr>
                    <w:t>-</w:t>
                  </w:r>
                  <w:r>
                    <w:rPr>
                      <w:rFonts w:ascii="宋体" w:hAnsi="宋体"/>
                      <w:sz w:val="24"/>
                    </w:rPr>
                    <w:t>200</w:t>
                  </w:r>
                  <w:r>
                    <w:rPr>
                      <w:rFonts w:ascii="宋体" w:hAnsi="宋体"/>
                      <w:spacing w:val="-3"/>
                      <w:sz w:val="24"/>
                    </w:rPr>
                    <w:t>8</w:t>
                  </w:r>
                  <w:r>
                    <w:rPr>
                      <w:rFonts w:ascii="宋体" w:hAnsi="宋体" w:cs="宋体"/>
                      <w:sz w:val="24"/>
                    </w:rPr>
                    <w:t>）中</w:t>
                  </w:r>
                  <w:r>
                    <w:rPr>
                      <w:rFonts w:hint="eastAsia" w:ascii="宋体" w:hAnsi="宋体" w:cs="宋体"/>
                      <w:sz w:val="24"/>
                      <w:lang w:val="en-US" w:eastAsia="zh-CN"/>
                    </w:rPr>
                    <w:t>3</w:t>
                  </w:r>
                  <w:r>
                    <w:rPr>
                      <w:rFonts w:ascii="宋体" w:hAnsi="宋体" w:cs="宋体"/>
                      <w:spacing w:val="-3"/>
                      <w:sz w:val="24"/>
                    </w:rPr>
                    <w:t>类</w:t>
                  </w:r>
                  <w:r>
                    <w:rPr>
                      <w:rFonts w:ascii="宋体" w:hAnsi="宋体" w:cs="宋体"/>
                      <w:sz w:val="24"/>
                    </w:rPr>
                    <w:t>标准</w:t>
                  </w:r>
                </w:p>
              </w:tc>
              <w:tc>
                <w:tcPr>
                  <w:tcW w:w="1391"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65</w:t>
                  </w:r>
                </w:p>
              </w:tc>
              <w:tc>
                <w:tcPr>
                  <w:tcW w:w="1891"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55</w:t>
                  </w:r>
                </w:p>
              </w:tc>
            </w:tr>
          </w:tbl>
          <w:p>
            <w:pPr>
              <w:pStyle w:val="5"/>
              <w:adjustRightInd w:val="0"/>
              <w:rPr>
                <w:rFonts w:hint="default" w:ascii="宋体" w:hAnsi="宋体" w:eastAsia="宋体" w:cs="仿宋_GB2312"/>
                <w:sz w:val="24"/>
                <w:szCs w:val="24"/>
              </w:rPr>
            </w:pPr>
            <w:r>
              <w:rPr>
                <w:rFonts w:hint="default" w:ascii="宋体" w:hAnsi="宋体" w:eastAsia="宋体" w:cs="仿宋_GB2312"/>
                <w:sz w:val="24"/>
                <w:szCs w:val="24"/>
              </w:rPr>
              <w:t>4</w:t>
            </w:r>
            <w:r>
              <w:rPr>
                <w:rFonts w:ascii="宋体" w:hAnsi="宋体" w:eastAsia="宋体" w:cs="仿宋_GB2312"/>
                <w:sz w:val="24"/>
                <w:szCs w:val="24"/>
              </w:rPr>
              <w:t>、固体废物</w:t>
            </w:r>
          </w:p>
          <w:p>
            <w:pPr>
              <w:spacing w:line="360" w:lineRule="auto"/>
              <w:ind w:firstLine="480" w:firstLineChars="200"/>
              <w:jc w:val="left"/>
              <w:rPr>
                <w:rFonts w:hint="eastAsia" w:ascii="Times New Roman" w:hAnsi="Times New Roman" w:cs="Times New Roman"/>
                <w:color w:val="auto"/>
                <w:kern w:val="0"/>
                <w:sz w:val="24"/>
                <w:highlight w:val="none"/>
              </w:rPr>
            </w:pPr>
            <w:r>
              <w:rPr>
                <w:rFonts w:hint="eastAsia" w:ascii="宋体" w:hAnsi="宋体" w:cs="Times New Roman"/>
                <w:sz w:val="24"/>
              </w:rPr>
              <w:t>一般固废处理处置执行《一般工业固体废物贮存、处置场污染控制标准》（GB18599-2001）及修改单</w:t>
            </w:r>
            <w:r>
              <w:rPr>
                <w:rFonts w:hint="eastAsia" w:ascii="宋体" w:hAnsi="宋体" w:cs="Times New Roman"/>
                <w:sz w:val="24"/>
                <w:lang w:eastAsia="zh-CN"/>
              </w:rPr>
              <w:t>（</w:t>
            </w:r>
            <w:r>
              <w:rPr>
                <w:rFonts w:hint="eastAsia" w:ascii="宋体" w:hAnsi="宋体" w:cs="Times New Roman"/>
                <w:sz w:val="24"/>
                <w:lang w:val="en-US" w:eastAsia="zh-CN"/>
              </w:rPr>
              <w:t>2013</w:t>
            </w:r>
            <w:r>
              <w:rPr>
                <w:rFonts w:hint="eastAsia" w:ascii="宋体" w:hAnsi="宋体" w:cs="Times New Roman"/>
                <w:sz w:val="24"/>
                <w:lang w:eastAsia="zh-CN"/>
              </w:rPr>
              <w:t>）</w:t>
            </w:r>
            <w:r>
              <w:rPr>
                <w:rFonts w:hint="eastAsia" w:ascii="宋体" w:hAnsi="宋体" w:cs="Times New Roman"/>
                <w:sz w:val="24"/>
              </w:rPr>
              <w:t>中有关规定执行。</w:t>
            </w:r>
            <w:r>
              <w:rPr>
                <w:rFonts w:hint="eastAsia" w:ascii="宋体" w:hAnsi="宋体" w:cs="Times New Roman"/>
                <w:sz w:val="24"/>
                <w:lang w:val="en-US" w:eastAsia="zh-CN"/>
              </w:rPr>
              <w:t>危险废物执行《危险废物贮存污染控制标准》（GB18597-2001）</w:t>
            </w:r>
            <w:r>
              <w:rPr>
                <w:rFonts w:hint="eastAsia" w:ascii="宋体" w:hAnsi="宋体" w:cs="Times New Roman"/>
                <w:sz w:val="24"/>
              </w:rPr>
              <w:t>及修改单</w:t>
            </w:r>
            <w:r>
              <w:rPr>
                <w:rFonts w:hint="eastAsia" w:ascii="宋体" w:hAnsi="宋体" w:cs="Times New Roman"/>
                <w:sz w:val="24"/>
                <w:lang w:eastAsia="zh-CN"/>
              </w:rPr>
              <w:t>（</w:t>
            </w:r>
            <w:r>
              <w:rPr>
                <w:rFonts w:hint="eastAsia" w:ascii="宋体" w:hAnsi="宋体" w:cs="Times New Roman"/>
                <w:sz w:val="24"/>
                <w:lang w:val="en-US" w:eastAsia="zh-CN"/>
              </w:rPr>
              <w:t>2013</w:t>
            </w:r>
            <w:r>
              <w:rPr>
                <w:rFonts w:hint="eastAsia" w:ascii="宋体" w:hAnsi="宋体" w:cs="Times New Roman"/>
                <w:sz w:val="24"/>
                <w:lang w:eastAsia="zh-CN"/>
              </w:rPr>
              <w:t>）</w:t>
            </w:r>
            <w:r>
              <w:rPr>
                <w:rFonts w:hint="eastAsia" w:ascii="宋体" w:hAnsi="宋体" w:cs="Times New Roman"/>
                <w:sz w:val="24"/>
              </w:rPr>
              <w:t>中有关规定执行</w:t>
            </w:r>
            <w:r>
              <w:rPr>
                <w:rFonts w:hint="eastAsia" w:ascii="宋体" w:hAnsi="宋体" w:cs="Times New Roman"/>
                <w:sz w:val="24"/>
                <w:lang w:eastAsia="zh-CN"/>
              </w:rPr>
              <w:t>。</w:t>
            </w:r>
            <w:r>
              <w:rPr>
                <w:rFonts w:hint="eastAsia" w:ascii="宋体" w:hAnsi="宋体" w:cs="Times New Roman"/>
                <w:sz w:val="24"/>
              </w:rPr>
              <w:t>生活垃圾的管理执行《中华人民共和国固体废物污染防治法》（2004.12.29 修订）等有关规定。</w:t>
            </w:r>
          </w:p>
          <w:p>
            <w:pPr>
              <w:spacing w:line="360" w:lineRule="auto"/>
              <w:rPr>
                <w:rFonts w:ascii="宋体" w:hAnsi="宋体"/>
                <w:b/>
                <w:sz w:val="24"/>
              </w:rPr>
            </w:pPr>
            <w:r>
              <w:rPr>
                <w:rFonts w:hint="eastAsia" w:ascii="宋体" w:hAnsi="宋体"/>
                <w:b/>
                <w:sz w:val="24"/>
              </w:rPr>
              <w:t>5、总量控制指标</w:t>
            </w:r>
          </w:p>
          <w:p>
            <w:pPr>
              <w:spacing w:line="360" w:lineRule="auto"/>
              <w:ind w:firstLine="480" w:firstLineChars="200"/>
              <w:rPr>
                <w:rFonts w:ascii="宋体" w:hAnsi="宋体"/>
                <w:bCs/>
                <w:color w:val="000000"/>
                <w:sz w:val="24"/>
              </w:rPr>
            </w:pPr>
            <w:r>
              <w:rPr>
                <w:rFonts w:hint="eastAsia" w:ascii="宋体" w:hAnsi="宋体"/>
                <w:bCs/>
                <w:color w:val="000000"/>
                <w:sz w:val="24"/>
              </w:rPr>
              <w:t>（1）废气</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项目大气污染物总量控制指标</w:t>
            </w:r>
            <w:r>
              <w:rPr>
                <w:rFonts w:hint="eastAsia" w:ascii="宋体" w:hAnsi="宋体"/>
                <w:bCs/>
                <w:color w:val="000000"/>
                <w:sz w:val="24"/>
                <w:lang w:val="en-US" w:eastAsia="zh-CN"/>
              </w:rPr>
              <w:t>VOCs 0.0014 t/a</w:t>
            </w:r>
            <w:r>
              <w:rPr>
                <w:rFonts w:hint="eastAsia" w:ascii="宋体" w:hAnsi="宋体"/>
                <w:bCs/>
                <w:color w:val="000000"/>
                <w:sz w:val="24"/>
              </w:rPr>
              <w:t>。</w:t>
            </w:r>
          </w:p>
          <w:p>
            <w:pPr>
              <w:spacing w:line="360" w:lineRule="auto"/>
              <w:ind w:firstLine="480" w:firstLineChars="200"/>
              <w:rPr>
                <w:rFonts w:ascii="宋体" w:hAnsi="宋体"/>
                <w:bCs/>
                <w:color w:val="000000"/>
                <w:sz w:val="24"/>
              </w:rPr>
            </w:pPr>
            <w:r>
              <w:rPr>
                <w:rFonts w:hint="eastAsia" w:ascii="宋体" w:hAnsi="宋体"/>
                <w:bCs/>
                <w:color w:val="000000"/>
                <w:sz w:val="24"/>
              </w:rPr>
              <w:t>（2）废水</w:t>
            </w:r>
          </w:p>
          <w:p>
            <w:pPr>
              <w:spacing w:line="360" w:lineRule="auto"/>
              <w:ind w:firstLine="480" w:firstLineChars="200"/>
              <w:rPr>
                <w:rFonts w:ascii="宋体" w:hAnsi="宋体"/>
                <w:sz w:val="24"/>
              </w:rPr>
            </w:pPr>
            <w:r>
              <w:rPr>
                <w:rFonts w:hint="eastAsia" w:ascii="宋体" w:hAnsi="宋体"/>
                <w:sz w:val="24"/>
              </w:rPr>
              <w:t xml:space="preserve">项目废水污染物总量控制指标COD </w:t>
            </w:r>
            <w:r>
              <w:rPr>
                <w:rFonts w:hint="eastAsia" w:ascii="宋体" w:hAnsi="宋体"/>
                <w:sz w:val="24"/>
                <w:lang w:val="en-US" w:eastAsia="zh-CN"/>
              </w:rPr>
              <w:t xml:space="preserve">0.014 </w:t>
            </w:r>
            <w:r>
              <w:rPr>
                <w:rFonts w:hint="eastAsia" w:ascii="宋体" w:hAnsi="宋体"/>
                <w:sz w:val="24"/>
              </w:rPr>
              <w:t>t/a</w:t>
            </w:r>
            <w:r>
              <w:rPr>
                <w:rFonts w:hint="eastAsia" w:ascii="宋体" w:hAnsi="宋体"/>
                <w:sz w:val="24"/>
                <w:lang w:eastAsia="zh-CN"/>
              </w:rPr>
              <w:t>、</w:t>
            </w:r>
            <w:r>
              <w:rPr>
                <w:rFonts w:hint="eastAsia" w:ascii="宋体" w:hAnsi="宋体" w:eastAsia="宋体" w:cs="宋体"/>
                <w:color w:val="auto"/>
                <w:sz w:val="24"/>
                <w:highlight w:val="none"/>
              </w:rPr>
              <w:t>NH</w:t>
            </w:r>
            <w:r>
              <w:rPr>
                <w:rFonts w:hint="eastAsia" w:ascii="宋体" w:hAnsi="宋体" w:eastAsia="宋体" w:cs="宋体"/>
                <w:color w:val="auto"/>
                <w:sz w:val="24"/>
                <w:highlight w:val="none"/>
                <w:vertAlign w:val="subscript"/>
              </w:rPr>
              <w:t>3</w:t>
            </w:r>
            <w:r>
              <w:rPr>
                <w:rFonts w:hint="eastAsia" w:ascii="宋体" w:hAnsi="宋体" w:eastAsia="宋体" w:cs="宋体"/>
                <w:color w:val="auto"/>
                <w:sz w:val="24"/>
                <w:highlight w:val="none"/>
              </w:rPr>
              <w:t>-N</w:t>
            </w:r>
            <w:r>
              <w:rPr>
                <w:rFonts w:hint="eastAsia" w:ascii="宋体" w:hAnsi="宋体" w:cs="宋体"/>
                <w:color w:val="auto"/>
                <w:sz w:val="24"/>
                <w:highlight w:val="none"/>
                <w:lang w:val="en-US" w:eastAsia="zh-CN"/>
              </w:rPr>
              <w:t xml:space="preserve"> 0.001 t/a</w:t>
            </w:r>
            <w:r>
              <w:rPr>
                <w:rFonts w:hint="eastAsia" w:ascii="宋体" w:hAnsi="宋体"/>
                <w:sz w:val="24"/>
              </w:rPr>
              <w:t>。</w:t>
            </w:r>
          </w:p>
        </w:tc>
      </w:tr>
    </w:tbl>
    <w:p>
      <w:pPr>
        <w:rPr>
          <w:b/>
          <w:sz w:val="28"/>
          <w:szCs w:val="28"/>
        </w:rPr>
        <w:sectPr>
          <w:footerReference r:id="rId5"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rPr>
      </w:pPr>
      <w:r>
        <w:rPr>
          <w:rFonts w:hint="eastAsia"/>
          <w:b/>
          <w:sz w:val="28"/>
          <w:szCs w:val="28"/>
        </w:rPr>
        <w:t>表二</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ascii="宋体" w:hAnsi="宋体"/>
                <w:b/>
                <w:sz w:val="28"/>
                <w:szCs w:val="28"/>
              </w:rPr>
            </w:pPr>
            <w:r>
              <w:rPr>
                <w:rFonts w:hint="eastAsia" w:ascii="宋体" w:hAnsi="宋体"/>
                <w:b/>
                <w:sz w:val="28"/>
                <w:szCs w:val="28"/>
              </w:rPr>
              <w:t>1、工程基本情况</w:t>
            </w:r>
          </w:p>
          <w:p>
            <w:pPr>
              <w:adjustRightInd w:val="0"/>
              <w:snapToGrid w:val="0"/>
              <w:spacing w:line="360" w:lineRule="auto"/>
              <w:ind w:firstLine="480" w:firstLineChars="200"/>
              <w:rPr>
                <w:rFonts w:ascii="宋体" w:hAnsi="宋体" w:cs="宋体"/>
                <w:color w:val="FF0000"/>
                <w:sz w:val="24"/>
                <w:highlight w:val="none"/>
              </w:rPr>
            </w:pPr>
            <w:r>
              <w:rPr>
                <w:rFonts w:hint="eastAsia" w:ascii="宋体" w:hAnsi="宋体"/>
                <w:sz w:val="24"/>
                <w:lang w:eastAsia="zh-CN"/>
              </w:rPr>
              <w:t>安徽博嘉包装材料有限公司</w:t>
            </w:r>
            <w:r>
              <w:rPr>
                <w:rFonts w:hint="eastAsia" w:ascii="宋体" w:hAnsi="宋体"/>
                <w:sz w:val="24"/>
              </w:rPr>
              <w:t>坐落于</w:t>
            </w:r>
            <w:r>
              <w:rPr>
                <w:rFonts w:hint="eastAsia" w:ascii="宋体" w:hAnsi="宋体"/>
                <w:sz w:val="24"/>
                <w:lang w:eastAsia="zh-CN"/>
              </w:rPr>
              <w:t>安徽省芜湖市江北产业集中区和睦路与新沈路交叉口</w:t>
            </w:r>
            <w:r>
              <w:rPr>
                <w:rFonts w:hint="eastAsia" w:ascii="宋体" w:hAnsi="宋体"/>
                <w:sz w:val="24"/>
              </w:rPr>
              <w:t>，主要从事</w:t>
            </w:r>
            <w:r>
              <w:rPr>
                <w:rFonts w:hint="eastAsia" w:ascii="宋体" w:hAnsi="宋体"/>
                <w:sz w:val="24"/>
                <w:lang w:val="en-US" w:eastAsia="zh-CN"/>
              </w:rPr>
              <w:t>瓦楞纸箱</w:t>
            </w:r>
            <w:r>
              <w:rPr>
                <w:rFonts w:hint="eastAsia" w:ascii="宋体" w:hAnsi="宋体"/>
                <w:sz w:val="24"/>
              </w:rPr>
              <w:t>的生产加工。本项目于2</w:t>
            </w:r>
            <w:r>
              <w:rPr>
                <w:rFonts w:ascii="宋体" w:hAnsi="宋体"/>
                <w:sz w:val="24"/>
              </w:rPr>
              <w:t>0</w:t>
            </w:r>
            <w:r>
              <w:rPr>
                <w:rFonts w:hint="eastAsia" w:ascii="宋体" w:hAnsi="宋体"/>
                <w:sz w:val="24"/>
                <w:lang w:val="en-US" w:eastAsia="zh-CN"/>
              </w:rPr>
              <w:t>17</w:t>
            </w:r>
            <w:r>
              <w:rPr>
                <w:rFonts w:hint="eastAsia" w:ascii="宋体" w:hAnsi="宋体"/>
                <w:sz w:val="24"/>
              </w:rPr>
              <w:t>年</w:t>
            </w:r>
            <w:r>
              <w:rPr>
                <w:rFonts w:hint="eastAsia" w:ascii="宋体" w:hAnsi="宋体"/>
                <w:sz w:val="24"/>
                <w:lang w:val="en-US" w:eastAsia="zh-CN"/>
              </w:rPr>
              <w:t>9</w:t>
            </w:r>
            <w:r>
              <w:rPr>
                <w:rFonts w:hint="eastAsia" w:ascii="宋体" w:hAnsi="宋体"/>
                <w:sz w:val="24"/>
              </w:rPr>
              <w:t>月通过</w:t>
            </w:r>
            <w:r>
              <w:rPr>
                <w:rFonts w:hint="eastAsia" w:ascii="宋体" w:hAnsi="宋体"/>
                <w:sz w:val="24"/>
                <w:lang w:eastAsia="zh-CN"/>
              </w:rPr>
              <w:t>芜湖市经济技术开发区管委会</w:t>
            </w:r>
            <w:r>
              <w:rPr>
                <w:rFonts w:hint="eastAsia" w:ascii="宋体" w:hAnsi="宋体"/>
                <w:sz w:val="24"/>
              </w:rPr>
              <w:t>审批予以立项，</w:t>
            </w:r>
            <w:r>
              <w:rPr>
                <w:rFonts w:hint="eastAsia" w:ascii="宋体" w:hAnsi="宋体"/>
                <w:sz w:val="24"/>
                <w:lang w:val="en-US" w:eastAsia="zh-CN"/>
              </w:rPr>
              <w:t>2018年5月委托安徽禹水华阳环境工程技术有限公司编制了《年产1000万平方米瓦楞纸箱项目环境影响报告表》，</w:t>
            </w:r>
            <w:r>
              <w:rPr>
                <w:rFonts w:hint="eastAsia" w:ascii="宋体" w:hAnsi="宋体"/>
                <w:sz w:val="24"/>
                <w:highlight w:val="none"/>
                <w:lang w:val="en-US" w:eastAsia="zh-CN"/>
              </w:rPr>
              <w:t>并</w:t>
            </w:r>
            <w:r>
              <w:rPr>
                <w:rFonts w:hint="eastAsia" w:ascii="宋体" w:hAnsi="宋体"/>
                <w:sz w:val="24"/>
                <w:highlight w:val="none"/>
              </w:rPr>
              <w:t>于</w:t>
            </w:r>
            <w:r>
              <w:rPr>
                <w:rFonts w:hint="eastAsia" w:ascii="宋体" w:hAnsi="宋体"/>
                <w:sz w:val="24"/>
                <w:highlight w:val="none"/>
                <w:lang w:val="en-US" w:eastAsia="zh-CN"/>
              </w:rPr>
              <w:t>2018</w:t>
            </w:r>
            <w:r>
              <w:rPr>
                <w:rFonts w:hint="eastAsia" w:ascii="宋体" w:hAnsi="宋体"/>
                <w:sz w:val="24"/>
                <w:highlight w:val="none"/>
              </w:rPr>
              <w:t>年</w:t>
            </w:r>
            <w:r>
              <w:rPr>
                <w:rFonts w:hint="eastAsia" w:ascii="宋体" w:hAnsi="宋体"/>
                <w:sz w:val="24"/>
                <w:highlight w:val="none"/>
                <w:lang w:val="en-US" w:eastAsia="zh-CN"/>
              </w:rPr>
              <w:t>5</w:t>
            </w:r>
            <w:r>
              <w:rPr>
                <w:rFonts w:hint="eastAsia" w:ascii="宋体" w:hAnsi="宋体"/>
                <w:sz w:val="24"/>
                <w:highlight w:val="none"/>
              </w:rPr>
              <w:t>月通过</w:t>
            </w:r>
            <w:r>
              <w:rPr>
                <w:rFonts w:hint="eastAsia" w:ascii="宋体" w:hAnsi="宋体"/>
                <w:sz w:val="24"/>
                <w:highlight w:val="none"/>
                <w:lang w:eastAsia="zh-CN"/>
              </w:rPr>
              <w:t>芜湖市环境保护局</w:t>
            </w:r>
            <w:r>
              <w:rPr>
                <w:rFonts w:hint="eastAsia" w:ascii="宋体" w:hAnsi="宋体"/>
                <w:sz w:val="24"/>
                <w:highlight w:val="none"/>
              </w:rPr>
              <w:t>审批</w:t>
            </w:r>
            <w:r>
              <w:rPr>
                <w:rFonts w:hint="eastAsia" w:ascii="宋体" w:hAnsi="宋体"/>
                <w:sz w:val="24"/>
                <w:highlight w:val="none"/>
                <w:lang w:eastAsia="zh-CN"/>
              </w:rPr>
              <w:t>，</w:t>
            </w:r>
            <w:r>
              <w:rPr>
                <w:rFonts w:hint="eastAsia" w:ascii="宋体" w:hAnsi="宋体"/>
                <w:sz w:val="24"/>
                <w:highlight w:val="none"/>
                <w:lang w:val="en-US" w:eastAsia="zh-CN"/>
              </w:rPr>
              <w:t>芜环评审[2018]96号。</w:t>
            </w:r>
          </w:p>
          <w:p>
            <w:pPr>
              <w:spacing w:line="360" w:lineRule="auto"/>
              <w:ind w:firstLine="480" w:firstLineChars="200"/>
              <w:jc w:val="left"/>
              <w:rPr>
                <w:rFonts w:ascii="宋体" w:hAnsi="宋体"/>
                <w:sz w:val="24"/>
                <w:highlight w:val="none"/>
              </w:rPr>
            </w:pPr>
            <w:r>
              <w:rPr>
                <w:rFonts w:hint="eastAsia" w:ascii="宋体" w:hAnsi="宋体"/>
                <w:sz w:val="24"/>
                <w:highlight w:val="none"/>
              </w:rPr>
              <w:t>项目实际总投资</w:t>
            </w:r>
            <w:r>
              <w:rPr>
                <w:rFonts w:hint="eastAsia" w:ascii="宋体" w:hAnsi="宋体"/>
                <w:sz w:val="24"/>
                <w:highlight w:val="none"/>
                <w:lang w:val="en-US" w:eastAsia="zh-CN"/>
              </w:rPr>
              <w:t>500</w:t>
            </w:r>
            <w:r>
              <w:rPr>
                <w:rFonts w:hint="eastAsia" w:ascii="宋体" w:hAnsi="宋体"/>
                <w:sz w:val="24"/>
                <w:highlight w:val="none"/>
              </w:rPr>
              <w:t>万</w:t>
            </w:r>
            <w:r>
              <w:rPr>
                <w:rFonts w:ascii="宋体" w:hAnsi="宋体"/>
                <w:sz w:val="24"/>
                <w:highlight w:val="none"/>
              </w:rPr>
              <w:t>元</w:t>
            </w:r>
            <w:r>
              <w:rPr>
                <w:rFonts w:hint="eastAsia" w:ascii="宋体" w:hAnsi="宋体"/>
                <w:sz w:val="24"/>
                <w:highlight w:val="none"/>
              </w:rPr>
              <w:t>，其中环保投资</w:t>
            </w:r>
            <w:r>
              <w:rPr>
                <w:rFonts w:hint="eastAsia" w:ascii="宋体" w:hAnsi="宋体"/>
                <w:sz w:val="24"/>
                <w:highlight w:val="none"/>
                <w:lang w:val="en-US" w:eastAsia="zh-CN"/>
              </w:rPr>
              <w:t>12.6</w:t>
            </w:r>
            <w:r>
              <w:rPr>
                <w:rFonts w:hint="eastAsia" w:ascii="宋体" w:hAnsi="宋体"/>
                <w:sz w:val="24"/>
                <w:highlight w:val="none"/>
              </w:rPr>
              <w:t>万元，占总投资比例为</w:t>
            </w:r>
            <w:r>
              <w:rPr>
                <w:rFonts w:hint="eastAsia" w:ascii="宋体" w:hAnsi="宋体"/>
                <w:sz w:val="24"/>
                <w:highlight w:val="none"/>
                <w:lang w:val="en-US" w:eastAsia="zh-CN"/>
              </w:rPr>
              <w:t>2.52</w:t>
            </w:r>
            <w:r>
              <w:rPr>
                <w:rFonts w:ascii="宋体" w:hAnsi="宋体"/>
                <w:sz w:val="24"/>
                <w:highlight w:val="none"/>
              </w:rPr>
              <w:t>%</w:t>
            </w:r>
            <w:r>
              <w:rPr>
                <w:rFonts w:hint="eastAsia" w:ascii="宋体" w:hAnsi="宋体"/>
                <w:sz w:val="24"/>
                <w:highlight w:val="none"/>
              </w:rPr>
              <w:t>。本项目员工</w:t>
            </w:r>
            <w:r>
              <w:rPr>
                <w:rFonts w:hint="eastAsia" w:ascii="宋体" w:hAnsi="宋体"/>
                <w:sz w:val="24"/>
                <w:highlight w:val="none"/>
                <w:lang w:val="en-US" w:eastAsia="zh-CN"/>
              </w:rPr>
              <w:t>12</w:t>
            </w:r>
            <w:r>
              <w:rPr>
                <w:rFonts w:hint="eastAsia" w:ascii="宋体" w:hAnsi="宋体"/>
                <w:sz w:val="24"/>
                <w:highlight w:val="none"/>
              </w:rPr>
              <w:t>人，工作制度为</w:t>
            </w:r>
            <w:r>
              <w:rPr>
                <w:rFonts w:hint="eastAsia" w:ascii="宋体" w:hAnsi="宋体"/>
                <w:sz w:val="24"/>
                <w:highlight w:val="none"/>
                <w:lang w:val="en-US" w:eastAsia="zh-CN"/>
              </w:rPr>
              <w:t>单班制</w:t>
            </w:r>
            <w:r>
              <w:rPr>
                <w:rFonts w:hint="eastAsia" w:ascii="宋体" w:hAnsi="宋体"/>
                <w:sz w:val="24"/>
                <w:highlight w:val="none"/>
              </w:rPr>
              <w:t>，每班工作8小时，年工作</w:t>
            </w:r>
            <w:r>
              <w:rPr>
                <w:rFonts w:hint="eastAsia" w:ascii="宋体" w:hAnsi="宋体"/>
                <w:sz w:val="24"/>
                <w:highlight w:val="none"/>
                <w:lang w:val="en-US" w:eastAsia="zh-CN"/>
              </w:rPr>
              <w:t>300</w:t>
            </w:r>
            <w:r>
              <w:rPr>
                <w:rFonts w:hint="eastAsia" w:ascii="宋体" w:hAnsi="宋体"/>
                <w:sz w:val="24"/>
                <w:highlight w:val="none"/>
              </w:rPr>
              <w:t>天。</w:t>
            </w:r>
          </w:p>
          <w:p>
            <w:pPr>
              <w:spacing w:line="360" w:lineRule="auto"/>
              <w:jc w:val="left"/>
              <w:rPr>
                <w:rFonts w:ascii="宋体" w:hAnsi="宋体"/>
                <w:b/>
                <w:sz w:val="28"/>
                <w:szCs w:val="28"/>
              </w:rPr>
            </w:pPr>
            <w:r>
              <w:rPr>
                <w:rFonts w:hint="eastAsia" w:ascii="宋体" w:hAnsi="宋体"/>
                <w:b/>
                <w:sz w:val="28"/>
                <w:szCs w:val="28"/>
              </w:rPr>
              <w:t>2、地理位置及平面布置</w:t>
            </w:r>
          </w:p>
          <w:p>
            <w:pPr>
              <w:spacing w:line="360" w:lineRule="auto"/>
              <w:ind w:firstLine="480" w:firstLineChars="200"/>
              <w:jc w:val="left"/>
              <w:rPr>
                <w:rFonts w:ascii="宋体" w:hAnsi="宋体"/>
                <w:b/>
                <w:sz w:val="24"/>
              </w:rPr>
            </w:pPr>
            <w:r>
              <w:rPr>
                <w:rFonts w:hint="eastAsia" w:ascii="宋体" w:hAnsi="宋体"/>
                <w:sz w:val="24"/>
              </w:rPr>
              <w:t>本项目位于</w:t>
            </w:r>
            <w:r>
              <w:rPr>
                <w:rFonts w:hint="eastAsia" w:ascii="宋体" w:hAnsi="宋体"/>
                <w:sz w:val="24"/>
                <w:lang w:eastAsia="zh-CN"/>
              </w:rPr>
              <w:t>安徽省芜湖市江北产业集中区和睦路与新沈路交叉口</w:t>
            </w:r>
            <w:r>
              <w:rPr>
                <w:rFonts w:hint="eastAsia" w:ascii="宋体" w:hAnsi="宋体"/>
                <w:sz w:val="24"/>
              </w:rPr>
              <w:t>，</w:t>
            </w:r>
            <w:r>
              <w:rPr>
                <w:rFonts w:hint="eastAsia" w:ascii="宋体" w:hAnsi="宋体"/>
                <w:sz w:val="24"/>
                <w:lang w:val="en-US" w:eastAsia="zh-CN"/>
              </w:rPr>
              <w:t>江北装备制造配套产业园4号楼一层</w:t>
            </w:r>
            <w:r>
              <w:rPr>
                <w:rFonts w:hint="eastAsia" w:ascii="宋体" w:hAnsi="宋体"/>
                <w:color w:val="000000" w:themeColor="text1"/>
                <w:sz w:val="24"/>
                <w14:textFill>
                  <w14:solidFill>
                    <w14:schemeClr w14:val="tx1"/>
                  </w14:solidFill>
                </w14:textFill>
              </w:rPr>
              <w:t>，</w:t>
            </w:r>
            <w:r>
              <w:rPr>
                <w:rFonts w:hint="eastAsia" w:ascii="宋体" w:hAnsi="宋体"/>
                <w:sz w:val="24"/>
                <w:lang w:val="en-US" w:eastAsia="zh-CN"/>
              </w:rPr>
              <w:t>占地面积2600㎡。项目北侧为安徽乐菱制冷配件有限公司；南侧为芜湖中奥新材料有限公司；西侧为闲置厂房；东侧为空地。</w:t>
            </w:r>
            <w:r>
              <w:rPr>
                <w:rFonts w:hint="eastAsia" w:ascii="宋体" w:hAnsi="宋体"/>
                <w:color w:val="000000" w:themeColor="text1"/>
                <w:sz w:val="24"/>
                <w:highlight w:val="none"/>
                <w14:textFill>
                  <w14:solidFill>
                    <w14:schemeClr w14:val="tx1"/>
                  </w14:solidFill>
                </w14:textFill>
              </w:rPr>
              <w:t>车间</w:t>
            </w:r>
            <w:r>
              <w:rPr>
                <w:rFonts w:hint="eastAsia" w:ascii="宋体" w:hAnsi="宋体"/>
                <w:color w:val="000000" w:themeColor="text1"/>
                <w:sz w:val="24"/>
                <w:highlight w:val="none"/>
                <w:lang w:val="en-US" w:eastAsia="zh-CN"/>
                <w14:textFill>
                  <w14:solidFill>
                    <w14:schemeClr w14:val="tx1"/>
                  </w14:solidFill>
                </w14:textFill>
              </w:rPr>
              <w:t>北侧自西向东依次</w:t>
            </w:r>
            <w:r>
              <w:rPr>
                <w:rFonts w:hint="eastAsia" w:ascii="宋体" w:hAnsi="宋体"/>
                <w:color w:val="000000" w:themeColor="text1"/>
                <w:sz w:val="24"/>
                <w:highlight w:val="none"/>
                <w14:textFill>
                  <w14:solidFill>
                    <w14:schemeClr w14:val="tx1"/>
                  </w14:solidFill>
                </w14:textFill>
              </w:rPr>
              <w:t>主要布置了</w:t>
            </w:r>
            <w:r>
              <w:rPr>
                <w:rFonts w:hint="eastAsia" w:ascii="宋体" w:hAnsi="宋体"/>
                <w:color w:val="000000" w:themeColor="text1"/>
                <w:sz w:val="24"/>
                <w:highlight w:val="none"/>
                <w:lang w:val="en-US" w:eastAsia="zh-CN"/>
                <w14:textFill>
                  <w14:solidFill>
                    <w14:schemeClr w14:val="tx1"/>
                  </w14:solidFill>
                </w14:textFill>
              </w:rPr>
              <w:t>原材料暂存区</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成品暂存区；</w:t>
            </w:r>
            <w:r>
              <w:rPr>
                <w:rFonts w:hint="eastAsia" w:ascii="宋体" w:hAnsi="宋体"/>
                <w:color w:val="000000" w:themeColor="text1"/>
                <w:sz w:val="24"/>
                <w:highlight w:val="none"/>
                <w14:textFill>
                  <w14:solidFill>
                    <w14:schemeClr w14:val="tx1"/>
                  </w14:solidFill>
                </w14:textFill>
              </w:rPr>
              <w:t>车间</w:t>
            </w:r>
            <w:r>
              <w:rPr>
                <w:rFonts w:hint="eastAsia" w:ascii="宋体" w:hAnsi="宋体"/>
                <w:color w:val="000000" w:themeColor="text1"/>
                <w:sz w:val="24"/>
                <w:highlight w:val="none"/>
                <w:lang w:val="en-US" w:eastAsia="zh-CN"/>
                <w14:textFill>
                  <w14:solidFill>
                    <w14:schemeClr w14:val="tx1"/>
                  </w14:solidFill>
                </w14:textFill>
              </w:rPr>
              <w:t>南侧</w:t>
            </w:r>
            <w:r>
              <w:rPr>
                <w:rFonts w:hint="eastAsia" w:ascii="宋体" w:hAnsi="宋体"/>
                <w:color w:val="000000" w:themeColor="text1"/>
                <w:sz w:val="24"/>
                <w:highlight w:val="none"/>
                <w14:textFill>
                  <w14:solidFill>
                    <w14:schemeClr w14:val="tx1"/>
                  </w14:solidFill>
                </w14:textFill>
              </w:rPr>
              <w:t>依次布置了</w:t>
            </w:r>
            <w:r>
              <w:rPr>
                <w:rFonts w:hint="eastAsia" w:ascii="宋体" w:hAnsi="宋体"/>
                <w:color w:val="000000" w:themeColor="text1"/>
                <w:sz w:val="24"/>
                <w:highlight w:val="none"/>
                <w:lang w:val="en-US" w:eastAsia="zh-CN"/>
                <w14:textFill>
                  <w14:solidFill>
                    <w14:schemeClr w14:val="tx1"/>
                  </w14:solidFill>
                </w14:textFill>
              </w:rPr>
              <w:t>印标区、开槽模切区、钉箱区、检验区</w:t>
            </w:r>
            <w:r>
              <w:rPr>
                <w:rFonts w:hint="eastAsia" w:ascii="宋体" w:hAnsi="宋体"/>
                <w:color w:val="000000" w:themeColor="text1"/>
                <w:sz w:val="24"/>
                <w:highlight w:val="none"/>
                <w14:textFill>
                  <w14:solidFill>
                    <w14:schemeClr w14:val="tx1"/>
                  </w14:solidFill>
                </w14:textFill>
              </w:rPr>
              <w:t>，</w:t>
            </w:r>
            <w:r>
              <w:rPr>
                <w:rFonts w:hint="eastAsia" w:ascii="宋体" w:hAnsi="宋体"/>
                <w:sz w:val="24"/>
              </w:rPr>
              <w:t>厂区平面布置有利于项目生产运行过程中各部门的生产协作，提高生产效率。总体来说，项目的总平面布置基本合理。详见</w:t>
            </w:r>
            <w:r>
              <w:rPr>
                <w:rFonts w:hint="eastAsia" w:ascii="宋体" w:hAnsi="宋体"/>
                <w:b/>
                <w:sz w:val="24"/>
              </w:rPr>
              <w:t>附图1、附图</w:t>
            </w:r>
            <w:r>
              <w:rPr>
                <w:rFonts w:ascii="宋体" w:hAnsi="宋体"/>
                <w:b/>
                <w:sz w:val="24"/>
              </w:rPr>
              <w:t>2</w:t>
            </w:r>
            <w:r>
              <w:rPr>
                <w:rFonts w:hint="eastAsia" w:ascii="宋体" w:hAnsi="宋体"/>
                <w:b/>
                <w:sz w:val="24"/>
              </w:rPr>
              <w:t>。</w:t>
            </w:r>
          </w:p>
          <w:p>
            <w:pPr>
              <w:spacing w:line="360" w:lineRule="auto"/>
              <w:jc w:val="left"/>
              <w:rPr>
                <w:rFonts w:ascii="宋体" w:hAnsi="宋体"/>
                <w:b/>
                <w:sz w:val="28"/>
                <w:szCs w:val="28"/>
              </w:rPr>
            </w:pPr>
            <w:r>
              <w:rPr>
                <w:rFonts w:hint="eastAsia" w:ascii="宋体" w:hAnsi="宋体"/>
                <w:b/>
                <w:sz w:val="28"/>
                <w:szCs w:val="28"/>
              </w:rPr>
              <w:t>3、项目建设情况</w:t>
            </w:r>
          </w:p>
          <w:p>
            <w:pPr>
              <w:spacing w:line="360" w:lineRule="auto"/>
              <w:ind w:firstLine="480" w:firstLineChars="200"/>
              <w:jc w:val="left"/>
              <w:rPr>
                <w:rFonts w:ascii="宋体" w:hAnsi="宋体"/>
                <w:sz w:val="24"/>
              </w:rPr>
            </w:pPr>
            <w:r>
              <w:rPr>
                <w:rFonts w:hint="eastAsia" w:ascii="宋体" w:hAnsi="宋体"/>
                <w:sz w:val="24"/>
              </w:rPr>
              <w:t>项目建设主体、公用、环保工程详见表2-1</w:t>
            </w:r>
          </w:p>
          <w:p>
            <w:pPr>
              <w:spacing w:line="360" w:lineRule="auto"/>
              <w:ind w:firstLine="482" w:firstLineChars="200"/>
              <w:jc w:val="center"/>
              <w:rPr>
                <w:rFonts w:hint="eastAsia" w:ascii="宋体" w:hAnsi="宋体"/>
                <w:b/>
                <w:sz w:val="24"/>
              </w:rPr>
            </w:pPr>
            <w:r>
              <w:rPr>
                <w:rFonts w:hint="eastAsia" w:ascii="宋体" w:hAnsi="宋体"/>
                <w:b/>
                <w:sz w:val="24"/>
              </w:rPr>
              <w:t>表</w:t>
            </w:r>
            <w:r>
              <w:rPr>
                <w:rFonts w:ascii="宋体" w:hAnsi="宋体"/>
                <w:b/>
                <w:sz w:val="24"/>
              </w:rPr>
              <w:t>2-</w:t>
            </w:r>
            <w:r>
              <w:rPr>
                <w:rFonts w:hint="eastAsia" w:ascii="宋体" w:hAnsi="宋体"/>
                <w:b/>
                <w:sz w:val="24"/>
              </w:rPr>
              <w:t>1</w:t>
            </w:r>
            <w:r>
              <w:rPr>
                <w:rFonts w:hint="eastAsia" w:ascii="宋体" w:hAnsi="宋体"/>
                <w:b/>
                <w:sz w:val="24"/>
              </w:rPr>
              <w:tab/>
            </w:r>
            <w:r>
              <w:rPr>
                <w:rFonts w:ascii="宋体" w:hAnsi="宋体"/>
                <w:b/>
                <w:sz w:val="24"/>
              </w:rPr>
              <w:t xml:space="preserve"> </w:t>
            </w:r>
            <w:r>
              <w:rPr>
                <w:rFonts w:hint="eastAsia" w:ascii="宋体" w:hAnsi="宋体"/>
                <w:b/>
                <w:sz w:val="24"/>
              </w:rPr>
              <w:t>建设项目组成一览表</w:t>
            </w:r>
          </w:p>
          <w:tbl>
            <w:tblPr>
              <w:tblStyle w:val="33"/>
              <w:tblW w:w="91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896"/>
              <w:gridCol w:w="2831"/>
              <w:gridCol w:w="2805"/>
              <w:gridCol w:w="15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tcBorders>
                    <w:tl2br w:val="nil"/>
                    <w:tr2bl w:val="nil"/>
                  </w:tcBorders>
                  <w:noWrap w:val="0"/>
                  <w:vAlign w:val="center"/>
                </w:tcPr>
                <w:p>
                  <w:pPr>
                    <w:widowControl/>
                    <w:jc w:val="center"/>
                    <w:rPr>
                      <w:b/>
                      <w:bCs/>
                      <w:color w:val="auto"/>
                      <w:kern w:val="0"/>
                      <w:szCs w:val="21"/>
                      <w:highlight w:val="none"/>
                    </w:rPr>
                  </w:pPr>
                  <w:r>
                    <w:rPr>
                      <w:b/>
                      <w:bCs/>
                      <w:color w:val="auto"/>
                      <w:kern w:val="0"/>
                      <w:szCs w:val="21"/>
                      <w:highlight w:val="none"/>
                    </w:rPr>
                    <w:t>工程类别</w:t>
                  </w:r>
                </w:p>
              </w:tc>
              <w:tc>
                <w:tcPr>
                  <w:tcW w:w="896" w:type="dxa"/>
                  <w:tcBorders>
                    <w:tl2br w:val="nil"/>
                    <w:tr2bl w:val="nil"/>
                  </w:tcBorders>
                  <w:noWrap w:val="0"/>
                  <w:vAlign w:val="center"/>
                </w:tcPr>
                <w:p>
                  <w:pPr>
                    <w:jc w:val="center"/>
                    <w:rPr>
                      <w:b/>
                      <w:bCs/>
                      <w:color w:val="auto"/>
                      <w:kern w:val="0"/>
                      <w:szCs w:val="21"/>
                      <w:highlight w:val="none"/>
                    </w:rPr>
                  </w:pPr>
                  <w:r>
                    <w:rPr>
                      <w:b/>
                      <w:bCs/>
                      <w:color w:val="auto"/>
                      <w:kern w:val="0"/>
                      <w:szCs w:val="21"/>
                      <w:highlight w:val="none"/>
                    </w:rPr>
                    <w:t>单项工程名称</w:t>
                  </w:r>
                </w:p>
              </w:tc>
              <w:tc>
                <w:tcPr>
                  <w:tcW w:w="2831" w:type="dxa"/>
                  <w:tcBorders>
                    <w:tl2br w:val="nil"/>
                    <w:tr2bl w:val="nil"/>
                  </w:tcBorders>
                  <w:noWrap w:val="0"/>
                  <w:vAlign w:val="center"/>
                </w:tcPr>
                <w:p>
                  <w:pPr>
                    <w:widowControl/>
                    <w:jc w:val="center"/>
                    <w:rPr>
                      <w:rFonts w:hint="eastAsia" w:eastAsia="宋体"/>
                      <w:b/>
                      <w:bCs/>
                      <w:color w:val="auto"/>
                      <w:kern w:val="0"/>
                      <w:szCs w:val="21"/>
                      <w:highlight w:val="none"/>
                      <w:lang w:val="en-US" w:eastAsia="zh-CN"/>
                    </w:rPr>
                  </w:pPr>
                  <w:r>
                    <w:rPr>
                      <w:rFonts w:hint="eastAsia"/>
                      <w:b/>
                      <w:bCs/>
                      <w:color w:val="auto"/>
                      <w:kern w:val="0"/>
                      <w:szCs w:val="21"/>
                      <w:highlight w:val="none"/>
                      <w:lang w:val="en-US" w:eastAsia="zh-CN"/>
                    </w:rPr>
                    <w:t>环评建设内容及规模</w:t>
                  </w:r>
                </w:p>
              </w:tc>
              <w:tc>
                <w:tcPr>
                  <w:tcW w:w="2805" w:type="dxa"/>
                  <w:tcBorders>
                    <w:tl2br w:val="nil"/>
                    <w:tr2bl w:val="nil"/>
                  </w:tcBorders>
                  <w:noWrap w:val="0"/>
                  <w:vAlign w:val="center"/>
                </w:tcPr>
                <w:p>
                  <w:pPr>
                    <w:widowControl/>
                    <w:jc w:val="center"/>
                    <w:rPr>
                      <w:rFonts w:hint="eastAsia" w:eastAsia="宋体"/>
                      <w:b/>
                      <w:bCs/>
                      <w:color w:val="auto"/>
                      <w:kern w:val="0"/>
                      <w:szCs w:val="21"/>
                      <w:highlight w:val="none"/>
                      <w:lang w:val="en-US" w:eastAsia="zh-CN"/>
                    </w:rPr>
                  </w:pPr>
                  <w:r>
                    <w:rPr>
                      <w:rFonts w:hint="eastAsia"/>
                      <w:b/>
                      <w:bCs/>
                      <w:color w:val="auto"/>
                      <w:kern w:val="0"/>
                      <w:szCs w:val="21"/>
                      <w:highlight w:val="none"/>
                      <w:lang w:val="en-US" w:eastAsia="zh-CN"/>
                    </w:rPr>
                    <w:t>实际建设内容及规模</w:t>
                  </w:r>
                </w:p>
              </w:tc>
              <w:tc>
                <w:tcPr>
                  <w:tcW w:w="1503" w:type="dxa"/>
                  <w:tcBorders>
                    <w:tl2br w:val="nil"/>
                    <w:tr2bl w:val="nil"/>
                  </w:tcBorders>
                  <w:noWrap w:val="0"/>
                  <w:vAlign w:val="center"/>
                </w:tcPr>
                <w:p>
                  <w:pPr>
                    <w:widowControl/>
                    <w:jc w:val="center"/>
                    <w:rPr>
                      <w:rFonts w:hint="default"/>
                      <w:b/>
                      <w:bCs/>
                      <w:color w:val="auto"/>
                      <w:kern w:val="0"/>
                      <w:szCs w:val="21"/>
                      <w:highlight w:val="yellow"/>
                      <w:lang w:val="en-US" w:eastAsia="zh-CN"/>
                    </w:rPr>
                  </w:pPr>
                  <w:r>
                    <w:rPr>
                      <w:rFonts w:hint="eastAsia"/>
                      <w:b/>
                      <w:bCs/>
                      <w:color w:val="auto"/>
                      <w:kern w:val="0"/>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tcBorders>
                    <w:tl2br w:val="nil"/>
                    <w:tr2bl w:val="nil"/>
                  </w:tcBorders>
                  <w:noWrap w:val="0"/>
                  <w:vAlign w:val="center"/>
                </w:tcPr>
                <w:p>
                  <w:pPr>
                    <w:jc w:val="both"/>
                    <w:rPr>
                      <w:color w:val="auto"/>
                      <w:kern w:val="0"/>
                      <w:szCs w:val="21"/>
                      <w:highlight w:val="none"/>
                    </w:rPr>
                  </w:pPr>
                  <w:r>
                    <w:rPr>
                      <w:color w:val="auto"/>
                      <w:kern w:val="0"/>
                      <w:szCs w:val="21"/>
                      <w:highlight w:val="none"/>
                    </w:rPr>
                    <w:t>主体工程</w:t>
                  </w:r>
                </w:p>
              </w:tc>
              <w:tc>
                <w:tcPr>
                  <w:tcW w:w="896" w:type="dxa"/>
                  <w:tcBorders>
                    <w:tl2br w:val="nil"/>
                    <w:tr2bl w:val="nil"/>
                  </w:tcBorders>
                  <w:noWrap w:val="0"/>
                  <w:vAlign w:val="center"/>
                </w:tcPr>
                <w:p>
                  <w:pPr>
                    <w:widowControl/>
                    <w:jc w:val="center"/>
                    <w:rPr>
                      <w:rFonts w:hint="eastAsia"/>
                      <w:color w:val="auto"/>
                      <w:szCs w:val="21"/>
                      <w:highlight w:val="none"/>
                      <w:lang w:val="en-US" w:eastAsia="zh-CN"/>
                    </w:rPr>
                  </w:pPr>
                  <w:r>
                    <w:rPr>
                      <w:rFonts w:hint="eastAsia"/>
                      <w:color w:val="auto"/>
                      <w:szCs w:val="21"/>
                      <w:highlight w:val="none"/>
                      <w:lang w:val="en-US" w:eastAsia="zh-CN"/>
                    </w:rPr>
                    <w:t>加工区</w:t>
                  </w:r>
                </w:p>
              </w:tc>
              <w:tc>
                <w:tcPr>
                  <w:tcW w:w="2831" w:type="dxa"/>
                  <w:tcBorders>
                    <w:tl2br w:val="nil"/>
                    <w:tr2bl w:val="nil"/>
                  </w:tcBorders>
                  <w:noWrap w:val="0"/>
                  <w:vAlign w:val="center"/>
                </w:tcPr>
                <w:p>
                  <w:pPr>
                    <w:widowControl/>
                    <w:jc w:val="center"/>
                    <w:rPr>
                      <w:rFonts w:hint="eastAsia"/>
                      <w:color w:val="auto"/>
                      <w:szCs w:val="21"/>
                      <w:highlight w:val="none"/>
                      <w:lang w:val="en-US" w:eastAsia="zh-CN"/>
                    </w:rPr>
                  </w:pPr>
                  <w:r>
                    <w:rPr>
                      <w:rFonts w:hint="eastAsia"/>
                      <w:color w:val="auto"/>
                      <w:szCs w:val="21"/>
                      <w:highlight w:val="none"/>
                      <w:lang w:val="en-US" w:eastAsia="zh-CN"/>
                    </w:rPr>
                    <w:t>厂房结构为钢结构，加工区内设有印刷机和</w:t>
                  </w:r>
                  <w:r>
                    <w:rPr>
                      <w:rFonts w:hint="eastAsia" w:hAnsi="宋体"/>
                      <w:color w:val="auto"/>
                      <w:szCs w:val="21"/>
                      <w:highlight w:val="none"/>
                      <w:lang w:val="en-US" w:eastAsia="zh-CN"/>
                    </w:rPr>
                    <w:t>印刷开槽模切堆码机</w:t>
                  </w:r>
                  <w:r>
                    <w:rPr>
                      <w:rFonts w:hint="eastAsia"/>
                      <w:color w:val="auto"/>
                      <w:szCs w:val="21"/>
                      <w:highlight w:val="none"/>
                      <w:lang w:val="en-US" w:eastAsia="zh-CN"/>
                    </w:rPr>
                    <w:t>等设备，</w:t>
                  </w:r>
                  <w:r>
                    <w:rPr>
                      <w:rFonts w:hint="eastAsia" w:ascii="Times New Roman" w:eastAsia="宋体"/>
                      <w:color w:val="auto"/>
                      <w:szCs w:val="21"/>
                      <w:highlight w:val="none"/>
                      <w:lang w:val="en-US" w:eastAsia="zh-CN"/>
                    </w:rPr>
                    <w:t>建筑面积150 m</w:t>
                  </w:r>
                  <w:r>
                    <w:rPr>
                      <w:rFonts w:hint="eastAsia" w:ascii="Times New Roman" w:eastAsia="宋体"/>
                      <w:color w:val="auto"/>
                      <w:szCs w:val="21"/>
                      <w:highlight w:val="none"/>
                      <w:vertAlign w:val="superscript"/>
                      <w:lang w:val="en-US" w:eastAsia="zh-CN"/>
                    </w:rPr>
                    <w:t>2</w:t>
                  </w:r>
                </w:p>
              </w:tc>
              <w:tc>
                <w:tcPr>
                  <w:tcW w:w="2805" w:type="dxa"/>
                  <w:tcBorders>
                    <w:tl2br w:val="nil"/>
                    <w:tr2bl w:val="nil"/>
                  </w:tcBorders>
                  <w:noWrap w:val="0"/>
                  <w:vAlign w:val="center"/>
                </w:tcPr>
                <w:p>
                  <w:pPr>
                    <w:widowControl/>
                    <w:jc w:val="center"/>
                    <w:rPr>
                      <w:rFonts w:hint="eastAsia"/>
                      <w:color w:val="auto"/>
                      <w:szCs w:val="21"/>
                      <w:highlight w:val="none"/>
                      <w:lang w:val="en-US" w:eastAsia="zh-CN"/>
                    </w:rPr>
                  </w:pPr>
                  <w:r>
                    <w:rPr>
                      <w:rFonts w:hint="eastAsia" w:ascii="Times New Roman" w:eastAsia="宋体"/>
                      <w:color w:val="auto"/>
                      <w:szCs w:val="21"/>
                      <w:highlight w:val="none"/>
                      <w:lang w:val="en-US" w:eastAsia="zh-CN"/>
                    </w:rPr>
                    <w:t>厂房结构为钢结构，加工区内设有印刷机和</w:t>
                  </w:r>
                  <w:r>
                    <w:rPr>
                      <w:rFonts w:hint="eastAsia" w:hAnsi="宋体"/>
                      <w:color w:val="auto"/>
                      <w:szCs w:val="21"/>
                      <w:highlight w:val="none"/>
                      <w:lang w:val="en-US" w:eastAsia="zh-CN"/>
                    </w:rPr>
                    <w:t>印刷开槽模切堆码机</w:t>
                  </w:r>
                  <w:r>
                    <w:rPr>
                      <w:rFonts w:hint="eastAsia" w:ascii="Times New Roman" w:eastAsia="宋体"/>
                      <w:color w:val="auto"/>
                      <w:szCs w:val="21"/>
                      <w:highlight w:val="none"/>
                      <w:lang w:val="en-US" w:eastAsia="zh-CN"/>
                    </w:rPr>
                    <w:t>等设备，建筑面积150 m</w:t>
                  </w:r>
                  <w:r>
                    <w:rPr>
                      <w:rFonts w:hint="eastAsia" w:ascii="Times New Roman" w:eastAsia="宋体"/>
                      <w:color w:val="auto"/>
                      <w:szCs w:val="21"/>
                      <w:highlight w:val="none"/>
                      <w:vertAlign w:val="superscript"/>
                      <w:lang w:val="en-US" w:eastAsia="zh-CN"/>
                    </w:rPr>
                    <w:t>2</w:t>
                  </w:r>
                </w:p>
              </w:tc>
              <w:tc>
                <w:tcPr>
                  <w:tcW w:w="1503" w:type="dxa"/>
                  <w:tcBorders>
                    <w:tl2br w:val="nil"/>
                    <w:tr2bl w:val="nil"/>
                  </w:tcBorders>
                  <w:noWrap w:val="0"/>
                  <w:vAlign w:val="center"/>
                </w:tcPr>
                <w:p>
                  <w:pPr>
                    <w:widowControl/>
                    <w:jc w:val="center"/>
                    <w:rPr>
                      <w:rFonts w:hint="eastAsia"/>
                      <w:color w:val="auto"/>
                      <w:szCs w:val="21"/>
                      <w:highlight w:val="yellow"/>
                      <w:lang w:val="en-US" w:eastAsia="zh-CN"/>
                    </w:rPr>
                  </w:pPr>
                  <w:r>
                    <w:rPr>
                      <w:rFonts w:hint="eastAsia"/>
                      <w:color w:val="auto"/>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82" w:type="dxa"/>
                  <w:tcBorders>
                    <w:tl2br w:val="nil"/>
                    <w:tr2bl w:val="nil"/>
                  </w:tcBorders>
                  <w:noWrap w:val="0"/>
                  <w:vAlign w:val="center"/>
                </w:tcPr>
                <w:p>
                  <w:pPr>
                    <w:jc w:val="both"/>
                    <w:rPr>
                      <w:rFonts w:hint="eastAsia" w:eastAsia="宋体"/>
                      <w:color w:val="auto"/>
                      <w:kern w:val="0"/>
                      <w:szCs w:val="21"/>
                      <w:highlight w:val="none"/>
                      <w:lang w:val="en-US" w:eastAsia="zh-CN"/>
                    </w:rPr>
                  </w:pPr>
                  <w:r>
                    <w:rPr>
                      <w:rFonts w:hint="eastAsia"/>
                      <w:color w:val="auto"/>
                      <w:kern w:val="0"/>
                      <w:szCs w:val="21"/>
                      <w:highlight w:val="none"/>
                      <w:lang w:val="en-US" w:eastAsia="zh-CN"/>
                    </w:rPr>
                    <w:t>辅助工程</w:t>
                  </w:r>
                </w:p>
              </w:tc>
              <w:tc>
                <w:tcPr>
                  <w:tcW w:w="896" w:type="dxa"/>
                  <w:tcBorders>
                    <w:tl2br w:val="nil"/>
                    <w:tr2bl w:val="nil"/>
                  </w:tcBorders>
                  <w:noWrap w:val="0"/>
                  <w:vAlign w:val="center"/>
                </w:tcPr>
                <w:p>
                  <w:pPr>
                    <w:widowControl/>
                    <w:jc w:val="center"/>
                    <w:rPr>
                      <w:rFonts w:hint="eastAsia"/>
                      <w:color w:val="auto"/>
                      <w:szCs w:val="21"/>
                      <w:highlight w:val="none"/>
                      <w:lang w:val="en-US" w:eastAsia="zh-CN"/>
                    </w:rPr>
                  </w:pPr>
                  <w:r>
                    <w:rPr>
                      <w:rFonts w:hint="eastAsia"/>
                      <w:color w:val="auto"/>
                      <w:szCs w:val="21"/>
                      <w:highlight w:val="none"/>
                      <w:lang w:val="en-US" w:eastAsia="zh-CN"/>
                    </w:rPr>
                    <w:t>办公室</w:t>
                  </w:r>
                </w:p>
              </w:tc>
              <w:tc>
                <w:tcPr>
                  <w:tcW w:w="2831" w:type="dxa"/>
                  <w:tcBorders>
                    <w:tl2br w:val="nil"/>
                    <w:tr2bl w:val="nil"/>
                  </w:tcBorders>
                  <w:noWrap w:val="0"/>
                  <w:vAlign w:val="center"/>
                </w:tcPr>
                <w:p>
                  <w:pPr>
                    <w:widowControl/>
                    <w:jc w:val="center"/>
                    <w:rPr>
                      <w:rFonts w:hint="eastAsia"/>
                      <w:color w:val="auto"/>
                      <w:szCs w:val="21"/>
                      <w:highlight w:val="none"/>
                      <w:lang w:val="en-US" w:eastAsia="zh-CN"/>
                    </w:rPr>
                  </w:pPr>
                  <w:r>
                    <w:rPr>
                      <w:rFonts w:hint="eastAsia"/>
                      <w:color w:val="auto"/>
                      <w:szCs w:val="21"/>
                      <w:highlight w:val="none"/>
                      <w:lang w:val="en-US" w:eastAsia="zh-CN"/>
                    </w:rPr>
                    <w:t>位于厂房南侧，供员工办公、</w:t>
                  </w:r>
                  <w:r>
                    <w:rPr>
                      <w:rFonts w:hint="eastAsia" w:ascii="Times New Roman" w:eastAsia="宋体"/>
                      <w:color w:val="auto"/>
                      <w:szCs w:val="21"/>
                      <w:highlight w:val="none"/>
                      <w:lang w:val="en-US" w:eastAsia="zh-CN"/>
                    </w:rPr>
                    <w:t>建筑面积80 m</w:t>
                  </w:r>
                  <w:r>
                    <w:rPr>
                      <w:rFonts w:hint="eastAsia" w:ascii="Times New Roman" w:eastAsia="宋体"/>
                      <w:color w:val="auto"/>
                      <w:szCs w:val="21"/>
                      <w:highlight w:val="none"/>
                      <w:vertAlign w:val="superscript"/>
                      <w:lang w:val="en-US" w:eastAsia="zh-CN"/>
                    </w:rPr>
                    <w:t>2</w:t>
                  </w:r>
                </w:p>
              </w:tc>
              <w:tc>
                <w:tcPr>
                  <w:tcW w:w="2805" w:type="dxa"/>
                  <w:tcBorders>
                    <w:tl2br w:val="nil"/>
                    <w:tr2bl w:val="nil"/>
                  </w:tcBorders>
                  <w:noWrap w:val="0"/>
                  <w:vAlign w:val="center"/>
                </w:tcPr>
                <w:p>
                  <w:pPr>
                    <w:widowControl/>
                    <w:jc w:val="center"/>
                    <w:rPr>
                      <w:rFonts w:hint="eastAsia"/>
                      <w:color w:val="auto"/>
                      <w:szCs w:val="21"/>
                      <w:highlight w:val="none"/>
                      <w:vertAlign w:val="baseline"/>
                      <w:lang w:val="en-US" w:eastAsia="zh-CN"/>
                    </w:rPr>
                  </w:pPr>
                  <w:r>
                    <w:rPr>
                      <w:rFonts w:hint="eastAsia" w:ascii="Times New Roman" w:eastAsia="宋体"/>
                      <w:color w:val="auto"/>
                      <w:szCs w:val="21"/>
                      <w:highlight w:val="none"/>
                      <w:lang w:val="en-US" w:eastAsia="zh-CN"/>
                    </w:rPr>
                    <w:t>位于厂房南侧，供员工办公、建筑面积</w:t>
                  </w:r>
                  <w:r>
                    <w:rPr>
                      <w:rFonts w:hint="eastAsia"/>
                      <w:color w:val="auto"/>
                      <w:szCs w:val="21"/>
                      <w:highlight w:val="none"/>
                      <w:lang w:val="en-US" w:eastAsia="zh-CN"/>
                    </w:rPr>
                    <w:t>60</w:t>
                  </w:r>
                  <w:r>
                    <w:rPr>
                      <w:rFonts w:hint="eastAsia" w:ascii="Times New Roman" w:eastAsia="宋体"/>
                      <w:color w:val="auto"/>
                      <w:szCs w:val="21"/>
                      <w:highlight w:val="none"/>
                      <w:lang w:val="en-US" w:eastAsia="zh-CN"/>
                    </w:rPr>
                    <w:t xml:space="preserve"> m</w:t>
                  </w:r>
                  <w:r>
                    <w:rPr>
                      <w:rFonts w:hint="eastAsia" w:ascii="Times New Roman" w:eastAsia="宋体"/>
                      <w:color w:val="auto"/>
                      <w:szCs w:val="21"/>
                      <w:highlight w:val="none"/>
                      <w:vertAlign w:val="superscript"/>
                      <w:lang w:val="en-US" w:eastAsia="zh-CN"/>
                    </w:rPr>
                    <w:t>2</w:t>
                  </w:r>
                </w:p>
              </w:tc>
              <w:tc>
                <w:tcPr>
                  <w:tcW w:w="1503" w:type="dxa"/>
                  <w:tcBorders>
                    <w:tl2br w:val="nil"/>
                    <w:tr2bl w:val="nil"/>
                  </w:tcBorders>
                  <w:noWrap w:val="0"/>
                  <w:vAlign w:val="center"/>
                </w:tcPr>
                <w:p>
                  <w:pPr>
                    <w:widowControl/>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危废库转移至办公室南侧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restart"/>
                  <w:tcBorders>
                    <w:tl2br w:val="nil"/>
                    <w:tr2bl w:val="nil"/>
                  </w:tcBorders>
                  <w:noWrap w:val="0"/>
                  <w:vAlign w:val="center"/>
                </w:tcPr>
                <w:p>
                  <w:pPr>
                    <w:jc w:val="center"/>
                    <w:rPr>
                      <w:rFonts w:hint="eastAsia"/>
                      <w:color w:val="auto"/>
                      <w:kern w:val="0"/>
                      <w:szCs w:val="21"/>
                      <w:highlight w:val="none"/>
                    </w:rPr>
                  </w:pPr>
                  <w:r>
                    <w:rPr>
                      <w:rFonts w:hint="eastAsia"/>
                      <w:color w:val="auto"/>
                      <w:kern w:val="0"/>
                      <w:szCs w:val="21"/>
                      <w:highlight w:val="none"/>
                    </w:rPr>
                    <w:t>公用工程</w:t>
                  </w:r>
                </w:p>
              </w:tc>
              <w:tc>
                <w:tcPr>
                  <w:tcW w:w="896" w:type="dxa"/>
                  <w:tcBorders>
                    <w:tl2br w:val="nil"/>
                    <w:tr2bl w:val="nil"/>
                  </w:tcBorders>
                  <w:noWrap w:val="0"/>
                  <w:vAlign w:val="center"/>
                </w:tcPr>
                <w:p>
                  <w:pPr>
                    <w:jc w:val="center"/>
                    <w:rPr>
                      <w:color w:val="auto"/>
                      <w:szCs w:val="21"/>
                      <w:highlight w:val="none"/>
                    </w:rPr>
                  </w:pPr>
                  <w:r>
                    <w:rPr>
                      <w:color w:val="auto"/>
                      <w:szCs w:val="21"/>
                      <w:highlight w:val="none"/>
                    </w:rPr>
                    <w:t>给水</w:t>
                  </w:r>
                </w:p>
              </w:tc>
              <w:tc>
                <w:tcPr>
                  <w:tcW w:w="2831" w:type="dxa"/>
                  <w:tcBorders>
                    <w:tl2br w:val="nil"/>
                    <w:tr2bl w:val="nil"/>
                  </w:tcBorders>
                  <w:noWrap w:val="0"/>
                  <w:vAlign w:val="center"/>
                </w:tcPr>
                <w:p>
                  <w:pPr>
                    <w:jc w:val="center"/>
                    <w:rPr>
                      <w:rFonts w:hint="eastAsia"/>
                      <w:color w:val="auto"/>
                      <w:kern w:val="0"/>
                      <w:szCs w:val="21"/>
                      <w:highlight w:val="none"/>
                    </w:rPr>
                  </w:pPr>
                  <w:r>
                    <w:rPr>
                      <w:rFonts w:hint="eastAsia"/>
                      <w:color w:val="auto"/>
                      <w:szCs w:val="21"/>
                      <w:highlight w:val="none"/>
                      <w:lang w:val="en-US" w:eastAsia="zh-CN"/>
                    </w:rPr>
                    <w:t>园区供水管网、供水量360 t/a</w:t>
                  </w:r>
                </w:p>
              </w:tc>
              <w:tc>
                <w:tcPr>
                  <w:tcW w:w="2805" w:type="dxa"/>
                  <w:tcBorders>
                    <w:tl2br w:val="nil"/>
                    <w:tr2bl w:val="nil"/>
                  </w:tcBorders>
                  <w:noWrap w:val="0"/>
                  <w:vAlign w:val="center"/>
                </w:tcPr>
                <w:p>
                  <w:pPr>
                    <w:jc w:val="center"/>
                    <w:rPr>
                      <w:rFonts w:hint="eastAsia" w:eastAsia="宋体"/>
                      <w:color w:val="auto"/>
                      <w:kern w:val="0"/>
                      <w:szCs w:val="21"/>
                      <w:highlight w:val="none"/>
                      <w:lang w:val="en-US" w:eastAsia="zh-CN"/>
                    </w:rPr>
                  </w:pPr>
                  <w:r>
                    <w:rPr>
                      <w:rFonts w:hint="eastAsia"/>
                      <w:color w:val="auto"/>
                      <w:szCs w:val="21"/>
                      <w:highlight w:val="none"/>
                      <w:lang w:val="en-US" w:eastAsia="zh-CN"/>
                    </w:rPr>
                    <w:t>园区供水管网、供水量217.2t/a</w:t>
                  </w:r>
                </w:p>
              </w:tc>
              <w:tc>
                <w:tcPr>
                  <w:tcW w:w="1503" w:type="dxa"/>
                  <w:tcBorders>
                    <w:tl2br w:val="nil"/>
                    <w:tr2bl w:val="nil"/>
                  </w:tcBorders>
                  <w:noWrap w:val="0"/>
                  <w:vAlign w:val="center"/>
                </w:tcPr>
                <w:p>
                  <w:pPr>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员工减少，给水量减少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82" w:type="dxa"/>
                  <w:vMerge w:val="continue"/>
                  <w:tcBorders>
                    <w:tl2br w:val="nil"/>
                    <w:tr2bl w:val="nil"/>
                  </w:tcBorders>
                  <w:noWrap w:val="0"/>
                  <w:vAlign w:val="center"/>
                </w:tcPr>
                <w:p>
                  <w:pPr>
                    <w:widowControl/>
                    <w:jc w:val="center"/>
                    <w:rPr>
                      <w:color w:val="auto"/>
                      <w:kern w:val="0"/>
                      <w:szCs w:val="21"/>
                      <w:highlight w:val="none"/>
                    </w:rPr>
                  </w:pPr>
                </w:p>
              </w:tc>
              <w:tc>
                <w:tcPr>
                  <w:tcW w:w="896" w:type="dxa"/>
                  <w:tcBorders>
                    <w:tl2br w:val="nil"/>
                    <w:tr2bl w:val="nil"/>
                  </w:tcBorders>
                  <w:noWrap w:val="0"/>
                  <w:vAlign w:val="center"/>
                </w:tcPr>
                <w:p>
                  <w:pPr>
                    <w:jc w:val="center"/>
                    <w:rPr>
                      <w:color w:val="auto"/>
                      <w:szCs w:val="21"/>
                      <w:highlight w:val="none"/>
                    </w:rPr>
                  </w:pPr>
                  <w:r>
                    <w:rPr>
                      <w:color w:val="auto"/>
                      <w:szCs w:val="21"/>
                      <w:highlight w:val="none"/>
                    </w:rPr>
                    <w:t>排水</w:t>
                  </w:r>
                </w:p>
              </w:tc>
              <w:tc>
                <w:tcPr>
                  <w:tcW w:w="2831" w:type="dxa"/>
                  <w:tcBorders>
                    <w:tl2br w:val="nil"/>
                    <w:tr2bl w:val="nil"/>
                  </w:tcBorders>
                  <w:noWrap w:val="0"/>
                  <w:vAlign w:val="center"/>
                </w:tcPr>
                <w:p>
                  <w:pPr>
                    <w:jc w:val="center"/>
                    <w:rPr>
                      <w:rFonts w:hint="eastAsia"/>
                      <w:color w:val="auto"/>
                      <w:kern w:val="0"/>
                      <w:szCs w:val="21"/>
                      <w:highlight w:val="none"/>
                      <w:lang w:val="en-US" w:eastAsia="zh-CN"/>
                    </w:rPr>
                  </w:pPr>
                  <w:r>
                    <w:rPr>
                      <w:rFonts w:hint="eastAsia" w:eastAsia="宋体"/>
                      <w:color w:val="auto"/>
                      <w:szCs w:val="21"/>
                      <w:highlight w:val="none"/>
                      <w:lang w:val="en-US" w:eastAsia="zh-CN"/>
                    </w:rPr>
                    <w:t>雨污管网、化粪池</w:t>
                  </w:r>
                  <w:r>
                    <w:rPr>
                      <w:rFonts w:hint="eastAsia"/>
                      <w:color w:val="auto"/>
                      <w:szCs w:val="21"/>
                      <w:highlight w:val="none"/>
                      <w:lang w:val="en-US" w:eastAsia="zh-CN"/>
                    </w:rPr>
                    <w:t>、</w:t>
                  </w:r>
                  <w:r>
                    <w:rPr>
                      <w:rFonts w:hint="eastAsia" w:eastAsia="宋体"/>
                      <w:color w:val="auto"/>
                      <w:szCs w:val="21"/>
                      <w:highlight w:val="none"/>
                      <w:lang w:val="en-US" w:eastAsia="zh-CN"/>
                    </w:rPr>
                    <w:t>排水量288 t/a</w:t>
                  </w:r>
                </w:p>
              </w:tc>
              <w:tc>
                <w:tcPr>
                  <w:tcW w:w="2805" w:type="dxa"/>
                  <w:tcBorders>
                    <w:tl2br w:val="nil"/>
                    <w:tr2bl w:val="nil"/>
                  </w:tcBorders>
                  <w:noWrap w:val="0"/>
                  <w:vAlign w:val="center"/>
                </w:tcPr>
                <w:p>
                  <w:pPr>
                    <w:jc w:val="center"/>
                    <w:rPr>
                      <w:rFonts w:hint="eastAsia"/>
                      <w:color w:val="auto"/>
                      <w:kern w:val="0"/>
                      <w:szCs w:val="21"/>
                      <w:highlight w:val="none"/>
                      <w:lang w:val="en-US" w:eastAsia="zh-CN"/>
                    </w:rPr>
                  </w:pPr>
                  <w:r>
                    <w:rPr>
                      <w:rFonts w:hint="eastAsia" w:eastAsia="宋体"/>
                      <w:color w:val="auto"/>
                      <w:szCs w:val="21"/>
                      <w:highlight w:val="none"/>
                      <w:lang w:val="en-US" w:eastAsia="zh-CN"/>
                    </w:rPr>
                    <w:t>雨污管网、化粪池</w:t>
                  </w:r>
                  <w:r>
                    <w:rPr>
                      <w:rFonts w:hint="eastAsia"/>
                      <w:color w:val="auto"/>
                      <w:szCs w:val="21"/>
                      <w:highlight w:val="none"/>
                      <w:lang w:val="en-US" w:eastAsia="zh-CN"/>
                    </w:rPr>
                    <w:t>、</w:t>
                  </w:r>
                  <w:r>
                    <w:rPr>
                      <w:rFonts w:hint="eastAsia" w:eastAsia="宋体"/>
                      <w:color w:val="auto"/>
                      <w:szCs w:val="21"/>
                      <w:highlight w:val="none"/>
                      <w:lang w:val="en-US" w:eastAsia="zh-CN"/>
                    </w:rPr>
                    <w:t>排水量</w:t>
                  </w:r>
                  <w:r>
                    <w:rPr>
                      <w:rFonts w:hint="eastAsia"/>
                      <w:color w:val="auto"/>
                      <w:szCs w:val="21"/>
                      <w:highlight w:val="none"/>
                      <w:lang w:val="en-US" w:eastAsia="zh-CN"/>
                    </w:rPr>
                    <w:t>172.8</w:t>
                  </w:r>
                  <w:r>
                    <w:rPr>
                      <w:rFonts w:hint="eastAsia" w:eastAsia="宋体"/>
                      <w:color w:val="auto"/>
                      <w:szCs w:val="21"/>
                      <w:highlight w:val="none"/>
                      <w:lang w:val="en-US" w:eastAsia="zh-CN"/>
                    </w:rPr>
                    <w:t xml:space="preserve"> t/a</w:t>
                  </w:r>
                </w:p>
              </w:tc>
              <w:tc>
                <w:tcPr>
                  <w:tcW w:w="1503" w:type="dxa"/>
                  <w:tcBorders>
                    <w:tl2br w:val="nil"/>
                    <w:tr2bl w:val="nil"/>
                  </w:tcBorders>
                  <w:noWrap w:val="0"/>
                  <w:vAlign w:val="center"/>
                </w:tcPr>
                <w:p>
                  <w:pPr>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排水量减少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continue"/>
                  <w:tcBorders>
                    <w:tl2br w:val="nil"/>
                    <w:tr2bl w:val="nil"/>
                  </w:tcBorders>
                  <w:noWrap w:val="0"/>
                  <w:vAlign w:val="center"/>
                </w:tcPr>
                <w:p>
                  <w:pPr>
                    <w:widowControl/>
                    <w:jc w:val="center"/>
                    <w:rPr>
                      <w:color w:val="auto"/>
                      <w:kern w:val="0"/>
                      <w:szCs w:val="21"/>
                      <w:highlight w:val="none"/>
                    </w:rPr>
                  </w:pPr>
                </w:p>
              </w:tc>
              <w:tc>
                <w:tcPr>
                  <w:tcW w:w="896" w:type="dxa"/>
                  <w:tcBorders>
                    <w:tl2br w:val="nil"/>
                    <w:tr2bl w:val="nil"/>
                  </w:tcBorders>
                  <w:noWrap w:val="0"/>
                  <w:vAlign w:val="center"/>
                </w:tcPr>
                <w:p>
                  <w:pPr>
                    <w:jc w:val="center"/>
                    <w:rPr>
                      <w:rFonts w:hint="eastAsia"/>
                      <w:color w:val="auto"/>
                      <w:szCs w:val="21"/>
                      <w:highlight w:val="none"/>
                    </w:rPr>
                  </w:pPr>
                  <w:r>
                    <w:rPr>
                      <w:color w:val="auto"/>
                      <w:szCs w:val="21"/>
                      <w:highlight w:val="none"/>
                    </w:rPr>
                    <w:t>供</w:t>
                  </w:r>
                  <w:r>
                    <w:rPr>
                      <w:rFonts w:hint="eastAsia"/>
                      <w:color w:val="auto"/>
                      <w:szCs w:val="21"/>
                      <w:highlight w:val="none"/>
                    </w:rPr>
                    <w:t>电</w:t>
                  </w:r>
                </w:p>
              </w:tc>
              <w:tc>
                <w:tcPr>
                  <w:tcW w:w="2831" w:type="dxa"/>
                  <w:tcBorders>
                    <w:tl2br w:val="nil"/>
                    <w:tr2bl w:val="nil"/>
                  </w:tcBorders>
                  <w:noWrap w:val="0"/>
                  <w:vAlign w:val="center"/>
                </w:tcPr>
                <w:p>
                  <w:pPr>
                    <w:jc w:val="center"/>
                    <w:rPr>
                      <w:color w:val="auto"/>
                      <w:kern w:val="0"/>
                      <w:szCs w:val="21"/>
                      <w:highlight w:val="none"/>
                    </w:rPr>
                  </w:pPr>
                  <w:r>
                    <w:rPr>
                      <w:rFonts w:hint="eastAsia"/>
                      <w:color w:val="auto"/>
                      <w:szCs w:val="21"/>
                      <w:highlight w:val="none"/>
                      <w:lang w:val="en-US" w:eastAsia="zh-CN"/>
                    </w:rPr>
                    <w:t>园区电网供电、年用电量10万kW</w:t>
                  </w:r>
                  <w:r>
                    <w:rPr>
                      <w:rFonts w:hint="default" w:ascii="Times New Roman" w:hAnsi="Times New Roman" w:cs="Times New Roman"/>
                      <w:color w:val="auto"/>
                      <w:szCs w:val="21"/>
                      <w:highlight w:val="none"/>
                      <w:lang w:val="en-US" w:eastAsia="zh-CN"/>
                    </w:rPr>
                    <w:t>·</w:t>
                  </w:r>
                  <w:r>
                    <w:rPr>
                      <w:rFonts w:hint="eastAsia"/>
                      <w:color w:val="auto"/>
                      <w:szCs w:val="21"/>
                      <w:highlight w:val="none"/>
                      <w:lang w:val="en-US" w:eastAsia="zh-CN"/>
                    </w:rPr>
                    <w:t>h/a</w:t>
                  </w:r>
                </w:p>
              </w:tc>
              <w:tc>
                <w:tcPr>
                  <w:tcW w:w="2805" w:type="dxa"/>
                  <w:tcBorders>
                    <w:tl2br w:val="nil"/>
                    <w:tr2bl w:val="nil"/>
                  </w:tcBorders>
                  <w:noWrap w:val="0"/>
                  <w:vAlign w:val="center"/>
                </w:tcPr>
                <w:p>
                  <w:pPr>
                    <w:jc w:val="center"/>
                    <w:rPr>
                      <w:color w:val="auto"/>
                      <w:kern w:val="0"/>
                      <w:szCs w:val="21"/>
                      <w:highlight w:val="none"/>
                    </w:rPr>
                  </w:pPr>
                  <w:r>
                    <w:rPr>
                      <w:rFonts w:hint="eastAsia" w:ascii="Times New Roman" w:eastAsia="宋体"/>
                      <w:color w:val="auto"/>
                      <w:szCs w:val="21"/>
                      <w:highlight w:val="none"/>
                      <w:lang w:val="en-US" w:eastAsia="zh-CN"/>
                    </w:rPr>
                    <w:t>园区电网供电、年用电量10万kW</w:t>
                  </w:r>
                  <w:r>
                    <w:rPr>
                      <w:rFonts w:hint="default" w:ascii="Times New Roman" w:hAnsi="Times New Roman" w:cs="Times New Roman"/>
                      <w:color w:val="auto"/>
                      <w:szCs w:val="21"/>
                      <w:highlight w:val="none"/>
                      <w:lang w:val="en-US" w:eastAsia="zh-CN"/>
                    </w:rPr>
                    <w:t>·</w:t>
                  </w:r>
                  <w:r>
                    <w:rPr>
                      <w:rFonts w:hint="eastAsia" w:ascii="Times New Roman" w:eastAsia="宋体"/>
                      <w:color w:val="auto"/>
                      <w:szCs w:val="21"/>
                      <w:highlight w:val="none"/>
                      <w:lang w:val="en-US" w:eastAsia="zh-CN"/>
                    </w:rPr>
                    <w:t>h/a</w:t>
                  </w:r>
                </w:p>
              </w:tc>
              <w:tc>
                <w:tcPr>
                  <w:tcW w:w="1503" w:type="dxa"/>
                  <w:tcBorders>
                    <w:tl2br w:val="nil"/>
                    <w:tr2bl w:val="nil"/>
                  </w:tcBorders>
                  <w:noWrap w:val="0"/>
                  <w:vAlign w:val="center"/>
                </w:tcPr>
                <w:p>
                  <w:pPr>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restart"/>
                  <w:tcBorders>
                    <w:tl2br w:val="nil"/>
                    <w:tr2bl w:val="nil"/>
                  </w:tcBorders>
                  <w:noWrap w:val="0"/>
                  <w:vAlign w:val="center"/>
                </w:tcPr>
                <w:p>
                  <w:pPr>
                    <w:jc w:val="center"/>
                    <w:rPr>
                      <w:rFonts w:hint="eastAsia" w:eastAsia="宋体"/>
                      <w:color w:val="auto"/>
                      <w:kern w:val="0"/>
                      <w:szCs w:val="21"/>
                      <w:highlight w:val="none"/>
                      <w:lang w:val="en-US" w:eastAsia="zh-CN"/>
                    </w:rPr>
                  </w:pPr>
                  <w:r>
                    <w:rPr>
                      <w:rFonts w:hint="eastAsia"/>
                      <w:color w:val="auto"/>
                      <w:kern w:val="0"/>
                      <w:szCs w:val="21"/>
                      <w:highlight w:val="none"/>
                      <w:lang w:val="en-US" w:eastAsia="zh-CN"/>
                    </w:rPr>
                    <w:t>储运工程</w:t>
                  </w:r>
                </w:p>
              </w:tc>
              <w:tc>
                <w:tcPr>
                  <w:tcW w:w="896" w:type="dxa"/>
                  <w:vMerge w:val="restart"/>
                  <w:tcBorders>
                    <w:tl2br w:val="nil"/>
                    <w:tr2bl w:val="nil"/>
                  </w:tcBorders>
                  <w:noWrap w:val="0"/>
                  <w:vAlign w:val="center"/>
                </w:tcPr>
                <w:p>
                  <w:pPr>
                    <w:widowControl/>
                    <w:jc w:val="center"/>
                    <w:rPr>
                      <w:rFonts w:hint="eastAsia" w:eastAsia="宋体"/>
                      <w:color w:val="auto"/>
                      <w:kern w:val="0"/>
                      <w:szCs w:val="21"/>
                      <w:highlight w:val="none"/>
                      <w:lang w:val="en-US" w:eastAsia="zh-CN"/>
                    </w:rPr>
                  </w:pPr>
                  <w:r>
                    <w:rPr>
                      <w:rFonts w:hint="eastAsia"/>
                      <w:color w:val="auto"/>
                      <w:kern w:val="0"/>
                      <w:szCs w:val="21"/>
                      <w:highlight w:val="none"/>
                      <w:lang w:val="en-US" w:eastAsia="zh-CN"/>
                    </w:rPr>
                    <w:t>仓库</w:t>
                  </w:r>
                </w:p>
              </w:tc>
              <w:tc>
                <w:tcPr>
                  <w:tcW w:w="2831"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不单独建设原料仓库，在厂房西北角划定原材料暂存区，用于存放原辅材料</w:t>
                  </w:r>
                </w:p>
              </w:tc>
              <w:tc>
                <w:tcPr>
                  <w:tcW w:w="2805"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不单独建设原料仓库，在厂房西北角划定原材料暂存区，用于存放原辅材料</w:t>
                  </w:r>
                </w:p>
              </w:tc>
              <w:tc>
                <w:tcPr>
                  <w:tcW w:w="1503"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continue"/>
                  <w:tcBorders>
                    <w:tl2br w:val="nil"/>
                    <w:tr2bl w:val="nil"/>
                  </w:tcBorders>
                  <w:noWrap w:val="0"/>
                  <w:vAlign w:val="center"/>
                </w:tcPr>
                <w:p>
                  <w:pPr>
                    <w:jc w:val="center"/>
                    <w:rPr>
                      <w:rFonts w:hint="eastAsia"/>
                      <w:color w:val="auto"/>
                      <w:kern w:val="0"/>
                      <w:szCs w:val="21"/>
                      <w:highlight w:val="none"/>
                      <w:lang w:val="en-US" w:eastAsia="zh-CN"/>
                    </w:rPr>
                  </w:pPr>
                </w:p>
              </w:tc>
              <w:tc>
                <w:tcPr>
                  <w:tcW w:w="896" w:type="dxa"/>
                  <w:vMerge w:val="continue"/>
                  <w:tcBorders>
                    <w:tl2br w:val="nil"/>
                    <w:tr2bl w:val="nil"/>
                  </w:tcBorders>
                  <w:noWrap w:val="0"/>
                  <w:vAlign w:val="center"/>
                </w:tcPr>
                <w:p>
                  <w:pPr>
                    <w:widowControl/>
                    <w:jc w:val="center"/>
                    <w:rPr>
                      <w:rFonts w:hint="eastAsia"/>
                      <w:color w:val="auto"/>
                      <w:kern w:val="0"/>
                      <w:szCs w:val="21"/>
                      <w:highlight w:val="none"/>
                      <w:lang w:val="en-US" w:eastAsia="zh-CN"/>
                    </w:rPr>
                  </w:pPr>
                </w:p>
              </w:tc>
              <w:tc>
                <w:tcPr>
                  <w:tcW w:w="2831"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不单独建设成品仓库，在厂房北侧划定成品暂存区，用于存放成品</w:t>
                  </w:r>
                </w:p>
              </w:tc>
              <w:tc>
                <w:tcPr>
                  <w:tcW w:w="2805"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不单独建设成品仓库，在厂房北侧划定成品暂存区，用于存放成品</w:t>
                  </w:r>
                </w:p>
              </w:tc>
              <w:tc>
                <w:tcPr>
                  <w:tcW w:w="1503"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continue"/>
                  <w:tcBorders>
                    <w:tl2br w:val="nil"/>
                    <w:tr2bl w:val="nil"/>
                  </w:tcBorders>
                  <w:noWrap w:val="0"/>
                  <w:vAlign w:val="center"/>
                </w:tcPr>
                <w:p>
                  <w:pPr>
                    <w:jc w:val="center"/>
                    <w:rPr>
                      <w:rFonts w:hint="eastAsia"/>
                      <w:color w:val="auto"/>
                      <w:kern w:val="0"/>
                      <w:szCs w:val="21"/>
                      <w:highlight w:val="none"/>
                      <w:lang w:val="en-US" w:eastAsia="zh-CN"/>
                    </w:rPr>
                  </w:pPr>
                </w:p>
              </w:tc>
              <w:tc>
                <w:tcPr>
                  <w:tcW w:w="896" w:type="dxa"/>
                  <w:tcBorders>
                    <w:tl2br w:val="nil"/>
                    <w:tr2bl w:val="nil"/>
                  </w:tcBorders>
                  <w:noWrap w:val="0"/>
                  <w:vAlign w:val="center"/>
                </w:tcPr>
                <w:p>
                  <w:pPr>
                    <w:widowControl/>
                    <w:jc w:val="center"/>
                    <w:rPr>
                      <w:rFonts w:hint="eastAsia"/>
                      <w:color w:val="auto"/>
                      <w:kern w:val="0"/>
                      <w:szCs w:val="21"/>
                      <w:highlight w:val="none"/>
                      <w:lang w:val="en-US" w:eastAsia="zh-CN"/>
                    </w:rPr>
                  </w:pPr>
                  <w:r>
                    <w:rPr>
                      <w:rFonts w:hint="eastAsia"/>
                      <w:color w:val="auto"/>
                      <w:kern w:val="0"/>
                      <w:szCs w:val="21"/>
                      <w:highlight w:val="none"/>
                      <w:lang w:val="en-US" w:eastAsia="zh-CN"/>
                    </w:rPr>
                    <w:t>运输</w:t>
                  </w:r>
                </w:p>
              </w:tc>
              <w:tc>
                <w:tcPr>
                  <w:tcW w:w="2831"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厂内依靠工人搬运，厂外依靠社会运输力量</w:t>
                  </w:r>
                </w:p>
              </w:tc>
              <w:tc>
                <w:tcPr>
                  <w:tcW w:w="2805"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厂内依靠工人搬运，厂外依靠社会运输力量</w:t>
                  </w:r>
                </w:p>
              </w:tc>
              <w:tc>
                <w:tcPr>
                  <w:tcW w:w="1503" w:type="dxa"/>
                  <w:tcBorders>
                    <w:tl2br w:val="nil"/>
                    <w:tr2bl w:val="nil"/>
                  </w:tcBorders>
                  <w:noWrap w:val="0"/>
                  <w:vAlign w:val="center"/>
                </w:tcPr>
                <w:p>
                  <w:pPr>
                    <w:jc w:val="center"/>
                    <w:rPr>
                      <w:rFonts w:hint="eastAsia"/>
                      <w:color w:val="auto"/>
                      <w:szCs w:val="21"/>
                      <w:highlight w:val="none"/>
                      <w:lang w:val="en-US" w:eastAsia="zh-CN"/>
                    </w:rPr>
                  </w:pPr>
                  <w:r>
                    <w:rPr>
                      <w:rFonts w:hint="eastAsia"/>
                      <w:color w:val="auto"/>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restart"/>
                  <w:tcBorders>
                    <w:tl2br w:val="nil"/>
                    <w:tr2bl w:val="nil"/>
                  </w:tcBorders>
                  <w:noWrap w:val="0"/>
                  <w:vAlign w:val="center"/>
                </w:tcPr>
                <w:p>
                  <w:pPr>
                    <w:jc w:val="center"/>
                    <w:rPr>
                      <w:color w:val="auto"/>
                      <w:kern w:val="0"/>
                      <w:szCs w:val="21"/>
                      <w:highlight w:val="none"/>
                    </w:rPr>
                  </w:pPr>
                  <w:r>
                    <w:rPr>
                      <w:color w:val="auto"/>
                      <w:kern w:val="0"/>
                      <w:szCs w:val="21"/>
                      <w:highlight w:val="none"/>
                    </w:rPr>
                    <w:t>环保工程</w:t>
                  </w:r>
                </w:p>
              </w:tc>
              <w:tc>
                <w:tcPr>
                  <w:tcW w:w="896" w:type="dxa"/>
                  <w:tcBorders>
                    <w:tl2br w:val="nil"/>
                    <w:tr2bl w:val="nil"/>
                  </w:tcBorders>
                  <w:noWrap w:val="0"/>
                  <w:vAlign w:val="center"/>
                </w:tcPr>
                <w:p>
                  <w:pPr>
                    <w:widowControl/>
                    <w:jc w:val="center"/>
                    <w:rPr>
                      <w:rFonts w:hint="eastAsia"/>
                      <w:color w:val="auto"/>
                      <w:kern w:val="0"/>
                      <w:szCs w:val="21"/>
                      <w:highlight w:val="none"/>
                    </w:rPr>
                  </w:pPr>
                  <w:r>
                    <w:rPr>
                      <w:rFonts w:hint="eastAsia"/>
                      <w:color w:val="auto"/>
                      <w:kern w:val="0"/>
                      <w:szCs w:val="21"/>
                      <w:highlight w:val="none"/>
                    </w:rPr>
                    <w:t>废气</w:t>
                  </w:r>
                </w:p>
                <w:p>
                  <w:pPr>
                    <w:widowControl/>
                    <w:jc w:val="center"/>
                    <w:rPr>
                      <w:rFonts w:hint="eastAsia"/>
                      <w:color w:val="auto"/>
                      <w:kern w:val="0"/>
                      <w:szCs w:val="21"/>
                      <w:highlight w:val="none"/>
                    </w:rPr>
                  </w:pPr>
                  <w:r>
                    <w:rPr>
                      <w:rFonts w:hint="eastAsia"/>
                      <w:color w:val="auto"/>
                      <w:kern w:val="0"/>
                      <w:szCs w:val="21"/>
                      <w:highlight w:val="none"/>
                    </w:rPr>
                    <w:t>治理</w:t>
                  </w:r>
                </w:p>
              </w:tc>
              <w:tc>
                <w:tcPr>
                  <w:tcW w:w="2831" w:type="dxa"/>
                  <w:tcBorders>
                    <w:tl2br w:val="nil"/>
                    <w:tr2bl w:val="nil"/>
                  </w:tcBorders>
                  <w:noWrap w:val="0"/>
                  <w:vAlign w:val="center"/>
                </w:tcPr>
                <w:p>
                  <w:pPr>
                    <w:jc w:val="center"/>
                    <w:rPr>
                      <w:rFonts w:hint="eastAsia" w:eastAsia="宋体"/>
                      <w:color w:val="auto"/>
                      <w:szCs w:val="21"/>
                      <w:highlight w:val="none"/>
                      <w:lang w:eastAsia="zh-CN"/>
                    </w:rPr>
                  </w:pPr>
                  <w:r>
                    <w:rPr>
                      <w:rFonts w:hint="eastAsia" w:eastAsia="宋体"/>
                      <w:szCs w:val="21"/>
                      <w:highlight w:val="none"/>
                      <w:lang w:val="en-US" w:eastAsia="zh-CN"/>
                    </w:rPr>
                    <w:t>印标废气经UV光氧处理，尾气经15 m高排气筒排放</w:t>
                  </w:r>
                </w:p>
              </w:tc>
              <w:tc>
                <w:tcPr>
                  <w:tcW w:w="2805" w:type="dxa"/>
                  <w:tcBorders>
                    <w:tl2br w:val="nil"/>
                    <w:tr2bl w:val="nil"/>
                  </w:tcBorders>
                  <w:noWrap w:val="0"/>
                  <w:vAlign w:val="center"/>
                </w:tcPr>
                <w:p>
                  <w:pPr>
                    <w:jc w:val="center"/>
                    <w:rPr>
                      <w:rFonts w:hint="default" w:eastAsia="宋体"/>
                      <w:szCs w:val="21"/>
                      <w:highlight w:val="none"/>
                      <w:lang w:val="en-US" w:eastAsia="zh-CN"/>
                    </w:rPr>
                  </w:pPr>
                  <w:r>
                    <w:rPr>
                      <w:rFonts w:hint="eastAsia" w:eastAsia="宋体"/>
                      <w:szCs w:val="21"/>
                      <w:highlight w:val="none"/>
                      <w:lang w:val="en-US" w:eastAsia="zh-CN"/>
                    </w:rPr>
                    <w:t>印标废气经UV光氧处理，尾气经</w:t>
                  </w:r>
                  <w:r>
                    <w:rPr>
                      <w:rFonts w:hint="eastAsia"/>
                      <w:szCs w:val="21"/>
                      <w:highlight w:val="none"/>
                      <w:lang w:val="en-US" w:eastAsia="zh-CN"/>
                    </w:rPr>
                    <w:t>22</w:t>
                  </w:r>
                  <w:r>
                    <w:rPr>
                      <w:rFonts w:hint="eastAsia" w:eastAsia="宋体"/>
                      <w:szCs w:val="21"/>
                      <w:highlight w:val="none"/>
                      <w:lang w:val="en-US" w:eastAsia="zh-CN"/>
                    </w:rPr>
                    <w:t xml:space="preserve"> m高排气筒排放</w:t>
                  </w:r>
                  <w:r>
                    <w:rPr>
                      <w:rFonts w:hint="eastAsia"/>
                      <w:szCs w:val="21"/>
                      <w:highlight w:val="none"/>
                      <w:lang w:val="en-US" w:eastAsia="zh-CN"/>
                    </w:rPr>
                    <w:t>，开槽模切粉尘无组织排放</w:t>
                  </w:r>
                </w:p>
              </w:tc>
              <w:tc>
                <w:tcPr>
                  <w:tcW w:w="1503" w:type="dxa"/>
                  <w:tcBorders>
                    <w:tl2br w:val="nil"/>
                    <w:tr2bl w:val="nil"/>
                  </w:tcBorders>
                  <w:noWrap w:val="0"/>
                  <w:vAlign w:val="center"/>
                </w:tcPr>
                <w:p>
                  <w:pPr>
                    <w:jc w:val="center"/>
                    <w:rPr>
                      <w:rFonts w:hint="default" w:eastAsia="宋体"/>
                      <w:szCs w:val="21"/>
                      <w:highlight w:val="none"/>
                      <w:lang w:val="en-US" w:eastAsia="zh-CN"/>
                    </w:rPr>
                  </w:pPr>
                  <w:r>
                    <w:rPr>
                      <w:rFonts w:hint="eastAsia"/>
                      <w:szCs w:val="21"/>
                      <w:highlight w:val="none"/>
                      <w:lang w:val="en-US" w:eastAsia="zh-CN"/>
                    </w:rPr>
                    <w:t>排气筒增高至22m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continue"/>
                  <w:tcBorders>
                    <w:tl2br w:val="nil"/>
                    <w:tr2bl w:val="nil"/>
                  </w:tcBorders>
                  <w:noWrap w:val="0"/>
                  <w:vAlign w:val="center"/>
                </w:tcPr>
                <w:p>
                  <w:pPr>
                    <w:jc w:val="center"/>
                    <w:rPr>
                      <w:color w:val="auto"/>
                      <w:kern w:val="0"/>
                      <w:szCs w:val="21"/>
                      <w:highlight w:val="none"/>
                    </w:rPr>
                  </w:pPr>
                </w:p>
              </w:tc>
              <w:tc>
                <w:tcPr>
                  <w:tcW w:w="896" w:type="dxa"/>
                  <w:tcBorders>
                    <w:tl2br w:val="nil"/>
                    <w:tr2bl w:val="nil"/>
                  </w:tcBorders>
                  <w:noWrap w:val="0"/>
                  <w:vAlign w:val="center"/>
                </w:tcPr>
                <w:p>
                  <w:pPr>
                    <w:widowControl/>
                    <w:jc w:val="center"/>
                    <w:rPr>
                      <w:rFonts w:hint="eastAsia"/>
                      <w:color w:val="auto"/>
                      <w:kern w:val="0"/>
                      <w:szCs w:val="21"/>
                      <w:highlight w:val="none"/>
                    </w:rPr>
                  </w:pPr>
                  <w:r>
                    <w:rPr>
                      <w:rFonts w:hint="eastAsia"/>
                      <w:color w:val="auto"/>
                      <w:kern w:val="0"/>
                      <w:szCs w:val="21"/>
                      <w:highlight w:val="none"/>
                    </w:rPr>
                    <w:t>废水</w:t>
                  </w:r>
                </w:p>
                <w:p>
                  <w:pPr>
                    <w:widowControl/>
                    <w:jc w:val="center"/>
                    <w:rPr>
                      <w:rFonts w:hint="eastAsia"/>
                      <w:color w:val="auto"/>
                      <w:kern w:val="0"/>
                      <w:szCs w:val="21"/>
                      <w:highlight w:val="none"/>
                    </w:rPr>
                  </w:pPr>
                  <w:r>
                    <w:rPr>
                      <w:rFonts w:hint="eastAsia"/>
                      <w:color w:val="auto"/>
                      <w:kern w:val="0"/>
                      <w:szCs w:val="21"/>
                      <w:highlight w:val="none"/>
                    </w:rPr>
                    <w:t>治理</w:t>
                  </w:r>
                </w:p>
              </w:tc>
              <w:tc>
                <w:tcPr>
                  <w:tcW w:w="2831" w:type="dxa"/>
                  <w:tcBorders>
                    <w:tl2br w:val="nil"/>
                    <w:tr2bl w:val="nil"/>
                  </w:tcBorders>
                  <w:noWrap w:val="0"/>
                  <w:vAlign w:val="center"/>
                </w:tcPr>
                <w:p>
                  <w:pPr>
                    <w:jc w:val="center"/>
                    <w:rPr>
                      <w:rFonts w:hint="eastAsia"/>
                      <w:color w:val="auto"/>
                      <w:kern w:val="0"/>
                      <w:szCs w:val="21"/>
                      <w:highlight w:val="none"/>
                      <w:lang w:val="en-US" w:eastAsia="zh-CN"/>
                    </w:rPr>
                  </w:pPr>
                  <w:r>
                    <w:rPr>
                      <w:rFonts w:hint="eastAsia"/>
                      <w:color w:val="auto"/>
                      <w:kern w:val="0"/>
                      <w:szCs w:val="21"/>
                      <w:highlight w:val="none"/>
                      <w:lang w:val="en-US" w:eastAsia="zh-CN"/>
                    </w:rPr>
                    <w:t>生活污水经化粪池预处理后排入园区污水管网，通过市政污水管网进入江北污水处理厂</w:t>
                  </w:r>
                </w:p>
              </w:tc>
              <w:tc>
                <w:tcPr>
                  <w:tcW w:w="2805" w:type="dxa"/>
                  <w:tcBorders>
                    <w:tl2br w:val="nil"/>
                    <w:tr2bl w:val="nil"/>
                  </w:tcBorders>
                  <w:noWrap w:val="0"/>
                  <w:vAlign w:val="center"/>
                </w:tcPr>
                <w:p>
                  <w:pPr>
                    <w:jc w:val="center"/>
                    <w:rPr>
                      <w:rFonts w:hint="default"/>
                      <w:color w:val="auto"/>
                      <w:kern w:val="0"/>
                      <w:szCs w:val="21"/>
                      <w:highlight w:val="none"/>
                      <w:lang w:val="en-US" w:eastAsia="zh-CN"/>
                    </w:rPr>
                  </w:pPr>
                  <w:r>
                    <w:rPr>
                      <w:rFonts w:hint="eastAsia"/>
                      <w:color w:val="auto"/>
                      <w:kern w:val="0"/>
                      <w:szCs w:val="21"/>
                      <w:highlight w:val="none"/>
                      <w:lang w:val="en-US" w:eastAsia="zh-CN"/>
                    </w:rPr>
                    <w:t>生活污水经化粪池预处理后排入园区污水管网，通过市政污水管网进入江北污水处理厂。设备清洗废水自然蒸发后剩余的少量油墨废渣做危废处理</w:t>
                  </w:r>
                </w:p>
              </w:tc>
              <w:tc>
                <w:tcPr>
                  <w:tcW w:w="1503" w:type="dxa"/>
                  <w:tcBorders>
                    <w:tl2br w:val="nil"/>
                    <w:tr2bl w:val="nil"/>
                  </w:tcBorders>
                  <w:noWrap w:val="0"/>
                  <w:vAlign w:val="center"/>
                </w:tcPr>
                <w:p>
                  <w:pPr>
                    <w:jc w:val="center"/>
                    <w:rPr>
                      <w:rFonts w:hint="default"/>
                      <w:color w:val="auto"/>
                      <w:kern w:val="0"/>
                      <w:szCs w:val="21"/>
                      <w:highlight w:val="none"/>
                      <w:lang w:val="en-US" w:eastAsia="zh-CN"/>
                    </w:rPr>
                  </w:pPr>
                  <w:r>
                    <w:rPr>
                      <w:rFonts w:hint="eastAsia"/>
                      <w:color w:val="auto"/>
                      <w:kern w:val="0"/>
                      <w:szCs w:val="21"/>
                      <w:highlight w:val="none"/>
                      <w:lang w:val="en-US" w:eastAsia="zh-CN"/>
                    </w:rPr>
                    <w:t>印刷机需定期清洗，产生的清洗废水经自然蒸发后剩余的油墨废渣做危废处理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continue"/>
                  <w:tcBorders>
                    <w:tl2br w:val="nil"/>
                    <w:tr2bl w:val="nil"/>
                  </w:tcBorders>
                  <w:noWrap w:val="0"/>
                  <w:vAlign w:val="center"/>
                </w:tcPr>
                <w:p>
                  <w:pPr>
                    <w:jc w:val="center"/>
                    <w:rPr>
                      <w:color w:val="auto"/>
                      <w:kern w:val="0"/>
                      <w:szCs w:val="21"/>
                      <w:highlight w:val="none"/>
                    </w:rPr>
                  </w:pPr>
                </w:p>
              </w:tc>
              <w:tc>
                <w:tcPr>
                  <w:tcW w:w="896" w:type="dxa"/>
                  <w:tcBorders>
                    <w:tl2br w:val="nil"/>
                    <w:tr2bl w:val="nil"/>
                  </w:tcBorders>
                  <w:noWrap w:val="0"/>
                  <w:vAlign w:val="center"/>
                </w:tcPr>
                <w:p>
                  <w:pPr>
                    <w:widowControl/>
                    <w:jc w:val="center"/>
                    <w:rPr>
                      <w:rFonts w:hAnsi="宋体"/>
                      <w:color w:val="auto"/>
                      <w:szCs w:val="21"/>
                      <w:highlight w:val="none"/>
                    </w:rPr>
                  </w:pPr>
                  <w:r>
                    <w:rPr>
                      <w:rFonts w:hAnsi="宋体"/>
                      <w:color w:val="auto"/>
                      <w:szCs w:val="21"/>
                      <w:highlight w:val="none"/>
                    </w:rPr>
                    <w:t>噪声</w:t>
                  </w:r>
                </w:p>
                <w:p>
                  <w:pPr>
                    <w:widowControl/>
                    <w:jc w:val="center"/>
                    <w:rPr>
                      <w:rFonts w:hint="eastAsia"/>
                      <w:color w:val="auto"/>
                      <w:kern w:val="0"/>
                      <w:szCs w:val="21"/>
                      <w:highlight w:val="none"/>
                    </w:rPr>
                  </w:pPr>
                  <w:r>
                    <w:rPr>
                      <w:rFonts w:hAnsi="宋体"/>
                      <w:color w:val="auto"/>
                      <w:szCs w:val="21"/>
                      <w:highlight w:val="none"/>
                    </w:rPr>
                    <w:t>治理</w:t>
                  </w:r>
                </w:p>
              </w:tc>
              <w:tc>
                <w:tcPr>
                  <w:tcW w:w="2831" w:type="dxa"/>
                  <w:tcBorders>
                    <w:tl2br w:val="nil"/>
                    <w:tr2bl w:val="nil"/>
                  </w:tcBorders>
                  <w:noWrap w:val="0"/>
                  <w:vAlign w:val="center"/>
                </w:tcPr>
                <w:p>
                  <w:pPr>
                    <w:widowControl/>
                    <w:jc w:val="center"/>
                    <w:rPr>
                      <w:rFonts w:hint="eastAsia" w:hAnsi="宋体"/>
                      <w:color w:val="auto"/>
                      <w:szCs w:val="21"/>
                      <w:highlight w:val="none"/>
                    </w:rPr>
                  </w:pPr>
                  <w:r>
                    <w:rPr>
                      <w:rFonts w:hint="eastAsia" w:hAnsi="宋体"/>
                      <w:color w:val="auto"/>
                      <w:szCs w:val="21"/>
                      <w:highlight w:val="none"/>
                      <w:lang w:val="en-US" w:eastAsia="zh-CN"/>
                    </w:rPr>
                    <w:t>选用低噪声设备，并采取相应隔声降噪措施</w:t>
                  </w:r>
                </w:p>
              </w:tc>
              <w:tc>
                <w:tcPr>
                  <w:tcW w:w="2805" w:type="dxa"/>
                  <w:tcBorders>
                    <w:tl2br w:val="nil"/>
                    <w:tr2bl w:val="nil"/>
                  </w:tcBorders>
                  <w:noWrap w:val="0"/>
                  <w:vAlign w:val="center"/>
                </w:tcPr>
                <w:p>
                  <w:pPr>
                    <w:widowControl/>
                    <w:jc w:val="center"/>
                    <w:rPr>
                      <w:rFonts w:hint="eastAsia" w:hAnsi="宋体"/>
                      <w:color w:val="auto"/>
                      <w:szCs w:val="21"/>
                      <w:highlight w:val="none"/>
                      <w:lang w:val="en-US" w:eastAsia="zh-CN"/>
                    </w:rPr>
                  </w:pPr>
                  <w:r>
                    <w:rPr>
                      <w:rFonts w:hint="eastAsia" w:hAnsi="宋体"/>
                      <w:color w:val="auto"/>
                      <w:szCs w:val="21"/>
                      <w:highlight w:val="none"/>
                      <w:lang w:val="en-US" w:eastAsia="zh-CN"/>
                    </w:rPr>
                    <w:t>选用低噪声设备，并采取相应隔声降噪措施</w:t>
                  </w:r>
                </w:p>
              </w:tc>
              <w:tc>
                <w:tcPr>
                  <w:tcW w:w="1503" w:type="dxa"/>
                  <w:tcBorders>
                    <w:tl2br w:val="nil"/>
                    <w:tr2bl w:val="nil"/>
                  </w:tcBorders>
                  <w:noWrap w:val="0"/>
                  <w:vAlign w:val="center"/>
                </w:tcPr>
                <w:p>
                  <w:pPr>
                    <w:widowControl/>
                    <w:jc w:val="center"/>
                    <w:rPr>
                      <w:rFonts w:hint="eastAsia" w:hAnsi="宋体"/>
                      <w:color w:val="auto"/>
                      <w:szCs w:val="21"/>
                      <w:highlight w:val="none"/>
                      <w:lang w:val="en-US" w:eastAsia="zh-CN"/>
                    </w:rPr>
                  </w:pPr>
                  <w:r>
                    <w:rPr>
                      <w:rFonts w:hint="eastAsia" w:hAnsi="宋体"/>
                      <w:color w:val="auto"/>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continue"/>
                  <w:tcBorders>
                    <w:tl2br w:val="nil"/>
                    <w:tr2bl w:val="nil"/>
                  </w:tcBorders>
                  <w:noWrap w:val="0"/>
                  <w:vAlign w:val="center"/>
                </w:tcPr>
                <w:p>
                  <w:pPr>
                    <w:jc w:val="center"/>
                    <w:rPr>
                      <w:color w:val="auto"/>
                      <w:kern w:val="0"/>
                      <w:szCs w:val="21"/>
                      <w:highlight w:val="none"/>
                    </w:rPr>
                  </w:pPr>
                </w:p>
              </w:tc>
              <w:tc>
                <w:tcPr>
                  <w:tcW w:w="896" w:type="dxa"/>
                  <w:vMerge w:val="restart"/>
                  <w:tcBorders>
                    <w:tl2br w:val="nil"/>
                    <w:tr2bl w:val="nil"/>
                  </w:tcBorders>
                  <w:noWrap w:val="0"/>
                  <w:vAlign w:val="center"/>
                </w:tcPr>
                <w:p>
                  <w:pPr>
                    <w:widowControl/>
                    <w:jc w:val="center"/>
                    <w:rPr>
                      <w:rFonts w:hAnsi="宋体"/>
                      <w:color w:val="auto"/>
                      <w:szCs w:val="21"/>
                      <w:highlight w:val="none"/>
                    </w:rPr>
                  </w:pPr>
                  <w:r>
                    <w:rPr>
                      <w:rFonts w:hAnsi="宋体"/>
                      <w:color w:val="auto"/>
                      <w:szCs w:val="21"/>
                      <w:highlight w:val="none"/>
                    </w:rPr>
                    <w:t>固废</w:t>
                  </w:r>
                </w:p>
                <w:p>
                  <w:pPr>
                    <w:widowControl/>
                    <w:jc w:val="center"/>
                    <w:rPr>
                      <w:rFonts w:hint="eastAsia"/>
                      <w:color w:val="auto"/>
                      <w:kern w:val="0"/>
                      <w:szCs w:val="21"/>
                      <w:highlight w:val="none"/>
                    </w:rPr>
                  </w:pPr>
                  <w:r>
                    <w:rPr>
                      <w:rFonts w:hAnsi="宋体"/>
                      <w:color w:val="auto"/>
                      <w:szCs w:val="21"/>
                      <w:highlight w:val="none"/>
                    </w:rPr>
                    <w:t>处理</w:t>
                  </w:r>
                </w:p>
              </w:tc>
              <w:tc>
                <w:tcPr>
                  <w:tcW w:w="2831" w:type="dxa"/>
                  <w:tcBorders>
                    <w:tl2br w:val="nil"/>
                    <w:tr2bl w:val="nil"/>
                  </w:tcBorders>
                  <w:noWrap w:val="0"/>
                  <w:vAlign w:val="center"/>
                </w:tcPr>
                <w:p>
                  <w:pPr>
                    <w:widowControl/>
                    <w:jc w:val="center"/>
                    <w:rPr>
                      <w:rFonts w:hint="eastAsia" w:hAnsi="宋体" w:eastAsia="宋体"/>
                      <w:color w:val="auto"/>
                      <w:szCs w:val="21"/>
                      <w:highlight w:val="none"/>
                      <w:lang w:val="en-US" w:eastAsia="zh-CN"/>
                    </w:rPr>
                  </w:pPr>
                  <w:r>
                    <w:rPr>
                      <w:rFonts w:hint="eastAsia" w:hAnsi="宋体" w:eastAsia="宋体"/>
                      <w:color w:val="auto"/>
                      <w:szCs w:val="21"/>
                      <w:highlight w:val="none"/>
                      <w:lang w:val="en-US" w:eastAsia="zh-CN"/>
                    </w:rPr>
                    <w:t>一般固废堆放场所</w:t>
                  </w:r>
                  <w:r>
                    <w:rPr>
                      <w:rFonts w:hint="eastAsia" w:hAnsi="宋体"/>
                      <w:color w:val="auto"/>
                      <w:szCs w:val="21"/>
                      <w:highlight w:val="none"/>
                      <w:lang w:val="en-US" w:eastAsia="zh-CN"/>
                    </w:rPr>
                    <w:t>、占地面积10 m</w:t>
                  </w:r>
                  <w:r>
                    <w:rPr>
                      <w:rFonts w:hint="eastAsia" w:hAnsi="宋体"/>
                      <w:color w:val="auto"/>
                      <w:szCs w:val="21"/>
                      <w:highlight w:val="none"/>
                      <w:vertAlign w:val="superscript"/>
                      <w:lang w:val="en-US" w:eastAsia="zh-CN"/>
                    </w:rPr>
                    <w:t>2</w:t>
                  </w:r>
                </w:p>
              </w:tc>
              <w:tc>
                <w:tcPr>
                  <w:tcW w:w="2805" w:type="dxa"/>
                  <w:tcBorders>
                    <w:tl2br w:val="nil"/>
                    <w:tr2bl w:val="nil"/>
                  </w:tcBorders>
                  <w:noWrap w:val="0"/>
                  <w:vAlign w:val="center"/>
                </w:tcPr>
                <w:p>
                  <w:pPr>
                    <w:widowControl/>
                    <w:jc w:val="center"/>
                    <w:rPr>
                      <w:rFonts w:hint="eastAsia" w:hAnsi="宋体"/>
                      <w:color w:val="auto"/>
                      <w:szCs w:val="21"/>
                      <w:highlight w:val="none"/>
                    </w:rPr>
                  </w:pPr>
                  <w:r>
                    <w:rPr>
                      <w:rFonts w:hint="eastAsia" w:hAnsi="宋体" w:eastAsia="宋体"/>
                      <w:color w:val="auto"/>
                      <w:szCs w:val="21"/>
                      <w:highlight w:val="none"/>
                      <w:lang w:val="en-US" w:eastAsia="zh-CN"/>
                    </w:rPr>
                    <w:t>一般固废堆放场所</w:t>
                  </w:r>
                  <w:r>
                    <w:rPr>
                      <w:rFonts w:hint="eastAsia" w:hAnsi="宋体"/>
                      <w:color w:val="auto"/>
                      <w:szCs w:val="21"/>
                      <w:highlight w:val="none"/>
                      <w:lang w:val="en-US" w:eastAsia="zh-CN"/>
                    </w:rPr>
                    <w:t>、占地面积10 m</w:t>
                  </w:r>
                  <w:r>
                    <w:rPr>
                      <w:rFonts w:hint="eastAsia" w:hAnsi="宋体"/>
                      <w:color w:val="auto"/>
                      <w:szCs w:val="21"/>
                      <w:highlight w:val="none"/>
                      <w:vertAlign w:val="superscript"/>
                      <w:lang w:val="en-US" w:eastAsia="zh-CN"/>
                    </w:rPr>
                    <w:t>2</w:t>
                  </w:r>
                </w:p>
              </w:tc>
              <w:tc>
                <w:tcPr>
                  <w:tcW w:w="1503" w:type="dxa"/>
                  <w:tcBorders>
                    <w:tl2br w:val="nil"/>
                    <w:tr2bl w:val="nil"/>
                  </w:tcBorders>
                  <w:noWrap w:val="0"/>
                  <w:vAlign w:val="center"/>
                </w:tcPr>
                <w:p>
                  <w:pPr>
                    <w:widowControl/>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82" w:type="dxa"/>
                  <w:vMerge w:val="continue"/>
                  <w:tcBorders>
                    <w:tl2br w:val="nil"/>
                    <w:tr2bl w:val="nil"/>
                  </w:tcBorders>
                  <w:noWrap w:val="0"/>
                  <w:vAlign w:val="center"/>
                </w:tcPr>
                <w:p>
                  <w:pPr>
                    <w:jc w:val="center"/>
                    <w:rPr>
                      <w:color w:val="auto"/>
                      <w:kern w:val="0"/>
                      <w:szCs w:val="21"/>
                      <w:highlight w:val="none"/>
                    </w:rPr>
                  </w:pPr>
                </w:p>
              </w:tc>
              <w:tc>
                <w:tcPr>
                  <w:tcW w:w="896" w:type="dxa"/>
                  <w:vMerge w:val="continue"/>
                  <w:tcBorders>
                    <w:tl2br w:val="nil"/>
                    <w:tr2bl w:val="nil"/>
                  </w:tcBorders>
                  <w:noWrap w:val="0"/>
                  <w:vAlign w:val="center"/>
                </w:tcPr>
                <w:p>
                  <w:pPr>
                    <w:widowControl/>
                    <w:jc w:val="center"/>
                    <w:rPr>
                      <w:rFonts w:hAnsi="宋体"/>
                      <w:color w:val="auto"/>
                      <w:szCs w:val="21"/>
                      <w:highlight w:val="none"/>
                    </w:rPr>
                  </w:pPr>
                </w:p>
              </w:tc>
              <w:tc>
                <w:tcPr>
                  <w:tcW w:w="2831" w:type="dxa"/>
                  <w:tcBorders>
                    <w:tl2br w:val="nil"/>
                    <w:tr2bl w:val="nil"/>
                  </w:tcBorders>
                  <w:noWrap w:val="0"/>
                  <w:vAlign w:val="center"/>
                </w:tcPr>
                <w:p>
                  <w:pPr>
                    <w:widowControl/>
                    <w:jc w:val="center"/>
                    <w:rPr>
                      <w:rFonts w:hint="eastAsia" w:hAnsi="宋体"/>
                      <w:color w:val="auto"/>
                      <w:szCs w:val="21"/>
                      <w:highlight w:val="none"/>
                    </w:rPr>
                  </w:pPr>
                  <w:r>
                    <w:rPr>
                      <w:rFonts w:hint="eastAsia" w:hAnsi="宋体"/>
                      <w:color w:val="auto"/>
                      <w:szCs w:val="21"/>
                      <w:highlight w:val="none"/>
                      <w:lang w:val="en-US" w:eastAsia="zh-CN"/>
                    </w:rPr>
                    <w:t>危废暂存点、占地面积5 m</w:t>
                  </w:r>
                  <w:r>
                    <w:rPr>
                      <w:rFonts w:hint="eastAsia" w:hAnsi="宋体"/>
                      <w:color w:val="auto"/>
                      <w:szCs w:val="21"/>
                      <w:highlight w:val="none"/>
                      <w:vertAlign w:val="superscript"/>
                      <w:lang w:val="en-US" w:eastAsia="zh-CN"/>
                    </w:rPr>
                    <w:t>2</w:t>
                  </w:r>
                </w:p>
              </w:tc>
              <w:tc>
                <w:tcPr>
                  <w:tcW w:w="2805" w:type="dxa"/>
                  <w:tcBorders>
                    <w:tl2br w:val="nil"/>
                    <w:tr2bl w:val="nil"/>
                  </w:tcBorders>
                  <w:noWrap w:val="0"/>
                  <w:vAlign w:val="center"/>
                </w:tcPr>
                <w:p>
                  <w:pPr>
                    <w:widowControl/>
                    <w:jc w:val="center"/>
                    <w:rPr>
                      <w:rFonts w:hint="eastAsia" w:hAnsi="宋体" w:eastAsia="宋体"/>
                      <w:color w:val="auto"/>
                      <w:szCs w:val="21"/>
                      <w:highlight w:val="none"/>
                      <w:lang w:val="en-US" w:eastAsia="zh-CN"/>
                    </w:rPr>
                  </w:pPr>
                  <w:r>
                    <w:rPr>
                      <w:rFonts w:hint="eastAsia" w:hAnsi="宋体"/>
                      <w:color w:val="auto"/>
                      <w:szCs w:val="21"/>
                      <w:highlight w:val="none"/>
                      <w:lang w:val="en-US" w:eastAsia="zh-CN"/>
                    </w:rPr>
                    <w:t>危废暂存点、占地面积5 m</w:t>
                  </w:r>
                  <w:r>
                    <w:rPr>
                      <w:rFonts w:hint="eastAsia" w:hAnsi="宋体"/>
                      <w:color w:val="auto"/>
                      <w:szCs w:val="21"/>
                      <w:highlight w:val="none"/>
                      <w:vertAlign w:val="superscript"/>
                      <w:lang w:val="en-US" w:eastAsia="zh-CN"/>
                    </w:rPr>
                    <w:t>2</w:t>
                  </w:r>
                </w:p>
              </w:tc>
              <w:tc>
                <w:tcPr>
                  <w:tcW w:w="1503" w:type="dxa"/>
                  <w:tcBorders>
                    <w:tl2br w:val="nil"/>
                    <w:tr2bl w:val="nil"/>
                  </w:tcBorders>
                  <w:noWrap w:val="0"/>
                  <w:vAlign w:val="center"/>
                </w:tcPr>
                <w:p>
                  <w:pPr>
                    <w:widowControl/>
                    <w:jc w:val="center"/>
                    <w:rPr>
                      <w:rFonts w:hint="default" w:hAnsi="宋体" w:eastAsia="宋体"/>
                      <w:color w:val="auto"/>
                      <w:szCs w:val="21"/>
                      <w:highlight w:val="none"/>
                      <w:lang w:val="en-US" w:eastAsia="zh-CN"/>
                    </w:rPr>
                  </w:pPr>
                  <w:r>
                    <w:rPr>
                      <w:rFonts w:hint="eastAsia" w:hAnsi="宋体"/>
                      <w:color w:val="auto"/>
                      <w:szCs w:val="21"/>
                      <w:highlight w:val="none"/>
                      <w:lang w:val="en-US" w:eastAsia="zh-CN"/>
                    </w:rPr>
                    <w:t>由成品暂存区转移至办公室南侧</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原辅材料消耗及水平衡：</w:t>
            </w:r>
          </w:p>
          <w:p>
            <w:pPr>
              <w:spacing w:line="360" w:lineRule="auto"/>
              <w:jc w:val="left"/>
              <w:rPr>
                <w:rFonts w:ascii="宋体" w:hAnsi="宋体"/>
                <w:b/>
                <w:sz w:val="28"/>
                <w:szCs w:val="28"/>
              </w:rPr>
            </w:pPr>
            <w:r>
              <w:rPr>
                <w:rFonts w:hint="eastAsia" w:ascii="宋体" w:hAnsi="宋体"/>
                <w:b/>
                <w:sz w:val="28"/>
                <w:szCs w:val="28"/>
              </w:rPr>
              <w:t>1、主要原辅材料</w:t>
            </w:r>
          </w:p>
          <w:p>
            <w:pPr>
              <w:spacing w:line="360" w:lineRule="auto"/>
              <w:jc w:val="center"/>
              <w:rPr>
                <w:rFonts w:hint="eastAsia" w:ascii="宋体" w:hAnsi="宋体"/>
                <w:b/>
                <w:sz w:val="24"/>
              </w:rPr>
            </w:pPr>
            <w:r>
              <w:rPr>
                <w:rFonts w:hint="eastAsia" w:ascii="宋体" w:hAnsi="宋体"/>
                <w:b/>
                <w:sz w:val="24"/>
              </w:rPr>
              <w:t>表2</w:t>
            </w:r>
            <w:r>
              <w:rPr>
                <w:rFonts w:ascii="宋体" w:hAnsi="宋体"/>
                <w:b/>
                <w:sz w:val="24"/>
              </w:rPr>
              <w:t>-2</w:t>
            </w:r>
            <w:r>
              <w:rPr>
                <w:rFonts w:hint="eastAsia" w:ascii="宋体" w:hAnsi="宋体"/>
                <w:b/>
                <w:sz w:val="24"/>
              </w:rPr>
              <w:tab/>
            </w:r>
            <w:bookmarkStart w:id="2" w:name="_Hlk22905799"/>
            <w:r>
              <w:rPr>
                <w:rFonts w:hint="eastAsia" w:ascii="宋体" w:hAnsi="宋体"/>
                <w:b/>
                <w:sz w:val="24"/>
              </w:rPr>
              <w:t>项目原辅材料</w:t>
            </w:r>
            <w:bookmarkEnd w:id="2"/>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364"/>
              <w:gridCol w:w="1960"/>
              <w:gridCol w:w="1418"/>
              <w:gridCol w:w="1273"/>
              <w:gridCol w:w="19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78" w:type="dxa"/>
                  <w:tcBorders>
                    <w:tl2br w:val="nil"/>
                    <w:tr2bl w:val="nil"/>
                  </w:tcBorders>
                  <w:noWrap w:val="0"/>
                  <w:vAlign w:val="center"/>
                </w:tcPr>
                <w:p>
                  <w:pPr>
                    <w:pStyle w:val="147"/>
                    <w:ind w:firstLine="0" w:firstLineChars="0"/>
                    <w:jc w:val="center"/>
                    <w:rPr>
                      <w:b/>
                      <w:bCs/>
                      <w:color w:val="auto"/>
                      <w:sz w:val="21"/>
                      <w:szCs w:val="21"/>
                      <w:highlight w:val="none"/>
                    </w:rPr>
                  </w:pPr>
                  <w:r>
                    <w:rPr>
                      <w:rFonts w:hint="eastAsia"/>
                      <w:b/>
                      <w:bCs/>
                      <w:color w:val="auto"/>
                      <w:sz w:val="21"/>
                      <w:szCs w:val="21"/>
                      <w:highlight w:val="none"/>
                    </w:rPr>
                    <w:t>序号</w:t>
                  </w:r>
                </w:p>
              </w:tc>
              <w:tc>
                <w:tcPr>
                  <w:tcW w:w="1364" w:type="dxa"/>
                  <w:tcBorders>
                    <w:tl2br w:val="nil"/>
                    <w:tr2bl w:val="nil"/>
                  </w:tcBorders>
                  <w:noWrap w:val="0"/>
                  <w:vAlign w:val="center"/>
                </w:tcPr>
                <w:p>
                  <w:pPr>
                    <w:pStyle w:val="147"/>
                    <w:ind w:firstLine="0" w:firstLineChars="0"/>
                    <w:jc w:val="center"/>
                    <w:rPr>
                      <w:b/>
                      <w:bCs/>
                      <w:color w:val="auto"/>
                      <w:sz w:val="21"/>
                      <w:szCs w:val="21"/>
                      <w:highlight w:val="none"/>
                    </w:rPr>
                  </w:pPr>
                  <w:r>
                    <w:rPr>
                      <w:rFonts w:hint="eastAsia"/>
                      <w:b/>
                      <w:bCs/>
                      <w:color w:val="auto"/>
                      <w:sz w:val="21"/>
                      <w:szCs w:val="21"/>
                      <w:highlight w:val="none"/>
                    </w:rPr>
                    <w:t>名称</w:t>
                  </w:r>
                </w:p>
              </w:tc>
              <w:tc>
                <w:tcPr>
                  <w:tcW w:w="1960" w:type="dxa"/>
                  <w:tcBorders>
                    <w:tl2br w:val="nil"/>
                    <w:tr2bl w:val="nil"/>
                  </w:tcBorders>
                  <w:noWrap w:val="0"/>
                  <w:vAlign w:val="center"/>
                </w:tcPr>
                <w:p>
                  <w:pPr>
                    <w:pStyle w:val="147"/>
                    <w:ind w:firstLine="0" w:firstLineChars="0"/>
                    <w:jc w:val="center"/>
                    <w:rPr>
                      <w:rFonts w:hint="eastAsia" w:eastAsia="宋体"/>
                      <w:b/>
                      <w:bCs/>
                      <w:color w:val="auto"/>
                      <w:sz w:val="21"/>
                      <w:szCs w:val="21"/>
                      <w:highlight w:val="none"/>
                      <w:lang w:val="en-US" w:eastAsia="zh-CN"/>
                    </w:rPr>
                  </w:pPr>
                  <w:r>
                    <w:rPr>
                      <w:rFonts w:hint="eastAsia"/>
                      <w:b/>
                      <w:bCs/>
                      <w:color w:val="auto"/>
                      <w:sz w:val="21"/>
                      <w:szCs w:val="21"/>
                      <w:highlight w:val="none"/>
                      <w:lang w:val="en-US" w:eastAsia="zh-CN"/>
                    </w:rPr>
                    <w:t>主要化学成分</w:t>
                  </w:r>
                </w:p>
              </w:tc>
              <w:tc>
                <w:tcPr>
                  <w:tcW w:w="1418" w:type="dxa"/>
                  <w:tcBorders>
                    <w:tl2br w:val="nil"/>
                    <w:tr2bl w:val="nil"/>
                  </w:tcBorders>
                  <w:noWrap w:val="0"/>
                  <w:vAlign w:val="center"/>
                </w:tcPr>
                <w:p>
                  <w:pPr>
                    <w:pStyle w:val="147"/>
                    <w:ind w:firstLine="0" w:firstLineChars="0"/>
                    <w:jc w:val="center"/>
                    <w:rPr>
                      <w:rFonts w:hint="default"/>
                      <w:b/>
                      <w:bCs/>
                      <w:color w:val="auto"/>
                      <w:sz w:val="21"/>
                      <w:szCs w:val="21"/>
                      <w:highlight w:val="none"/>
                      <w:lang w:val="en-US" w:eastAsia="zh-CN"/>
                    </w:rPr>
                  </w:pPr>
                  <w:r>
                    <w:rPr>
                      <w:rFonts w:hint="eastAsia"/>
                      <w:b/>
                      <w:bCs/>
                      <w:color w:val="auto"/>
                      <w:sz w:val="21"/>
                      <w:szCs w:val="21"/>
                      <w:highlight w:val="none"/>
                      <w:lang w:val="en-US" w:eastAsia="zh-CN"/>
                    </w:rPr>
                    <w:t>单位</w:t>
                  </w:r>
                </w:p>
              </w:tc>
              <w:tc>
                <w:tcPr>
                  <w:tcW w:w="1273" w:type="dxa"/>
                  <w:tcBorders>
                    <w:tl2br w:val="nil"/>
                    <w:tr2bl w:val="nil"/>
                  </w:tcBorders>
                  <w:noWrap w:val="0"/>
                  <w:vAlign w:val="center"/>
                </w:tcPr>
                <w:p>
                  <w:pPr>
                    <w:pStyle w:val="147"/>
                    <w:ind w:firstLine="0" w:firstLineChars="0"/>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环评用量</w:t>
                  </w:r>
                </w:p>
              </w:tc>
              <w:tc>
                <w:tcPr>
                  <w:tcW w:w="1945" w:type="dxa"/>
                  <w:tcBorders>
                    <w:tl2br w:val="nil"/>
                    <w:tr2bl w:val="nil"/>
                  </w:tcBorders>
                  <w:noWrap w:val="0"/>
                  <w:vAlign w:val="center"/>
                </w:tcPr>
                <w:p>
                  <w:pPr>
                    <w:pStyle w:val="147"/>
                    <w:ind w:firstLine="0" w:firstLineChars="0"/>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78" w:type="dxa"/>
                  <w:tcBorders>
                    <w:tl2br w:val="nil"/>
                    <w:tr2bl w:val="nil"/>
                  </w:tcBorders>
                  <w:noWrap w:val="0"/>
                  <w:vAlign w:val="center"/>
                </w:tcPr>
                <w:p>
                  <w:pPr>
                    <w:pStyle w:val="147"/>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1364" w:type="dxa"/>
                  <w:tcBorders>
                    <w:tl2br w:val="nil"/>
                    <w:tr2bl w:val="nil"/>
                  </w:tcBorders>
                  <w:noWrap w:val="0"/>
                  <w:vAlign w:val="center"/>
                </w:tcPr>
                <w:p>
                  <w:pPr>
                    <w:jc w:val="center"/>
                    <w:rPr>
                      <w:rFonts w:hint="eastAsia" w:eastAsia="宋体"/>
                      <w:color w:val="auto"/>
                      <w:sz w:val="21"/>
                      <w:szCs w:val="21"/>
                      <w:highlight w:val="none"/>
                      <w:lang w:eastAsia="zh-CN"/>
                    </w:rPr>
                  </w:pPr>
                  <w:r>
                    <w:rPr>
                      <w:rFonts w:hint="eastAsia" w:hAnsi="宋体"/>
                      <w:sz w:val="21"/>
                      <w:szCs w:val="21"/>
                      <w:highlight w:val="none"/>
                      <w:lang w:val="en-US" w:eastAsia="zh-CN"/>
                    </w:rPr>
                    <w:t>瓦楞纸板</w:t>
                  </w:r>
                </w:p>
              </w:tc>
              <w:tc>
                <w:tcPr>
                  <w:tcW w:w="1960" w:type="dxa"/>
                  <w:tcBorders>
                    <w:tl2br w:val="nil"/>
                    <w:tr2bl w:val="nil"/>
                  </w:tcBorders>
                  <w:noWrap w:val="0"/>
                  <w:vAlign w:val="center"/>
                </w:tcPr>
                <w:p>
                  <w:pPr>
                    <w:jc w:val="center"/>
                    <w:rPr>
                      <w:rFonts w:hint="eastAsia"/>
                      <w:sz w:val="21"/>
                      <w:szCs w:val="21"/>
                      <w:highlight w:val="none"/>
                    </w:rPr>
                  </w:pPr>
                  <w:r>
                    <w:rPr>
                      <w:rFonts w:hint="eastAsia" w:ascii="宋体" w:hAnsi="宋体" w:eastAsia="宋体" w:cs="宋体"/>
                      <w:sz w:val="21"/>
                      <w:szCs w:val="21"/>
                      <w:highlight w:val="none"/>
                      <w:lang w:val="en-US" w:eastAsia="zh-CN"/>
                    </w:rPr>
                    <w:t>/</w:t>
                  </w:r>
                </w:p>
              </w:tc>
              <w:tc>
                <w:tcPr>
                  <w:tcW w:w="1418" w:type="dxa"/>
                  <w:tcBorders>
                    <w:tl2br w:val="nil"/>
                    <w:tr2bl w:val="nil"/>
                  </w:tcBorders>
                  <w:noWrap w:val="0"/>
                  <w:vAlign w:val="center"/>
                </w:tcPr>
                <w:p>
                  <w:pPr>
                    <w:jc w:val="center"/>
                    <w:rPr>
                      <w:rFonts w:hint="eastAsia"/>
                      <w:sz w:val="21"/>
                      <w:szCs w:val="21"/>
                      <w:highlight w:val="none"/>
                      <w:lang w:val="en-US" w:eastAsia="zh-CN"/>
                    </w:rPr>
                  </w:pPr>
                  <w:r>
                    <w:rPr>
                      <w:rFonts w:hint="eastAsia"/>
                      <w:sz w:val="21"/>
                      <w:szCs w:val="21"/>
                      <w:highlight w:val="none"/>
                      <w:lang w:val="en-US" w:eastAsia="zh-CN"/>
                    </w:rPr>
                    <w:t>t/a</w:t>
                  </w:r>
                </w:p>
              </w:tc>
              <w:tc>
                <w:tcPr>
                  <w:tcW w:w="1273" w:type="dxa"/>
                  <w:tcBorders>
                    <w:tl2br w:val="nil"/>
                    <w:tr2bl w:val="nil"/>
                  </w:tcBorders>
                  <w:noWrap w:val="0"/>
                  <w:vAlign w:val="center"/>
                </w:tcPr>
                <w:p>
                  <w:pPr>
                    <w:jc w:val="center"/>
                    <w:rPr>
                      <w:rFonts w:hint="eastAsia" w:ascii="宋体" w:hAnsi="宋体" w:eastAsia="宋体" w:cs="宋体"/>
                      <w:sz w:val="21"/>
                      <w:szCs w:val="21"/>
                      <w:highlight w:val="none"/>
                      <w:lang w:val="en-US" w:eastAsia="zh-CN"/>
                    </w:rPr>
                  </w:pPr>
                  <w:r>
                    <w:rPr>
                      <w:rFonts w:hint="eastAsia"/>
                      <w:sz w:val="21"/>
                      <w:szCs w:val="21"/>
                      <w:highlight w:val="none"/>
                      <w:lang w:val="en-US" w:eastAsia="zh-CN"/>
                    </w:rPr>
                    <w:t xml:space="preserve">180 </w:t>
                  </w:r>
                </w:p>
              </w:tc>
              <w:tc>
                <w:tcPr>
                  <w:tcW w:w="1945" w:type="dxa"/>
                  <w:tcBorders>
                    <w:tl2br w:val="nil"/>
                    <w:tr2bl w:val="nil"/>
                  </w:tcBorders>
                  <w:noWrap w:val="0"/>
                  <w:vAlign w:val="center"/>
                </w:tcPr>
                <w:p>
                  <w:pPr>
                    <w:jc w:val="center"/>
                    <w:rPr>
                      <w:rFonts w:hint="eastAsia"/>
                      <w:sz w:val="21"/>
                      <w:szCs w:val="21"/>
                      <w:highlight w:val="none"/>
                      <w:lang w:val="en-US" w:eastAsia="zh-CN"/>
                    </w:rPr>
                  </w:pPr>
                  <w:r>
                    <w:rPr>
                      <w:rFonts w:hint="eastAsia" w:ascii="Times New Roman" w:hAnsi="Times New Roman" w:eastAsia="宋体" w:cs="Times New Roman"/>
                      <w:sz w:val="21"/>
                      <w:szCs w:val="21"/>
                      <w:highlight w:val="none"/>
                      <w:lang w:val="en-US" w:eastAsia="zh-CN"/>
                    </w:rPr>
                    <w:t>144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678" w:type="dxa"/>
                  <w:tcBorders>
                    <w:tl2br w:val="nil"/>
                    <w:tr2bl w:val="nil"/>
                  </w:tcBorders>
                  <w:noWrap w:val="0"/>
                  <w:vAlign w:val="center"/>
                </w:tcPr>
                <w:p>
                  <w:pPr>
                    <w:pStyle w:val="147"/>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1364" w:type="dxa"/>
                  <w:tcBorders>
                    <w:tl2br w:val="nil"/>
                    <w:tr2bl w:val="nil"/>
                  </w:tcBorders>
                  <w:noWrap w:val="0"/>
                  <w:vAlign w:val="center"/>
                </w:tcPr>
                <w:p>
                  <w:pPr>
                    <w:jc w:val="center"/>
                    <w:rPr>
                      <w:rFonts w:hint="eastAsia" w:eastAsia="宋体"/>
                      <w:color w:val="auto"/>
                      <w:sz w:val="21"/>
                      <w:szCs w:val="21"/>
                      <w:highlight w:val="none"/>
                      <w:lang w:eastAsia="zh-CN"/>
                    </w:rPr>
                  </w:pPr>
                  <w:r>
                    <w:rPr>
                      <w:rFonts w:hint="eastAsia" w:hAnsi="宋体"/>
                      <w:sz w:val="21"/>
                      <w:szCs w:val="21"/>
                      <w:highlight w:val="none"/>
                      <w:lang w:val="en-US" w:eastAsia="zh-CN"/>
                    </w:rPr>
                    <w:t>水性油墨</w:t>
                  </w:r>
                </w:p>
              </w:tc>
              <w:tc>
                <w:tcPr>
                  <w:tcW w:w="1960" w:type="dxa"/>
                  <w:tcBorders>
                    <w:tl2br w:val="nil"/>
                    <w:tr2bl w:val="nil"/>
                  </w:tcBorders>
                  <w:noWrap w:val="0"/>
                  <w:vAlign w:val="center"/>
                </w:tcPr>
                <w:p>
                  <w:pPr>
                    <w:jc w:val="center"/>
                    <w:rPr>
                      <w:rFonts w:hint="eastAsia"/>
                      <w:sz w:val="21"/>
                      <w:szCs w:val="21"/>
                      <w:highlight w:val="none"/>
                    </w:rPr>
                  </w:pPr>
                  <w:r>
                    <w:rPr>
                      <w:rFonts w:hint="eastAsia" w:ascii="宋体" w:hAnsi="宋体" w:eastAsia="宋体" w:cs="宋体"/>
                      <w:sz w:val="21"/>
                      <w:szCs w:val="21"/>
                      <w:highlight w:val="none"/>
                      <w:lang w:val="en-US" w:eastAsia="zh-CN"/>
                    </w:rPr>
                    <w:t>高分子乳液、颜料、表面活性剂、水、其他添加剂</w:t>
                  </w:r>
                </w:p>
              </w:tc>
              <w:tc>
                <w:tcPr>
                  <w:tcW w:w="1418" w:type="dxa"/>
                  <w:tcBorders>
                    <w:tl2br w:val="nil"/>
                    <w:tr2bl w:val="nil"/>
                  </w:tcBorders>
                  <w:noWrap w:val="0"/>
                  <w:vAlign w:val="center"/>
                </w:tcPr>
                <w:p>
                  <w:pPr>
                    <w:jc w:val="center"/>
                    <w:rPr>
                      <w:rFonts w:hint="eastAsia"/>
                      <w:sz w:val="21"/>
                      <w:szCs w:val="21"/>
                      <w:highlight w:val="none"/>
                      <w:lang w:val="en-US" w:eastAsia="zh-CN"/>
                    </w:rPr>
                  </w:pPr>
                  <w:r>
                    <w:rPr>
                      <w:rFonts w:hint="eastAsia"/>
                      <w:sz w:val="21"/>
                      <w:szCs w:val="21"/>
                      <w:highlight w:val="none"/>
                      <w:lang w:val="en-US" w:eastAsia="zh-CN"/>
                    </w:rPr>
                    <w:t>t/a</w:t>
                  </w:r>
                </w:p>
              </w:tc>
              <w:tc>
                <w:tcPr>
                  <w:tcW w:w="1273" w:type="dxa"/>
                  <w:tcBorders>
                    <w:tl2br w:val="nil"/>
                    <w:tr2bl w:val="nil"/>
                  </w:tcBorders>
                  <w:noWrap w:val="0"/>
                  <w:vAlign w:val="center"/>
                </w:tcPr>
                <w:p>
                  <w:pPr>
                    <w:jc w:val="center"/>
                    <w:rPr>
                      <w:rFonts w:hint="eastAsia" w:ascii="宋体" w:hAnsi="宋体" w:eastAsia="宋体" w:cs="宋体"/>
                      <w:sz w:val="21"/>
                      <w:szCs w:val="21"/>
                      <w:highlight w:val="none"/>
                      <w:lang w:val="en-US" w:eastAsia="zh-CN"/>
                    </w:rPr>
                  </w:pPr>
                  <w:r>
                    <w:rPr>
                      <w:rFonts w:hint="eastAsia"/>
                      <w:sz w:val="21"/>
                      <w:szCs w:val="21"/>
                      <w:highlight w:val="none"/>
                      <w:lang w:val="en-US" w:eastAsia="zh-CN"/>
                    </w:rPr>
                    <w:t xml:space="preserve">0.1 </w:t>
                  </w:r>
                </w:p>
              </w:tc>
              <w:tc>
                <w:tcPr>
                  <w:tcW w:w="1945" w:type="dxa"/>
                  <w:tcBorders>
                    <w:tl2br w:val="nil"/>
                    <w:tr2bl w:val="nil"/>
                  </w:tcBorders>
                  <w:noWrap w:val="0"/>
                  <w:vAlign w:val="center"/>
                </w:tcPr>
                <w:p>
                  <w:pPr>
                    <w:jc w:val="center"/>
                    <w:rPr>
                      <w:rFonts w:hint="default"/>
                      <w:sz w:val="21"/>
                      <w:szCs w:val="21"/>
                      <w:highlight w:val="none"/>
                      <w:lang w:val="en-US" w:eastAsia="zh-CN"/>
                    </w:rPr>
                  </w:pPr>
                  <w:bookmarkStart w:id="11" w:name="_GoBack"/>
                  <w:r>
                    <w:rPr>
                      <w:rFonts w:hint="eastAsia" w:cs="Times New Roman"/>
                      <w:sz w:val="21"/>
                      <w:szCs w:val="21"/>
                      <w:highlight w:val="none"/>
                      <w:lang w:val="en-US" w:eastAsia="zh-CN"/>
                    </w:rPr>
                    <w:t>3.5</w:t>
                  </w:r>
                  <w:bookmarkEnd w:id="11"/>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4" w:hRule="atLeast"/>
                <w:jc w:val="center"/>
              </w:trPr>
              <w:tc>
                <w:tcPr>
                  <w:tcW w:w="678" w:type="dxa"/>
                  <w:tcBorders>
                    <w:tl2br w:val="nil"/>
                    <w:tr2bl w:val="nil"/>
                  </w:tcBorders>
                  <w:noWrap w:val="0"/>
                  <w:vAlign w:val="center"/>
                </w:tcPr>
                <w:p>
                  <w:pPr>
                    <w:pStyle w:val="147"/>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p>
              </w:tc>
              <w:tc>
                <w:tcPr>
                  <w:tcW w:w="1364" w:type="dxa"/>
                  <w:tcBorders>
                    <w:tl2br w:val="nil"/>
                    <w:tr2bl w:val="nil"/>
                  </w:tcBorders>
                  <w:noWrap w:val="0"/>
                  <w:vAlign w:val="center"/>
                </w:tcPr>
                <w:p>
                  <w:pPr>
                    <w:jc w:val="center"/>
                    <w:rPr>
                      <w:rFonts w:hint="eastAsia" w:eastAsia="宋体"/>
                      <w:color w:val="auto"/>
                      <w:sz w:val="21"/>
                      <w:szCs w:val="21"/>
                      <w:highlight w:val="none"/>
                      <w:lang w:eastAsia="zh-CN"/>
                    </w:rPr>
                  </w:pPr>
                  <w:r>
                    <w:rPr>
                      <w:rFonts w:hint="eastAsia"/>
                      <w:sz w:val="21"/>
                      <w:szCs w:val="21"/>
                      <w:highlight w:val="none"/>
                      <w:lang w:val="en-US" w:eastAsia="zh-CN"/>
                    </w:rPr>
                    <w:t>钉子</w:t>
                  </w:r>
                </w:p>
              </w:tc>
              <w:tc>
                <w:tcPr>
                  <w:tcW w:w="1960" w:type="dxa"/>
                  <w:tcBorders>
                    <w:tl2br w:val="nil"/>
                    <w:tr2bl w:val="nil"/>
                  </w:tcBorders>
                  <w:noWrap w:val="0"/>
                  <w:vAlign w:val="center"/>
                </w:tcPr>
                <w:p>
                  <w:pPr>
                    <w:jc w:val="center"/>
                    <w:rPr>
                      <w:rFonts w:hint="eastAsia"/>
                      <w:highlight w:val="none"/>
                    </w:rPr>
                  </w:pPr>
                  <w:r>
                    <w:rPr>
                      <w:rFonts w:hint="eastAsia" w:ascii="宋体" w:hAnsi="宋体" w:eastAsia="宋体" w:cs="宋体"/>
                      <w:sz w:val="21"/>
                      <w:szCs w:val="21"/>
                      <w:highlight w:val="none"/>
                      <w:lang w:val="en-US" w:eastAsia="zh-CN"/>
                    </w:rPr>
                    <w:t>/</w:t>
                  </w:r>
                </w:p>
              </w:tc>
              <w:tc>
                <w:tcPr>
                  <w:tcW w:w="1418" w:type="dxa"/>
                  <w:tcBorders>
                    <w:tl2br w:val="nil"/>
                    <w:tr2bl w:val="nil"/>
                  </w:tcBorders>
                  <w:noWrap w:val="0"/>
                  <w:vAlign w:val="center"/>
                </w:tcPr>
                <w:p>
                  <w:pPr>
                    <w:jc w:val="center"/>
                    <w:rPr>
                      <w:rFonts w:hint="eastAsia"/>
                      <w:highlight w:val="none"/>
                      <w:lang w:val="en-US" w:eastAsia="zh-CN"/>
                    </w:rPr>
                  </w:pPr>
                  <w:r>
                    <w:rPr>
                      <w:rFonts w:hint="eastAsia"/>
                      <w:highlight w:val="none"/>
                      <w:lang w:val="en-US" w:eastAsia="zh-CN"/>
                    </w:rPr>
                    <w:t>t/a</w:t>
                  </w:r>
                </w:p>
              </w:tc>
              <w:tc>
                <w:tcPr>
                  <w:tcW w:w="1273" w:type="dxa"/>
                  <w:tcBorders>
                    <w:tl2br w:val="nil"/>
                    <w:tr2bl w:val="nil"/>
                  </w:tcBorders>
                  <w:noWrap w:val="0"/>
                  <w:vAlign w:val="center"/>
                </w:tcPr>
                <w:p>
                  <w:pPr>
                    <w:jc w:val="center"/>
                    <w:rPr>
                      <w:rFonts w:hint="eastAsia" w:ascii="宋体" w:hAnsi="宋体" w:eastAsia="宋体" w:cs="宋体"/>
                      <w:sz w:val="21"/>
                      <w:szCs w:val="21"/>
                      <w:highlight w:val="none"/>
                      <w:lang w:val="en-US" w:eastAsia="zh-CN"/>
                    </w:rPr>
                  </w:pPr>
                  <w:r>
                    <w:rPr>
                      <w:rFonts w:hint="eastAsia"/>
                      <w:highlight w:val="none"/>
                      <w:lang w:val="en-US" w:eastAsia="zh-CN"/>
                    </w:rPr>
                    <w:t xml:space="preserve">50 </w:t>
                  </w:r>
                </w:p>
              </w:tc>
              <w:tc>
                <w:tcPr>
                  <w:tcW w:w="1945" w:type="dxa"/>
                  <w:tcBorders>
                    <w:tl2br w:val="nil"/>
                    <w:tr2bl w:val="nil"/>
                  </w:tcBorders>
                  <w:noWrap w:val="0"/>
                  <w:vAlign w:val="center"/>
                </w:tcPr>
                <w:p>
                  <w:pPr>
                    <w:jc w:val="center"/>
                    <w:rPr>
                      <w:rFonts w:hint="eastAsia"/>
                      <w:highlight w:val="none"/>
                      <w:lang w:val="en-US" w:eastAsia="zh-CN"/>
                    </w:rPr>
                  </w:pPr>
                  <w:r>
                    <w:rPr>
                      <w:rFonts w:hint="eastAsia" w:ascii="Times New Roman" w:hAnsi="Times New Roman" w:eastAsia="宋体" w:cs="Times New Roman"/>
                      <w:szCs w:val="24"/>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678" w:type="dxa"/>
                  <w:tcBorders>
                    <w:tl2br w:val="nil"/>
                    <w:tr2bl w:val="nil"/>
                  </w:tcBorders>
                  <w:noWrap w:val="0"/>
                  <w:vAlign w:val="center"/>
                </w:tcPr>
                <w:p>
                  <w:pPr>
                    <w:pStyle w:val="147"/>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1364" w:type="dxa"/>
                  <w:tcBorders>
                    <w:tl2br w:val="nil"/>
                    <w:tr2bl w:val="nil"/>
                  </w:tcBorders>
                  <w:noWrap w:val="0"/>
                  <w:vAlign w:val="center"/>
                </w:tcPr>
                <w:p>
                  <w:pPr>
                    <w:jc w:val="center"/>
                    <w:rPr>
                      <w:rFonts w:hint="eastAsia"/>
                      <w:sz w:val="21"/>
                      <w:szCs w:val="21"/>
                      <w:highlight w:val="none"/>
                      <w:lang w:val="en-US" w:eastAsia="zh-CN"/>
                    </w:rPr>
                  </w:pPr>
                  <w:r>
                    <w:rPr>
                      <w:rFonts w:hint="eastAsia"/>
                      <w:sz w:val="21"/>
                      <w:szCs w:val="21"/>
                      <w:highlight w:val="none"/>
                      <w:lang w:val="en-US" w:eastAsia="zh-CN"/>
                    </w:rPr>
                    <w:t>抹布手套</w:t>
                  </w:r>
                </w:p>
              </w:tc>
              <w:tc>
                <w:tcPr>
                  <w:tcW w:w="1960" w:type="dxa"/>
                  <w:tcBorders>
                    <w:tl2br w:val="nil"/>
                    <w:tr2bl w:val="nil"/>
                  </w:tcBorders>
                  <w:noWrap w:val="0"/>
                  <w:vAlign w:val="center"/>
                </w:tcPr>
                <w:p>
                  <w:pPr>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w:t>
                  </w:r>
                </w:p>
              </w:tc>
              <w:tc>
                <w:tcPr>
                  <w:tcW w:w="1418" w:type="dxa"/>
                  <w:tcBorders>
                    <w:tl2br w:val="nil"/>
                    <w:tr2bl w:val="nil"/>
                  </w:tcBorders>
                  <w:noWrap w:val="0"/>
                  <w:vAlign w:val="center"/>
                </w:tcPr>
                <w:p>
                  <w:pPr>
                    <w:jc w:val="center"/>
                    <w:rPr>
                      <w:rFonts w:hint="eastAsia"/>
                      <w:highlight w:val="none"/>
                      <w:lang w:val="en-US" w:eastAsia="zh-CN"/>
                    </w:rPr>
                  </w:pPr>
                  <w:r>
                    <w:rPr>
                      <w:rFonts w:hint="eastAsia"/>
                      <w:highlight w:val="none"/>
                      <w:lang w:val="en-US" w:eastAsia="zh-CN"/>
                    </w:rPr>
                    <w:t>t/a</w:t>
                  </w:r>
                </w:p>
              </w:tc>
              <w:tc>
                <w:tcPr>
                  <w:tcW w:w="1273" w:type="dxa"/>
                  <w:tcBorders>
                    <w:tl2br w:val="nil"/>
                    <w:tr2bl w:val="nil"/>
                  </w:tcBorders>
                  <w:noWrap w:val="0"/>
                  <w:vAlign w:val="center"/>
                </w:tcPr>
                <w:p>
                  <w:pPr>
                    <w:jc w:val="center"/>
                    <w:rPr>
                      <w:rFonts w:hint="default"/>
                      <w:highlight w:val="none"/>
                      <w:lang w:val="en-US" w:eastAsia="zh-CN"/>
                    </w:rPr>
                  </w:pPr>
                  <w:r>
                    <w:rPr>
                      <w:rFonts w:hint="eastAsia"/>
                      <w:highlight w:val="none"/>
                      <w:lang w:val="en-US" w:eastAsia="zh-CN"/>
                    </w:rPr>
                    <w:t>0.01</w:t>
                  </w:r>
                </w:p>
              </w:tc>
              <w:tc>
                <w:tcPr>
                  <w:tcW w:w="1945" w:type="dxa"/>
                  <w:tcBorders>
                    <w:tl2br w:val="nil"/>
                    <w:tr2bl w:val="nil"/>
                  </w:tcBorders>
                  <w:noWrap w:val="0"/>
                  <w:vAlign w:val="center"/>
                </w:tcPr>
                <w:p>
                  <w:pPr>
                    <w:jc w:val="center"/>
                    <w:rPr>
                      <w:rFonts w:hint="eastAsia"/>
                      <w:highlight w:val="none"/>
                      <w:lang w:val="en-US" w:eastAsia="zh-CN"/>
                    </w:rPr>
                  </w:pPr>
                  <w:r>
                    <w:rPr>
                      <w:rFonts w:hint="eastAsia" w:ascii="Times New Roman" w:hAnsi="Times New Roman" w:eastAsia="宋体" w:cs="Times New Roman"/>
                      <w:szCs w:val="24"/>
                      <w:highlight w:val="none"/>
                      <w:lang w:val="en-US" w:eastAsia="zh-CN"/>
                    </w:rPr>
                    <w:t>0.01</w:t>
                  </w:r>
                </w:p>
              </w:tc>
            </w:tr>
          </w:tbl>
          <w:p>
            <w:pPr>
              <w:spacing w:line="360" w:lineRule="auto"/>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水性油墨：是由</w:t>
            </w:r>
            <w:r>
              <w:rPr>
                <w:rFonts w:hint="eastAsia" w:ascii="宋体" w:hAnsi="宋体" w:eastAsia="宋体" w:cs="宋体"/>
                <w:sz w:val="24"/>
                <w:szCs w:val="24"/>
                <w:highlight w:val="none"/>
                <w:lang w:val="en-US" w:eastAsia="zh-CN"/>
              </w:rPr>
              <w:t>高分子乳液、颜料、表面活性剂、水、其他添加剂组成。水性油墨区别于溶剂型油墨，最大的特点在于所用的溶解载体，溶剂型油墨的溶解载体是有机溶剂，如苯、甲苯、二甲苯、乙酸乙酯等，而水性油墨的溶解载体是水和少量的醇（约</w:t>
            </w:r>
            <w:r>
              <w:rPr>
                <w:rFonts w:hint="default" w:ascii="Times New Roman" w:hAnsi="Times New Roman" w:eastAsia="宋体" w:cs="Times New Roman"/>
                <w:sz w:val="24"/>
                <w:szCs w:val="24"/>
                <w:highlight w:val="none"/>
                <w:lang w:val="en-US" w:eastAsia="zh-CN"/>
              </w:rPr>
              <w:t>3 %</w:t>
            </w:r>
            <w:r>
              <w:rPr>
                <w:rFonts w:hint="eastAsia" w:ascii="Times New Roman" w:hAnsi="Times New Roman" w:eastAsia="宋体" w:cs="Times New Roman"/>
                <w:sz w:val="24"/>
                <w:szCs w:val="24"/>
                <w:highlight w:val="none"/>
                <w:lang w:val="en-US" w:eastAsia="zh-CN"/>
              </w:rPr>
              <w:t xml:space="preserve"> - </w:t>
            </w:r>
            <w:r>
              <w:rPr>
                <w:rFonts w:hint="default" w:ascii="Times New Roman" w:hAnsi="Times New Roman" w:eastAsia="宋体" w:cs="Times New Roman"/>
                <w:sz w:val="24"/>
                <w:szCs w:val="24"/>
                <w:highlight w:val="none"/>
                <w:lang w:val="en-US" w:eastAsia="zh-CN"/>
              </w:rPr>
              <w:t>5 %</w:t>
            </w:r>
            <w:r>
              <w:rPr>
                <w:rFonts w:hint="eastAsia" w:ascii="宋体" w:hAnsi="宋体" w:eastAsia="宋体" w:cs="宋体"/>
                <w:sz w:val="24"/>
                <w:szCs w:val="24"/>
                <w:highlight w:val="none"/>
                <w:lang w:val="en-US" w:eastAsia="zh-CN"/>
              </w:rPr>
              <w:t>）。由于用水作溶解载体，水性油墨具有显著的环保安全特点：安全、无毒、无害、不燃不爆、挥发性有机气体产生量较少。</w:t>
            </w:r>
          </w:p>
          <w:p>
            <w:pPr>
              <w:spacing w:line="360" w:lineRule="auto"/>
              <w:jc w:val="left"/>
              <w:rPr>
                <w:rFonts w:ascii="宋体" w:hAnsi="宋体"/>
                <w:b/>
                <w:sz w:val="28"/>
                <w:szCs w:val="28"/>
              </w:rPr>
            </w:pPr>
            <w:r>
              <w:rPr>
                <w:rFonts w:hint="eastAsia" w:ascii="宋体" w:hAnsi="宋体"/>
                <w:b/>
                <w:sz w:val="28"/>
                <w:szCs w:val="28"/>
              </w:rPr>
              <w:t>2、主要设备</w:t>
            </w:r>
          </w:p>
          <w:p>
            <w:pPr>
              <w:spacing w:line="360" w:lineRule="auto"/>
              <w:jc w:val="center"/>
              <w:rPr>
                <w:rFonts w:ascii="宋体" w:hAnsi="宋体"/>
                <w:b/>
                <w:sz w:val="24"/>
              </w:rPr>
            </w:pPr>
            <w:bookmarkStart w:id="3" w:name="_Hlk22905781"/>
            <w:r>
              <w:rPr>
                <w:rFonts w:hint="eastAsia" w:ascii="宋体" w:hAnsi="宋体"/>
                <w:b/>
                <w:sz w:val="24"/>
              </w:rPr>
              <w:t>表2</w:t>
            </w:r>
            <w:r>
              <w:rPr>
                <w:rFonts w:ascii="宋体" w:hAnsi="宋体"/>
                <w:b/>
                <w:sz w:val="24"/>
              </w:rPr>
              <w:t>-3</w:t>
            </w:r>
            <w:r>
              <w:rPr>
                <w:rFonts w:hint="eastAsia" w:ascii="宋体" w:hAnsi="宋体"/>
                <w:b/>
                <w:sz w:val="24"/>
              </w:rPr>
              <w:tab/>
            </w:r>
            <w:r>
              <w:rPr>
                <w:rFonts w:hint="eastAsia" w:ascii="宋体" w:hAnsi="宋体"/>
                <w:b/>
                <w:sz w:val="24"/>
              </w:rPr>
              <w:t>项目</w:t>
            </w:r>
            <w:bookmarkStart w:id="4" w:name="_Hlk20139463"/>
            <w:r>
              <w:rPr>
                <w:rFonts w:hint="eastAsia" w:ascii="宋体" w:hAnsi="宋体"/>
                <w:b/>
                <w:sz w:val="24"/>
              </w:rPr>
              <w:t>设备清单</w:t>
            </w:r>
            <w:bookmarkEnd w:id="4"/>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275"/>
              <w:gridCol w:w="1941"/>
              <w:gridCol w:w="864"/>
              <w:gridCol w:w="1515"/>
              <w:gridCol w:w="15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07" w:type="dxa"/>
                  <w:vAlign w:val="center"/>
                </w:tcPr>
                <w:p>
                  <w:pPr>
                    <w:jc w:val="center"/>
                    <w:rPr>
                      <w:rFonts w:ascii="宋体" w:hAnsi="宋体"/>
                      <w:b/>
                      <w:bCs w:val="0"/>
                      <w:szCs w:val="21"/>
                    </w:rPr>
                  </w:pPr>
                  <w:bookmarkStart w:id="5" w:name="_Hlk20139418"/>
                  <w:r>
                    <w:rPr>
                      <w:rFonts w:hint="eastAsia" w:ascii="宋体" w:hAnsi="宋体"/>
                      <w:b/>
                      <w:bCs w:val="0"/>
                      <w:szCs w:val="21"/>
                    </w:rPr>
                    <w:t>序号</w:t>
                  </w:r>
                </w:p>
              </w:tc>
              <w:tc>
                <w:tcPr>
                  <w:tcW w:w="2275" w:type="dxa"/>
                  <w:vAlign w:val="center"/>
                </w:tcPr>
                <w:p>
                  <w:pPr>
                    <w:jc w:val="center"/>
                    <w:rPr>
                      <w:rFonts w:ascii="宋体" w:hAnsi="宋体"/>
                      <w:b/>
                      <w:bCs w:val="0"/>
                      <w:szCs w:val="21"/>
                    </w:rPr>
                  </w:pPr>
                  <w:r>
                    <w:rPr>
                      <w:rFonts w:hint="eastAsia" w:ascii="宋体" w:hAnsi="宋体"/>
                      <w:b/>
                      <w:bCs w:val="0"/>
                      <w:szCs w:val="21"/>
                    </w:rPr>
                    <w:t>设备型号及名称</w:t>
                  </w:r>
                </w:p>
              </w:tc>
              <w:tc>
                <w:tcPr>
                  <w:tcW w:w="1941" w:type="dxa"/>
                  <w:vAlign w:val="center"/>
                </w:tcPr>
                <w:p>
                  <w:pPr>
                    <w:jc w:val="center"/>
                    <w:rPr>
                      <w:rFonts w:ascii="宋体" w:hAnsi="宋体"/>
                      <w:b/>
                      <w:bCs w:val="0"/>
                      <w:szCs w:val="21"/>
                    </w:rPr>
                  </w:pPr>
                  <w:r>
                    <w:rPr>
                      <w:rFonts w:hint="eastAsia" w:ascii="宋体" w:hAnsi="宋体"/>
                      <w:b/>
                      <w:bCs w:val="0"/>
                      <w:szCs w:val="21"/>
                    </w:rPr>
                    <w:t>规格型号</w:t>
                  </w:r>
                </w:p>
              </w:tc>
              <w:tc>
                <w:tcPr>
                  <w:tcW w:w="864" w:type="dxa"/>
                  <w:vAlign w:val="center"/>
                </w:tcPr>
                <w:p>
                  <w:pPr>
                    <w:jc w:val="center"/>
                    <w:rPr>
                      <w:rFonts w:hint="eastAsia" w:ascii="宋体" w:hAnsi="宋体" w:eastAsia="宋体"/>
                      <w:b/>
                      <w:bCs w:val="0"/>
                      <w:szCs w:val="21"/>
                      <w:lang w:val="en-US" w:eastAsia="zh-CN"/>
                    </w:rPr>
                  </w:pPr>
                  <w:r>
                    <w:rPr>
                      <w:rFonts w:hint="eastAsia" w:ascii="宋体" w:hAnsi="宋体"/>
                      <w:b/>
                      <w:bCs w:val="0"/>
                      <w:szCs w:val="21"/>
                      <w:lang w:val="en-US" w:eastAsia="zh-CN"/>
                    </w:rPr>
                    <w:t>单位</w:t>
                  </w:r>
                </w:p>
              </w:tc>
              <w:tc>
                <w:tcPr>
                  <w:tcW w:w="1515" w:type="dxa"/>
                  <w:vAlign w:val="center"/>
                </w:tcPr>
                <w:p>
                  <w:pPr>
                    <w:jc w:val="center"/>
                    <w:rPr>
                      <w:rFonts w:ascii="宋体" w:hAnsi="宋体"/>
                      <w:b/>
                      <w:bCs w:val="0"/>
                      <w:szCs w:val="21"/>
                    </w:rPr>
                  </w:pPr>
                  <w:r>
                    <w:rPr>
                      <w:rFonts w:hint="eastAsia" w:ascii="宋体" w:hAnsi="宋体"/>
                      <w:b/>
                      <w:bCs w:val="0"/>
                      <w:szCs w:val="21"/>
                    </w:rPr>
                    <w:t>环评数量</w:t>
                  </w:r>
                </w:p>
              </w:tc>
              <w:tc>
                <w:tcPr>
                  <w:tcW w:w="1545" w:type="dxa"/>
                  <w:vAlign w:val="center"/>
                </w:tcPr>
                <w:p>
                  <w:pPr>
                    <w:jc w:val="center"/>
                    <w:rPr>
                      <w:rFonts w:ascii="宋体" w:hAnsi="宋体"/>
                      <w:b/>
                      <w:bCs w:val="0"/>
                      <w:szCs w:val="21"/>
                    </w:rPr>
                  </w:pPr>
                  <w:r>
                    <w:rPr>
                      <w:rFonts w:hint="eastAsia" w:ascii="宋体" w:hAnsi="宋体"/>
                      <w:b/>
                      <w:bCs w:val="0"/>
                      <w:szCs w:val="21"/>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jc w:val="center"/>
                    <w:rPr>
                      <w:rFonts w:ascii="宋体" w:hAnsi="宋体"/>
                      <w:bCs/>
                      <w:szCs w:val="21"/>
                    </w:rPr>
                  </w:pPr>
                  <w:r>
                    <w:rPr>
                      <w:rFonts w:hint="eastAsia" w:ascii="宋体" w:hAnsi="宋体"/>
                      <w:bCs/>
                      <w:szCs w:val="21"/>
                    </w:rPr>
                    <w:t>1</w:t>
                  </w:r>
                </w:p>
              </w:tc>
              <w:tc>
                <w:tcPr>
                  <w:tcW w:w="2275" w:type="dxa"/>
                  <w:vAlign w:val="center"/>
                </w:tcPr>
                <w:p>
                  <w:pPr>
                    <w:jc w:val="center"/>
                    <w:rPr>
                      <w:rFonts w:hint="eastAsia" w:ascii="Times New Roman" w:hAnsi="宋体" w:eastAsia="宋体" w:cs="Times New Roman"/>
                      <w:color w:val="auto"/>
                      <w:kern w:val="2"/>
                      <w:sz w:val="21"/>
                      <w:szCs w:val="21"/>
                      <w:highlight w:val="none"/>
                      <w:lang w:val="en-US" w:eastAsia="zh-CN" w:bidi="ar-SA"/>
                    </w:rPr>
                  </w:pPr>
                  <w:r>
                    <w:rPr>
                      <w:rFonts w:hint="eastAsia" w:hAnsi="宋体"/>
                      <w:color w:val="auto"/>
                      <w:szCs w:val="21"/>
                      <w:highlight w:val="none"/>
                      <w:lang w:val="en-US" w:eastAsia="zh-CN"/>
                    </w:rPr>
                    <w:t>高速自动水性配色印刷机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hAnsi="宋体"/>
                      <w:color w:val="auto"/>
                      <w:szCs w:val="21"/>
                      <w:highlight w:val="none"/>
                      <w:lang w:val="en-US" w:eastAsia="zh-CN"/>
                    </w:rPr>
                    <w:t>ZYKM</w:t>
                  </w:r>
                  <w:r>
                    <w:rPr>
                      <w:rFonts w:hint="eastAsia"/>
                      <w:color w:val="auto"/>
                      <w:szCs w:val="21"/>
                      <w:highlight w:val="none"/>
                      <w:lang w:val="en-US" w:eastAsia="zh-CN"/>
                    </w:rPr>
                    <w:t>2800</w:t>
                  </w:r>
                </w:p>
              </w:tc>
              <w:tc>
                <w:tcPr>
                  <w:tcW w:w="864" w:type="dxa"/>
                  <w:vAlign w:val="center"/>
                </w:tcPr>
                <w:p>
                  <w:pPr>
                    <w:jc w:val="center"/>
                    <w:rPr>
                      <w:rFonts w:hint="eastAsia" w:ascii="宋体" w:hAnsi="宋体" w:eastAsia="宋体"/>
                      <w:bCs/>
                      <w:szCs w:val="21"/>
                      <w:lang w:val="en-US" w:eastAsia="zh-CN"/>
                    </w:rPr>
                  </w:pPr>
                  <w:r>
                    <w:rPr>
                      <w:rFonts w:hint="eastAsia" w:ascii="宋体" w:hAnsi="宋体"/>
                      <w:bCs/>
                      <w:szCs w:val="21"/>
                      <w:lang w:val="en-US" w:eastAsia="zh-CN"/>
                    </w:rPr>
                    <w:t>台</w:t>
                  </w:r>
                </w:p>
              </w:tc>
              <w:tc>
                <w:tcPr>
                  <w:tcW w:w="151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w:t>
                  </w:r>
                </w:p>
              </w:tc>
              <w:tc>
                <w:tcPr>
                  <w:tcW w:w="154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jc w:val="center"/>
                    <w:rPr>
                      <w:rFonts w:ascii="宋体" w:hAnsi="宋体"/>
                      <w:bCs/>
                      <w:szCs w:val="21"/>
                    </w:rPr>
                  </w:pPr>
                  <w:r>
                    <w:rPr>
                      <w:rFonts w:hint="eastAsia" w:ascii="宋体" w:hAnsi="宋体"/>
                      <w:bCs/>
                      <w:szCs w:val="21"/>
                    </w:rPr>
                    <w:t>2</w:t>
                  </w:r>
                </w:p>
              </w:tc>
              <w:tc>
                <w:tcPr>
                  <w:tcW w:w="2275" w:type="dxa"/>
                  <w:vAlign w:val="center"/>
                </w:tcPr>
                <w:p>
                  <w:pPr>
                    <w:jc w:val="center"/>
                    <w:rPr>
                      <w:rFonts w:hint="eastAsia" w:ascii="Times New Roman" w:hAnsi="宋体" w:eastAsia="宋体" w:cs="Times New Roman"/>
                      <w:color w:val="auto"/>
                      <w:kern w:val="2"/>
                      <w:sz w:val="21"/>
                      <w:szCs w:val="21"/>
                      <w:highlight w:val="none"/>
                      <w:lang w:val="en-US" w:eastAsia="zh-CN" w:bidi="ar-SA"/>
                    </w:rPr>
                  </w:pPr>
                  <w:r>
                    <w:rPr>
                      <w:rFonts w:hint="eastAsia" w:hAnsi="宋体"/>
                      <w:color w:val="auto"/>
                      <w:szCs w:val="21"/>
                      <w:highlight w:val="none"/>
                      <w:lang w:val="en-US" w:eastAsia="zh-CN"/>
                    </w:rPr>
                    <w:t>印刷开槽模切堆码机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w:t>
                  </w:r>
                </w:p>
              </w:tc>
              <w:tc>
                <w:tcPr>
                  <w:tcW w:w="864" w:type="dxa"/>
                  <w:vAlign w:val="center"/>
                </w:tcPr>
                <w:p>
                  <w:pPr>
                    <w:jc w:val="center"/>
                    <w:rPr>
                      <w:rFonts w:hint="eastAsia" w:ascii="宋体" w:hAnsi="宋体"/>
                      <w:bCs/>
                      <w:szCs w:val="21"/>
                    </w:rPr>
                  </w:pPr>
                  <w:r>
                    <w:rPr>
                      <w:rFonts w:hint="eastAsia" w:ascii="宋体" w:hAnsi="宋体"/>
                      <w:bCs/>
                      <w:szCs w:val="21"/>
                      <w:lang w:val="en-US" w:eastAsia="zh-CN"/>
                    </w:rPr>
                    <w:t>台</w:t>
                  </w:r>
                </w:p>
              </w:tc>
              <w:tc>
                <w:tcPr>
                  <w:tcW w:w="151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w:t>
                  </w:r>
                </w:p>
              </w:tc>
              <w:tc>
                <w:tcPr>
                  <w:tcW w:w="154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jc w:val="center"/>
                    <w:rPr>
                      <w:rFonts w:ascii="宋体" w:hAnsi="宋体"/>
                      <w:bCs/>
                      <w:szCs w:val="21"/>
                    </w:rPr>
                  </w:pPr>
                  <w:r>
                    <w:rPr>
                      <w:rFonts w:hint="eastAsia" w:ascii="宋体" w:hAnsi="宋体"/>
                      <w:bCs/>
                      <w:szCs w:val="21"/>
                    </w:rPr>
                    <w:t>3</w:t>
                  </w:r>
                </w:p>
              </w:tc>
              <w:tc>
                <w:tcPr>
                  <w:tcW w:w="2275" w:type="dxa"/>
                  <w:vAlign w:val="center"/>
                </w:tcPr>
                <w:p>
                  <w:pPr>
                    <w:jc w:val="center"/>
                    <w:rPr>
                      <w:rFonts w:hint="eastAsia" w:ascii="Times New Roman" w:hAnsi="宋体" w:eastAsia="宋体" w:cs="Times New Roman"/>
                      <w:color w:val="auto"/>
                      <w:kern w:val="2"/>
                      <w:sz w:val="21"/>
                      <w:szCs w:val="21"/>
                      <w:highlight w:val="none"/>
                      <w:lang w:val="en-US" w:eastAsia="zh-CN" w:bidi="ar-SA"/>
                    </w:rPr>
                  </w:pPr>
                  <w:r>
                    <w:rPr>
                      <w:rFonts w:hint="eastAsia" w:hAnsi="宋体"/>
                      <w:color w:val="auto"/>
                      <w:szCs w:val="21"/>
                      <w:highlight w:val="none"/>
                      <w:lang w:val="en-US" w:eastAsia="zh-CN"/>
                    </w:rPr>
                    <w:t>打包机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w:t>
                  </w:r>
                </w:p>
              </w:tc>
              <w:tc>
                <w:tcPr>
                  <w:tcW w:w="864" w:type="dxa"/>
                  <w:vAlign w:val="center"/>
                </w:tcPr>
                <w:p>
                  <w:pPr>
                    <w:jc w:val="center"/>
                    <w:rPr>
                      <w:rFonts w:hint="eastAsia" w:ascii="宋体" w:hAnsi="宋体"/>
                      <w:bCs/>
                      <w:szCs w:val="21"/>
                    </w:rPr>
                  </w:pPr>
                  <w:r>
                    <w:rPr>
                      <w:rFonts w:hint="eastAsia" w:ascii="宋体" w:hAnsi="宋体"/>
                      <w:bCs/>
                      <w:szCs w:val="21"/>
                      <w:lang w:val="en-US" w:eastAsia="zh-CN"/>
                    </w:rPr>
                    <w:t>台</w:t>
                  </w:r>
                </w:p>
              </w:tc>
              <w:tc>
                <w:tcPr>
                  <w:tcW w:w="151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w:t>
                  </w:r>
                </w:p>
              </w:tc>
              <w:tc>
                <w:tcPr>
                  <w:tcW w:w="154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jc w:val="center"/>
                    <w:rPr>
                      <w:rFonts w:ascii="宋体" w:hAnsi="宋体"/>
                      <w:bCs/>
                      <w:szCs w:val="21"/>
                    </w:rPr>
                  </w:pPr>
                  <w:r>
                    <w:rPr>
                      <w:rFonts w:hint="eastAsia" w:ascii="宋体" w:hAnsi="宋体"/>
                      <w:bCs/>
                      <w:szCs w:val="21"/>
                    </w:rPr>
                    <w:t>4</w:t>
                  </w:r>
                </w:p>
              </w:tc>
              <w:tc>
                <w:tcPr>
                  <w:tcW w:w="2275" w:type="dxa"/>
                  <w:vAlign w:val="center"/>
                </w:tcPr>
                <w:p>
                  <w:pPr>
                    <w:jc w:val="center"/>
                    <w:rPr>
                      <w:rFonts w:hint="eastAsia" w:ascii="Times New Roman" w:hAnsi="宋体" w:eastAsia="宋体" w:cs="Times New Roman"/>
                      <w:color w:val="auto"/>
                      <w:kern w:val="2"/>
                      <w:sz w:val="21"/>
                      <w:szCs w:val="21"/>
                      <w:highlight w:val="none"/>
                      <w:lang w:val="en-US" w:eastAsia="zh-CN" w:bidi="ar-SA"/>
                    </w:rPr>
                  </w:pPr>
                  <w:r>
                    <w:rPr>
                      <w:rFonts w:hint="eastAsia" w:hAnsi="宋体"/>
                      <w:color w:val="auto"/>
                      <w:szCs w:val="21"/>
                      <w:highlight w:val="none"/>
                      <w:lang w:val="en-US" w:eastAsia="zh-CN"/>
                    </w:rPr>
                    <w:t>半自动钉箱机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hAnsi="宋体"/>
                      <w:color w:val="auto"/>
                      <w:szCs w:val="21"/>
                      <w:highlight w:val="none"/>
                      <w:lang w:val="en-US" w:eastAsia="zh-CN"/>
                    </w:rPr>
                    <w:t>ZYKM</w:t>
                  </w:r>
                  <w:r>
                    <w:rPr>
                      <w:rFonts w:hint="eastAsia"/>
                      <w:color w:val="auto"/>
                      <w:szCs w:val="21"/>
                      <w:highlight w:val="none"/>
                      <w:lang w:val="en-US" w:eastAsia="zh-CN"/>
                    </w:rPr>
                    <w:t>2800</w:t>
                  </w:r>
                </w:p>
              </w:tc>
              <w:tc>
                <w:tcPr>
                  <w:tcW w:w="864" w:type="dxa"/>
                  <w:vAlign w:val="center"/>
                </w:tcPr>
                <w:p>
                  <w:pPr>
                    <w:jc w:val="center"/>
                    <w:rPr>
                      <w:rFonts w:hint="eastAsia" w:ascii="宋体" w:hAnsi="宋体"/>
                      <w:bCs/>
                      <w:szCs w:val="21"/>
                    </w:rPr>
                  </w:pPr>
                  <w:r>
                    <w:rPr>
                      <w:rFonts w:hint="eastAsia" w:ascii="宋体" w:hAnsi="宋体"/>
                      <w:bCs/>
                      <w:szCs w:val="21"/>
                      <w:lang w:val="en-US" w:eastAsia="zh-CN"/>
                    </w:rPr>
                    <w:t>台</w:t>
                  </w:r>
                </w:p>
              </w:tc>
              <w:tc>
                <w:tcPr>
                  <w:tcW w:w="151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w:t>
                  </w:r>
                </w:p>
              </w:tc>
              <w:tc>
                <w:tcPr>
                  <w:tcW w:w="154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jc w:val="center"/>
                    <w:rPr>
                      <w:rFonts w:ascii="宋体" w:hAnsi="宋体"/>
                      <w:bCs/>
                      <w:szCs w:val="21"/>
                    </w:rPr>
                  </w:pPr>
                  <w:r>
                    <w:rPr>
                      <w:rFonts w:hint="eastAsia" w:ascii="宋体" w:hAnsi="宋体"/>
                      <w:bCs/>
                      <w:szCs w:val="21"/>
                    </w:rPr>
                    <w:t>5</w:t>
                  </w:r>
                </w:p>
              </w:tc>
              <w:tc>
                <w:tcPr>
                  <w:tcW w:w="2275" w:type="dxa"/>
                  <w:vAlign w:val="center"/>
                </w:tcPr>
                <w:p>
                  <w:pPr>
                    <w:jc w:val="center"/>
                    <w:rPr>
                      <w:rFonts w:ascii="Times New Roman" w:hAnsi="宋体" w:eastAsia="宋体" w:cs="Times New Roman"/>
                      <w:color w:val="auto"/>
                      <w:kern w:val="2"/>
                      <w:sz w:val="21"/>
                      <w:szCs w:val="21"/>
                      <w:highlight w:val="none"/>
                      <w:lang w:val="en-US" w:eastAsia="zh-CN" w:bidi="ar-SA"/>
                    </w:rPr>
                  </w:pPr>
                  <w:r>
                    <w:rPr>
                      <w:rFonts w:hint="eastAsia" w:hAnsi="宋体"/>
                      <w:color w:val="auto"/>
                      <w:szCs w:val="21"/>
                      <w:highlight w:val="none"/>
                      <w:lang w:val="en-US" w:eastAsia="zh-CN"/>
                    </w:rPr>
                    <w:t>手动钉箱机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w:t>
                  </w:r>
                </w:p>
              </w:tc>
              <w:tc>
                <w:tcPr>
                  <w:tcW w:w="864" w:type="dxa"/>
                  <w:vAlign w:val="center"/>
                </w:tcPr>
                <w:p>
                  <w:pPr>
                    <w:jc w:val="center"/>
                    <w:rPr>
                      <w:rFonts w:hint="eastAsia" w:ascii="宋体" w:hAnsi="宋体"/>
                      <w:bCs/>
                      <w:szCs w:val="21"/>
                    </w:rPr>
                  </w:pPr>
                  <w:r>
                    <w:rPr>
                      <w:rFonts w:hint="eastAsia" w:ascii="宋体" w:hAnsi="宋体"/>
                      <w:bCs/>
                      <w:szCs w:val="21"/>
                      <w:lang w:val="en-US" w:eastAsia="zh-CN"/>
                    </w:rPr>
                    <w:t>台</w:t>
                  </w:r>
                </w:p>
              </w:tc>
              <w:tc>
                <w:tcPr>
                  <w:tcW w:w="151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2</w:t>
                  </w:r>
                </w:p>
              </w:tc>
              <w:tc>
                <w:tcPr>
                  <w:tcW w:w="154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bookmarkEnd w:id="3"/>
            <w:bookmarkEnd w:id="5"/>
          </w:tbl>
          <w:p>
            <w:pPr>
              <w:spacing w:line="360" w:lineRule="auto"/>
              <w:jc w:val="left"/>
              <w:rPr>
                <w:rFonts w:ascii="宋体" w:hAnsi="宋体"/>
                <w:b/>
                <w:sz w:val="28"/>
                <w:szCs w:val="28"/>
              </w:rPr>
            </w:pPr>
            <w:r>
              <w:rPr>
                <w:rFonts w:hint="eastAsia" w:ascii="宋体" w:hAnsi="宋体"/>
                <w:b/>
                <w:sz w:val="28"/>
                <w:szCs w:val="28"/>
              </w:rPr>
              <w:t>3、用水及水平衡</w:t>
            </w:r>
          </w:p>
          <w:p>
            <w:pPr>
              <w:adjustRightInd w:val="0"/>
              <w:spacing w:line="360" w:lineRule="auto"/>
              <w:ind w:firstLine="480" w:firstLineChars="200"/>
              <w:jc w:val="left"/>
              <w:rPr>
                <w:rFonts w:hint="default" w:ascii="宋体" w:hAnsi="宋体"/>
                <w:color w:val="000000" w:themeColor="text1"/>
                <w:sz w:val="24"/>
                <w:lang w:val="en-US"/>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项目生产废水主要为设备清洗废水，循环使用，定期更换，清洗废水自然蒸发后剩余的少量油墨废渣做危废处理，不外排。根据企业提供资料，生产废水补充量约1.2t/a，0.004t/d。</w:t>
            </w:r>
          </w:p>
          <w:p>
            <w:pPr>
              <w:adjustRightInd w:val="0"/>
              <w:spacing w:line="360" w:lineRule="auto"/>
              <w:ind w:firstLine="480" w:firstLineChars="200"/>
              <w:jc w:val="left"/>
              <w:rPr>
                <w:rFonts w:ascii="宋体" w:hAnsi="宋体"/>
                <w:color w:val="000000" w:themeColor="text1"/>
                <w:sz w:val="24"/>
                <w:highlight w:val="yellow"/>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生活用水：</w:t>
            </w:r>
            <w:r>
              <w:rPr>
                <w:rFonts w:hint="eastAsia" w:ascii="宋体" w:hAnsi="宋体"/>
                <w:color w:val="000000" w:themeColor="text1"/>
                <w:sz w:val="24"/>
                <w14:textFill>
                  <w14:solidFill>
                    <w14:schemeClr w14:val="tx1"/>
                  </w14:solidFill>
                </w14:textFill>
              </w:rPr>
              <w:t>厂内</w:t>
            </w:r>
            <w:r>
              <w:rPr>
                <w:rFonts w:hint="eastAsia" w:ascii="宋体" w:hAnsi="宋体"/>
                <w:color w:val="000000" w:themeColor="text1"/>
                <w:sz w:val="24"/>
                <w:lang w:val="en-US" w:eastAsia="zh-CN"/>
                <w14:textFill>
                  <w14:solidFill>
                    <w14:schemeClr w14:val="tx1"/>
                  </w14:solidFill>
                </w14:textFill>
              </w:rPr>
              <w:t>不设宿舍和食堂，</w:t>
            </w:r>
            <w:r>
              <w:rPr>
                <w:rFonts w:hint="eastAsia" w:ascii="宋体" w:hAnsi="宋体"/>
                <w:color w:val="000000" w:themeColor="text1"/>
                <w:sz w:val="24"/>
                <w14:textFill>
                  <w14:solidFill>
                    <w14:schemeClr w14:val="tx1"/>
                  </w14:solidFill>
                </w14:textFill>
              </w:rPr>
              <w:t>根据</w:t>
            </w:r>
            <w:r>
              <w:rPr>
                <w:rFonts w:hint="eastAsia" w:ascii="宋体" w:hAnsi="宋体"/>
                <w:color w:val="000000" w:themeColor="text1"/>
                <w:sz w:val="24"/>
                <w:lang w:val="en-US" w:eastAsia="zh-CN"/>
                <w14:textFill>
                  <w14:solidFill>
                    <w14:schemeClr w14:val="tx1"/>
                  </w14:solidFill>
                </w14:textFill>
              </w:rPr>
              <w:t>《安徽省行业用水定额》（DB34/T 679-2014）</w:t>
            </w:r>
            <w:r>
              <w:rPr>
                <w:rFonts w:hint="eastAsia" w:ascii="宋体" w:hAnsi="宋体"/>
                <w:color w:val="000000" w:themeColor="text1"/>
                <w:sz w:val="24"/>
                <w:highlight w:val="none"/>
                <w:lang w:val="en-US" w:eastAsia="zh-CN"/>
                <w14:textFill>
                  <w14:solidFill>
                    <w14:schemeClr w14:val="tx1"/>
                  </w14:solidFill>
                </w14:textFill>
              </w:rPr>
              <w:t>中的相关内容，本项目用水60 L（人·d）。根据《工业污染物产生和排放系数手册》，生活污水的产生量一般占其用水量的80 %。全年生产300天，则本项目生活用水量为0.72 t/d，216t/a，生活污水产生量为0.576 t/d，172.8 t/a。</w:t>
            </w:r>
          </w:p>
          <w:p>
            <w:pPr>
              <w:adjustRightInd w:val="0"/>
              <w:spacing w:line="360" w:lineRule="auto"/>
              <w:ind w:firstLine="480" w:firstLineChars="200"/>
              <w:jc w:val="left"/>
              <w:rPr>
                <w:rFonts w:hint="eastAsia"/>
                <w:color w:val="000000" w:themeColor="text1"/>
                <w:kern w:val="0"/>
                <w:sz w:val="24"/>
                <w:szCs w:val="23"/>
                <w:highlight w:val="none"/>
                <w14:textFill>
                  <w14:solidFill>
                    <w14:schemeClr w14:val="tx1"/>
                  </w14:solidFill>
                </w14:textFill>
              </w:rPr>
            </w:pPr>
            <w:r>
              <w:rPr>
                <w:rFonts w:hint="eastAsia"/>
                <w:color w:val="000000" w:themeColor="text1"/>
                <w:kern w:val="0"/>
                <w:sz w:val="24"/>
                <w:szCs w:val="23"/>
                <w:highlight w:val="none"/>
                <w14:textFill>
                  <w14:solidFill>
                    <w14:schemeClr w14:val="tx1"/>
                  </w14:solidFill>
                </w14:textFill>
              </w:rPr>
              <w:t>本项目全厂水平衡图见图2-1。</w:t>
            </w:r>
          </w:p>
          <w:p>
            <w:pPr>
              <w:adjustRightInd w:val="0"/>
              <w:spacing w:line="360" w:lineRule="auto"/>
              <w:ind w:firstLine="480" w:firstLineChars="200"/>
              <w:jc w:val="left"/>
              <w:rPr>
                <w:rFonts w:hint="eastAsia"/>
                <w:color w:val="000000" w:themeColor="text1"/>
                <w:kern w:val="0"/>
                <w:sz w:val="24"/>
                <w:szCs w:val="23"/>
                <w:highlight w:val="none"/>
                <w14:textFill>
                  <w14:solidFill>
                    <w14:schemeClr w14:val="tx1"/>
                  </w14:solidFill>
                </w14:textFill>
              </w:rPr>
            </w:pPr>
          </w:p>
          <w:p>
            <w:pPr>
              <w:adjustRightInd w:val="0"/>
              <w:spacing w:line="360" w:lineRule="auto"/>
              <w:ind w:firstLine="480" w:firstLineChars="200"/>
              <w:jc w:val="left"/>
              <w:rPr>
                <w:rFonts w:hint="eastAsia"/>
                <w:color w:val="000000" w:themeColor="text1"/>
                <w:kern w:val="0"/>
                <w:sz w:val="24"/>
                <w:szCs w:val="23"/>
                <w:highlight w:val="none"/>
                <w14:textFill>
                  <w14:solidFill>
                    <w14:schemeClr w14:val="tx1"/>
                  </w14:solidFill>
                </w14:textFill>
              </w:rPr>
            </w:pPr>
          </w:p>
          <w:p>
            <w:pPr>
              <w:adjustRightInd w:val="0"/>
              <w:spacing w:line="360" w:lineRule="auto"/>
              <w:ind w:firstLine="480" w:firstLineChars="200"/>
              <w:jc w:val="left"/>
              <w:rPr>
                <w:rFonts w:hint="eastAsia"/>
                <w:color w:val="000000" w:themeColor="text1"/>
                <w:kern w:val="0"/>
                <w:sz w:val="24"/>
                <w:szCs w:val="23"/>
                <w:highlight w:val="none"/>
                <w14:textFill>
                  <w14:solidFill>
                    <w14:schemeClr w14:val="tx1"/>
                  </w14:solidFill>
                </w14:textFill>
              </w:rPr>
            </w:pPr>
          </w:p>
          <w:p>
            <w:pPr>
              <w:adjustRightInd w:val="0"/>
              <w:spacing w:line="360" w:lineRule="auto"/>
              <w:ind w:firstLine="480" w:firstLineChars="200"/>
              <w:jc w:val="left"/>
              <w:rPr>
                <w:rFonts w:hint="eastAsia"/>
                <w:color w:val="000000" w:themeColor="text1"/>
                <w:kern w:val="0"/>
                <w:sz w:val="24"/>
                <w:szCs w:val="23"/>
                <w:highlight w:val="none"/>
                <w14:textFill>
                  <w14:solidFill>
                    <w14:schemeClr w14:val="tx1"/>
                  </w14:solidFill>
                </w14:textFill>
              </w:rPr>
            </w:pPr>
          </w:p>
          <w:p>
            <w:pPr>
              <w:adjustRightInd w:val="0"/>
              <w:spacing w:line="360" w:lineRule="auto"/>
              <w:jc w:val="left"/>
              <w:rPr>
                <w:rFonts w:hint="eastAsia"/>
                <w:color w:val="000000" w:themeColor="text1"/>
                <w:kern w:val="0"/>
                <w:sz w:val="24"/>
                <w:szCs w:val="23"/>
                <w:lang w:eastAsia="zh-CN"/>
                <w14:textFill>
                  <w14:solidFill>
                    <w14:schemeClr w14:val="tx1"/>
                  </w14:solidFill>
                </w14:textFill>
              </w:rPr>
            </w:pP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1637665</wp:posOffset>
                      </wp:positionH>
                      <wp:positionV relativeFrom="paragraph">
                        <wp:posOffset>168910</wp:posOffset>
                      </wp:positionV>
                      <wp:extent cx="856615" cy="295275"/>
                      <wp:effectExtent l="0" t="0" r="0" b="0"/>
                      <wp:wrapNone/>
                      <wp:docPr id="9" name="矩形 9"/>
                      <wp:cNvGraphicFramePr/>
                      <a:graphic xmlns:a="http://schemas.openxmlformats.org/drawingml/2006/main">
                        <a:graphicData uri="http://schemas.microsoft.com/office/word/2010/wordprocessingShape">
                          <wps:wsp>
                            <wps:cNvSpPr/>
                            <wps:spPr>
                              <a:xfrm>
                                <a:off x="0" y="0"/>
                                <a:ext cx="856615" cy="295275"/>
                              </a:xfrm>
                              <a:prstGeom prst="rect">
                                <a:avLst/>
                              </a:prstGeom>
                              <a:noFill/>
                              <a:ln>
                                <a:noFill/>
                              </a:ln>
                            </wps:spPr>
                            <wps:txbx>
                              <w:txbxContent>
                                <w:p>
                                  <w:pPr>
                                    <w:rPr>
                                      <w:rFonts w:hint="default"/>
                                      <w:sz w:val="24"/>
                                      <w:lang w:val="en-US"/>
                                    </w:rPr>
                                  </w:pPr>
                                  <w:r>
                                    <w:rPr>
                                      <w:rFonts w:hint="eastAsia"/>
                                      <w:sz w:val="24"/>
                                    </w:rPr>
                                    <w:t>损耗</w:t>
                                  </w:r>
                                  <w:r>
                                    <w:rPr>
                                      <w:rFonts w:hint="eastAsia"/>
                                      <w:sz w:val="24"/>
                                      <w:lang w:val="en-US" w:eastAsia="zh-CN"/>
                                    </w:rPr>
                                    <w:t>0.144</w:t>
                                  </w:r>
                                </w:p>
                              </w:txbxContent>
                            </wps:txbx>
                            <wps:bodyPr upright="1"/>
                          </wps:wsp>
                        </a:graphicData>
                      </a:graphic>
                    </wp:anchor>
                  </w:drawing>
                </mc:Choice>
                <mc:Fallback>
                  <w:pict>
                    <v:rect id="_x0000_s1026" o:spid="_x0000_s1026" o:spt="1" style="position:absolute;left:0pt;margin-left:128.95pt;margin-top:13.3pt;height:23.25pt;width:67.45pt;z-index:251667456;mso-width-relative:page;mso-height-relative:page;" filled="f" stroked="f" coordsize="21600,21600" o:gfxdata="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ipfdINoAAAAJAQAADwAAAAAAAAABACAAAAAiAAAAZHJzL2Rvd25yZXYueG1s&#10;UEsBAhQAFAAAAAgAh07iQHbRuUiEAQAA8gIAAA4AAAAAAAAAAQAgAAAAKQEAAGRycy9lMm9Eb2Mu&#10;eG1sUEsFBgAAAAAGAAYAWQEAAB8FAAAAAA==&#10;">
                      <v:fill on="f" focussize="0,0"/>
                      <v:stroke on="f"/>
                      <v:imagedata o:title=""/>
                      <o:lock v:ext="edit" aspectratio="f"/>
                      <v:textbox>
                        <w:txbxContent>
                          <w:p>
                            <w:pPr>
                              <w:rPr>
                                <w:rFonts w:hint="default"/>
                                <w:sz w:val="24"/>
                                <w:lang w:val="en-US"/>
                              </w:rPr>
                            </w:pPr>
                            <w:r>
                              <w:rPr>
                                <w:rFonts w:hint="eastAsia"/>
                                <w:sz w:val="24"/>
                              </w:rPr>
                              <w:t>损耗</w:t>
                            </w:r>
                            <w:r>
                              <w:rPr>
                                <w:rFonts w:hint="eastAsia"/>
                                <w:sz w:val="24"/>
                                <w:lang w:val="en-US" w:eastAsia="zh-CN"/>
                              </w:rPr>
                              <w:t>0.144</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2449195</wp:posOffset>
                      </wp:positionH>
                      <wp:positionV relativeFrom="paragraph">
                        <wp:posOffset>292100</wp:posOffset>
                      </wp:positionV>
                      <wp:extent cx="668655" cy="285115"/>
                      <wp:effectExtent l="0" t="0" r="0" b="0"/>
                      <wp:wrapNone/>
                      <wp:docPr id="14" name="矩形 14"/>
                      <wp:cNvGraphicFramePr/>
                      <a:graphic xmlns:a="http://schemas.openxmlformats.org/drawingml/2006/main">
                        <a:graphicData uri="http://schemas.microsoft.com/office/word/2010/wordprocessingShape">
                          <wps:wsp>
                            <wps:cNvSpPr/>
                            <wps:spPr>
                              <a:xfrm>
                                <a:off x="0" y="0"/>
                                <a:ext cx="668655" cy="285115"/>
                              </a:xfrm>
                              <a:prstGeom prst="rect">
                                <a:avLst/>
                              </a:prstGeom>
                              <a:noFill/>
                              <a:ln>
                                <a:noFill/>
                              </a:ln>
                            </wps:spPr>
                            <wps:txbx>
                              <w:txbxContent>
                                <w:p>
                                  <w:pPr>
                                    <w:rPr>
                                      <w:rFonts w:hint="default"/>
                                      <w:sz w:val="24"/>
                                      <w:lang w:val="en-US"/>
                                    </w:rPr>
                                  </w:pPr>
                                  <w:r>
                                    <w:rPr>
                                      <w:rFonts w:hint="eastAsia"/>
                                      <w:sz w:val="24"/>
                                      <w:lang w:val="en-US" w:eastAsia="zh-CN"/>
                                    </w:rPr>
                                    <w:t>0.576</w:t>
                                  </w:r>
                                </w:p>
                              </w:txbxContent>
                            </wps:txbx>
                            <wps:bodyPr upright="1"/>
                          </wps:wsp>
                        </a:graphicData>
                      </a:graphic>
                    </wp:anchor>
                  </w:drawing>
                </mc:Choice>
                <mc:Fallback>
                  <w:pict>
                    <v:rect id="_x0000_s1026" o:spid="_x0000_s1026" o:spt="1" style="position:absolute;left:0pt;margin-left:192.85pt;margin-top:23pt;height:22.45pt;width:52.65pt;z-index:251664384;mso-width-relative:page;mso-height-relative:page;" filled="f" stroked="f" coordsize="21600,21600" o:gfxdata="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PduoOLbAAAACQEAAA8AAAAAAAAAAQAgAAAAIgAAAGRycy9kb3ducmV2Lnht&#10;bFBLAQIUABQAAAAIAIdO4kAGwgV/hAEAAPQCAAAOAAAAAAAAAAEAIAAAACoBAABkcnMvZTJvRG9j&#10;LnhtbFBLBQYAAAAABgAGAFkBAAAgBQAAAAA=&#10;">
                      <v:fill on="f" focussize="0,0"/>
                      <v:stroke on="f"/>
                      <v:imagedata o:title=""/>
                      <o:lock v:ext="edit" aspectratio="f"/>
                      <v:textbox>
                        <w:txbxContent>
                          <w:p>
                            <w:pPr>
                              <w:rPr>
                                <w:rFonts w:hint="default"/>
                                <w:sz w:val="24"/>
                                <w:lang w:val="en-US"/>
                              </w:rPr>
                            </w:pPr>
                            <w:r>
                              <w:rPr>
                                <w:rFonts w:hint="eastAsia"/>
                                <w:sz w:val="24"/>
                                <w:lang w:val="en-US" w:eastAsia="zh-CN"/>
                              </w:rPr>
                              <w:t>0.576</w:t>
                            </w:r>
                          </w:p>
                        </w:txbxContent>
                      </v:textbox>
                    </v:rect>
                  </w:pict>
                </mc:Fallback>
              </mc:AlternateContent>
            </w:r>
          </w:p>
          <w:p>
            <w:pPr>
              <w:adjustRightInd w:val="0"/>
              <w:spacing w:line="360" w:lineRule="auto"/>
              <w:ind w:firstLine="480" w:firstLineChars="200"/>
              <w:jc w:val="left"/>
              <w:rPr>
                <w:rFonts w:hint="eastAsia"/>
                <w:color w:val="000000" w:themeColor="text1"/>
                <w:kern w:val="0"/>
                <w:sz w:val="24"/>
                <w:szCs w:val="23"/>
                <w14:textFill>
                  <w14:solidFill>
                    <w14:schemeClr w14:val="tx1"/>
                  </w14:solidFill>
                </w14:textFill>
              </w:rPr>
            </w:pP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1063625</wp:posOffset>
                      </wp:positionH>
                      <wp:positionV relativeFrom="paragraph">
                        <wp:posOffset>49530</wp:posOffset>
                      </wp:positionV>
                      <wp:extent cx="546100" cy="285115"/>
                      <wp:effectExtent l="0" t="0" r="0" b="0"/>
                      <wp:wrapNone/>
                      <wp:docPr id="10" name="矩形 10"/>
                      <wp:cNvGraphicFramePr/>
                      <a:graphic xmlns:a="http://schemas.openxmlformats.org/drawingml/2006/main">
                        <a:graphicData uri="http://schemas.microsoft.com/office/word/2010/wordprocessingShape">
                          <wps:wsp>
                            <wps:cNvSpPr/>
                            <wps:spPr>
                              <a:xfrm>
                                <a:off x="0" y="0"/>
                                <a:ext cx="546100" cy="285115"/>
                              </a:xfrm>
                              <a:prstGeom prst="rect">
                                <a:avLst/>
                              </a:prstGeom>
                              <a:noFill/>
                              <a:ln>
                                <a:noFill/>
                              </a:ln>
                            </wps:spPr>
                            <wps:txbx>
                              <w:txbxContent>
                                <w:p>
                                  <w:pPr>
                                    <w:rPr>
                                      <w:rFonts w:hint="default"/>
                                      <w:sz w:val="24"/>
                                      <w:lang w:val="en-US"/>
                                    </w:rPr>
                                  </w:pPr>
                                  <w:r>
                                    <w:rPr>
                                      <w:rFonts w:hint="eastAsia"/>
                                      <w:sz w:val="24"/>
                                      <w:lang w:val="en-US" w:eastAsia="zh-CN"/>
                                    </w:rPr>
                                    <w:t>0.724</w:t>
                                  </w:r>
                                </w:p>
                              </w:txbxContent>
                            </wps:txbx>
                            <wps:bodyPr upright="1"/>
                          </wps:wsp>
                        </a:graphicData>
                      </a:graphic>
                    </wp:anchor>
                  </w:drawing>
                </mc:Choice>
                <mc:Fallback>
                  <w:pict>
                    <v:rect id="_x0000_s1026" o:spid="_x0000_s1026" o:spt="1" style="position:absolute;left:0pt;margin-left:83.75pt;margin-top:3.9pt;height:22.45pt;width:43pt;z-index:251661312;mso-width-relative:page;mso-height-relative:page;" filled="f" stroked="f" coordsize="21600,21600" o:gfxdata="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">
                      <v:fill on="f" focussize="0,0"/>
                      <v:stroke on="f"/>
                      <v:imagedata o:title=""/>
                      <o:lock v:ext="edit" aspectratio="f"/>
                      <v:textbox>
                        <w:txbxContent>
                          <w:p>
                            <w:pPr>
                              <w:rPr>
                                <w:rFonts w:hint="default"/>
                                <w:sz w:val="24"/>
                                <w:lang w:val="en-US"/>
                              </w:rPr>
                            </w:pPr>
                            <w:r>
                              <w:rPr>
                                <w:rFonts w:hint="eastAsia"/>
                                <w:sz w:val="24"/>
                                <w:lang w:val="en-US" w:eastAsia="zh-CN"/>
                              </w:rPr>
                              <w:t>0.724</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1967865</wp:posOffset>
                      </wp:positionH>
                      <wp:positionV relativeFrom="paragraph">
                        <wp:posOffset>82550</wp:posOffset>
                      </wp:positionV>
                      <wp:extent cx="3175" cy="157480"/>
                      <wp:effectExtent l="36195" t="0" r="36830" b="13970"/>
                      <wp:wrapNone/>
                      <wp:docPr id="11" name="直接连接符 11"/>
                      <wp:cNvGraphicFramePr/>
                      <a:graphic xmlns:a="http://schemas.openxmlformats.org/drawingml/2006/main">
                        <a:graphicData uri="http://schemas.microsoft.com/office/word/2010/wordprocessingShape">
                          <wps:wsp>
                            <wps:cNvCnPr/>
                            <wps:spPr>
                              <a:xfrm flipV="1">
                                <a:off x="0" y="0"/>
                                <a:ext cx="3175" cy="157480"/>
                              </a:xfrm>
                              <a:prstGeom prst="line">
                                <a:avLst/>
                              </a:prstGeom>
                              <a:ln w="9525" cap="rnd" cmpd="sng">
                                <a:solidFill>
                                  <a:srgbClr val="000000"/>
                                </a:solidFill>
                                <a:prstDash val="sysDot"/>
                                <a:headEnd type="none" w="med" len="med"/>
                                <a:tailEnd type="triangle" w="med" len="sm"/>
                              </a:ln>
                            </wps:spPr>
                            <wps:bodyPr upright="1"/>
                          </wps:wsp>
                        </a:graphicData>
                      </a:graphic>
                    </wp:anchor>
                  </w:drawing>
                </mc:Choice>
                <mc:Fallback>
                  <w:pict>
                    <v:line id="_x0000_s1026" o:spid="_x0000_s1026" o:spt="20" style="position:absolute;left:0pt;flip:y;margin-left:154.95pt;margin-top:6.5pt;height:12.4pt;width:0.25pt;z-index:251668480;mso-width-relative:page;mso-height-relative:page;" filled="f" stroked="t" coordsize="21600,21600" o:gfxdata="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Q&#10;RqjF1AAAAAkBAAAPAAAAAAAAAAEAIAAAACIAAABkcnMvZG93bnJldi54bWxQSwECFAAUAAAACACH&#10;TuJANL5zZe8BAACnAwAADgAAAAAAAAABACAAAAAjAQAAZHJzL2Uyb0RvYy54bWxQSwUGAAAAAAYA&#10;BgBZAQAAhAUAAAAA&#10;">
                      <v:fill on="f" focussize="0,0"/>
                      <v:stroke color="#000000" joinstyle="round" dashstyle="1 1" endcap="round" endarrow="block" endarrowlength="short"/>
                      <v:imagedata o:title=""/>
                      <o:lock v:ext="edit" aspectratio="f"/>
                    </v:line>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537845</wp:posOffset>
                      </wp:positionH>
                      <wp:positionV relativeFrom="paragraph">
                        <wp:posOffset>232410</wp:posOffset>
                      </wp:positionV>
                      <wp:extent cx="655955" cy="294640"/>
                      <wp:effectExtent l="0" t="0" r="0" b="0"/>
                      <wp:wrapNone/>
                      <wp:docPr id="19" name="矩形 19"/>
                      <wp:cNvGraphicFramePr/>
                      <a:graphic xmlns:a="http://schemas.openxmlformats.org/drawingml/2006/main">
                        <a:graphicData uri="http://schemas.microsoft.com/office/word/2010/wordprocessingShape">
                          <wps:wsp>
                            <wps:cNvSpPr/>
                            <wps:spPr>
                              <a:xfrm>
                                <a:off x="0" y="0"/>
                                <a:ext cx="655955" cy="294640"/>
                              </a:xfrm>
                              <a:prstGeom prst="rect">
                                <a:avLst/>
                              </a:prstGeom>
                              <a:noFill/>
                              <a:ln>
                                <a:noFill/>
                              </a:ln>
                            </wps:spPr>
                            <wps:txbx>
                              <w:txbxContent>
                                <w:p>
                                  <w:pPr>
                                    <w:rPr>
                                      <w:rFonts w:hint="eastAsia"/>
                                      <w:sz w:val="24"/>
                                    </w:rPr>
                                  </w:pPr>
                                  <w:r>
                                    <w:rPr>
                                      <w:rFonts w:hint="eastAsia"/>
                                      <w:sz w:val="24"/>
                                    </w:rPr>
                                    <w:t>新鲜水</w:t>
                                  </w:r>
                                </w:p>
                              </w:txbxContent>
                            </wps:txbx>
                            <wps:bodyPr upright="1"/>
                          </wps:wsp>
                        </a:graphicData>
                      </a:graphic>
                    </wp:anchor>
                  </w:drawing>
                </mc:Choice>
                <mc:Fallback>
                  <w:pict>
                    <v:rect id="_x0000_s1026" o:spid="_x0000_s1026" o:spt="1" style="position:absolute;left:0pt;margin-left:42.35pt;margin-top:18.3pt;height:23.2pt;width:51.65pt;z-index:251658240;mso-width-relative:page;mso-height-relative:page;" filled="f" stroked="f" coordsize="21600,21600" o:gfxdata="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B0G6h+2AAAAAgBAAAPAAAAAAAAAAEAIAAAACIAAABkcnMvZG93bnJldi54bWxQ&#10;SwECFAAUAAAACACHTuJADIJeNIUBAAD0AgAADgAAAAAAAAABACAAAAAnAQAAZHJzL2Uyb0RvYy54&#10;bWxQSwUGAAAAAAYABgBZAQAAHgUAAAAA&#10;">
                      <v:fill on="f" focussize="0,0"/>
                      <v:stroke on="f"/>
                      <v:imagedata o:title=""/>
                      <o:lock v:ext="edit" aspectratio="f"/>
                      <v:textbox>
                        <w:txbxContent>
                          <w:p>
                            <w:pPr>
                              <w:rPr>
                                <w:rFonts w:hint="eastAsia"/>
                                <w:sz w:val="24"/>
                              </w:rPr>
                            </w:pPr>
                            <w:r>
                              <w:rPr>
                                <w:rFonts w:hint="eastAsia"/>
                                <w:sz w:val="24"/>
                              </w:rPr>
                              <w:t>新鲜水</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4966335</wp:posOffset>
                      </wp:positionH>
                      <wp:positionV relativeFrom="paragraph">
                        <wp:posOffset>231775</wp:posOffset>
                      </wp:positionV>
                      <wp:extent cx="885825" cy="285115"/>
                      <wp:effectExtent l="0" t="0" r="0" b="0"/>
                      <wp:wrapNone/>
                      <wp:docPr id="12" name="矩形 12"/>
                      <wp:cNvGraphicFramePr/>
                      <a:graphic xmlns:a="http://schemas.openxmlformats.org/drawingml/2006/main">
                        <a:graphicData uri="http://schemas.microsoft.com/office/word/2010/wordprocessingShape">
                          <wps:wsp>
                            <wps:cNvSpPr/>
                            <wps:spPr>
                              <a:xfrm>
                                <a:off x="0" y="0"/>
                                <a:ext cx="885825" cy="285115"/>
                              </a:xfrm>
                              <a:prstGeom prst="rect">
                                <a:avLst/>
                              </a:prstGeom>
                              <a:noFill/>
                              <a:ln>
                                <a:noFill/>
                              </a:ln>
                            </wps:spPr>
                            <wps:txbx>
                              <w:txbxContent>
                                <w:p>
                                  <w:pPr>
                                    <w:rPr>
                                      <w:rFonts w:hint="eastAsia" w:eastAsia="宋体"/>
                                      <w:sz w:val="24"/>
                                      <w:lang w:val="en-US" w:eastAsia="zh-CN"/>
                                    </w:rPr>
                                  </w:pPr>
                                  <w:r>
                                    <w:rPr>
                                      <w:rFonts w:hint="eastAsia" w:eastAsia="宋体"/>
                                      <w:sz w:val="24"/>
                                      <w:lang w:val="en-US" w:eastAsia="zh-CN"/>
                                    </w:rPr>
                                    <w:t>长江</w:t>
                                  </w:r>
                                </w:p>
                              </w:txbxContent>
                            </wps:txbx>
                            <wps:bodyPr upright="1"/>
                          </wps:wsp>
                        </a:graphicData>
                      </a:graphic>
                    </wp:anchor>
                  </w:drawing>
                </mc:Choice>
                <mc:Fallback>
                  <w:pict>
                    <v:rect id="_x0000_s1026" o:spid="_x0000_s1026" o:spt="1" style="position:absolute;left:0pt;margin-left:391.05pt;margin-top:18.25pt;height:22.45pt;width:69.75pt;z-index:251673600;mso-width-relative:page;mso-height-relative:page;" filled="f" stroked="f" coordsize="21600,21600" o:gfxdata="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Dh2jOI2gAAAAkBAAAPAAAAAAAAAAEAIAAAACIAAABkcnMvZG93bnJldi54bWxQ&#10;SwECFAAUAAAACACHTuJAMpQgxYMBAAD0AgAADgAAAAAAAAABACAAAAApAQAAZHJzL2Uyb0RvYy54&#10;bWxQSwUGAAAAAAYABgBZAQAAHgUAAAAA&#10;">
                      <v:fill on="f" focussize="0,0"/>
                      <v:stroke on="f"/>
                      <v:imagedata o:title=""/>
                      <o:lock v:ext="edit" aspectratio="f"/>
                      <v:textbox>
                        <w:txbxContent>
                          <w:p>
                            <w:pPr>
                              <w:rPr>
                                <w:rFonts w:hint="eastAsia" w:eastAsia="宋体"/>
                                <w:sz w:val="24"/>
                                <w:lang w:val="en-US" w:eastAsia="zh-CN"/>
                              </w:rPr>
                            </w:pPr>
                            <w:r>
                              <w:rPr>
                                <w:rFonts w:hint="eastAsia" w:eastAsia="宋体"/>
                                <w:sz w:val="24"/>
                                <w:lang w:val="en-US" w:eastAsia="zh-CN"/>
                              </w:rPr>
                              <w:t>长江</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3836670</wp:posOffset>
                      </wp:positionH>
                      <wp:positionV relativeFrom="paragraph">
                        <wp:posOffset>121920</wp:posOffset>
                      </wp:positionV>
                      <wp:extent cx="1036955" cy="528320"/>
                      <wp:effectExtent l="4445" t="4445" r="6350" b="19685"/>
                      <wp:wrapNone/>
                      <wp:docPr id="15" name="矩形 15"/>
                      <wp:cNvGraphicFramePr/>
                      <a:graphic xmlns:a="http://schemas.openxmlformats.org/drawingml/2006/main">
                        <a:graphicData uri="http://schemas.microsoft.com/office/word/2010/wordprocessingShape">
                          <wps:wsp>
                            <wps:cNvSpPr/>
                            <wps:spPr>
                              <a:xfrm>
                                <a:off x="0" y="0"/>
                                <a:ext cx="1036955" cy="52832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sz w:val="24"/>
                                    </w:rPr>
                                  </w:pPr>
                                  <w:r>
                                    <w:rPr>
                                      <w:rFonts w:hint="eastAsia"/>
                                      <w:color w:val="auto"/>
                                      <w:sz w:val="24"/>
                                      <w:highlight w:val="none"/>
                                      <w:lang w:val="en-US" w:eastAsia="zh-CN"/>
                                    </w:rPr>
                                    <w:t>江北</w:t>
                                  </w:r>
                                  <w:r>
                                    <w:rPr>
                                      <w:rFonts w:hint="eastAsia"/>
                                      <w:sz w:val="24"/>
                                    </w:rPr>
                                    <w:t>污水</w:t>
                                  </w:r>
                                </w:p>
                                <w:p>
                                  <w:pPr>
                                    <w:jc w:val="center"/>
                                    <w:rPr>
                                      <w:rFonts w:hint="eastAsia"/>
                                      <w:sz w:val="24"/>
                                    </w:rPr>
                                  </w:pPr>
                                  <w:r>
                                    <w:rPr>
                                      <w:rFonts w:hint="eastAsia"/>
                                      <w:sz w:val="24"/>
                                    </w:rPr>
                                    <w:t>处理厂</w:t>
                                  </w:r>
                                </w:p>
                              </w:txbxContent>
                            </wps:txbx>
                            <wps:bodyPr upright="1"/>
                          </wps:wsp>
                        </a:graphicData>
                      </a:graphic>
                    </wp:anchor>
                  </w:drawing>
                </mc:Choice>
                <mc:Fallback>
                  <w:pict>
                    <v:rect id="_x0000_s1026" o:spid="_x0000_s1026" o:spt="1" style="position:absolute;left:0pt;margin-left:302.1pt;margin-top:9.6pt;height:41.6pt;width:81.65pt;z-index:251666432;mso-width-relative:page;mso-height-relative:page;" filled="f" stroked="t" coordsize="21600,21600" o:gfxdata="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pAeaLYAAAA&#10;CgEAAA8AAAAAAAAAAQAgAAAAIgAAAGRycy9kb3ducmV2LnhtbFBLAQIUABQAAAAIAIdO4kC1EvAH&#10;5AEAALQDAAAOAAAAAAAAAAEAIAAAACcBAABkcnMvZTJvRG9jLnhtbFBLBQYAAAAABgAGAFkBAAB9&#10;BQAAAAA=&#10;">
                      <v:fill on="f" focussize="0,0"/>
                      <v:stroke color="#000000" joinstyle="miter"/>
                      <v:imagedata o:title=""/>
                      <o:lock v:ext="edit" aspectratio="f"/>
                      <v:textbox>
                        <w:txbxContent>
                          <w:p>
                            <w:pPr>
                              <w:jc w:val="center"/>
                              <w:rPr>
                                <w:rFonts w:hint="eastAsia"/>
                                <w:sz w:val="24"/>
                              </w:rPr>
                            </w:pPr>
                            <w:r>
                              <w:rPr>
                                <w:rFonts w:hint="eastAsia"/>
                                <w:color w:val="auto"/>
                                <w:sz w:val="24"/>
                                <w:highlight w:val="none"/>
                                <w:lang w:val="en-US" w:eastAsia="zh-CN"/>
                              </w:rPr>
                              <w:t>江北</w:t>
                            </w:r>
                            <w:r>
                              <w:rPr>
                                <w:rFonts w:hint="eastAsia"/>
                                <w:sz w:val="24"/>
                              </w:rPr>
                              <w:t>污水</w:t>
                            </w:r>
                          </w:p>
                          <w:p>
                            <w:pPr>
                              <w:jc w:val="center"/>
                              <w:rPr>
                                <w:rFonts w:hint="eastAsia"/>
                                <w:sz w:val="24"/>
                              </w:rPr>
                            </w:pPr>
                            <w:r>
                              <w:rPr>
                                <w:rFonts w:hint="eastAsia"/>
                                <w:sz w:val="24"/>
                              </w:rPr>
                              <w:t>处理厂</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2889885</wp:posOffset>
                      </wp:positionH>
                      <wp:positionV relativeFrom="paragraph">
                        <wp:posOffset>241935</wp:posOffset>
                      </wp:positionV>
                      <wp:extent cx="667385" cy="294640"/>
                      <wp:effectExtent l="5080" t="4445" r="13335" b="5715"/>
                      <wp:wrapNone/>
                      <wp:docPr id="16" name="矩形 16"/>
                      <wp:cNvGraphicFramePr/>
                      <a:graphic xmlns:a="http://schemas.openxmlformats.org/drawingml/2006/main">
                        <a:graphicData uri="http://schemas.microsoft.com/office/word/2010/wordprocessingShape">
                          <wps:wsp>
                            <wps:cNvSpPr/>
                            <wps:spPr>
                              <a:xfrm>
                                <a:off x="0" y="0"/>
                                <a:ext cx="667385" cy="294640"/>
                              </a:xfrm>
                              <a:prstGeom prst="rect">
                                <a:avLst/>
                              </a:prstGeom>
                              <a:noFill/>
                              <a:ln w="9525" cap="flat" cmpd="sng">
                                <a:solidFill>
                                  <a:srgbClr val="000000"/>
                                </a:solidFill>
                                <a:prstDash val="solid"/>
                                <a:miter/>
                                <a:headEnd type="none" w="med" len="med"/>
                                <a:tailEnd type="none" w="med" len="med"/>
                              </a:ln>
                            </wps:spPr>
                            <wps:txbx>
                              <w:txbxContent>
                                <w:p>
                                  <w:pPr>
                                    <w:rPr>
                                      <w:rFonts w:hint="eastAsia"/>
                                      <w:sz w:val="24"/>
                                    </w:rPr>
                                  </w:pPr>
                                  <w:r>
                                    <w:rPr>
                                      <w:rFonts w:hint="eastAsia"/>
                                      <w:sz w:val="24"/>
                                    </w:rPr>
                                    <w:t>化粪池</w:t>
                                  </w:r>
                                </w:p>
                              </w:txbxContent>
                            </wps:txbx>
                            <wps:bodyPr upright="1"/>
                          </wps:wsp>
                        </a:graphicData>
                      </a:graphic>
                    </wp:anchor>
                  </w:drawing>
                </mc:Choice>
                <mc:Fallback>
                  <w:pict>
                    <v:rect id="_x0000_s1026" o:spid="_x0000_s1026" o:spt="1" style="position:absolute;left:0pt;margin-left:227.55pt;margin-top:19.05pt;height:23.2pt;width:52.55pt;z-index:251662336;mso-width-relative:page;mso-height-relative:page;" filled="f" stroked="t" coordsize="21600,21600" o:gfxdata="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5c4ndgAAAAJ&#10;AQAADwAAAAAAAAABACAAAAAiAAAAZHJzL2Rvd25yZXYueG1sUEsBAhQAFAAAAAgAh07iQBJ+gonj&#10;AQAAswMAAA4AAAAAAAAAAQAgAAAAJwEAAGRycy9lMm9Eb2MueG1sUEsFBgAAAAAGAAYAWQEAAHwF&#10;AAAAAA==&#10;">
                      <v:fill on="f" focussize="0,0"/>
                      <v:stroke color="#000000" joinstyle="miter"/>
                      <v:imagedata o:title=""/>
                      <o:lock v:ext="edit" aspectratio="f"/>
                      <v:textbox>
                        <w:txbxContent>
                          <w:p>
                            <w:pPr>
                              <w:rPr>
                                <w:rFonts w:hint="eastAsia"/>
                                <w:sz w:val="24"/>
                              </w:rPr>
                            </w:pPr>
                            <w:r>
                              <w:rPr>
                                <w:rFonts w:hint="eastAsia"/>
                                <w:sz w:val="24"/>
                              </w:rPr>
                              <w:t>化粪池</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1595120</wp:posOffset>
                      </wp:positionH>
                      <wp:positionV relativeFrom="paragraph">
                        <wp:posOffset>245110</wp:posOffset>
                      </wp:positionV>
                      <wp:extent cx="824230" cy="294640"/>
                      <wp:effectExtent l="5080" t="4445" r="8890" b="5715"/>
                      <wp:wrapNone/>
                      <wp:docPr id="17" name="矩形 17"/>
                      <wp:cNvGraphicFramePr/>
                      <a:graphic xmlns:a="http://schemas.openxmlformats.org/drawingml/2006/main">
                        <a:graphicData uri="http://schemas.microsoft.com/office/word/2010/wordprocessingShape">
                          <wps:wsp>
                            <wps:cNvSpPr/>
                            <wps:spPr>
                              <a:xfrm>
                                <a:off x="0" y="0"/>
                                <a:ext cx="824230" cy="294640"/>
                              </a:xfrm>
                              <a:prstGeom prst="rect">
                                <a:avLst/>
                              </a:prstGeom>
                              <a:noFill/>
                              <a:ln w="9525" cap="flat" cmpd="sng">
                                <a:solidFill>
                                  <a:srgbClr val="000000"/>
                                </a:solidFill>
                                <a:prstDash val="solid"/>
                                <a:miter/>
                                <a:headEnd type="none" w="med" len="med"/>
                                <a:tailEnd type="none" w="med" len="med"/>
                              </a:ln>
                            </wps:spPr>
                            <wps:txbx>
                              <w:txbxContent>
                                <w:p>
                                  <w:pPr>
                                    <w:rPr>
                                      <w:rFonts w:hint="eastAsia"/>
                                      <w:sz w:val="24"/>
                                    </w:rPr>
                                  </w:pPr>
                                  <w:r>
                                    <w:rPr>
                                      <w:rFonts w:hint="eastAsia"/>
                                      <w:sz w:val="24"/>
                                      <w:lang w:val="en-US" w:eastAsia="zh-CN"/>
                                    </w:rPr>
                                    <w:t>生活</w:t>
                                  </w:r>
                                  <w:r>
                                    <w:rPr>
                                      <w:rFonts w:hint="eastAsia"/>
                                      <w:sz w:val="24"/>
                                    </w:rPr>
                                    <w:t>用水</w:t>
                                  </w:r>
                                </w:p>
                              </w:txbxContent>
                            </wps:txbx>
                            <wps:bodyPr upright="1"/>
                          </wps:wsp>
                        </a:graphicData>
                      </a:graphic>
                    </wp:anchor>
                  </w:drawing>
                </mc:Choice>
                <mc:Fallback>
                  <w:pict>
                    <v:rect id="_x0000_s1026" o:spid="_x0000_s1026" o:spt="1" style="position:absolute;left:0pt;margin-left:125.6pt;margin-top:19.3pt;height:23.2pt;width:64.9pt;z-index:251659264;mso-width-relative:page;mso-height-relative:page;" filled="f" stroked="t" coordsize="21600,21600" o:gfxdata="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XEjjwdcAAAAJ&#10;AQAADwAAAAAAAAABACAAAAAiAAAAZHJzL2Rvd25yZXYueG1sUEsBAhQAFAAAAAgAh07iQBc1ymTk&#10;AQAAswMAAA4AAAAAAAAAAQAgAAAAJgEAAGRycy9lMm9Eb2MueG1sUEsFBgAAAAAGAAYAWQEAAHwF&#10;AAAAAA==&#10;">
                      <v:fill on="f" focussize="0,0"/>
                      <v:stroke color="#000000" joinstyle="miter"/>
                      <v:imagedata o:title=""/>
                      <o:lock v:ext="edit" aspectratio="f"/>
                      <v:textbox>
                        <w:txbxContent>
                          <w:p>
                            <w:pPr>
                              <w:rPr>
                                <w:rFonts w:hint="eastAsia"/>
                                <w:sz w:val="24"/>
                              </w:rPr>
                            </w:pPr>
                            <w:r>
                              <w:rPr>
                                <w:rFonts w:hint="eastAsia"/>
                                <w:sz w:val="24"/>
                                <w:lang w:val="en-US" w:eastAsia="zh-CN"/>
                              </w:rPr>
                              <w:t>生活</w:t>
                            </w:r>
                            <w:r>
                              <w:rPr>
                                <w:rFonts w:hint="eastAsia"/>
                                <w:sz w:val="24"/>
                              </w:rPr>
                              <w:t>用水</w:t>
                            </w:r>
                          </w:p>
                        </w:txbxContent>
                      </v:textbox>
                    </v:rect>
                  </w:pict>
                </mc:Fallback>
              </mc:AlternateContent>
            </w:r>
          </w:p>
          <w:p>
            <w:pPr>
              <w:adjustRightInd w:val="0"/>
              <w:spacing w:line="360" w:lineRule="auto"/>
              <w:ind w:firstLine="480" w:firstLineChars="200"/>
              <w:jc w:val="left"/>
              <w:rPr>
                <w:rFonts w:hint="eastAsia"/>
                <w:color w:val="000000" w:themeColor="text1"/>
                <w:kern w:val="0"/>
                <w:sz w:val="24"/>
                <w:szCs w:val="23"/>
                <w14:textFill>
                  <w14:solidFill>
                    <w14:schemeClr w14:val="tx1"/>
                  </w14:solidFill>
                </w14:textFill>
              </w:rPr>
            </w:pP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982848" behindDoc="0" locked="0" layoutInCell="1" allowOverlap="1">
                      <wp:simplePos x="0" y="0"/>
                      <wp:positionH relativeFrom="column">
                        <wp:posOffset>2339975</wp:posOffset>
                      </wp:positionH>
                      <wp:positionV relativeFrom="paragraph">
                        <wp:posOffset>257175</wp:posOffset>
                      </wp:positionV>
                      <wp:extent cx="659765" cy="285115"/>
                      <wp:effectExtent l="0" t="0" r="0" b="0"/>
                      <wp:wrapNone/>
                      <wp:docPr id="28" name="矩形 28"/>
                      <wp:cNvGraphicFramePr/>
                      <a:graphic xmlns:a="http://schemas.openxmlformats.org/drawingml/2006/main">
                        <a:graphicData uri="http://schemas.microsoft.com/office/word/2010/wordprocessingShape">
                          <wps:wsp>
                            <wps:cNvSpPr/>
                            <wps:spPr>
                              <a:xfrm>
                                <a:off x="0" y="0"/>
                                <a:ext cx="659765" cy="285115"/>
                              </a:xfrm>
                              <a:prstGeom prst="rect">
                                <a:avLst/>
                              </a:prstGeom>
                              <a:noFill/>
                              <a:ln>
                                <a:noFill/>
                              </a:ln>
                            </wps:spPr>
                            <wps:txbx>
                              <w:txbxContent>
                                <w:p>
                                  <w:pPr>
                                    <w:rPr>
                                      <w:rFonts w:hint="default"/>
                                      <w:sz w:val="24"/>
                                      <w:lang w:val="en-US"/>
                                    </w:rPr>
                                  </w:pPr>
                                  <w:r>
                                    <w:rPr>
                                      <w:rFonts w:hint="eastAsia"/>
                                      <w:sz w:val="24"/>
                                      <w:lang w:val="en-US" w:eastAsia="zh-CN"/>
                                    </w:rPr>
                                    <w:t>0.0004</w:t>
                                  </w:r>
                                </w:p>
                              </w:txbxContent>
                            </wps:txbx>
                            <wps:bodyPr upright="1"/>
                          </wps:wsp>
                        </a:graphicData>
                      </a:graphic>
                    </wp:anchor>
                  </w:drawing>
                </mc:Choice>
                <mc:Fallback>
                  <w:pict>
                    <v:rect id="_x0000_s1026" o:spid="_x0000_s1026" o:spt="1" style="position:absolute;left:0pt;margin-left:184.25pt;margin-top:20.25pt;height:22.45pt;width:51.95pt;z-index:251982848;mso-width-relative:page;mso-height-relative:page;" filled="f" stroked="f" coordsize="21600,21600" o:gfxdata="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D8Lmr/bAAAACQEAAA8AAAAAAAAAAQAgAAAAIgAAAGRycy9kb3ducmV2Lnht&#10;bFBLAQIUABQAAAAIAIdO4kAYTkVYhAEAAPQCAAAOAAAAAAAAAAEAIAAAACoBAABkcnMvZTJvRG9j&#10;LnhtbFBLBQYAAAAABgAGAFkBAAAgBQAAAAA=&#10;">
                      <v:fill on="f" focussize="0,0"/>
                      <v:stroke on="f"/>
                      <v:imagedata o:title=""/>
                      <o:lock v:ext="edit" aspectratio="f"/>
                      <v:textbox>
                        <w:txbxContent>
                          <w:p>
                            <w:pPr>
                              <w:rPr>
                                <w:rFonts w:hint="default"/>
                                <w:sz w:val="24"/>
                                <w:lang w:val="en-US"/>
                              </w:rPr>
                            </w:pPr>
                            <w:r>
                              <w:rPr>
                                <w:rFonts w:hint="eastAsia"/>
                                <w:sz w:val="24"/>
                                <w:lang w:val="en-US" w:eastAsia="zh-CN"/>
                              </w:rPr>
                              <w:t>0.0004</w:t>
                            </w:r>
                          </w:p>
                        </w:txbxContent>
                      </v:textbox>
                    </v:rect>
                  </w:pict>
                </mc:Fallback>
              </mc:AlternateContent>
            </w:r>
            <w:r>
              <w:rPr>
                <w:sz w:val="24"/>
              </w:rPr>
              <mc:AlternateContent>
                <mc:Choice Requires="wps">
                  <w:drawing>
                    <wp:anchor distT="0" distB="0" distL="114300" distR="114300" simplePos="0" relativeHeight="251719680" behindDoc="0" locked="0" layoutInCell="1" allowOverlap="1">
                      <wp:simplePos x="0" y="0"/>
                      <wp:positionH relativeFrom="column">
                        <wp:posOffset>1101090</wp:posOffset>
                      </wp:positionH>
                      <wp:positionV relativeFrom="paragraph">
                        <wp:posOffset>66040</wp:posOffset>
                      </wp:positionV>
                      <wp:extent cx="485775" cy="426720"/>
                      <wp:effectExtent l="0" t="4445" r="9525" b="45085"/>
                      <wp:wrapNone/>
                      <wp:docPr id="2" name="肘形连接符 2"/>
                      <wp:cNvGraphicFramePr/>
                      <a:graphic xmlns:a="http://schemas.openxmlformats.org/drawingml/2006/main">
                        <a:graphicData uri="http://schemas.microsoft.com/office/word/2010/wordprocessingShape">
                          <wps:wsp>
                            <wps:cNvCnPr/>
                            <wps:spPr>
                              <a:xfrm>
                                <a:off x="2060575" y="1765300"/>
                                <a:ext cx="485775" cy="426720"/>
                              </a:xfrm>
                              <a:prstGeom prst="bentConnector3">
                                <a:avLst>
                                  <a:gd name="adj1" fmla="val 50065"/>
                                </a:avLst>
                              </a:prstGeom>
                              <a:ln>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86.7pt;margin-top:5.2pt;height:33.6pt;width:38.25pt;z-index:251719680;mso-width-relative:page;mso-height-relative:page;" filled="f" stroked="t" coordsize="21600,21600" o:gfxdata="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4IppLXAAAACQEAAA8AAAAA&#10;AAAAAQAgAAAAIgAAAGRycy9kb3ducmV2LnhtbFBLAQIUABQAAAAIAIdO4kCDVzGiFQIAANcDAAAO&#10;AAAAAAAAAAEAIAAAACYBAABkcnMvZTJvRG9jLnhtbFBLBQYAAAAABgAGAFkBAACtBQAAAAA=&#10;" adj="10814">
                      <v:fill on="f" focussize="0,0"/>
                      <v:stroke weight="0.5pt" color="#000000 [3213]" miterlimit="8" joinstyle="miter" endarrow="block" endarrowlength="short"/>
                      <v:imagedata o:title=""/>
                      <o:lock v:ext="edit" aspectratio="f"/>
                    </v:shape>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1106170</wp:posOffset>
                      </wp:positionH>
                      <wp:positionV relativeFrom="paragraph">
                        <wp:posOffset>60960</wp:posOffset>
                      </wp:positionV>
                      <wp:extent cx="487045" cy="5715"/>
                      <wp:effectExtent l="0" t="37465" r="8255" b="33020"/>
                      <wp:wrapNone/>
                      <wp:docPr id="18" name="直接连接符 18"/>
                      <wp:cNvGraphicFramePr/>
                      <a:graphic xmlns:a="http://schemas.openxmlformats.org/drawingml/2006/main">
                        <a:graphicData uri="http://schemas.microsoft.com/office/word/2010/wordprocessingShape">
                          <wps:wsp>
                            <wps:cNvCnPr/>
                            <wps:spPr>
                              <a:xfrm flipV="1">
                                <a:off x="0" y="0"/>
                                <a:ext cx="487045" cy="5715"/>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flip:y;margin-left:87.1pt;margin-top:4.8pt;height:0.45pt;width:38.35pt;z-index:251660288;mso-width-relative:page;mso-height-relative:page;" filled="f" stroked="t" coordsize="21600,21600" o:gfxdata="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bY&#10;5YPYAAAACAEAAA8AAAAAAAAAAQAgAAAAIgAAAGRycy9kb3ducmV2LnhtbFBLAQIUABQAAAAIAIdO&#10;4kBMINf46gEAAKcDAAAOAAAAAAAAAAEAIAAAACcBAABkcnMvZTJvRG9jLnhtbFBLBQYAAAAABgAG&#10;AFkBAACDBQAAAAA=&#10;">
                      <v:fill on="f" focussize="0,0"/>
                      <v:stroke color="#000000" joinstyle="round" endarrow="block" endarrowlength="short"/>
                      <v:imagedata o:title=""/>
                      <o:lock v:ext="edit" aspectratio="f"/>
                    </v:line>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4884420</wp:posOffset>
                      </wp:positionH>
                      <wp:positionV relativeFrom="paragraph">
                        <wp:posOffset>48260</wp:posOffset>
                      </wp:positionV>
                      <wp:extent cx="139065" cy="5715"/>
                      <wp:effectExtent l="0" t="36195" r="13335" b="34290"/>
                      <wp:wrapNone/>
                      <wp:docPr id="5" name="直接连接符 5"/>
                      <wp:cNvGraphicFramePr/>
                      <a:graphic xmlns:a="http://schemas.openxmlformats.org/drawingml/2006/main">
                        <a:graphicData uri="http://schemas.microsoft.com/office/word/2010/wordprocessingShape">
                          <wps:wsp>
                            <wps:cNvCnPr/>
                            <wps:spPr>
                              <a:xfrm flipV="1">
                                <a:off x="0" y="0"/>
                                <a:ext cx="139065" cy="5715"/>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flip:y;margin-left:384.6pt;margin-top:3.8pt;height:0.45pt;width:10.95pt;z-index:251669504;mso-width-relative:page;mso-height-relative:page;" filled="f" stroked="t" coordsize="21600,21600" o:gfxdata="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q&#10;oW/B2AAAAAcBAAAPAAAAAAAAAAEAIAAAACIAAABkcnMvZG93bnJldi54bWxQSwECFAAUAAAACACH&#10;TuJAZiYZs+sBAAClAwAADgAAAAAAAAABACAAAAAnAQAAZHJzL2Uyb0RvYy54bWxQSwUGAAAAAAYA&#10;BgBZAQAAhAUAAAAA&#10;">
                      <v:fill on="f" focussize="0,0"/>
                      <v:stroke color="#000000" joinstyle="round" endarrow="block" endarrowlength="short"/>
                      <v:imagedata o:title=""/>
                      <o:lock v:ext="edit" aspectratio="f"/>
                    </v:line>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3566160</wp:posOffset>
                      </wp:positionH>
                      <wp:positionV relativeFrom="paragraph">
                        <wp:posOffset>57150</wp:posOffset>
                      </wp:positionV>
                      <wp:extent cx="265430" cy="635"/>
                      <wp:effectExtent l="0" t="37465" r="1270" b="38100"/>
                      <wp:wrapNone/>
                      <wp:docPr id="6" name="直接连接符 6"/>
                      <wp:cNvGraphicFramePr/>
                      <a:graphic xmlns:a="http://schemas.openxmlformats.org/drawingml/2006/main">
                        <a:graphicData uri="http://schemas.microsoft.com/office/word/2010/wordprocessingShape">
                          <wps:wsp>
                            <wps:cNvCnPr/>
                            <wps:spPr>
                              <a:xfrm>
                                <a:off x="0" y="0"/>
                                <a:ext cx="265430" cy="635"/>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margin-left:280.8pt;margin-top:4.5pt;height:0.05pt;width:20.9pt;z-index:251665408;mso-width-relative:page;mso-height-relative:page;" filled="f" stroked="t" coordsize="21600,21600" o:gfxdata="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9DuoZ1gAAAAcBAAAP&#10;AAAAAAAAAAEAIAAAACIAAABkcnMvZG93bnJldi54bWxQSwECFAAUAAAACACHTuJAhrxOceEBAACa&#10;AwAADgAAAAAAAAABACAAAAAlAQAAZHJzL2Uyb0RvYy54bWxQSwUGAAAAAAYABgBZAQAAeAUAAAAA&#10;">
                      <v:fill on="f" focussize="0,0"/>
                      <v:stroke color="#000000" joinstyle="round" endarrow="block" endarrowlength="short"/>
                      <v:imagedata o:title=""/>
                      <o:lock v:ext="edit" aspectratio="f"/>
                    </v:line>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2423160</wp:posOffset>
                      </wp:positionH>
                      <wp:positionV relativeFrom="paragraph">
                        <wp:posOffset>62865</wp:posOffset>
                      </wp:positionV>
                      <wp:extent cx="473075" cy="635"/>
                      <wp:effectExtent l="0" t="37465" r="3175" b="38100"/>
                      <wp:wrapNone/>
                      <wp:docPr id="8" name="直接连接符 8"/>
                      <wp:cNvGraphicFramePr/>
                      <a:graphic xmlns:a="http://schemas.openxmlformats.org/drawingml/2006/main">
                        <a:graphicData uri="http://schemas.microsoft.com/office/word/2010/wordprocessingShape">
                          <wps:wsp>
                            <wps:cNvCnPr/>
                            <wps:spPr>
                              <a:xfrm>
                                <a:off x="0" y="0"/>
                                <a:ext cx="473075" cy="635"/>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margin-left:190.8pt;margin-top:4.95pt;height:0.05pt;width:37.25pt;z-index:251663360;mso-width-relative:page;mso-height-relative:page;" filled="f" stroked="t" coordsize="21600,21600" o:gfxdata="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i1BG/YAAAACAEA&#10;AA8AAAAAAAAAAQAgAAAAIgAAAGRycy9kb3ducmV2LnhtbFBLAQIUABQAAAAIAIdO4kDyVrGd4QEA&#10;AJoDAAAOAAAAAAAAAAEAIAAAACcBAABkcnMvZTJvRG9jLnhtbFBLBQYAAAAABgAGAFkBAAB6BQAA&#10;AAA=&#10;">
                      <v:fill on="f" focussize="0,0"/>
                      <v:stroke color="#000000" joinstyle="round" endarrow="block" endarrowlength="short"/>
                      <v:imagedata o:title=""/>
                      <o:lock v:ext="edit" aspectratio="f"/>
                    </v:line>
                  </w:pict>
                </mc:Fallback>
              </mc:AlternateContent>
            </w:r>
          </w:p>
          <w:p>
            <w:pPr>
              <w:adjustRightInd w:val="0"/>
              <w:spacing w:line="360" w:lineRule="auto"/>
              <w:jc w:val="left"/>
              <w:rPr>
                <w:rFonts w:ascii="宋体" w:hAnsi="宋体"/>
                <w:sz w:val="24"/>
              </w:rPr>
            </w:pP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820032" behindDoc="0" locked="0" layoutInCell="1" allowOverlap="1">
                      <wp:simplePos x="0" y="0"/>
                      <wp:positionH relativeFrom="column">
                        <wp:posOffset>1111250</wp:posOffset>
                      </wp:positionH>
                      <wp:positionV relativeFrom="paragraph">
                        <wp:posOffset>226695</wp:posOffset>
                      </wp:positionV>
                      <wp:extent cx="546100" cy="285115"/>
                      <wp:effectExtent l="0" t="0" r="0" b="0"/>
                      <wp:wrapNone/>
                      <wp:docPr id="27" name="矩形 27"/>
                      <wp:cNvGraphicFramePr/>
                      <a:graphic xmlns:a="http://schemas.openxmlformats.org/drawingml/2006/main">
                        <a:graphicData uri="http://schemas.microsoft.com/office/word/2010/wordprocessingShape">
                          <wps:wsp>
                            <wps:cNvSpPr/>
                            <wps:spPr>
                              <a:xfrm>
                                <a:off x="0" y="0"/>
                                <a:ext cx="546100" cy="285115"/>
                              </a:xfrm>
                              <a:prstGeom prst="rect">
                                <a:avLst/>
                              </a:prstGeom>
                              <a:noFill/>
                              <a:ln>
                                <a:noFill/>
                              </a:ln>
                            </wps:spPr>
                            <wps:txbx>
                              <w:txbxContent>
                                <w:p>
                                  <w:pPr>
                                    <w:rPr>
                                      <w:rFonts w:hint="default"/>
                                      <w:sz w:val="24"/>
                                      <w:lang w:val="en-US"/>
                                    </w:rPr>
                                  </w:pPr>
                                  <w:r>
                                    <w:rPr>
                                      <w:rFonts w:hint="eastAsia"/>
                                      <w:sz w:val="24"/>
                                      <w:lang w:val="en-US" w:eastAsia="zh-CN"/>
                                    </w:rPr>
                                    <w:t>0.004</w:t>
                                  </w:r>
                                </w:p>
                              </w:txbxContent>
                            </wps:txbx>
                            <wps:bodyPr upright="1"/>
                          </wps:wsp>
                        </a:graphicData>
                      </a:graphic>
                    </wp:anchor>
                  </w:drawing>
                </mc:Choice>
                <mc:Fallback>
                  <w:pict>
                    <v:rect id="_x0000_s1026" o:spid="_x0000_s1026" o:spt="1" style="position:absolute;left:0pt;margin-left:87.5pt;margin-top:17.85pt;height:22.45pt;width:43pt;z-index:251820032;mso-width-relative:page;mso-height-relative:page;" filled="f" stroked="f" coordsize="21600,21600" o:gfxdata="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67cdE9oAAAAJAQAADwAAAAAAAAABACAAAAAiAAAAZHJzL2Rvd25yZXYueG1s&#10;UEsBAhQAFAAAAAgAh07iQCgZDeiEAQAA9AIAAA4AAAAAAAAAAQAgAAAAKQEAAGRycy9lMm9Eb2Mu&#10;eG1sUEsFBgAAAAAGAAYAWQEAAB8FAAAAAA==&#10;">
                      <v:fill on="f" focussize="0,0"/>
                      <v:stroke on="f"/>
                      <v:imagedata o:title=""/>
                      <o:lock v:ext="edit" aspectratio="f"/>
                      <v:textbox>
                        <w:txbxContent>
                          <w:p>
                            <w:pPr>
                              <w:rPr>
                                <w:rFonts w:hint="default"/>
                                <w:sz w:val="24"/>
                                <w:lang w:val="en-US"/>
                              </w:rPr>
                            </w:pPr>
                            <w:r>
                              <w:rPr>
                                <w:rFonts w:hint="eastAsia"/>
                                <w:sz w:val="24"/>
                                <w:lang w:val="en-US" w:eastAsia="zh-CN"/>
                              </w:rPr>
                              <w:t>0.004</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814912" behindDoc="0" locked="0" layoutInCell="1" allowOverlap="1">
                      <wp:simplePos x="0" y="0"/>
                      <wp:positionH relativeFrom="column">
                        <wp:posOffset>2704465</wp:posOffset>
                      </wp:positionH>
                      <wp:positionV relativeFrom="paragraph">
                        <wp:posOffset>107950</wp:posOffset>
                      </wp:positionV>
                      <wp:extent cx="856615" cy="295275"/>
                      <wp:effectExtent l="0" t="0" r="0" b="0"/>
                      <wp:wrapNone/>
                      <wp:docPr id="25" name="矩形 25"/>
                      <wp:cNvGraphicFramePr/>
                      <a:graphic xmlns:a="http://schemas.openxmlformats.org/drawingml/2006/main">
                        <a:graphicData uri="http://schemas.microsoft.com/office/word/2010/wordprocessingShape">
                          <wps:wsp>
                            <wps:cNvSpPr/>
                            <wps:spPr>
                              <a:xfrm>
                                <a:off x="0" y="0"/>
                                <a:ext cx="856615" cy="295275"/>
                              </a:xfrm>
                              <a:prstGeom prst="rect">
                                <a:avLst/>
                              </a:prstGeom>
                              <a:noFill/>
                              <a:ln>
                                <a:noFill/>
                              </a:ln>
                            </wps:spPr>
                            <wps:txbx>
                              <w:txbxContent>
                                <w:p>
                                  <w:pPr>
                                    <w:rPr>
                                      <w:rFonts w:hint="eastAsia" w:eastAsia="宋体"/>
                                      <w:sz w:val="24"/>
                                      <w:lang w:val="en-US" w:eastAsia="zh-CN"/>
                                    </w:rPr>
                                  </w:pPr>
                                  <w:r>
                                    <w:rPr>
                                      <w:rFonts w:hint="eastAsia"/>
                                      <w:sz w:val="24"/>
                                      <w:lang w:val="en-US" w:eastAsia="zh-CN"/>
                                    </w:rPr>
                                    <w:t>危废</w:t>
                                  </w:r>
                                </w:p>
                              </w:txbxContent>
                            </wps:txbx>
                            <wps:bodyPr upright="1"/>
                          </wps:wsp>
                        </a:graphicData>
                      </a:graphic>
                    </wp:anchor>
                  </w:drawing>
                </mc:Choice>
                <mc:Fallback>
                  <w:pict>
                    <v:rect id="_x0000_s1026" o:spid="_x0000_s1026" o:spt="1" style="position:absolute;left:0pt;margin-left:212.95pt;margin-top:8.5pt;height:23.25pt;width:67.45pt;z-index:251814912;mso-width-relative:page;mso-height-relative:page;" filled="f" stroked="f" coordsize="21600,21600" o:gfxdata="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">
                      <v:fill on="f" focussize="0,0"/>
                      <v:stroke on="f"/>
                      <v:imagedata o:title=""/>
                      <o:lock v:ext="edit" aspectratio="f"/>
                      <v:textbox>
                        <w:txbxContent>
                          <w:p>
                            <w:pPr>
                              <w:rPr>
                                <w:rFonts w:hint="eastAsia" w:eastAsia="宋体"/>
                                <w:sz w:val="24"/>
                                <w:lang w:val="en-US" w:eastAsia="zh-CN"/>
                              </w:rPr>
                            </w:pPr>
                            <w:r>
                              <w:rPr>
                                <w:rFonts w:hint="eastAsia"/>
                                <w:sz w:val="24"/>
                                <w:lang w:val="en-US" w:eastAsia="zh-CN"/>
                              </w:rPr>
                              <w:t>危废</w:t>
                            </w:r>
                          </w:p>
                        </w:txbxContent>
                      </v:textbox>
                    </v:rect>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2432685</wp:posOffset>
                      </wp:positionH>
                      <wp:positionV relativeFrom="paragraph">
                        <wp:posOffset>245745</wp:posOffset>
                      </wp:positionV>
                      <wp:extent cx="265430" cy="635"/>
                      <wp:effectExtent l="0" t="37465" r="1270" b="38100"/>
                      <wp:wrapNone/>
                      <wp:docPr id="24" name="直接连接符 24"/>
                      <wp:cNvGraphicFramePr/>
                      <a:graphic xmlns:a="http://schemas.openxmlformats.org/drawingml/2006/main">
                        <a:graphicData uri="http://schemas.microsoft.com/office/word/2010/wordprocessingShape">
                          <wps:wsp>
                            <wps:cNvCnPr/>
                            <wps:spPr>
                              <a:xfrm>
                                <a:off x="0" y="0"/>
                                <a:ext cx="265430" cy="635"/>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margin-left:191.55pt;margin-top:19.35pt;height:0.05pt;width:20.9pt;z-index:251740160;mso-width-relative:page;mso-height-relative:page;" filled="f" stroked="t" coordsize="21600,21600" o:gfxdata="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b0789gAAAAJ&#10;AQAADwAAAAAAAAABACAAAAAiAAAAZHJzL2Rvd25yZXYueG1sUEsBAhQAFAAAAAgAh07iQIqO/Tfj&#10;AQAAnAMAAA4AAAAAAAAAAQAgAAAAJwEAAGRycy9lMm9Eb2MueG1sUEsFBgAAAAAGAAYAWQEAAHwF&#10;AAAAAA==&#10;">
                      <v:fill on="f" focussize="0,0"/>
                      <v:stroke color="#000000" joinstyle="round" endarrow="block" endarrowlength="short"/>
                      <v:imagedata o:title=""/>
                      <o:lock v:ext="edit" aspectratio="f"/>
                    </v:line>
                  </w:pict>
                </mc:Fallback>
              </mc:AlternateContent>
            </w: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1604645</wp:posOffset>
                      </wp:positionH>
                      <wp:positionV relativeFrom="paragraph">
                        <wp:posOffset>98425</wp:posOffset>
                      </wp:positionV>
                      <wp:extent cx="824230" cy="294640"/>
                      <wp:effectExtent l="5080" t="4445" r="8890" b="5715"/>
                      <wp:wrapNone/>
                      <wp:docPr id="3" name="矩形 3"/>
                      <wp:cNvGraphicFramePr/>
                      <a:graphic xmlns:a="http://schemas.openxmlformats.org/drawingml/2006/main">
                        <a:graphicData uri="http://schemas.microsoft.com/office/word/2010/wordprocessingShape">
                          <wps:wsp>
                            <wps:cNvSpPr/>
                            <wps:spPr>
                              <a:xfrm>
                                <a:off x="0" y="0"/>
                                <a:ext cx="824230" cy="294640"/>
                              </a:xfrm>
                              <a:prstGeom prst="rect">
                                <a:avLst/>
                              </a:prstGeom>
                              <a:noFill/>
                              <a:ln w="9525" cap="flat" cmpd="sng">
                                <a:solidFill>
                                  <a:srgbClr val="000000"/>
                                </a:solidFill>
                                <a:prstDash val="solid"/>
                                <a:miter/>
                                <a:headEnd type="none" w="med" len="med"/>
                                <a:tailEnd type="none" w="med" len="med"/>
                              </a:ln>
                            </wps:spPr>
                            <wps:txbx>
                              <w:txbxContent>
                                <w:p>
                                  <w:pPr>
                                    <w:rPr>
                                      <w:rFonts w:hint="eastAsia"/>
                                      <w:sz w:val="24"/>
                                    </w:rPr>
                                  </w:pPr>
                                  <w:r>
                                    <w:rPr>
                                      <w:rFonts w:hint="eastAsia"/>
                                      <w:sz w:val="24"/>
                                      <w:lang w:val="en-US" w:eastAsia="zh-CN"/>
                                    </w:rPr>
                                    <w:t>清洗</w:t>
                                  </w:r>
                                  <w:r>
                                    <w:rPr>
                                      <w:rFonts w:hint="eastAsia"/>
                                      <w:sz w:val="24"/>
                                    </w:rPr>
                                    <w:t>用水</w:t>
                                  </w:r>
                                </w:p>
                              </w:txbxContent>
                            </wps:txbx>
                            <wps:bodyPr upright="1"/>
                          </wps:wsp>
                        </a:graphicData>
                      </a:graphic>
                    </wp:anchor>
                  </w:drawing>
                </mc:Choice>
                <mc:Fallback>
                  <w:pict>
                    <v:rect id="_x0000_s1026" o:spid="_x0000_s1026" o:spt="1" style="position:absolute;left:0pt;margin-left:126.35pt;margin-top:7.75pt;height:23.2pt;width:64.9pt;z-index:251721728;mso-width-relative:page;mso-height-relative:page;" filled="f" stroked="t" coordsize="21600,21600" o:gfxdata="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iFek1wAAAAkB&#10;AAAPAAAAAAAAAAEAIAAAACIAAABkcnMvZG93bnJldi54bWxQSwECFAAUAAAACACHTuJAiUid9eMB&#10;AACxAwAADgAAAAAAAAABACAAAAAmAQAAZHJzL2Uyb0RvYy54bWxQSwUGAAAAAAYABgBZAQAAewUA&#10;AAAA&#10;">
                      <v:fill on="f" focussize="0,0"/>
                      <v:stroke color="#000000" joinstyle="miter"/>
                      <v:imagedata o:title=""/>
                      <o:lock v:ext="edit" aspectratio="f"/>
                      <v:textbox>
                        <w:txbxContent>
                          <w:p>
                            <w:pPr>
                              <w:rPr>
                                <w:rFonts w:hint="eastAsia"/>
                                <w:sz w:val="24"/>
                              </w:rPr>
                            </w:pPr>
                            <w:r>
                              <w:rPr>
                                <w:rFonts w:hint="eastAsia"/>
                                <w:sz w:val="24"/>
                                <w:lang w:val="en-US" w:eastAsia="zh-CN"/>
                              </w:rPr>
                              <w:t>清洗</w:t>
                            </w:r>
                            <w:r>
                              <w:rPr>
                                <w:rFonts w:hint="eastAsia"/>
                                <w:sz w:val="24"/>
                              </w:rPr>
                              <w:t>用水</w:t>
                            </w:r>
                          </w:p>
                        </w:txbxContent>
                      </v:textbox>
                    </v:rect>
                  </w:pict>
                </mc:Fallback>
              </mc:AlternateContent>
            </w:r>
          </w:p>
          <w:p>
            <w:pPr>
              <w:adjustRightInd w:val="0"/>
              <w:spacing w:line="360" w:lineRule="auto"/>
              <w:jc w:val="left"/>
              <w:rPr>
                <w:rFonts w:ascii="宋体" w:hAnsi="宋体"/>
                <w:sz w:val="24"/>
              </w:rPr>
            </w:pPr>
            <w:r>
              <w:rPr>
                <w:rFonts w:hint="eastAsia"/>
                <w:color w:val="000000" w:themeColor="text1"/>
                <w:kern w:val="0"/>
                <w:sz w:val="24"/>
                <w:szCs w:val="23"/>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1418590</wp:posOffset>
                      </wp:positionH>
                      <wp:positionV relativeFrom="paragraph">
                        <wp:posOffset>296545</wp:posOffset>
                      </wp:positionV>
                      <wp:extent cx="1266190" cy="295275"/>
                      <wp:effectExtent l="0" t="0" r="0" b="0"/>
                      <wp:wrapNone/>
                      <wp:docPr id="23" name="矩形 23"/>
                      <wp:cNvGraphicFramePr/>
                      <a:graphic xmlns:a="http://schemas.openxmlformats.org/drawingml/2006/main">
                        <a:graphicData uri="http://schemas.microsoft.com/office/word/2010/wordprocessingShape">
                          <wps:wsp>
                            <wps:cNvSpPr/>
                            <wps:spPr>
                              <a:xfrm>
                                <a:off x="0" y="0"/>
                                <a:ext cx="1266190" cy="295275"/>
                              </a:xfrm>
                              <a:prstGeom prst="rect">
                                <a:avLst/>
                              </a:prstGeom>
                              <a:noFill/>
                              <a:ln>
                                <a:noFill/>
                              </a:ln>
                            </wps:spPr>
                            <wps:txbx>
                              <w:txbxContent>
                                <w:p>
                                  <w:pPr>
                                    <w:rPr>
                                      <w:rFonts w:hint="default"/>
                                      <w:sz w:val="24"/>
                                      <w:lang w:val="en-US"/>
                                    </w:rPr>
                                  </w:pPr>
                                  <w:r>
                                    <w:rPr>
                                      <w:rFonts w:hint="eastAsia"/>
                                      <w:sz w:val="24"/>
                                    </w:rPr>
                                    <w:t>损耗</w:t>
                                  </w:r>
                                  <w:r>
                                    <w:rPr>
                                      <w:rFonts w:hint="eastAsia"/>
                                      <w:sz w:val="24"/>
                                      <w:lang w:val="en-US" w:eastAsia="zh-CN"/>
                                    </w:rPr>
                                    <w:t>0.0036</w:t>
                                  </w:r>
                                </w:p>
                              </w:txbxContent>
                            </wps:txbx>
                            <wps:bodyPr upright="1"/>
                          </wps:wsp>
                        </a:graphicData>
                      </a:graphic>
                    </wp:anchor>
                  </w:drawing>
                </mc:Choice>
                <mc:Fallback>
                  <w:pict>
                    <v:rect id="_x0000_s1026" o:spid="_x0000_s1026" o:spt="1" style="position:absolute;left:0pt;margin-left:111.7pt;margin-top:23.35pt;height:23.25pt;width:99.7pt;z-index:251731968;mso-width-relative:page;mso-height-relative:page;" filled="f" stroked="f" coordsize="21600,21600" o:gfxdata="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M69bK/aAAAACQEAAA8AAAAAAAAAAQAgAAAAIgAAAGRycy9kb3ducmV2Lnht&#10;bFBLAQIUABQAAAAIAIdO4kCXPL4rhQEAAPUCAAAOAAAAAAAAAAEAIAAAACkBAABkcnMvZTJvRG9j&#10;LnhtbFBLBQYAAAAABgAGAFkBAAAgBQAAAAA=&#10;">
                      <v:fill on="f" focussize="0,0"/>
                      <v:stroke on="f"/>
                      <v:imagedata o:title=""/>
                      <o:lock v:ext="edit" aspectratio="f"/>
                      <v:textbox>
                        <w:txbxContent>
                          <w:p>
                            <w:pPr>
                              <w:rPr>
                                <w:rFonts w:hint="default"/>
                                <w:sz w:val="24"/>
                                <w:lang w:val="en-US"/>
                              </w:rPr>
                            </w:pPr>
                            <w:r>
                              <w:rPr>
                                <w:rFonts w:hint="eastAsia"/>
                                <w:sz w:val="24"/>
                              </w:rPr>
                              <w:t>损耗</w:t>
                            </w:r>
                            <w:r>
                              <w:rPr>
                                <w:rFonts w:hint="eastAsia"/>
                                <w:sz w:val="24"/>
                                <w:lang w:val="en-US" w:eastAsia="zh-CN"/>
                              </w:rPr>
                              <w:t>0.0036</w:t>
                            </w:r>
                          </w:p>
                        </w:txbxContent>
                      </v:textbox>
                    </v:rect>
                  </w:pict>
                </mc:Fallback>
              </mc:AlternateContent>
            </w:r>
            <w:r>
              <w:rPr>
                <w:sz w:val="24"/>
              </w:rPr>
              <mc:AlternateContent>
                <mc:Choice Requires="wps">
                  <w:drawing>
                    <wp:anchor distT="0" distB="0" distL="114300" distR="114300" simplePos="0" relativeHeight="251815936" behindDoc="0" locked="0" layoutInCell="1" allowOverlap="1">
                      <wp:simplePos x="0" y="0"/>
                      <wp:positionH relativeFrom="column">
                        <wp:posOffset>2016760</wp:posOffset>
                      </wp:positionH>
                      <wp:positionV relativeFrom="paragraph">
                        <wp:posOffset>95885</wp:posOffset>
                      </wp:positionV>
                      <wp:extent cx="3810" cy="185420"/>
                      <wp:effectExtent l="35560" t="0" r="36830" b="5080"/>
                      <wp:wrapNone/>
                      <wp:docPr id="26" name="直接箭头连接符 26"/>
                      <wp:cNvGraphicFramePr/>
                      <a:graphic xmlns:a="http://schemas.openxmlformats.org/drawingml/2006/main">
                        <a:graphicData uri="http://schemas.microsoft.com/office/word/2010/wordprocessingShape">
                          <wps:wsp>
                            <wps:cNvCnPr>
                              <a:stCxn id="3" idx="2"/>
                            </wps:cNvCnPr>
                            <wps:spPr>
                              <a:xfrm>
                                <a:off x="2847975" y="2299335"/>
                                <a:ext cx="3810" cy="185420"/>
                              </a:xfrm>
                              <a:prstGeom prst="straightConnector1">
                                <a:avLst/>
                              </a:prstGeom>
                              <a:ln>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8.8pt;margin-top:7.55pt;height:14.6pt;width:0.3pt;z-index:251815936;mso-width-relative:page;mso-height-relative:page;" filled="f" stroked="t" coordsize="21600,21600" o:gfxdata="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M1hGQ2AAAAAkBAAAPAAAA&#10;AAAAAAEAIAAAACIAAABkcnMvZG93bnJldi54bWxQSwECFAAUAAAACACHTuJA9ohinhUCAADaAwAA&#10;DgAAAAAAAAABACAAAAAnAQAAZHJzL2Uyb0RvYy54bWxQSwUGAAAAAAYABgBZAQAArgUAAAAA&#10;">
                      <v:fill on="f" focussize="0,0"/>
                      <v:stroke weight="0.5pt" color="#000000 [3213]" miterlimit="8" joinstyle="miter" endarrow="block" endarrowlength="short"/>
                      <v:imagedata o:title=""/>
                      <o:lock v:ext="edit" aspectratio="f"/>
                    </v:shape>
                  </w:pict>
                </mc:Fallback>
              </mc:AlternateContent>
            </w:r>
          </w:p>
          <w:p>
            <w:pPr>
              <w:adjustRightInd w:val="0"/>
              <w:spacing w:line="360" w:lineRule="auto"/>
              <w:jc w:val="left"/>
              <w:rPr>
                <w:rFonts w:ascii="宋体" w:hAnsi="宋体"/>
                <w:sz w:val="24"/>
              </w:rPr>
            </w:pPr>
          </w:p>
          <w:p>
            <w:pPr>
              <w:tabs>
                <w:tab w:val="left" w:pos="0"/>
                <w:tab w:val="left" w:pos="3600"/>
              </w:tabs>
              <w:spacing w:line="360" w:lineRule="auto"/>
              <w:jc w:val="center"/>
              <w:rPr>
                <w:rFonts w:hint="eastAsia"/>
                <w:b/>
                <w:kern w:val="0"/>
                <w:sz w:val="24"/>
                <w:highlight w:val="none"/>
              </w:rPr>
            </w:pPr>
            <w:r>
              <w:rPr>
                <w:rFonts w:hint="eastAsia"/>
                <w:b/>
                <w:kern w:val="0"/>
                <w:sz w:val="24"/>
                <w:highlight w:val="none"/>
              </w:rPr>
              <w:t>图2</w:t>
            </w:r>
            <w:r>
              <w:rPr>
                <w:b/>
                <w:kern w:val="0"/>
                <w:sz w:val="24"/>
                <w:highlight w:val="none"/>
              </w:rPr>
              <w:t>-1  建设项目</w:t>
            </w:r>
            <w:r>
              <w:rPr>
                <w:rFonts w:hint="eastAsia"/>
                <w:b/>
                <w:kern w:val="0"/>
                <w:sz w:val="24"/>
                <w:highlight w:val="none"/>
              </w:rPr>
              <w:t>全厂</w:t>
            </w:r>
            <w:r>
              <w:rPr>
                <w:b/>
                <w:kern w:val="0"/>
                <w:sz w:val="24"/>
                <w:highlight w:val="none"/>
              </w:rPr>
              <w:t>水平衡图</w:t>
            </w:r>
            <w:r>
              <w:rPr>
                <w:rFonts w:hint="eastAsia"/>
                <w:b/>
                <w:kern w:val="0"/>
                <w:sz w:val="24"/>
                <w:highlight w:val="none"/>
              </w:rPr>
              <w:t>（m³/d）</w:t>
            </w:r>
          </w:p>
          <w:p>
            <w:pPr>
              <w:tabs>
                <w:tab w:val="left" w:pos="0"/>
                <w:tab w:val="left" w:pos="3600"/>
              </w:tabs>
              <w:spacing w:line="360" w:lineRule="auto"/>
              <w:jc w:val="both"/>
              <w:rPr>
                <w:rFonts w:hint="eastAsia"/>
                <w:b/>
                <w:kern w:val="0"/>
                <w:sz w:val="24"/>
                <w:highlight w:val="none"/>
                <w:lang w:val="en-US" w:eastAsia="zh-CN"/>
              </w:rPr>
            </w:pPr>
          </w:p>
          <w:p>
            <w:pPr>
              <w:spacing w:line="360" w:lineRule="auto"/>
              <w:jc w:val="left"/>
              <w:rPr>
                <w:rFonts w:hint="eastAsia" w:ascii="宋体" w:hAnsi="宋体"/>
                <w:b/>
                <w:color w:val="000000" w:themeColor="text1"/>
                <w:sz w:val="28"/>
                <w:szCs w:val="28"/>
                <w14:textFill>
                  <w14:solidFill>
                    <w14:schemeClr w14:val="tx1"/>
                  </w14:solidFill>
                </w14:textFill>
              </w:rPr>
            </w:pPr>
            <w:r>
              <w:rPr>
                <w:rFonts w:hint="eastAsia" w:ascii="宋体" w:hAnsi="宋体"/>
                <w:b/>
                <w:sz w:val="28"/>
                <w:szCs w:val="28"/>
              </w:rPr>
              <w:t>4</w:t>
            </w:r>
            <w:r>
              <w:rPr>
                <w:rFonts w:hint="eastAsia" w:ascii="宋体" w:hAnsi="宋体"/>
                <w:b/>
                <w:color w:val="000000" w:themeColor="text1"/>
                <w:sz w:val="28"/>
                <w:szCs w:val="28"/>
                <w14:textFill>
                  <w14:solidFill>
                    <w14:schemeClr w14:val="tx1"/>
                  </w14:solidFill>
                </w14:textFill>
              </w:rPr>
              <w:t>、项目变动情况</w:t>
            </w:r>
          </w:p>
          <w:p>
            <w:pPr>
              <w:spacing w:line="360" w:lineRule="auto"/>
              <w:ind w:firstLine="480" w:firstLineChars="200"/>
              <w:jc w:val="left"/>
              <w:rPr>
                <w:rFonts w:hint="eastAsia"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对照环评及批复</w:t>
            </w:r>
            <w:r>
              <w:rPr>
                <w:rFonts w:hint="eastAsia" w:ascii="宋体" w:hAnsi="宋体"/>
                <w:color w:val="000000" w:themeColor="text1"/>
                <w:sz w:val="24"/>
                <w:szCs w:val="24"/>
                <w:highlight w:val="none"/>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t>本项目</w:t>
            </w:r>
            <w:r>
              <w:rPr>
                <w:rFonts w:hint="eastAsia" w:ascii="宋体" w:hAnsi="宋体"/>
                <w:color w:val="000000" w:themeColor="text1"/>
                <w:sz w:val="24"/>
                <w:szCs w:val="24"/>
                <w:highlight w:val="none"/>
                <w14:textFill>
                  <w14:solidFill>
                    <w14:schemeClr w14:val="tx1"/>
                  </w14:solidFill>
                </w14:textFill>
              </w:rPr>
              <w:t>建成部分</w:t>
            </w:r>
            <w:r>
              <w:rPr>
                <w:rFonts w:ascii="宋体" w:hAnsi="宋体"/>
                <w:color w:val="000000" w:themeColor="text1"/>
                <w:sz w:val="24"/>
                <w:szCs w:val="24"/>
                <w:highlight w:val="none"/>
                <w14:textFill>
                  <w14:solidFill>
                    <w14:schemeClr w14:val="tx1"/>
                  </w14:solidFill>
                </w14:textFill>
              </w:rPr>
              <w:t>建设内容与环评</w:t>
            </w:r>
            <w:r>
              <w:rPr>
                <w:rFonts w:hint="eastAsia" w:ascii="宋体" w:hAnsi="宋体"/>
                <w:color w:val="000000" w:themeColor="text1"/>
                <w:sz w:val="24"/>
                <w:szCs w:val="24"/>
                <w:highlight w:val="none"/>
                <w14:textFill>
                  <w14:solidFill>
                    <w14:schemeClr w14:val="tx1"/>
                  </w14:solidFill>
                </w14:textFill>
              </w:rPr>
              <w:t>及批复基本一致，无重大变动。</w:t>
            </w:r>
          </w:p>
          <w:tbl>
            <w:tblPr>
              <w:tblStyle w:val="33"/>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00"/>
              <w:gridCol w:w="3270"/>
              <w:gridCol w:w="30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00" w:type="dxa"/>
                  <w:shd w:val="clear" w:color="auto" w:fill="auto"/>
                  <w:vAlign w:val="center"/>
                </w:tcPr>
                <w:p>
                  <w:pPr>
                    <w:jc w:val="center"/>
                    <w:rPr>
                      <w:rFonts w:ascii="宋体" w:hAnsi="宋体"/>
                      <w:b/>
                      <w:sz w:val="24"/>
                      <w:szCs w:val="24"/>
                    </w:rPr>
                  </w:pPr>
                  <w:r>
                    <w:rPr>
                      <w:rFonts w:hint="eastAsia" w:ascii="宋体" w:hAnsi="宋体"/>
                      <w:b/>
                      <w:sz w:val="24"/>
                      <w:szCs w:val="24"/>
                    </w:rPr>
                    <w:t>环评及批复要求</w:t>
                  </w:r>
                </w:p>
              </w:tc>
              <w:tc>
                <w:tcPr>
                  <w:tcW w:w="3270" w:type="dxa"/>
                  <w:shd w:val="clear" w:color="auto" w:fill="auto"/>
                  <w:vAlign w:val="center"/>
                </w:tcPr>
                <w:p>
                  <w:pPr>
                    <w:jc w:val="center"/>
                    <w:rPr>
                      <w:rFonts w:ascii="宋体" w:hAnsi="宋体"/>
                      <w:b/>
                      <w:sz w:val="24"/>
                      <w:szCs w:val="24"/>
                    </w:rPr>
                  </w:pPr>
                  <w:r>
                    <w:rPr>
                      <w:rFonts w:hint="eastAsia" w:ascii="宋体" w:hAnsi="宋体"/>
                      <w:b/>
                      <w:sz w:val="24"/>
                      <w:szCs w:val="24"/>
                    </w:rPr>
                    <w:t>实际情况</w:t>
                  </w:r>
                </w:p>
              </w:tc>
              <w:tc>
                <w:tcPr>
                  <w:tcW w:w="3017" w:type="dxa"/>
                  <w:shd w:val="clear" w:color="auto" w:fill="auto"/>
                  <w:vAlign w:val="center"/>
                </w:tcPr>
                <w:p>
                  <w:pPr>
                    <w:jc w:val="center"/>
                    <w:rPr>
                      <w:rFonts w:ascii="宋体" w:hAnsi="宋体"/>
                      <w:b/>
                      <w:sz w:val="24"/>
                      <w:szCs w:val="24"/>
                    </w:rPr>
                  </w:pPr>
                  <w:r>
                    <w:rPr>
                      <w:rFonts w:hint="eastAsia" w:ascii="宋体" w:hAnsi="宋体"/>
                      <w:b/>
                      <w:sz w:val="24"/>
                      <w:szCs w:val="24"/>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00" w:type="dxa"/>
                  <w:shd w:val="clear" w:color="auto" w:fill="auto"/>
                  <w:vAlign w:val="center"/>
                </w:tcPr>
                <w:p>
                  <w:pPr>
                    <w:jc w:val="center"/>
                    <w:rPr>
                      <w:rFonts w:ascii="宋体" w:hAnsi="宋体" w:cs="黑体"/>
                      <w:color w:val="000000"/>
                      <w:kern w:val="0"/>
                      <w:sz w:val="21"/>
                      <w:szCs w:val="21"/>
                      <w:highlight w:val="yellow"/>
                    </w:rPr>
                  </w:pPr>
                  <w:r>
                    <w:rPr>
                      <w:rFonts w:hint="eastAsia"/>
                      <w:color w:val="auto"/>
                      <w:kern w:val="0"/>
                      <w:sz w:val="21"/>
                      <w:szCs w:val="21"/>
                      <w:highlight w:val="none"/>
                      <w:lang w:val="en-US" w:eastAsia="zh-CN"/>
                    </w:rPr>
                    <w:t>生活污水经化粪池预处理后排入园区污水管网，通过市政污水管网进入江北污水处理厂</w:t>
                  </w:r>
                </w:p>
              </w:tc>
              <w:tc>
                <w:tcPr>
                  <w:tcW w:w="3270" w:type="dxa"/>
                  <w:shd w:val="clear" w:color="auto" w:fill="auto"/>
                  <w:vAlign w:val="center"/>
                </w:tcPr>
                <w:p>
                  <w:pPr>
                    <w:jc w:val="center"/>
                    <w:rPr>
                      <w:rFonts w:ascii="宋体" w:hAnsi="宋体"/>
                      <w:kern w:val="24"/>
                      <w:sz w:val="21"/>
                      <w:szCs w:val="21"/>
                      <w:highlight w:val="yellow"/>
                    </w:rPr>
                  </w:pPr>
                  <w:r>
                    <w:rPr>
                      <w:rFonts w:hint="eastAsia"/>
                      <w:color w:val="auto"/>
                      <w:kern w:val="0"/>
                      <w:sz w:val="21"/>
                      <w:szCs w:val="21"/>
                      <w:highlight w:val="none"/>
                      <w:lang w:val="en-US" w:eastAsia="zh-CN"/>
                    </w:rPr>
                    <w:t>生活污水经化粪池预处理后排入园区污水管网，通过市政污水管网进入江北污水处理厂。设备清洗废水自然蒸发后剩余的少量油墨废渣做危废处理</w:t>
                  </w:r>
                </w:p>
              </w:tc>
              <w:tc>
                <w:tcPr>
                  <w:tcW w:w="3017" w:type="dxa"/>
                  <w:shd w:val="clear" w:color="auto" w:fill="auto"/>
                  <w:vAlign w:val="center"/>
                </w:tcPr>
                <w:p>
                  <w:pPr>
                    <w:spacing w:line="276" w:lineRule="auto"/>
                    <w:jc w:val="center"/>
                    <w:rPr>
                      <w:rFonts w:ascii="宋体" w:hAnsi="宋体"/>
                      <w:color w:val="000000"/>
                      <w:sz w:val="21"/>
                      <w:szCs w:val="21"/>
                    </w:rPr>
                  </w:pPr>
                  <w:r>
                    <w:rPr>
                      <w:rFonts w:ascii="宋体" w:hAnsi="宋体"/>
                      <w:color w:val="000000"/>
                      <w:sz w:val="21"/>
                      <w:szCs w:val="21"/>
                    </w:rPr>
                    <w:t>对照</w:t>
                  </w:r>
                  <w:r>
                    <w:rPr>
                      <w:rFonts w:hint="eastAsia" w:ascii="宋体" w:hAnsi="宋体"/>
                      <w:color w:val="000000"/>
                      <w:sz w:val="21"/>
                      <w:szCs w:val="21"/>
                      <w:lang w:val="en-US" w:eastAsia="zh-CN"/>
                    </w:rPr>
                    <w:t>环评</w:t>
                  </w:r>
                  <w:r>
                    <w:rPr>
                      <w:rFonts w:ascii="宋体" w:hAnsi="宋体"/>
                      <w:color w:val="000000"/>
                      <w:sz w:val="21"/>
                      <w:szCs w:val="21"/>
                    </w:rPr>
                    <w:t>批复</w:t>
                  </w:r>
                  <w:r>
                    <w:rPr>
                      <w:rFonts w:hint="eastAsia" w:ascii="宋体" w:hAnsi="宋体"/>
                      <w:color w:val="000000"/>
                      <w:sz w:val="21"/>
                      <w:szCs w:val="21"/>
                      <w:lang w:val="en-US" w:eastAsia="zh-CN"/>
                    </w:rPr>
                    <w:t>及后评价</w:t>
                  </w:r>
                  <w:r>
                    <w:rPr>
                      <w:rFonts w:hint="eastAsia" w:ascii="宋体" w:hAnsi="宋体"/>
                      <w:color w:val="000000"/>
                      <w:sz w:val="21"/>
                      <w:szCs w:val="21"/>
                    </w:rPr>
                    <w:t>，</w:t>
                  </w:r>
                  <w:r>
                    <w:rPr>
                      <w:rFonts w:ascii="宋体" w:hAnsi="宋体"/>
                      <w:color w:val="000000"/>
                      <w:sz w:val="21"/>
                      <w:szCs w:val="21"/>
                    </w:rPr>
                    <w:t>本项目</w:t>
                  </w:r>
                  <w:r>
                    <w:rPr>
                      <w:rFonts w:hint="eastAsia" w:ascii="宋体" w:hAnsi="宋体"/>
                      <w:color w:val="000000"/>
                      <w:sz w:val="21"/>
                      <w:szCs w:val="21"/>
                    </w:rPr>
                    <w:t>建成部分</w:t>
                  </w:r>
                  <w:r>
                    <w:rPr>
                      <w:rFonts w:ascii="宋体" w:hAnsi="宋体"/>
                      <w:color w:val="000000"/>
                      <w:sz w:val="21"/>
                      <w:szCs w:val="21"/>
                    </w:rPr>
                    <w:t>建设内容与环评</w:t>
                  </w:r>
                  <w:r>
                    <w:rPr>
                      <w:rFonts w:hint="eastAsia" w:ascii="宋体" w:hAnsi="宋体"/>
                      <w:color w:val="000000"/>
                      <w:sz w:val="21"/>
                      <w:szCs w:val="21"/>
                    </w:rPr>
                    <w:t>及批复</w:t>
                  </w:r>
                  <w:r>
                    <w:rPr>
                      <w:rFonts w:hint="eastAsia" w:ascii="宋体" w:hAnsi="宋体"/>
                      <w:color w:val="000000"/>
                      <w:sz w:val="21"/>
                      <w:szCs w:val="21"/>
                      <w:lang w:val="en-US" w:eastAsia="zh-CN"/>
                    </w:rPr>
                    <w:t>对比增加了清洗废水，但已妥善处理</w:t>
                  </w:r>
                  <w:r>
                    <w:rPr>
                      <w:rFonts w:hint="eastAsia" w:ascii="宋体" w:hAnsi="宋体"/>
                      <w:color w:val="000000"/>
                      <w:sz w:val="21"/>
                      <w:szCs w:val="21"/>
                    </w:rPr>
                    <w:t>，</w:t>
                  </w:r>
                  <w:r>
                    <w:rPr>
                      <w:rFonts w:hint="eastAsia" w:ascii="宋体" w:hAnsi="宋体"/>
                      <w:color w:val="000000"/>
                      <w:sz w:val="21"/>
                      <w:szCs w:val="21"/>
                      <w:lang w:val="en-US" w:eastAsia="zh-CN"/>
                    </w:rPr>
                    <w:t>项目</w:t>
                  </w:r>
                  <w:r>
                    <w:rPr>
                      <w:rFonts w:hint="eastAsia" w:ascii="宋体" w:hAnsi="宋体"/>
                      <w:color w:val="000000"/>
                      <w:sz w:val="21"/>
                      <w:szCs w:val="21"/>
                    </w:rPr>
                    <w:t>无重大变动。</w:t>
                  </w: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503" w:type="dxa"/>
          </w:tcPr>
          <w:p>
            <w:pPr>
              <w:spacing w:line="360" w:lineRule="auto"/>
              <w:rPr>
                <w:sz w:val="24"/>
                <w:szCs w:val="24"/>
              </w:rPr>
            </w:pPr>
            <w:r>
              <w:rPr>
                <w:rFonts w:hint="eastAsia"/>
                <w:sz w:val="24"/>
                <w:szCs w:val="24"/>
              </w:rPr>
              <w:t>主要工艺流程及产物环节：</w:t>
            </w:r>
          </w:p>
          <w:p>
            <w:pPr>
              <w:spacing w:line="360" w:lineRule="auto"/>
              <w:ind w:left="480"/>
              <w:jc w:val="left"/>
              <w:rPr>
                <w:rFonts w:hint="eastAsia"/>
              </w:rPr>
            </w:pPr>
            <w:r>
              <w:rPr>
                <w:rFonts w:hint="eastAsia"/>
                <w:sz w:val="24"/>
                <w:szCs w:val="24"/>
              </w:rPr>
              <w:t>工艺流程如下图所示</w:t>
            </w:r>
            <w:r>
              <mc:AlternateContent>
                <mc:Choice Requires="wps">
                  <w:drawing>
                    <wp:anchor distT="0" distB="0" distL="114300" distR="114300" simplePos="0" relativeHeight="251696128" behindDoc="0" locked="0" layoutInCell="1" allowOverlap="1">
                      <wp:simplePos x="0" y="0"/>
                      <wp:positionH relativeFrom="column">
                        <wp:posOffset>1938020</wp:posOffset>
                      </wp:positionH>
                      <wp:positionV relativeFrom="paragraph">
                        <wp:posOffset>210820</wp:posOffset>
                      </wp:positionV>
                      <wp:extent cx="1460500" cy="285750"/>
                      <wp:effectExtent l="0" t="0" r="0" b="0"/>
                      <wp:wrapNone/>
                      <wp:docPr id="69" name="矩形 69"/>
                      <wp:cNvGraphicFramePr/>
                      <a:graphic xmlns:a="http://schemas.openxmlformats.org/drawingml/2006/main">
                        <a:graphicData uri="http://schemas.microsoft.com/office/word/2010/wordprocessingShape">
                          <wps:wsp>
                            <wps:cNvSpPr/>
                            <wps:spPr>
                              <a:xfrm>
                                <a:off x="0" y="0"/>
                                <a:ext cx="1460500" cy="285750"/>
                              </a:xfrm>
                              <a:prstGeom prst="rect">
                                <a:avLst/>
                              </a:prstGeom>
                              <a:noFill/>
                              <a:ln>
                                <a:noFill/>
                              </a:ln>
                            </wps:spPr>
                            <wps:txb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成品瓦楞纸板</w:t>
                                  </w:r>
                                </w:p>
                              </w:txbxContent>
                            </wps:txbx>
                            <wps:bodyPr upright="1"/>
                          </wps:wsp>
                        </a:graphicData>
                      </a:graphic>
                    </wp:anchor>
                  </w:drawing>
                </mc:Choice>
                <mc:Fallback>
                  <w:pict>
                    <v:rect id="_x0000_s1026" o:spid="_x0000_s1026" o:spt="1" style="position:absolute;left:0pt;margin-left:152.6pt;margin-top:16.6pt;height:22.5pt;width:115pt;z-index:251696128;mso-width-relative:page;mso-height-relative:page;" filled="f" stroked="f" coordsize="21600,21600" o:gfxdata="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2mNyStkAAAAJAQAADwAAAAAAAAABACAAAAAiAAAAZHJzL2Rvd25yZXYueG1s&#10;UEsBAhQAFAAAAAgAh07iQElPMBaFAQAA9QIAAA4AAAAAAAAAAQAgAAAAKAEAAGRycy9lMm9Eb2Mu&#10;eG1sUEsFBgAAAAAGAAYAWQEAAB8FAAAAAA==&#10;">
                      <v:fill on="f" focussize="0,0"/>
                      <v:stroke on="f"/>
                      <v:imagedata o:title=""/>
                      <o:lock v:ext="edit" aspectratio="f"/>
                      <v:textbo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成品瓦楞纸板</w:t>
                            </w:r>
                          </w:p>
                        </w:txbxContent>
                      </v:textbox>
                    </v:rect>
                  </w:pict>
                </mc:Fallback>
              </mc:AlternateContent>
            </w:r>
          </w:p>
          <w:p>
            <w:pPr>
              <w:spacing w:line="360" w:lineRule="auto"/>
              <w:rPr>
                <w:rFonts w:hint="eastAsia"/>
              </w:rPr>
            </w:pPr>
            <w:r>
              <mc:AlternateContent>
                <mc:Choice Requires="wps">
                  <w:drawing>
                    <wp:anchor distT="0" distB="0" distL="114300" distR="114300" simplePos="0" relativeHeight="251718656" behindDoc="0" locked="0" layoutInCell="1" allowOverlap="1">
                      <wp:simplePos x="0" y="0"/>
                      <wp:positionH relativeFrom="column">
                        <wp:posOffset>3328670</wp:posOffset>
                      </wp:positionH>
                      <wp:positionV relativeFrom="paragraph">
                        <wp:posOffset>204470</wp:posOffset>
                      </wp:positionV>
                      <wp:extent cx="2569845" cy="544830"/>
                      <wp:effectExtent l="0" t="0" r="0" b="0"/>
                      <wp:wrapNone/>
                      <wp:docPr id="70" name="矩形 70"/>
                      <wp:cNvGraphicFramePr/>
                      <a:graphic xmlns:a="http://schemas.openxmlformats.org/drawingml/2006/main">
                        <a:graphicData uri="http://schemas.microsoft.com/office/word/2010/wordprocessingShape">
                          <wps:wsp>
                            <wps:cNvSpPr/>
                            <wps:spPr>
                              <a:xfrm>
                                <a:off x="0" y="0"/>
                                <a:ext cx="2569845" cy="544830"/>
                              </a:xfrm>
                              <a:prstGeom prst="rect">
                                <a:avLst/>
                              </a:prstGeom>
                              <a:noFill/>
                              <a:ln>
                                <a:noFill/>
                              </a:ln>
                            </wps:spPr>
                            <wps:txbx>
                              <w:txbxContent>
                                <w:p>
                                  <w:pPr>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G1：印标废气；S1：废油墨桶；</w:t>
                                  </w:r>
                                </w:p>
                                <w:p>
                                  <w:pPr>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S2：废抹布；</w:t>
                                  </w:r>
                                  <w:r>
                                    <w:rPr>
                                      <w:rFonts w:hint="eastAsia" w:cs="Times New Roman"/>
                                      <w:lang w:val="en-US" w:eastAsia="zh-CN"/>
                                    </w:rPr>
                                    <w:t xml:space="preserve">S6：油墨废渣 </w:t>
                                  </w:r>
                                  <w:r>
                                    <w:rPr>
                                      <w:rFonts w:hint="eastAsia" w:ascii="Times New Roman" w:hAnsi="Times New Roman" w:eastAsia="宋体" w:cs="Times New Roman"/>
                                      <w:lang w:val="en-US" w:eastAsia="zh-CN"/>
                                    </w:rPr>
                                    <w:t>N：噪声</w:t>
                                  </w:r>
                                </w:p>
                                <w:p>
                                  <w:pPr>
                                    <w:jc w:val="center"/>
                                    <w:rPr>
                                      <w:rFonts w:hint="eastAsia" w:ascii="Times New Roman" w:hAnsi="Times New Roman" w:eastAsia="宋体" w:cs="Times New Roman"/>
                                      <w:lang w:val="en-US" w:eastAsia="zh-CN"/>
                                    </w:rPr>
                                  </w:pPr>
                                </w:p>
                              </w:txbxContent>
                            </wps:txbx>
                            <wps:bodyPr upright="1"/>
                          </wps:wsp>
                        </a:graphicData>
                      </a:graphic>
                    </wp:anchor>
                  </w:drawing>
                </mc:Choice>
                <mc:Fallback>
                  <w:pict>
                    <v:rect id="_x0000_s1026" o:spid="_x0000_s1026" o:spt="1" style="position:absolute;left:0pt;margin-left:262.1pt;margin-top:16.1pt;height:42.9pt;width:202.35pt;z-index:251718656;mso-width-relative:page;mso-height-relative:page;" filled="f" stroked="f" coordsize="21600,21600" o:gfxdata="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SRsyp2wAAAAoBAAAPAAAAAAAAAAEAIAAAACIAAABkcnMvZG93bnJldi54&#10;bWxQSwECFAAUAAAACACHTuJADz49HYUBAAD1AgAADgAAAAAAAAABACAAAAAqAQAAZHJzL2Uyb0Rv&#10;Yy54bWxQSwUGAAAAAAYABgBZAQAAIQUAAAAA&#10;">
                      <v:fill on="f" focussize="0,0"/>
                      <v:stroke on="f"/>
                      <v:imagedata o:title=""/>
                      <o:lock v:ext="edit" aspectratio="f"/>
                      <v:textbox>
                        <w:txbxContent>
                          <w:p>
                            <w:pPr>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G1：印标废气；S1：废油墨桶；</w:t>
                            </w:r>
                          </w:p>
                          <w:p>
                            <w:pPr>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S2：废抹布；</w:t>
                            </w:r>
                            <w:r>
                              <w:rPr>
                                <w:rFonts w:hint="eastAsia" w:cs="Times New Roman"/>
                                <w:lang w:val="en-US" w:eastAsia="zh-CN"/>
                              </w:rPr>
                              <w:t xml:space="preserve">S6：油墨废渣 </w:t>
                            </w:r>
                            <w:r>
                              <w:rPr>
                                <w:rFonts w:hint="eastAsia" w:ascii="Times New Roman" w:hAnsi="Times New Roman" w:eastAsia="宋体" w:cs="Times New Roman"/>
                                <w:lang w:val="en-US" w:eastAsia="zh-CN"/>
                              </w:rPr>
                              <w:t>N：噪声</w:t>
                            </w:r>
                          </w:p>
                          <w:p>
                            <w:pPr>
                              <w:jc w:val="center"/>
                              <w:rPr>
                                <w:rFonts w:hint="eastAsia" w:ascii="Times New Roman" w:hAnsi="Times New Roman" w:eastAsia="宋体" w:cs="Times New Roman"/>
                                <w:lang w:val="en-US" w:eastAsia="zh-CN"/>
                              </w:rPr>
                            </w:pPr>
                          </w:p>
                        </w:txbxContent>
                      </v:textbox>
                    </v:rect>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2664460</wp:posOffset>
                      </wp:positionH>
                      <wp:positionV relativeFrom="paragraph">
                        <wp:posOffset>176530</wp:posOffset>
                      </wp:positionV>
                      <wp:extent cx="635" cy="120650"/>
                      <wp:effectExtent l="38100" t="0" r="37465" b="12700"/>
                      <wp:wrapNone/>
                      <wp:docPr id="63" name="直接连接符 63"/>
                      <wp:cNvGraphicFramePr/>
                      <a:graphic xmlns:a="http://schemas.openxmlformats.org/drawingml/2006/main">
                        <a:graphicData uri="http://schemas.microsoft.com/office/word/2010/wordprocessingShape">
                          <wps:wsp>
                            <wps:cNvCnPr/>
                            <wps:spPr>
                              <a:xfrm flipH="1">
                                <a:off x="0" y="0"/>
                                <a:ext cx="635" cy="120650"/>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flip:x;margin-left:209.8pt;margin-top:13.9pt;height:9.5pt;width:0.05pt;z-index:251700224;mso-width-relative:page;mso-height-relative:page;" filled="f" stroked="t" coordsize="21600,21600" o:gfxdata="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RSDU82QAAAAkBAAAPAAAAAAAAAAEAIAAAACIAAABkcnMvZG93bnJldi54bWxQSwECFAAUAAAA&#10;CACHTuJAbLCJsu0BAACmAwAADgAAAAAAAAABACAAAAAoAQAAZHJzL2Uyb0RvYy54bWxQSwUGAAAA&#10;AAYABgBZAQAAhwUAAAAA&#10;">
                      <v:fill on="f" focussize="0,0"/>
                      <v:stroke color="#000000" joinstyle="round" endarrow="block" endarrowlength="short"/>
                      <v:imagedata o:title=""/>
                      <o:lock v:ext="edit" aspectratio="f"/>
                    </v:line>
                  </w:pict>
                </mc:Fallback>
              </mc:AlternateContent>
            </w:r>
          </w:p>
          <w:p>
            <w:pPr>
              <w:spacing w:line="360" w:lineRule="auto"/>
              <w:rPr>
                <w:rFonts w:hint="eastAsia"/>
              </w:rPr>
            </w:pPr>
            <w:r>
              <mc:AlternateContent>
                <mc:Choice Requires="wps">
                  <w:drawing>
                    <wp:anchor distT="0" distB="0" distL="114300" distR="114300" simplePos="0" relativeHeight="251717632" behindDoc="0" locked="0" layoutInCell="1" allowOverlap="1">
                      <wp:simplePos x="0" y="0"/>
                      <wp:positionH relativeFrom="column">
                        <wp:posOffset>3209925</wp:posOffset>
                      </wp:positionH>
                      <wp:positionV relativeFrom="paragraph">
                        <wp:posOffset>149225</wp:posOffset>
                      </wp:positionV>
                      <wp:extent cx="158750" cy="635"/>
                      <wp:effectExtent l="5080" t="38100" r="7620" b="37465"/>
                      <wp:wrapNone/>
                      <wp:docPr id="64" name="直接连接符 64"/>
                      <wp:cNvGraphicFramePr/>
                      <a:graphic xmlns:a="http://schemas.openxmlformats.org/drawingml/2006/main">
                        <a:graphicData uri="http://schemas.microsoft.com/office/word/2010/wordprocessingShape">
                          <wps:wsp>
                            <wps:cNvCnPr/>
                            <wps:spPr>
                              <a:xfrm flipV="1">
                                <a:off x="0" y="0"/>
                                <a:ext cx="158750" cy="635"/>
                              </a:xfrm>
                              <a:prstGeom prst="line">
                                <a:avLst/>
                              </a:prstGeom>
                              <a:ln w="9525" cap="sq" cmpd="sng">
                                <a:solidFill>
                                  <a:srgbClr val="000000"/>
                                </a:solidFill>
                                <a:prstDash val="sysDot"/>
                                <a:headEnd type="none" w="med" len="med"/>
                                <a:tailEnd type="triangle" w="med" len="sm"/>
                              </a:ln>
                            </wps:spPr>
                            <wps:bodyPr upright="1"/>
                          </wps:wsp>
                        </a:graphicData>
                      </a:graphic>
                    </wp:anchor>
                  </w:drawing>
                </mc:Choice>
                <mc:Fallback>
                  <w:pict>
                    <v:line id="_x0000_s1026" o:spid="_x0000_s1026" o:spt="20" style="position:absolute;left:0pt;flip:y;margin-left:252.75pt;margin-top:11.75pt;height:0.05pt;width:12.5pt;z-index:251717632;mso-width-relative:page;mso-height-relative:page;" filled="f" stroked="t" coordsize="21600,21600" o:gfxdata="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21iv+9gAAAAJAQAADwAAAAAAAAABACAAAAAiAAAAZHJzL2Rvd25yZXYueG1sUEsBAhQAFAAAAAgA&#10;h07iQLala7XsAQAApQMAAA4AAAAAAAAAAQAgAAAAJwEAAGRycy9lMm9Eb2MueG1sUEsFBgAAAAAG&#10;AAYAWQEAAIUFAAAAAA==&#10;">
                      <v:fill on="f" focussize="0,0"/>
                      <v:stroke color="#000000" joinstyle="round" dashstyle="1 1" endcap="square" endarrow="block" endarrowlength="short"/>
                      <v:imagedata o:title=""/>
                      <o:lock v:ext="edit" aspectratio="f"/>
                    </v:lin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2125345</wp:posOffset>
                      </wp:positionH>
                      <wp:positionV relativeFrom="paragraph">
                        <wp:posOffset>6985</wp:posOffset>
                      </wp:positionV>
                      <wp:extent cx="1079500" cy="285750"/>
                      <wp:effectExtent l="4445" t="4445" r="20955" b="14605"/>
                      <wp:wrapNone/>
                      <wp:docPr id="67" name="矩形 67"/>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印标</w:t>
                                  </w:r>
                                </w:p>
                              </w:txbxContent>
                            </wps:txbx>
                            <wps:bodyPr upright="1"/>
                          </wps:wsp>
                        </a:graphicData>
                      </a:graphic>
                    </wp:anchor>
                  </w:drawing>
                </mc:Choice>
                <mc:Fallback>
                  <w:pict>
                    <v:rect id="_x0000_s1026" o:spid="_x0000_s1026" o:spt="1" style="position:absolute;left:0pt;margin-left:167.35pt;margin-top:0.55pt;height:22.5pt;width:85pt;z-index:251697152;mso-width-relative:page;mso-height-relative:page;" filled="f" stroked="t" coordsize="21600,21600" o:gfxdata="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56L27VAAAACAEA&#10;AA8AAAAAAAAAAQAgAAAAIgAAAGRycy9kb3ducmV2LnhtbFBLAQIUABQAAAAIAIdO4kCSDA/i5AEA&#10;ALQDAAAOAAAAAAAAAAEAIAAAACQBAABkcnMvZTJvRG9jLnhtbFBLBQYAAAAABgAGAFkBAAB6BQAA&#10;AAA=&#10;">
                      <v:fill on="f" focussize="0,0"/>
                      <v:stroke color="#000000" joinstyle="miter"/>
                      <v:imagedata o:title=""/>
                      <o:lock v:ext="edit" aspectratio="f"/>
                      <v:textbo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印标</w:t>
                            </w:r>
                          </w:p>
                        </w:txbxContent>
                      </v:textbox>
                    </v:rect>
                  </w:pict>
                </mc:Fallback>
              </mc:AlternateContent>
            </w:r>
          </w:p>
          <w:p>
            <w:pPr>
              <w:spacing w:line="360" w:lineRule="auto"/>
              <w:rPr>
                <w:rFonts w:hint="eastAsia"/>
              </w:rPr>
            </w:pPr>
            <w:r>
              <mc:AlternateContent>
                <mc:Choice Requires="wps">
                  <w:drawing>
                    <wp:anchor distT="0" distB="0" distL="114300" distR="114300" simplePos="0" relativeHeight="251710464" behindDoc="0" locked="0" layoutInCell="1" allowOverlap="1">
                      <wp:simplePos x="0" y="0"/>
                      <wp:positionH relativeFrom="column">
                        <wp:posOffset>3328035</wp:posOffset>
                      </wp:positionH>
                      <wp:positionV relativeFrom="paragraph">
                        <wp:posOffset>121285</wp:posOffset>
                      </wp:positionV>
                      <wp:extent cx="2092960" cy="285750"/>
                      <wp:effectExtent l="0" t="0" r="0" b="0"/>
                      <wp:wrapNone/>
                      <wp:docPr id="65" name="矩形 65"/>
                      <wp:cNvGraphicFramePr/>
                      <a:graphic xmlns:a="http://schemas.openxmlformats.org/drawingml/2006/main">
                        <a:graphicData uri="http://schemas.microsoft.com/office/word/2010/wordprocessingShape">
                          <wps:wsp>
                            <wps:cNvSpPr/>
                            <wps:spPr>
                              <a:xfrm>
                                <a:off x="0" y="0"/>
                                <a:ext cx="2092960" cy="285750"/>
                              </a:xfrm>
                              <a:prstGeom prst="rect">
                                <a:avLst/>
                              </a:prstGeom>
                              <a:noFill/>
                              <a:ln>
                                <a:noFill/>
                              </a:ln>
                            </wps:spPr>
                            <wps:txbx>
                              <w:txbxContent>
                                <w:p>
                                  <w:pPr>
                                    <w:jc w:val="center"/>
                                    <w:rPr>
                                      <w:rFonts w:hint="eastAsia" w:ascii="Times New Roman" w:hAnsi="Times New Roman" w:eastAsia="宋体" w:cs="Times New Roman"/>
                                      <w:lang w:val="en-US" w:eastAsia="zh-CN"/>
                                    </w:rPr>
                                  </w:pPr>
                                  <w:r>
                                    <w:rPr>
                                      <w:rFonts w:hint="eastAsia" w:cs="Times New Roman"/>
                                      <w:lang w:val="en-US" w:eastAsia="zh-CN"/>
                                    </w:rPr>
                                    <w:t xml:space="preserve">G2：粉尘 </w:t>
                                  </w:r>
                                  <w:r>
                                    <w:rPr>
                                      <w:rFonts w:hint="eastAsia" w:ascii="Times New Roman" w:hAnsi="Times New Roman" w:eastAsia="宋体" w:cs="Times New Roman"/>
                                      <w:lang w:val="en-US" w:eastAsia="zh-CN"/>
                                    </w:rPr>
                                    <w:t>S</w:t>
                                  </w:r>
                                  <w:r>
                                    <w:rPr>
                                      <w:rFonts w:hint="eastAsia" w:cs="Times New Roman"/>
                                      <w:lang w:val="en-US" w:eastAsia="zh-CN"/>
                                    </w:rPr>
                                    <w:t>3</w:t>
                                  </w:r>
                                  <w:r>
                                    <w:rPr>
                                      <w:rFonts w:hint="eastAsia" w:ascii="Times New Roman" w:hAnsi="Times New Roman" w:eastAsia="宋体" w:cs="Times New Roman"/>
                                      <w:lang w:val="en-US" w:eastAsia="zh-CN"/>
                                    </w:rPr>
                                    <w:t>：边角料；N：噪声</w:t>
                                  </w:r>
                                </w:p>
                                <w:p>
                                  <w:pPr>
                                    <w:jc w:val="center"/>
                                    <w:rPr>
                                      <w:rFonts w:hint="eastAsia" w:ascii="Times New Roman" w:hAnsi="Times New Roman" w:eastAsia="宋体" w:cs="Times New Roman"/>
                                      <w:lang w:val="en-US" w:eastAsia="zh-CN"/>
                                    </w:rPr>
                                  </w:pPr>
                                </w:p>
                              </w:txbxContent>
                            </wps:txbx>
                            <wps:bodyPr upright="1"/>
                          </wps:wsp>
                        </a:graphicData>
                      </a:graphic>
                    </wp:anchor>
                  </w:drawing>
                </mc:Choice>
                <mc:Fallback>
                  <w:pict>
                    <v:rect id="_x0000_s1026" o:spid="_x0000_s1026" o:spt="1" style="position:absolute;left:0pt;margin-left:262.05pt;margin-top:9.55pt;height:22.5pt;width:164.8pt;z-index:251710464;mso-width-relative:page;mso-height-relative:page;" filled="f" stroked="f" coordsize="21600,21600" o:gfxdata="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FXt4OfaAAAACQEAAA8AAAAAAAAAAQAgAAAAIgAAAGRycy9kb3ducmV2Lnht&#10;bFBLAQIUABQAAAAIAIdO4kDF3TD5hQEAAPUCAAAOAAAAAAAAAAEAIAAAACkBAABkcnMvZTJvRG9j&#10;LnhtbFBLBQYAAAAABgAGAFkBAAAgBQAAAAA=&#10;">
                      <v:fill on="f" focussize="0,0"/>
                      <v:stroke on="f"/>
                      <v:imagedata o:title=""/>
                      <o:lock v:ext="edit" aspectratio="f"/>
                      <v:textbox>
                        <w:txbxContent>
                          <w:p>
                            <w:pPr>
                              <w:jc w:val="center"/>
                              <w:rPr>
                                <w:rFonts w:hint="eastAsia" w:ascii="Times New Roman" w:hAnsi="Times New Roman" w:eastAsia="宋体" w:cs="Times New Roman"/>
                                <w:lang w:val="en-US" w:eastAsia="zh-CN"/>
                              </w:rPr>
                            </w:pPr>
                            <w:r>
                              <w:rPr>
                                <w:rFonts w:hint="eastAsia" w:cs="Times New Roman"/>
                                <w:lang w:val="en-US" w:eastAsia="zh-CN"/>
                              </w:rPr>
                              <w:t xml:space="preserve">G2：粉尘 </w:t>
                            </w:r>
                            <w:r>
                              <w:rPr>
                                <w:rFonts w:hint="eastAsia" w:ascii="Times New Roman" w:hAnsi="Times New Roman" w:eastAsia="宋体" w:cs="Times New Roman"/>
                                <w:lang w:val="en-US" w:eastAsia="zh-CN"/>
                              </w:rPr>
                              <w:t>S</w:t>
                            </w:r>
                            <w:r>
                              <w:rPr>
                                <w:rFonts w:hint="eastAsia" w:cs="Times New Roman"/>
                                <w:lang w:val="en-US" w:eastAsia="zh-CN"/>
                              </w:rPr>
                              <w:t>3</w:t>
                            </w:r>
                            <w:r>
                              <w:rPr>
                                <w:rFonts w:hint="eastAsia" w:ascii="Times New Roman" w:hAnsi="Times New Roman" w:eastAsia="宋体" w:cs="Times New Roman"/>
                                <w:lang w:val="en-US" w:eastAsia="zh-CN"/>
                              </w:rPr>
                              <w:t>：边角料；N：噪声</w:t>
                            </w:r>
                          </w:p>
                          <w:p>
                            <w:pPr>
                              <w:jc w:val="center"/>
                              <w:rPr>
                                <w:rFonts w:hint="eastAsia" w:ascii="Times New Roman" w:hAnsi="Times New Roman" w:eastAsia="宋体" w:cs="Times New Roman"/>
                                <w:lang w:val="en-US" w:eastAsia="zh-CN"/>
                              </w:rPr>
                            </w:pPr>
                          </w:p>
                        </w:txbxContent>
                      </v:textbox>
                    </v:rect>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3230880</wp:posOffset>
                      </wp:positionH>
                      <wp:positionV relativeFrom="paragraph">
                        <wp:posOffset>285750</wp:posOffset>
                      </wp:positionV>
                      <wp:extent cx="158750" cy="635"/>
                      <wp:effectExtent l="5080" t="38100" r="7620" b="37465"/>
                      <wp:wrapNone/>
                      <wp:docPr id="71" name="直接连接符 71"/>
                      <wp:cNvGraphicFramePr/>
                      <a:graphic xmlns:a="http://schemas.openxmlformats.org/drawingml/2006/main">
                        <a:graphicData uri="http://schemas.microsoft.com/office/word/2010/wordprocessingShape">
                          <wps:wsp>
                            <wps:cNvCnPr/>
                            <wps:spPr>
                              <a:xfrm flipV="1">
                                <a:off x="0" y="0"/>
                                <a:ext cx="158750" cy="635"/>
                              </a:xfrm>
                              <a:prstGeom prst="line">
                                <a:avLst/>
                              </a:prstGeom>
                              <a:ln w="9525" cap="sq" cmpd="sng">
                                <a:solidFill>
                                  <a:srgbClr val="000000"/>
                                </a:solidFill>
                                <a:prstDash val="sysDot"/>
                                <a:headEnd type="none" w="med" len="med"/>
                                <a:tailEnd type="triangle" w="med" len="sm"/>
                              </a:ln>
                            </wps:spPr>
                            <wps:bodyPr upright="1"/>
                          </wps:wsp>
                        </a:graphicData>
                      </a:graphic>
                    </wp:anchor>
                  </w:drawing>
                </mc:Choice>
                <mc:Fallback>
                  <w:pict>
                    <v:line id="_x0000_s1026" o:spid="_x0000_s1026" o:spt="20" style="position:absolute;left:0pt;flip:y;margin-left:254.4pt;margin-top:22.5pt;height:0.05pt;width:12.5pt;z-index:251709440;mso-width-relative:page;mso-height-relative:page;" filled="f" stroked="t" coordsize="21600,21600" o:gfxdata="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XWL9rZAAAACQEAAA8AAAAAAAAAAQAgAAAAIgAAAGRycy9kb3ducmV2LnhtbFBLAQIUABQAAAAI&#10;AIdO4kAoPNRR7AEAAKUDAAAOAAAAAAAAAAEAIAAAACgBAABkcnMvZTJvRG9jLnhtbFBLBQYAAAAA&#10;BgAGAFkBAACGBQAAAAA=&#10;">
                      <v:fill on="f" focussize="0,0"/>
                      <v:stroke color="#000000" joinstyle="round" dashstyle="1 1" endcap="square" endarrow="block" endarrowlength="short"/>
                      <v:imagedata o:title=""/>
                      <o:lock v:ext="edit" aspectratio="f"/>
                    </v:lin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2124710</wp:posOffset>
                      </wp:positionH>
                      <wp:positionV relativeFrom="paragraph">
                        <wp:posOffset>142875</wp:posOffset>
                      </wp:positionV>
                      <wp:extent cx="1079500" cy="285750"/>
                      <wp:effectExtent l="4445" t="4445" r="20955" b="14605"/>
                      <wp:wrapNone/>
                      <wp:docPr id="66" name="矩形 66"/>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开槽模切</w:t>
                                  </w:r>
                                </w:p>
                                <w:p>
                                  <w:pPr>
                                    <w:jc w:val="center"/>
                                    <w:rPr>
                                      <w:rFonts w:hint="eastAsia" w:ascii="Times New Roman" w:hAnsi="Times New Roman" w:cs="Times New Roman"/>
                                      <w:lang w:val="en-US" w:eastAsia="zh-CN"/>
                                    </w:rPr>
                                  </w:pPr>
                                </w:p>
                              </w:txbxContent>
                            </wps:txbx>
                            <wps:bodyPr upright="1"/>
                          </wps:wsp>
                        </a:graphicData>
                      </a:graphic>
                    </wp:anchor>
                  </w:drawing>
                </mc:Choice>
                <mc:Fallback>
                  <w:pict>
                    <v:rect id="_x0000_s1026" o:spid="_x0000_s1026" o:spt="1" style="position:absolute;left:0pt;margin-left:167.3pt;margin-top:11.25pt;height:22.5pt;width:85pt;z-index:251698176;mso-width-relative:page;mso-height-relative:page;" filled="f" stroked="t" coordsize="21600,21600" o:gfxdata="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lHSz9cAAAAJ&#10;AQAADwAAAAAAAAABACAAAAAiAAAAZHJzL2Rvd25yZXYueG1sUEsBAhQAFAAAAAgAh07iQECT5nTk&#10;AQAAtAMAAA4AAAAAAAAAAQAgAAAAJgEAAGRycy9lMm9Eb2MueG1sUEsFBgAAAAAGAAYAWQEAAHwF&#10;AAAAAA==&#10;">
                      <v:fill on="f" focussize="0,0"/>
                      <v:stroke color="#000000" joinstyle="miter"/>
                      <v:imagedata o:title=""/>
                      <o:lock v:ext="edit" aspectratio="f"/>
                      <v:textbo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开槽模切</w:t>
                            </w:r>
                          </w:p>
                          <w:p>
                            <w:pPr>
                              <w:jc w:val="center"/>
                              <w:rPr>
                                <w:rFonts w:hint="eastAsia" w:ascii="Times New Roman" w:hAnsi="Times New Roman" w:cs="Times New Roman"/>
                                <w:lang w:val="en-US" w:eastAsia="zh-CN"/>
                              </w:rPr>
                            </w:pPr>
                          </w:p>
                        </w:txbxContent>
                      </v:textbox>
                    </v:rect>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2663825</wp:posOffset>
                      </wp:positionH>
                      <wp:positionV relativeFrom="paragraph">
                        <wp:posOffset>5080</wp:posOffset>
                      </wp:positionV>
                      <wp:extent cx="635" cy="120650"/>
                      <wp:effectExtent l="38100" t="0" r="37465" b="12700"/>
                      <wp:wrapNone/>
                      <wp:docPr id="68" name="直接连接符 68"/>
                      <wp:cNvGraphicFramePr/>
                      <a:graphic xmlns:a="http://schemas.openxmlformats.org/drawingml/2006/main">
                        <a:graphicData uri="http://schemas.microsoft.com/office/word/2010/wordprocessingShape">
                          <wps:wsp>
                            <wps:cNvCnPr/>
                            <wps:spPr>
                              <a:xfrm flipH="1">
                                <a:off x="0" y="0"/>
                                <a:ext cx="635" cy="120650"/>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flip:x;margin-left:209.75pt;margin-top:0.4pt;height:9.5pt;width:0.05pt;z-index:251705344;mso-width-relative:page;mso-height-relative:page;" filled="f" stroked="t" coordsize="21600,21600" o:gfxdata="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G&#10;RElJ1wAAAAcBAAAPAAAAAAAAAAEAIAAAACIAAABkcnMvZG93bnJldi54bWxQSwECFAAUAAAACACH&#10;TuJAVAlm/ewBAACmAwAADgAAAAAAAAABACAAAAAmAQAAZHJzL2Uyb0RvYy54bWxQSwUGAAAAAAYA&#10;BgBZAQAAhAUAAAAA&#10;">
                      <v:fill on="f" focussize="0,0"/>
                      <v:stroke color="#000000" joinstyle="round" endarrow="block" endarrowlength="short"/>
                      <v:imagedata o:title=""/>
                      <o:lock v:ext="edit" aspectratio="f"/>
                    </v:line>
                  </w:pict>
                </mc:Fallback>
              </mc:AlternateContent>
            </w:r>
          </w:p>
          <w:p>
            <w:pPr>
              <w:spacing w:line="360" w:lineRule="auto"/>
              <w:rPr>
                <w:rFonts w:hint="eastAsia"/>
              </w:rPr>
            </w:pPr>
            <w:r>
              <mc:AlternateContent>
                <mc:Choice Requires="wps">
                  <w:drawing>
                    <wp:anchor distT="0" distB="0" distL="114300" distR="114300" simplePos="0" relativeHeight="251703296" behindDoc="0" locked="0" layoutInCell="1" allowOverlap="1">
                      <wp:simplePos x="0" y="0"/>
                      <wp:positionH relativeFrom="column">
                        <wp:posOffset>3346450</wp:posOffset>
                      </wp:positionH>
                      <wp:positionV relativeFrom="paragraph">
                        <wp:posOffset>269875</wp:posOffset>
                      </wp:positionV>
                      <wp:extent cx="1454150" cy="285750"/>
                      <wp:effectExtent l="0" t="0" r="0" b="0"/>
                      <wp:wrapNone/>
                      <wp:docPr id="78" name="矩形 78"/>
                      <wp:cNvGraphicFramePr/>
                      <a:graphic xmlns:a="http://schemas.openxmlformats.org/drawingml/2006/main">
                        <a:graphicData uri="http://schemas.microsoft.com/office/word/2010/wordprocessingShape">
                          <wps:wsp>
                            <wps:cNvSpPr/>
                            <wps:spPr>
                              <a:xfrm>
                                <a:off x="0" y="0"/>
                                <a:ext cx="1454150" cy="285750"/>
                              </a:xfrm>
                              <a:prstGeom prst="rect">
                                <a:avLst/>
                              </a:prstGeom>
                              <a:noFill/>
                              <a:ln>
                                <a:noFill/>
                              </a:ln>
                            </wps:spPr>
                            <wps:txbx>
                              <w:txbxContent>
                                <w:p>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S4：废钉子；N：噪声</w:t>
                                  </w:r>
                                </w:p>
                              </w:txbxContent>
                            </wps:txbx>
                            <wps:bodyPr upright="1"/>
                          </wps:wsp>
                        </a:graphicData>
                      </a:graphic>
                    </wp:anchor>
                  </w:drawing>
                </mc:Choice>
                <mc:Fallback>
                  <w:pict>
                    <v:rect id="_x0000_s1026" o:spid="_x0000_s1026" o:spt="1" style="position:absolute;left:0pt;margin-left:263.5pt;margin-top:21.25pt;height:22.5pt;width:114.5pt;z-index:251703296;mso-width-relative:page;mso-height-relative:page;" filled="f" stroked="f" coordsize="21600,21600" o:gfxdata="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DM1UFX2wAAAAkBAAAPAAAAAAAAAAEAIAAAACIAAABkcnMvZG93bnJldi54&#10;bWxQSwECFAAUAAAACACHTuJAqDxIw4UBAAD1AgAADgAAAAAAAAABACAAAAAqAQAAZHJzL2Uyb0Rv&#10;Yy54bWxQSwUGAAAAAAYABgBZAQAAIQUAAAAA&#10;">
                      <v:fill on="f" focussize="0,0"/>
                      <v:stroke on="f"/>
                      <v:imagedata o:title=""/>
                      <o:lock v:ext="edit" aspectratio="f"/>
                      <v:textbox>
                        <w:txbxContent>
                          <w:p>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S4：废钉子；N：噪声</w:t>
                            </w:r>
                          </w:p>
                        </w:txbxContent>
                      </v:textbox>
                    </v:rect>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2124710</wp:posOffset>
                      </wp:positionH>
                      <wp:positionV relativeFrom="paragraph">
                        <wp:posOffset>278130</wp:posOffset>
                      </wp:positionV>
                      <wp:extent cx="1079500" cy="285750"/>
                      <wp:effectExtent l="4445" t="4445" r="20955" b="14605"/>
                      <wp:wrapNone/>
                      <wp:docPr id="76" name="矩形 76"/>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钉箱</w:t>
                                  </w:r>
                                </w:p>
                              </w:txbxContent>
                            </wps:txbx>
                            <wps:bodyPr upright="1"/>
                          </wps:wsp>
                        </a:graphicData>
                      </a:graphic>
                    </wp:anchor>
                  </w:drawing>
                </mc:Choice>
                <mc:Fallback>
                  <w:pict>
                    <v:rect id="_x0000_s1026" o:spid="_x0000_s1026" o:spt="1" style="position:absolute;left:0pt;margin-left:167.3pt;margin-top:21.9pt;height:22.5pt;width:85pt;z-index:251701248;mso-width-relative:page;mso-height-relative:page;" filled="f" stroked="t" coordsize="21600,21600" o:gfxdata="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0ZcJkdcAAAAJ&#10;AQAADwAAAAAAAAABACAAAAAiAAAAZHJzL2Rvd25yZXYueG1sUEsBAhQAFAAAAAgAh07iQCfJrRzk&#10;AQAAtAMAAA4AAAAAAAAAAQAgAAAAJgEAAGRycy9lMm9Eb2MueG1sUEsFBgAAAAAGAAYAWQEAAHwF&#10;AAAAAA==&#10;">
                      <v:fill on="f" focussize="0,0"/>
                      <v:stroke color="#000000" joinstyle="miter"/>
                      <v:imagedata o:title=""/>
                      <o:lock v:ext="edit" aspectratio="f"/>
                      <v:textbo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钉箱</w:t>
                            </w:r>
                          </w:p>
                        </w:txbxContent>
                      </v:textbox>
                    </v:rect>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2662555</wp:posOffset>
                      </wp:positionH>
                      <wp:positionV relativeFrom="paragraph">
                        <wp:posOffset>142875</wp:posOffset>
                      </wp:positionV>
                      <wp:extent cx="635" cy="120650"/>
                      <wp:effectExtent l="38100" t="0" r="37465" b="12700"/>
                      <wp:wrapNone/>
                      <wp:docPr id="80" name="直接连接符 80"/>
                      <wp:cNvGraphicFramePr/>
                      <a:graphic xmlns:a="http://schemas.openxmlformats.org/drawingml/2006/main">
                        <a:graphicData uri="http://schemas.microsoft.com/office/word/2010/wordprocessingShape">
                          <wps:wsp>
                            <wps:cNvCnPr/>
                            <wps:spPr>
                              <a:xfrm flipH="1">
                                <a:off x="0" y="0"/>
                                <a:ext cx="635" cy="120650"/>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flip:x;margin-left:209.65pt;margin-top:11.25pt;height:9.5pt;width:0.05pt;z-index:251707392;mso-width-relative:page;mso-height-relative:page;" filled="f" stroked="t" coordsize="21600,21600" o:gfxdata="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j2ZejZAAAACQEAAA8AAAAAAAAAAQAgAAAAIgAAAGRycy9kb3ducmV2LnhtbFBLAQIUABQAAAAI&#10;AIdO4kDb+vXB7AEAAKYDAAAOAAAAAAAAAAEAIAAAACgBAABkcnMvZTJvRG9jLnhtbFBLBQYAAAAA&#10;BgAGAFkBAACGBQAAAAA=&#10;">
                      <v:fill on="f" focussize="0,0"/>
                      <v:stroke color="#000000" joinstyle="round" endarrow="block" endarrowlength="short"/>
                      <v:imagedata o:title=""/>
                      <o:lock v:ext="edit" aspectratio="f"/>
                    </v:line>
                  </w:pict>
                </mc:Fallback>
              </mc:AlternateContent>
            </w:r>
          </w:p>
          <w:p>
            <w:pPr>
              <w:spacing w:line="360" w:lineRule="auto"/>
              <w:rPr>
                <w:rFonts w:hint="eastAsia"/>
              </w:rPr>
            </w:pPr>
            <w:r>
              <mc:AlternateContent>
                <mc:Choice Requires="wps">
                  <w:drawing>
                    <wp:anchor distT="0" distB="0" distL="114300" distR="114300" simplePos="0" relativeHeight="251713536" behindDoc="0" locked="0" layoutInCell="1" allowOverlap="1">
                      <wp:simplePos x="0" y="0"/>
                      <wp:positionH relativeFrom="column">
                        <wp:posOffset>2673985</wp:posOffset>
                      </wp:positionH>
                      <wp:positionV relativeFrom="paragraph">
                        <wp:posOffset>278130</wp:posOffset>
                      </wp:positionV>
                      <wp:extent cx="635" cy="120650"/>
                      <wp:effectExtent l="38100" t="0" r="37465" b="12700"/>
                      <wp:wrapNone/>
                      <wp:docPr id="77" name="直接连接符 77"/>
                      <wp:cNvGraphicFramePr/>
                      <a:graphic xmlns:a="http://schemas.openxmlformats.org/drawingml/2006/main">
                        <a:graphicData uri="http://schemas.microsoft.com/office/word/2010/wordprocessingShape">
                          <wps:wsp>
                            <wps:cNvCnPr/>
                            <wps:spPr>
                              <a:xfrm flipH="1">
                                <a:off x="0" y="0"/>
                                <a:ext cx="635" cy="120650"/>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flip:x;margin-left:210.55pt;margin-top:21.9pt;height:9.5pt;width:0.05pt;z-index:251713536;mso-width-relative:page;mso-height-relative:page;" filled="f" stroked="t" coordsize="21600,21600" o:gfxdata="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4U5GO2QAAAAkBAAAPAAAAAAAAAAEAIAAAACIAAABkcnMvZG93bnJldi54bWxQSwECFAAUAAAA&#10;CACHTuJAwmjea+0BAACmAwAADgAAAAAAAAABACAAAAAoAQAAZHJzL2Uyb0RvYy54bWxQSwUGAAAA&#10;AAYABgBZAQAAhwUAAAAA&#10;">
                      <v:fill on="f" focussize="0,0"/>
                      <v:stroke color="#000000" joinstyle="round" endarrow="block" endarrowlength="short"/>
                      <v:imagedata o:title=""/>
                      <o:lock v:ext="edit" aspectratio="f"/>
                    </v:lin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3213100</wp:posOffset>
                      </wp:positionH>
                      <wp:positionV relativeFrom="paragraph">
                        <wp:posOffset>126365</wp:posOffset>
                      </wp:positionV>
                      <wp:extent cx="158750" cy="635"/>
                      <wp:effectExtent l="5080" t="38100" r="7620" b="37465"/>
                      <wp:wrapNone/>
                      <wp:docPr id="72" name="直接连接符 72"/>
                      <wp:cNvGraphicFramePr/>
                      <a:graphic xmlns:a="http://schemas.openxmlformats.org/drawingml/2006/main">
                        <a:graphicData uri="http://schemas.microsoft.com/office/word/2010/wordprocessingShape">
                          <wps:wsp>
                            <wps:cNvCnPr/>
                            <wps:spPr>
                              <a:xfrm flipV="1">
                                <a:off x="0" y="0"/>
                                <a:ext cx="158750" cy="635"/>
                              </a:xfrm>
                              <a:prstGeom prst="line">
                                <a:avLst/>
                              </a:prstGeom>
                              <a:ln w="9525" cap="sq" cmpd="sng">
                                <a:solidFill>
                                  <a:srgbClr val="000000"/>
                                </a:solidFill>
                                <a:prstDash val="sysDot"/>
                                <a:headEnd type="none" w="med" len="med"/>
                                <a:tailEnd type="triangle" w="med" len="sm"/>
                              </a:ln>
                            </wps:spPr>
                            <wps:bodyPr upright="1"/>
                          </wps:wsp>
                        </a:graphicData>
                      </a:graphic>
                    </wp:anchor>
                  </w:drawing>
                </mc:Choice>
                <mc:Fallback>
                  <w:pict>
                    <v:line id="_x0000_s1026" o:spid="_x0000_s1026" o:spt="20" style="position:absolute;left:0pt;flip:y;margin-left:253pt;margin-top:9.95pt;height:0.05pt;width:12.5pt;z-index:251704320;mso-width-relative:page;mso-height-relative:page;" filled="f" stroked="t" coordsize="21600,21600" o:gfxdata="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tYznnZAAAACQEAAA8AAAAAAAAAAQAgAAAAIgAAAGRycy9kb3ducmV2LnhtbFBLAQIUABQAAAAI&#10;AIdO4kCxAZL+7AEAAKUDAAAOAAAAAAAAAAEAIAAAACgBAABkcnMvZTJvRG9jLnhtbFBLBQYAAAAA&#10;BgAGAFkBAACGBQAAAAA=&#10;">
                      <v:fill on="f" focussize="0,0"/>
                      <v:stroke color="#000000" joinstyle="round" dashstyle="1 1" endcap="square" endarrow="block" endarrowlength="short"/>
                      <v:imagedata o:title=""/>
                      <o:lock v:ext="edit" aspectratio="f"/>
                    </v:line>
                  </w:pict>
                </mc:Fallback>
              </mc:AlternateContent>
            </w:r>
          </w:p>
          <w:p>
            <w:pPr>
              <w:spacing w:line="360" w:lineRule="auto"/>
              <w:rPr>
                <w:rFonts w:hint="eastAsia"/>
              </w:rPr>
            </w:pPr>
            <w:r>
              <mc:AlternateContent>
                <mc:Choice Requires="wps">
                  <w:drawing>
                    <wp:anchor distT="0" distB="0" distL="114300" distR="114300" simplePos="0" relativeHeight="251714560" behindDoc="0" locked="0" layoutInCell="1" allowOverlap="1">
                      <wp:simplePos x="0" y="0"/>
                      <wp:positionH relativeFrom="column">
                        <wp:posOffset>3387090</wp:posOffset>
                      </wp:positionH>
                      <wp:positionV relativeFrom="paragraph">
                        <wp:posOffset>98425</wp:posOffset>
                      </wp:positionV>
                      <wp:extent cx="923290" cy="285750"/>
                      <wp:effectExtent l="0" t="0" r="0" b="0"/>
                      <wp:wrapNone/>
                      <wp:docPr id="82" name="矩形 82"/>
                      <wp:cNvGraphicFramePr/>
                      <a:graphic xmlns:a="http://schemas.openxmlformats.org/drawingml/2006/main">
                        <a:graphicData uri="http://schemas.microsoft.com/office/word/2010/wordprocessingShape">
                          <wps:wsp>
                            <wps:cNvSpPr/>
                            <wps:spPr>
                              <a:xfrm>
                                <a:off x="0" y="0"/>
                                <a:ext cx="923290" cy="285750"/>
                              </a:xfrm>
                              <a:prstGeom prst="rect">
                                <a:avLst/>
                              </a:prstGeom>
                              <a:noFill/>
                              <a:ln>
                                <a:noFill/>
                              </a:ln>
                            </wps:spPr>
                            <wps:txbx>
                              <w:txbxContent>
                                <w:p>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S5：不合格品</w:t>
                                  </w:r>
                                </w:p>
                              </w:txbxContent>
                            </wps:txbx>
                            <wps:bodyPr upright="1"/>
                          </wps:wsp>
                        </a:graphicData>
                      </a:graphic>
                    </wp:anchor>
                  </w:drawing>
                </mc:Choice>
                <mc:Fallback>
                  <w:pict>
                    <v:rect id="_x0000_s1026" o:spid="_x0000_s1026" o:spt="1" style="position:absolute;left:0pt;margin-left:266.7pt;margin-top:7.75pt;height:22.5pt;width:72.7pt;z-index:251714560;mso-width-relative:page;mso-height-relative:page;" filled="f" stroked="f" coordsize="21600,21600" o:gfxdata="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Haacg9oAAAAJAQAADwAAAAAAAAABACAAAAAiAAAAZHJzL2Rvd25yZXYueG1s&#10;UEsBAhQAFAAAAAgAh07iQM6NWRCEAQAA9AIAAA4AAAAAAAAAAQAgAAAAKQEAAGRycy9lMm9Eb2Mu&#10;eG1sUEsFBgAAAAAGAAYAWQEAAB8FAAAAAA==&#10;">
                      <v:fill on="f" focussize="0,0"/>
                      <v:stroke on="f"/>
                      <v:imagedata o:title=""/>
                      <o:lock v:ext="edit" aspectratio="f"/>
                      <v:textbox>
                        <w:txbxContent>
                          <w:p>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S5：不合格品</w:t>
                            </w:r>
                          </w:p>
                        </w:txbxContent>
                      </v:textbox>
                    </v:rect>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3213735</wp:posOffset>
                      </wp:positionH>
                      <wp:positionV relativeFrom="paragraph">
                        <wp:posOffset>244475</wp:posOffset>
                      </wp:positionV>
                      <wp:extent cx="158750" cy="635"/>
                      <wp:effectExtent l="5080" t="38100" r="7620" b="37465"/>
                      <wp:wrapNone/>
                      <wp:docPr id="74" name="直接连接符 74"/>
                      <wp:cNvGraphicFramePr/>
                      <a:graphic xmlns:a="http://schemas.openxmlformats.org/drawingml/2006/main">
                        <a:graphicData uri="http://schemas.microsoft.com/office/word/2010/wordprocessingShape">
                          <wps:wsp>
                            <wps:cNvCnPr/>
                            <wps:spPr>
                              <a:xfrm flipV="1">
                                <a:off x="0" y="0"/>
                                <a:ext cx="158750" cy="635"/>
                              </a:xfrm>
                              <a:prstGeom prst="line">
                                <a:avLst/>
                              </a:prstGeom>
                              <a:ln w="9525" cap="sq" cmpd="sng">
                                <a:solidFill>
                                  <a:srgbClr val="000000"/>
                                </a:solidFill>
                                <a:prstDash val="sysDot"/>
                                <a:headEnd type="none" w="med" len="med"/>
                                <a:tailEnd type="triangle" w="med" len="sm"/>
                              </a:ln>
                            </wps:spPr>
                            <wps:bodyPr upright="1"/>
                          </wps:wsp>
                        </a:graphicData>
                      </a:graphic>
                    </wp:anchor>
                  </w:drawing>
                </mc:Choice>
                <mc:Fallback>
                  <w:pict>
                    <v:line id="_x0000_s1026" o:spid="_x0000_s1026" o:spt="20" style="position:absolute;left:0pt;flip:y;margin-left:253.05pt;margin-top:19.25pt;height:0.05pt;width:12.5pt;z-index:251715584;mso-width-relative:page;mso-height-relative:page;" filled="f" stroked="t" coordsize="21600,21600" o:gfxdata="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EJteq2QAAAAkBAAAPAAAAAAAAAAEAIAAAACIAAABkcnMvZG93bnJldi54bWxQSwECFAAUAAAA&#10;CACHTuJAwnxve+0BAAClAwAADgAAAAAAAAABACAAAAAoAQAAZHJzL2Uyb0RvYy54bWxQSwUGAAAA&#10;AAYABgBZAQAAhwUAAAAA&#10;">
                      <v:fill on="f" focussize="0,0"/>
                      <v:stroke color="#000000" joinstyle="round" dashstyle="1 1" endcap="square" endarrow="block" endarrowlength="short"/>
                      <v:imagedata o:title=""/>
                      <o:lock v:ext="edit" aspectratio="f"/>
                    </v:lin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2125345</wp:posOffset>
                      </wp:positionH>
                      <wp:positionV relativeFrom="paragraph">
                        <wp:posOffset>98425</wp:posOffset>
                      </wp:positionV>
                      <wp:extent cx="1079500" cy="285750"/>
                      <wp:effectExtent l="4445" t="4445" r="20955" b="14605"/>
                      <wp:wrapNone/>
                      <wp:docPr id="73" name="矩形 73"/>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检验</w:t>
                                  </w:r>
                                </w:p>
                              </w:txbxContent>
                            </wps:txbx>
                            <wps:bodyPr upright="1"/>
                          </wps:wsp>
                        </a:graphicData>
                      </a:graphic>
                    </wp:anchor>
                  </w:drawing>
                </mc:Choice>
                <mc:Fallback>
                  <w:pict>
                    <v:rect id="_x0000_s1026" o:spid="_x0000_s1026" o:spt="1" style="position:absolute;left:0pt;margin-left:167.35pt;margin-top:7.75pt;height:22.5pt;width:85pt;z-index:251712512;mso-width-relative:page;mso-height-relative:page;" filled="f" stroked="t" coordsize="21600,21600" o:gfxdata="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KvegT1gAAAAkB&#10;AAAPAAAAAAAAAAEAIAAAACIAAABkcnMvZG93bnJldi54bWxQSwECFAAUAAAACACHTuJAfiNxvOQB&#10;AAC0AwAADgAAAAAAAAABACAAAAAlAQAAZHJzL2Uyb0RvYy54bWxQSwUGAAAAAAYABgBZAQAAewUA&#10;AAAA&#10;">
                      <v:fill on="f" focussize="0,0"/>
                      <v:stroke color="#000000" joinstyle="miter"/>
                      <v:imagedata o:title=""/>
                      <o:lock v:ext="edit" aspectratio="f"/>
                      <v:textbo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检验</w:t>
                            </w:r>
                          </w:p>
                        </w:txbxContent>
                      </v:textbox>
                    </v:rect>
                  </w:pict>
                </mc:Fallback>
              </mc:AlternateContent>
            </w:r>
          </w:p>
          <w:p>
            <w:pPr>
              <w:spacing w:line="360" w:lineRule="auto"/>
              <w:rPr>
                <w:rFonts w:hint="eastAsia"/>
              </w:rPr>
            </w:pPr>
            <w:r>
              <mc:AlternateContent>
                <mc:Choice Requires="wps">
                  <w:drawing>
                    <wp:anchor distT="0" distB="0" distL="114300" distR="114300" simplePos="0" relativeHeight="251716608" behindDoc="0" locked="0" layoutInCell="1" allowOverlap="1">
                      <wp:simplePos x="0" y="0"/>
                      <wp:positionH relativeFrom="column">
                        <wp:posOffset>2576195</wp:posOffset>
                      </wp:positionH>
                      <wp:positionV relativeFrom="paragraph">
                        <wp:posOffset>64135</wp:posOffset>
                      </wp:positionV>
                      <wp:extent cx="685800" cy="285750"/>
                      <wp:effectExtent l="0" t="0" r="0" b="0"/>
                      <wp:wrapNone/>
                      <wp:docPr id="81" name="矩形 81"/>
                      <wp:cNvGraphicFramePr/>
                      <a:graphic xmlns:a="http://schemas.openxmlformats.org/drawingml/2006/main">
                        <a:graphicData uri="http://schemas.microsoft.com/office/word/2010/wordprocessingShape">
                          <wps:wsp>
                            <wps:cNvSpPr/>
                            <wps:spPr>
                              <a:xfrm>
                                <a:off x="0" y="0"/>
                                <a:ext cx="685800" cy="285750"/>
                              </a:xfrm>
                              <a:prstGeom prst="rect">
                                <a:avLst/>
                              </a:prstGeom>
                              <a:noFill/>
                              <a:ln>
                                <a:noFill/>
                              </a:ln>
                            </wps:spPr>
                            <wps:txbx>
                              <w:txbxContent>
                                <w:p>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合格</w:t>
                                  </w:r>
                                </w:p>
                              </w:txbxContent>
                            </wps:txbx>
                            <wps:bodyPr upright="1"/>
                          </wps:wsp>
                        </a:graphicData>
                      </a:graphic>
                    </wp:anchor>
                  </w:drawing>
                </mc:Choice>
                <mc:Fallback>
                  <w:pict>
                    <v:rect id="_x0000_s1026" o:spid="_x0000_s1026" o:spt="1" style="position:absolute;left:0pt;margin-left:202.85pt;margin-top:5.05pt;height:22.5pt;width:54pt;z-index:251716608;mso-width-relative:page;mso-height-relative:page;" filled="f" stroked="f" coordsize="21600,21600" o:gfxdata="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">
                      <v:fill on="f" focussize="0,0"/>
                      <v:stroke on="f"/>
                      <v:imagedata o:title=""/>
                      <o:lock v:ext="edit" aspectratio="f"/>
                      <v:textbox>
                        <w:txbxContent>
                          <w:p>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合格</w:t>
                            </w:r>
                          </w:p>
                        </w:txbxContent>
                      </v:textbox>
                    </v:rect>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2663825</wp:posOffset>
                      </wp:positionH>
                      <wp:positionV relativeFrom="paragraph">
                        <wp:posOffset>104140</wp:posOffset>
                      </wp:positionV>
                      <wp:extent cx="635" cy="232410"/>
                      <wp:effectExtent l="38100" t="0" r="37465" b="15240"/>
                      <wp:wrapNone/>
                      <wp:docPr id="75" name="直接连接符 75"/>
                      <wp:cNvGraphicFramePr/>
                      <a:graphic xmlns:a="http://schemas.openxmlformats.org/drawingml/2006/main">
                        <a:graphicData uri="http://schemas.microsoft.com/office/word/2010/wordprocessingShape">
                          <wps:wsp>
                            <wps:cNvCnPr/>
                            <wps:spPr>
                              <a:xfrm flipH="1">
                                <a:off x="0" y="0"/>
                                <a:ext cx="635" cy="232410"/>
                              </a:xfrm>
                              <a:prstGeom prst="line">
                                <a:avLst/>
                              </a:prstGeom>
                              <a:ln w="9525" cap="flat" cmpd="sng">
                                <a:solidFill>
                                  <a:srgbClr val="000000"/>
                                </a:solidFill>
                                <a:prstDash val="solid"/>
                                <a:headEnd type="none" w="med" len="med"/>
                                <a:tailEnd type="triangle" w="med" len="sm"/>
                              </a:ln>
                            </wps:spPr>
                            <wps:bodyPr upright="1"/>
                          </wps:wsp>
                        </a:graphicData>
                      </a:graphic>
                    </wp:anchor>
                  </w:drawing>
                </mc:Choice>
                <mc:Fallback>
                  <w:pict>
                    <v:line id="_x0000_s1026" o:spid="_x0000_s1026" o:spt="20" style="position:absolute;left:0pt;flip:x;margin-left:209.75pt;margin-top:8.2pt;height:18.3pt;width:0.05pt;z-index:251706368;mso-width-relative:page;mso-height-relative:page;" filled="f" stroked="t" coordsize="21600,21600" o:gfxdata="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zq9gU2QAAAAkBAAAPAAAAAAAAAAEAIAAAACIAAABkcnMvZG93bnJldi54bWxQSwECFAAUAAAA&#10;CACHTuJACdj7UO0BAACmAwAADgAAAAAAAAABACAAAAAoAQAAZHJzL2Uyb0RvYy54bWxQSwUGAAAA&#10;AAYABgBZAQAAhwUAAAAA&#10;">
                      <v:fill on="f" focussize="0,0"/>
                      <v:stroke color="#000000" joinstyle="round" endarrow="block" endarrowlength="short"/>
                      <v:imagedata o:title=""/>
                      <o:lock v:ext="edit" aspectratio="f"/>
                    </v:line>
                  </w:pict>
                </mc:Fallback>
              </mc:AlternateContent>
            </w:r>
          </w:p>
          <w:p>
            <w:pPr>
              <w:spacing w:line="360" w:lineRule="auto"/>
            </w:pPr>
            <w:r>
              <mc:AlternateContent>
                <mc:Choice Requires="wps">
                  <w:drawing>
                    <wp:anchor distT="0" distB="0" distL="114300" distR="114300" simplePos="0" relativeHeight="251702272" behindDoc="0" locked="0" layoutInCell="1" allowOverlap="1">
                      <wp:simplePos x="0" y="0"/>
                      <wp:positionH relativeFrom="column">
                        <wp:posOffset>2123440</wp:posOffset>
                      </wp:positionH>
                      <wp:positionV relativeFrom="paragraph">
                        <wp:posOffset>31750</wp:posOffset>
                      </wp:positionV>
                      <wp:extent cx="1079500" cy="285750"/>
                      <wp:effectExtent l="4445" t="4445" r="20955" b="14605"/>
                      <wp:wrapNone/>
                      <wp:docPr id="79" name="矩形 79"/>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入库待售</w:t>
                                  </w:r>
                                </w:p>
                              </w:txbxContent>
                            </wps:txbx>
                            <wps:bodyPr upright="1"/>
                          </wps:wsp>
                        </a:graphicData>
                      </a:graphic>
                    </wp:anchor>
                  </w:drawing>
                </mc:Choice>
                <mc:Fallback>
                  <w:pict>
                    <v:rect id="_x0000_s1026" o:spid="_x0000_s1026" o:spt="1" style="position:absolute;left:0pt;margin-left:167.2pt;margin-top:2.5pt;height:22.5pt;width:85pt;z-index:251702272;mso-width-relative:page;mso-height-relative:page;" filled="f" stroked="t" coordsize="21600,21600" o:gfxdata="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lQtyPUAAAACAEA&#10;AA8AAAAAAAAAAQAgAAAAIgAAAGRycy9kb3ducmV2LnhtbFBLAQIUABQAAAAIAIdO4kCN8bkm5QEA&#10;ALQDAAAOAAAAAAAAAAEAIAAAACMBAABkcnMvZTJvRG9jLnhtbFBLBQYAAAAABgAGAFkBAAB6BQAA&#10;AAA=&#10;">
                      <v:fill on="f" focussize="0,0"/>
                      <v:stroke color="#000000" joinstyle="miter"/>
                      <v:imagedata o:title=""/>
                      <o:lock v:ext="edit" aspectratio="f"/>
                      <v:textbox>
                        <w:txbxContent>
                          <w:p>
                            <w:pPr>
                              <w:jc w:val="center"/>
                              <w:rPr>
                                <w:rFonts w:hint="eastAsia" w:ascii="Times New Roman" w:hAnsi="Times New Roman" w:cs="Times New Roman"/>
                                <w:lang w:val="en-US" w:eastAsia="zh-CN"/>
                              </w:rPr>
                            </w:pPr>
                            <w:r>
                              <w:rPr>
                                <w:rFonts w:hint="eastAsia" w:ascii="Times New Roman" w:hAnsi="Times New Roman" w:cs="Times New Roman"/>
                                <w:lang w:val="en-US" w:eastAsia="zh-CN"/>
                              </w:rPr>
                              <w:t>入库待售</w:t>
                            </w:r>
                          </w:p>
                        </w:txbxContent>
                      </v:textbox>
                    </v:rect>
                  </w:pict>
                </mc:Fallback>
              </mc:AlternateContent>
            </w:r>
          </w:p>
          <w:p>
            <w:pPr>
              <w:spacing w:line="360" w:lineRule="auto"/>
              <w:rPr>
                <w:rFonts w:hint="eastAsia" w:ascii="宋体" w:hAnsi="宋体" w:eastAsia="宋体" w:cs="宋体"/>
                <w:sz w:val="24"/>
                <w:szCs w:val="24"/>
              </w:rPr>
            </w:pPr>
          </w:p>
          <w:p>
            <w:pPr>
              <w:tabs>
                <w:tab w:val="left" w:pos="0"/>
                <w:tab w:val="left" w:pos="3600"/>
              </w:tabs>
              <w:spacing w:line="360" w:lineRule="auto"/>
              <w:jc w:val="center"/>
              <w:rPr>
                <w:rFonts w:hint="eastAsia" w:ascii="宋体" w:hAnsi="宋体" w:eastAsia="宋体" w:cs="宋体"/>
                <w:sz w:val="24"/>
                <w:szCs w:val="24"/>
              </w:rPr>
            </w:pPr>
            <w:r>
              <w:rPr>
                <w:rFonts w:hint="eastAsia" w:ascii="宋体" w:hAnsi="宋体" w:eastAsia="宋体" w:cs="宋体"/>
                <w:sz w:val="24"/>
                <w:szCs w:val="24"/>
              </w:rPr>
              <w:t>图2-2  生产工艺流程图及产污节点图</w:t>
            </w:r>
          </w:p>
          <w:p>
            <w:pPr>
              <w:tabs>
                <w:tab w:val="left" w:pos="601"/>
              </w:tabs>
              <w:spacing w:line="360" w:lineRule="auto"/>
              <w:rPr>
                <w:rFonts w:hint="eastAsia" w:ascii="宋体" w:hAnsi="宋体" w:eastAsia="宋体" w:cs="宋体"/>
                <w:sz w:val="24"/>
                <w:szCs w:val="24"/>
                <w:lang w:eastAsia="zh-CN"/>
              </w:rPr>
            </w:pPr>
            <w:r>
              <w:rPr>
                <w:rFonts w:hint="eastAsia" w:ascii="宋体" w:hAnsi="宋体" w:eastAsia="宋体" w:cs="宋体"/>
                <w:sz w:val="24"/>
                <w:szCs w:val="24"/>
              </w:rPr>
              <w:t>工艺流程说明简述</w:t>
            </w:r>
            <w:r>
              <w:rPr>
                <w:rFonts w:hint="eastAsia" w:ascii="宋体" w:hAnsi="宋体" w:eastAsia="宋体" w:cs="宋体"/>
                <w:sz w:val="24"/>
                <w:szCs w:val="24"/>
                <w:lang w:eastAsia="zh-CN"/>
              </w:rPr>
              <w:t>：</w:t>
            </w:r>
          </w:p>
          <w:p>
            <w:pPr>
              <w:numPr>
                <w:ilvl w:val="0"/>
                <w:numId w:val="0"/>
              </w:numPr>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①印标</w:t>
            </w:r>
          </w:p>
          <w:p>
            <w:pPr>
              <w:numPr>
                <w:ilvl w:val="0"/>
                <w:numId w:val="0"/>
              </w:numPr>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外购成品瓦楞纸板进厂后需要印商标，本项目印标为彩色印刷。把需要制版的内容告知制版单位，由供货商进行制版，项目内不涉及制版，印标版每周用抹布擦拭一次，印标设备定期清洗。本项目使用水性油墨，印标时会产生一定量的印标废气（G1）、废油墨桶（S1）、废抹布（S2）和噪声（N），设备清洗产生油墨废渣（S6）。</w:t>
            </w:r>
          </w:p>
          <w:p>
            <w:pPr>
              <w:numPr>
                <w:ilvl w:val="0"/>
                <w:numId w:val="0"/>
              </w:numPr>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②开槽模切</w:t>
            </w:r>
          </w:p>
          <w:p>
            <w:pPr>
              <w:numPr>
                <w:ilvl w:val="0"/>
                <w:numId w:val="0"/>
              </w:numPr>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客户提供的图纸，利用印刷开槽模切堆码机在需要开槽的位置开出槽口，对照图纸使用模切刀版进行裁切，去除多余的边角料，从而使印刷品的形状不再局限于直边直角。该工序会产生粉尘（G2）、边角料（S3）和噪声（N）。</w:t>
            </w:r>
          </w:p>
          <w:p>
            <w:pPr>
              <w:numPr>
                <w:ilvl w:val="0"/>
                <w:numId w:val="0"/>
              </w:numPr>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③钉箱</w:t>
            </w:r>
          </w:p>
          <w:p>
            <w:pPr>
              <w:numPr>
                <w:ilvl w:val="0"/>
                <w:numId w:val="0"/>
              </w:numPr>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将开槽模切好的纸板经过装订加工成各种规格的纸箱，最终形成纸箱成品。该工序会产生废钉子（S4）和噪声（N）。</w:t>
            </w:r>
          </w:p>
          <w:p>
            <w:pPr>
              <w:numPr>
                <w:ilvl w:val="0"/>
                <w:numId w:val="0"/>
              </w:numPr>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④检验</w:t>
            </w:r>
          </w:p>
          <w:p>
            <w:pPr>
              <w:tabs>
                <w:tab w:val="left" w:pos="601"/>
              </w:tabs>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纸箱成品经人工检验合格后入库待售，该工序会产生一定量的不合格品（S5）。</w:t>
            </w:r>
          </w:p>
          <w:p>
            <w:pPr>
              <w:pStyle w:val="2"/>
              <w:rPr>
                <w:rFonts w:hint="eastAsia" w:ascii="宋体" w:hAnsi="宋体" w:eastAsia="宋体" w:cs="宋体"/>
                <w:sz w:val="24"/>
                <w:szCs w:val="24"/>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3"/>
              <w:rPr>
                <w:rFonts w:hint="eastAsia"/>
                <w:lang w:val="en-US" w:eastAsia="zh-CN"/>
              </w:rPr>
            </w:pPr>
          </w:p>
          <w:p>
            <w:pPr>
              <w:pStyle w:val="3"/>
              <w:rPr>
                <w:rFonts w:hint="eastAsia"/>
                <w:lang w:val="en-US" w:eastAsia="zh-CN"/>
              </w:rPr>
            </w:pPr>
          </w:p>
          <w:p>
            <w:pPr>
              <w:rPr>
                <w:rFonts w:hint="eastAsia"/>
                <w:lang w:val="en-US" w:eastAsia="zh-CN"/>
              </w:rPr>
            </w:pPr>
          </w:p>
          <w:p>
            <w:pPr>
              <w:pStyle w:val="3"/>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91"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项目废水主要为生产废水及生活污水。</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项目生产废水主要为设备清洗废水，废水循环使用，定期更换，清洗废水收集后自然蒸发，剩余的少量油墨废渣做危废处理，不外排。</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项目</w:t>
            </w:r>
            <w:r>
              <w:rPr>
                <w:rFonts w:hint="eastAsia" w:ascii="宋体" w:hAnsi="宋体" w:cs="宋体"/>
                <w:kern w:val="0"/>
                <w:sz w:val="24"/>
              </w:rPr>
              <w:t>生活污水</w:t>
            </w:r>
            <w:r>
              <w:rPr>
                <w:rFonts w:hint="eastAsia" w:ascii="宋体" w:hAnsi="宋体" w:cs="宋体"/>
                <w:kern w:val="0"/>
                <w:sz w:val="24"/>
                <w:lang w:val="en-US" w:eastAsia="zh-CN"/>
              </w:rPr>
              <w:t>经</w:t>
            </w:r>
            <w:r>
              <w:rPr>
                <w:rFonts w:hint="eastAsia" w:ascii="宋体" w:hAnsi="宋体" w:cs="宋体"/>
                <w:kern w:val="0"/>
                <w:sz w:val="24"/>
              </w:rPr>
              <w:t>化粪池</w:t>
            </w:r>
            <w:r>
              <w:rPr>
                <w:rFonts w:hint="eastAsia" w:ascii="宋体" w:hAnsi="宋体" w:cs="宋体"/>
                <w:kern w:val="0"/>
                <w:sz w:val="24"/>
                <w:lang w:val="en-US" w:eastAsia="zh-CN"/>
              </w:rPr>
              <w:t>预处理后由园区污水管网汇集至市政污水管网，最终进入江北污水处理厂集中处理</w:t>
            </w:r>
            <w:r>
              <w:rPr>
                <w:rFonts w:hint="eastAsia" w:ascii="宋体" w:hAnsi="宋体" w:cs="宋体"/>
                <w:kern w:val="0"/>
                <w:sz w:val="24"/>
              </w:rPr>
              <w:t>。</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rPr>
              <w:t>情况</w:t>
            </w:r>
          </w:p>
          <w:tbl>
            <w:tblPr>
              <w:tblStyle w:val="33"/>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2432" w:type="dxa"/>
                  <w:shd w:val="clear" w:color="auto" w:fill="auto"/>
                  <w:vAlign w:val="center"/>
                </w:tcPr>
                <w:p>
                  <w:pPr>
                    <w:jc w:val="center"/>
                    <w:rPr>
                      <w:rFonts w:ascii="宋体" w:hAnsi="宋体"/>
                      <w:b/>
                      <w:sz w:val="24"/>
                    </w:rPr>
                  </w:pPr>
                  <w:r>
                    <w:rPr>
                      <w:rFonts w:ascii="宋体" w:hAnsi="宋体"/>
                      <w:b/>
                      <w:sz w:val="24"/>
                    </w:rPr>
                    <w:t>废水类别</w:t>
                  </w:r>
                </w:p>
              </w:tc>
              <w:tc>
                <w:tcPr>
                  <w:tcW w:w="2835" w:type="dxa"/>
                  <w:shd w:val="clear" w:color="auto" w:fill="auto"/>
                  <w:vAlign w:val="center"/>
                </w:tcPr>
                <w:p>
                  <w:pPr>
                    <w:jc w:val="center"/>
                    <w:rPr>
                      <w:rFonts w:ascii="宋体" w:hAnsi="宋体"/>
                      <w:b/>
                      <w:sz w:val="24"/>
                    </w:rPr>
                  </w:pPr>
                  <w:r>
                    <w:rPr>
                      <w:rFonts w:ascii="宋体" w:hAnsi="宋体"/>
                      <w:b/>
                      <w:sz w:val="24"/>
                    </w:rPr>
                    <w:t>主要污染物</w:t>
                  </w:r>
                </w:p>
              </w:tc>
              <w:tc>
                <w:tcPr>
                  <w:tcW w:w="3897" w:type="dxa"/>
                  <w:vAlign w:val="center"/>
                </w:tcPr>
                <w:p>
                  <w:pPr>
                    <w:jc w:val="center"/>
                    <w:rPr>
                      <w:rFonts w:ascii="宋体" w:hAnsi="宋体"/>
                      <w:b/>
                      <w:sz w:val="24"/>
                    </w:rPr>
                  </w:pPr>
                  <w:r>
                    <w:rPr>
                      <w:rFonts w:hint="eastAsia" w:ascii="宋体" w:hAnsi="宋体"/>
                      <w:b/>
                      <w:sz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2" w:type="dxa"/>
                  <w:shd w:val="clear" w:color="auto" w:fill="auto"/>
                  <w:vAlign w:val="center"/>
                </w:tcPr>
                <w:p>
                  <w:pPr>
                    <w:jc w:val="center"/>
                    <w:rPr>
                      <w:rFonts w:ascii="宋体" w:hAnsi="宋体"/>
                      <w:sz w:val="24"/>
                    </w:rPr>
                  </w:pPr>
                  <w:r>
                    <w:rPr>
                      <w:rFonts w:hint="eastAsia" w:ascii="宋体" w:hAnsi="宋体" w:cs="宋体"/>
                      <w:kern w:val="0"/>
                      <w:sz w:val="24"/>
                    </w:rPr>
                    <w:t>生活污水</w:t>
                  </w:r>
                </w:p>
              </w:tc>
              <w:tc>
                <w:tcPr>
                  <w:tcW w:w="2835" w:type="dxa"/>
                  <w:shd w:val="clear" w:color="auto" w:fill="auto"/>
                  <w:vAlign w:val="center"/>
                </w:tcPr>
                <w:p>
                  <w:pPr>
                    <w:jc w:val="center"/>
                    <w:rPr>
                      <w:rFonts w:ascii="宋体" w:hAnsi="宋体"/>
                      <w:sz w:val="24"/>
                    </w:rPr>
                  </w:pPr>
                  <w:r>
                    <w:rPr>
                      <w:rFonts w:ascii="宋体" w:hAnsi="宋体"/>
                      <w:bCs/>
                      <w:sz w:val="24"/>
                    </w:rPr>
                    <w:t>COD</w:t>
                  </w:r>
                  <w:r>
                    <w:rPr>
                      <w:rFonts w:ascii="宋体" w:hAnsi="宋体"/>
                      <w:bCs/>
                      <w:sz w:val="24"/>
                      <w:lang w:val="zh-CN"/>
                    </w:rPr>
                    <w:t>、</w:t>
                  </w:r>
                  <w:r>
                    <w:rPr>
                      <w:rFonts w:hint="eastAsia" w:ascii="宋体" w:hAnsi="宋体"/>
                      <w:bCs/>
                      <w:sz w:val="24"/>
                    </w:rPr>
                    <w:t>S</w:t>
                  </w:r>
                  <w:r>
                    <w:rPr>
                      <w:rFonts w:ascii="宋体" w:hAnsi="宋体"/>
                      <w:bCs/>
                      <w:sz w:val="24"/>
                    </w:rPr>
                    <w:t>S</w:t>
                  </w:r>
                  <w:r>
                    <w:rPr>
                      <w:rFonts w:hint="eastAsia" w:ascii="宋体" w:hAnsi="宋体"/>
                      <w:bCs/>
                      <w:sz w:val="24"/>
                      <w:lang w:val="zh-CN"/>
                    </w:rPr>
                    <w:t>、</w:t>
                  </w:r>
                  <w:r>
                    <w:rPr>
                      <w:rFonts w:hint="eastAsia" w:ascii="宋体" w:hAnsi="宋体"/>
                      <w:bCs/>
                      <w:sz w:val="24"/>
                    </w:rPr>
                    <w:t>B</w:t>
                  </w:r>
                  <w:r>
                    <w:rPr>
                      <w:rFonts w:ascii="宋体" w:hAnsi="宋体"/>
                      <w:bCs/>
                      <w:sz w:val="24"/>
                    </w:rPr>
                    <w:t>OD</w:t>
                  </w:r>
                  <w:r>
                    <w:rPr>
                      <w:rFonts w:ascii="宋体" w:hAnsi="宋体"/>
                      <w:bCs/>
                      <w:sz w:val="24"/>
                      <w:vertAlign w:val="subscript"/>
                    </w:rPr>
                    <w:t>5</w:t>
                  </w:r>
                  <w:r>
                    <w:rPr>
                      <w:rFonts w:hint="eastAsia" w:ascii="宋体" w:hAnsi="宋体"/>
                      <w:bCs/>
                      <w:sz w:val="24"/>
                      <w:lang w:val="zh-CN"/>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r>
                    <w:rPr>
                      <w:rFonts w:hint="eastAsia" w:ascii="宋体" w:hAnsi="宋体"/>
                      <w:sz w:val="24"/>
                    </w:rPr>
                    <w:t xml:space="preserve"> </w:t>
                  </w:r>
                </w:p>
              </w:tc>
              <w:tc>
                <w:tcPr>
                  <w:tcW w:w="3897" w:type="dxa"/>
                  <w:vAlign w:val="center"/>
                </w:tcPr>
                <w:p>
                  <w:pPr>
                    <w:jc w:val="center"/>
                    <w:rPr>
                      <w:rFonts w:hint="default" w:ascii="宋体" w:hAnsi="宋体" w:eastAsia="宋体"/>
                      <w:sz w:val="24"/>
                      <w:lang w:val="en-US" w:eastAsia="zh-CN"/>
                    </w:rPr>
                  </w:pPr>
                  <w:r>
                    <w:rPr>
                      <w:rFonts w:hint="eastAsia" w:ascii="宋体" w:hAnsi="宋体" w:cs="宋体"/>
                      <w:kern w:val="0"/>
                      <w:sz w:val="24"/>
                    </w:rPr>
                    <w:t>化粪池+</w:t>
                  </w:r>
                  <w:r>
                    <w:rPr>
                      <w:rFonts w:hint="eastAsia" w:ascii="宋体" w:hAnsi="宋体" w:cs="宋体"/>
                      <w:kern w:val="0"/>
                      <w:sz w:val="24"/>
                      <w:lang w:val="en-US" w:eastAsia="zh-CN"/>
                    </w:rPr>
                    <w:t>污水管网</w:t>
                  </w:r>
                </w:p>
              </w:tc>
            </w:tr>
          </w:tbl>
          <w:p>
            <w:pPr>
              <w:spacing w:line="360" w:lineRule="auto"/>
              <w:jc w:val="left"/>
              <w:rPr>
                <w:rFonts w:ascii="宋体" w:hAnsi="宋体"/>
                <w:b/>
                <w:sz w:val="28"/>
                <w:szCs w:val="28"/>
              </w:rPr>
            </w:pPr>
            <w:r>
              <w:rPr>
                <w:rFonts w:hint="eastAsia" w:ascii="宋体" w:hAnsi="宋体"/>
                <w:b/>
                <w:sz w:val="28"/>
                <w:szCs w:val="28"/>
              </w:rPr>
              <w:t>2、废气</w:t>
            </w:r>
          </w:p>
          <w:p>
            <w:pPr>
              <w:spacing w:line="360" w:lineRule="auto"/>
              <w:ind w:firstLine="480" w:firstLineChars="200"/>
              <w:jc w:val="left"/>
            </w:pPr>
            <w:r>
              <w:rPr>
                <w:rFonts w:hint="eastAsia" w:ascii="宋体" w:hAnsi="宋体"/>
                <w:bCs/>
                <w:sz w:val="24"/>
              </w:rPr>
              <w:t>项目废气主要来源于</w:t>
            </w:r>
            <w:r>
              <w:rPr>
                <w:rFonts w:hint="eastAsia" w:ascii="宋体" w:hAnsi="宋体"/>
                <w:bCs/>
                <w:sz w:val="24"/>
                <w:lang w:val="en-US" w:eastAsia="zh-CN"/>
              </w:rPr>
              <w:t>印标</w:t>
            </w:r>
            <w:r>
              <w:rPr>
                <w:rFonts w:hint="eastAsia" w:ascii="宋体" w:hAnsi="宋体"/>
                <w:bCs/>
                <w:sz w:val="24"/>
              </w:rPr>
              <w:t>过程中产生的</w:t>
            </w:r>
            <w:r>
              <w:rPr>
                <w:rFonts w:hint="eastAsia" w:ascii="宋体" w:hAnsi="宋体"/>
                <w:bCs/>
                <w:sz w:val="24"/>
                <w:lang w:val="en-US" w:eastAsia="zh-CN"/>
              </w:rPr>
              <w:t>印标废气</w:t>
            </w:r>
            <w:r>
              <w:rPr>
                <w:rFonts w:hint="eastAsia" w:ascii="宋体" w:hAnsi="宋体"/>
                <w:bCs/>
                <w:sz w:val="24"/>
              </w:rPr>
              <w:t>（</w:t>
            </w:r>
            <w:r>
              <w:rPr>
                <w:rFonts w:hint="eastAsia" w:ascii="宋体" w:hAnsi="宋体"/>
                <w:bCs/>
                <w:sz w:val="24"/>
                <w:lang w:val="en-US" w:eastAsia="zh-CN"/>
              </w:rPr>
              <w:t>以非甲烷总烃计</w:t>
            </w:r>
            <w:r>
              <w:rPr>
                <w:rFonts w:hint="eastAsia" w:ascii="宋体" w:hAnsi="宋体"/>
                <w:bCs/>
                <w:sz w:val="24"/>
              </w:rPr>
              <w:t>）</w:t>
            </w:r>
            <w:r>
              <w:rPr>
                <w:rFonts w:hint="eastAsia" w:ascii="宋体" w:hAnsi="宋体"/>
                <w:bCs/>
                <w:sz w:val="24"/>
                <w:lang w:val="en-US" w:eastAsia="zh-CN"/>
              </w:rPr>
              <w:t>及开槽模切过程中产生的少量粉尘</w:t>
            </w:r>
            <w:r>
              <w:rPr>
                <w:rFonts w:hint="eastAsia" w:ascii="宋体" w:hAnsi="宋体"/>
                <w:bCs/>
                <w:sz w:val="24"/>
              </w:rPr>
              <w:t xml:space="preserve">。 </w:t>
            </w:r>
            <w:r>
              <w:rPr>
                <w:rFonts w:ascii="宋体" w:hAnsi="宋体"/>
                <w:bCs/>
                <w:sz w:val="24"/>
              </w:rPr>
              <w:t xml:space="preserve">  </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印标</w:t>
            </w:r>
            <w:r>
              <w:rPr>
                <w:rFonts w:hint="eastAsia" w:ascii="宋体" w:hAnsi="宋体"/>
                <w:bCs/>
                <w:sz w:val="24"/>
                <w:highlight w:val="none"/>
                <w:lang w:val="en-US" w:eastAsia="zh-CN"/>
              </w:rPr>
              <w:t>废气由印标工序上方集气装置收集后引至UV光氧装置进行处理，尾气经22</w:t>
            </w:r>
            <w:r>
              <w:rPr>
                <w:rFonts w:hint="eastAsia" w:ascii="宋体" w:hAnsi="宋体"/>
                <w:bCs/>
                <w:sz w:val="24"/>
                <w:lang w:val="en-US" w:eastAsia="zh-CN"/>
              </w:rPr>
              <w:t xml:space="preserve"> m高排气筒排放。开槽粉尘于车间无组织排放。</w:t>
            </w:r>
          </w:p>
          <w:p>
            <w:pPr>
              <w:spacing w:before="156" w:beforeLines="50" w:line="360" w:lineRule="auto"/>
              <w:jc w:val="center"/>
              <w:rPr>
                <w:rFonts w:ascii="宋体" w:hAnsi="宋体" w:eastAsia="宋体"/>
                <w:b/>
                <w:sz w:val="24"/>
              </w:rPr>
            </w:pPr>
            <w:r>
              <w:rPr>
                <w:rFonts w:ascii="宋体" w:hAnsi="宋体" w:eastAsia="宋体"/>
                <w:b/>
                <w:sz w:val="24"/>
              </w:rPr>
              <w:t>表</w:t>
            </w:r>
            <w:r>
              <w:rPr>
                <w:rFonts w:hint="eastAsia" w:ascii="宋体" w:hAnsi="宋体" w:eastAsia="宋体"/>
                <w:b/>
                <w:sz w:val="24"/>
              </w:rPr>
              <w:t>3</w:t>
            </w:r>
            <w:r>
              <w:rPr>
                <w:rFonts w:ascii="宋体" w:hAnsi="宋体" w:eastAsia="宋体"/>
                <w:b/>
                <w:sz w:val="24"/>
              </w:rPr>
              <w:t>-2</w:t>
            </w:r>
            <w:r>
              <w:rPr>
                <w:rFonts w:hint="eastAsia" w:ascii="宋体" w:hAnsi="宋体" w:eastAsia="宋体"/>
                <w:b/>
                <w:sz w:val="24"/>
              </w:rPr>
              <w:t xml:space="preserve"> </w:t>
            </w:r>
            <w:r>
              <w:rPr>
                <w:rFonts w:ascii="宋体" w:hAnsi="宋体" w:eastAsia="宋体"/>
                <w:b/>
                <w:sz w:val="24"/>
              </w:rPr>
              <w:t xml:space="preserve"> </w:t>
            </w:r>
            <w:r>
              <w:rPr>
                <w:rFonts w:hint="eastAsia" w:ascii="宋体" w:hAnsi="宋体" w:eastAsia="宋体"/>
                <w:b/>
                <w:sz w:val="24"/>
              </w:rPr>
              <w:t>项目</w:t>
            </w:r>
            <w:r>
              <w:rPr>
                <w:rFonts w:ascii="宋体" w:hAnsi="宋体" w:eastAsia="宋体"/>
                <w:b/>
                <w:sz w:val="24"/>
              </w:rPr>
              <w:t>废气污染源情况</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215"/>
              <w:gridCol w:w="2463"/>
              <w:gridCol w:w="34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54" w:hRule="atLeast"/>
                <w:jc w:val="center"/>
              </w:trPr>
              <w:tc>
                <w:tcPr>
                  <w:tcW w:w="894" w:type="dxa"/>
                  <w:vAlign w:val="center"/>
                </w:tcPr>
                <w:p>
                  <w:pPr>
                    <w:spacing w:line="360" w:lineRule="auto"/>
                    <w:jc w:val="center"/>
                    <w:rPr>
                      <w:rFonts w:ascii="宋体" w:hAnsi="宋体" w:eastAsia="宋体"/>
                      <w:b/>
                      <w:bCs/>
                      <w:sz w:val="24"/>
                    </w:rPr>
                  </w:pPr>
                  <w:r>
                    <w:rPr>
                      <w:rFonts w:hint="eastAsia" w:ascii="宋体" w:hAnsi="宋体" w:eastAsia="宋体"/>
                      <w:b/>
                      <w:bCs/>
                      <w:sz w:val="24"/>
                    </w:rPr>
                    <w:t>序号</w:t>
                  </w:r>
                </w:p>
              </w:tc>
              <w:tc>
                <w:tcPr>
                  <w:tcW w:w="2215" w:type="dxa"/>
                  <w:vAlign w:val="center"/>
                </w:tcPr>
                <w:p>
                  <w:pPr>
                    <w:spacing w:line="360" w:lineRule="auto"/>
                    <w:jc w:val="center"/>
                    <w:rPr>
                      <w:rFonts w:ascii="宋体" w:hAnsi="宋体" w:eastAsia="宋体"/>
                      <w:b/>
                      <w:bCs/>
                      <w:sz w:val="24"/>
                    </w:rPr>
                  </w:pPr>
                  <w:r>
                    <w:rPr>
                      <w:rFonts w:ascii="宋体" w:hAnsi="宋体" w:eastAsia="宋体"/>
                      <w:b/>
                      <w:bCs/>
                      <w:sz w:val="24"/>
                    </w:rPr>
                    <w:t>排放源</w:t>
                  </w:r>
                </w:p>
              </w:tc>
              <w:tc>
                <w:tcPr>
                  <w:tcW w:w="2463" w:type="dxa"/>
                  <w:vAlign w:val="center"/>
                </w:tcPr>
                <w:p>
                  <w:pPr>
                    <w:spacing w:line="360" w:lineRule="auto"/>
                    <w:jc w:val="center"/>
                    <w:rPr>
                      <w:rFonts w:ascii="宋体" w:hAnsi="宋体" w:eastAsia="宋体"/>
                      <w:b/>
                      <w:bCs/>
                      <w:sz w:val="24"/>
                    </w:rPr>
                  </w:pPr>
                  <w:r>
                    <w:rPr>
                      <w:rFonts w:ascii="宋体" w:hAnsi="宋体" w:eastAsia="宋体"/>
                      <w:b/>
                      <w:bCs/>
                      <w:sz w:val="24"/>
                    </w:rPr>
                    <w:t>污染物名称</w:t>
                  </w:r>
                </w:p>
              </w:tc>
              <w:tc>
                <w:tcPr>
                  <w:tcW w:w="3474" w:type="dxa"/>
                  <w:vAlign w:val="center"/>
                </w:tcPr>
                <w:p>
                  <w:pPr>
                    <w:spacing w:line="360" w:lineRule="auto"/>
                    <w:jc w:val="center"/>
                    <w:rPr>
                      <w:rFonts w:ascii="宋体" w:hAnsi="宋体" w:eastAsia="宋体"/>
                      <w:b/>
                      <w:bCs/>
                      <w:sz w:val="24"/>
                    </w:rPr>
                  </w:pPr>
                  <w:r>
                    <w:rPr>
                      <w:rFonts w:hint="eastAsia" w:ascii="宋体" w:hAnsi="宋体" w:eastAsia="宋体"/>
                      <w:b/>
                      <w:bCs/>
                      <w:sz w:val="24"/>
                    </w:rPr>
                    <w:t>治理</w:t>
                  </w:r>
                  <w:r>
                    <w:rPr>
                      <w:rFonts w:ascii="宋体" w:hAnsi="宋体" w:eastAsia="宋体"/>
                      <w:b/>
                      <w:bCs/>
                      <w:sz w:val="24"/>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ascii="宋体" w:hAnsi="宋体" w:eastAsia="宋体"/>
                      <w:sz w:val="24"/>
                    </w:rPr>
                  </w:pPr>
                  <w:r>
                    <w:rPr>
                      <w:rFonts w:hint="eastAsia" w:ascii="宋体" w:hAnsi="宋体" w:eastAsia="宋体"/>
                      <w:sz w:val="24"/>
                    </w:rPr>
                    <w:t>1</w:t>
                  </w:r>
                </w:p>
              </w:tc>
              <w:tc>
                <w:tcPr>
                  <w:tcW w:w="2215" w:type="dxa"/>
                  <w:vAlign w:val="center"/>
                </w:tcPr>
                <w:p>
                  <w:pPr>
                    <w:jc w:val="center"/>
                    <w:rPr>
                      <w:rFonts w:ascii="宋体" w:hAnsi="宋体" w:eastAsia="宋体"/>
                      <w:sz w:val="24"/>
                    </w:rPr>
                  </w:pPr>
                  <w:r>
                    <w:rPr>
                      <w:rFonts w:hint="eastAsia" w:ascii="宋体" w:hAnsi="宋体" w:eastAsia="宋体"/>
                      <w:bCs/>
                      <w:sz w:val="24"/>
                      <w:lang w:val="en-US" w:eastAsia="zh-CN"/>
                    </w:rPr>
                    <w:t>印标废气</w:t>
                  </w:r>
                </w:p>
              </w:tc>
              <w:tc>
                <w:tcPr>
                  <w:tcW w:w="2463" w:type="dxa"/>
                  <w:vAlign w:val="center"/>
                </w:tcPr>
                <w:p>
                  <w:pPr>
                    <w:jc w:val="center"/>
                    <w:rPr>
                      <w:rFonts w:ascii="宋体" w:hAnsi="宋体" w:eastAsia="宋体"/>
                      <w:sz w:val="24"/>
                    </w:rPr>
                  </w:pPr>
                  <w:r>
                    <w:rPr>
                      <w:rFonts w:hint="eastAsia" w:ascii="宋体" w:hAnsi="宋体" w:eastAsia="宋体"/>
                      <w:sz w:val="24"/>
                    </w:rPr>
                    <w:t>非甲烷总烃</w:t>
                  </w:r>
                </w:p>
              </w:tc>
              <w:tc>
                <w:tcPr>
                  <w:tcW w:w="3474" w:type="dxa"/>
                  <w:vAlign w:val="center"/>
                </w:tcPr>
                <w:p>
                  <w:pPr>
                    <w:jc w:val="center"/>
                    <w:rPr>
                      <w:rFonts w:hint="default" w:ascii="宋体" w:hAnsi="宋体" w:eastAsia="宋体"/>
                      <w:sz w:val="24"/>
                      <w:lang w:val="en-US" w:eastAsia="zh-CN"/>
                    </w:rPr>
                  </w:pPr>
                  <w:r>
                    <w:rPr>
                      <w:rFonts w:hint="eastAsia" w:eastAsia="宋体"/>
                      <w:sz w:val="24"/>
                      <w:highlight w:val="none"/>
                      <w:lang w:val="en-US" w:eastAsia="zh-CN"/>
                    </w:rPr>
                    <w:t>集气罩+UV光氧装置+22m排气筒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hint="eastAsia" w:ascii="宋体" w:hAnsi="宋体" w:eastAsia="宋体"/>
                      <w:sz w:val="24"/>
                      <w:lang w:val="en-US" w:eastAsia="zh-CN"/>
                    </w:rPr>
                  </w:pPr>
                  <w:r>
                    <w:rPr>
                      <w:rFonts w:hint="eastAsia" w:ascii="宋体" w:hAnsi="宋体" w:eastAsia="宋体"/>
                      <w:sz w:val="24"/>
                      <w:lang w:val="en-US" w:eastAsia="zh-CN"/>
                    </w:rPr>
                    <w:t>2</w:t>
                  </w:r>
                </w:p>
              </w:tc>
              <w:tc>
                <w:tcPr>
                  <w:tcW w:w="2215" w:type="dxa"/>
                  <w:vAlign w:val="center"/>
                </w:tcPr>
                <w:p>
                  <w:pPr>
                    <w:jc w:val="center"/>
                    <w:rPr>
                      <w:rFonts w:hint="eastAsia" w:ascii="宋体" w:hAnsi="宋体" w:eastAsia="宋体"/>
                      <w:bCs/>
                      <w:sz w:val="24"/>
                      <w:lang w:val="en-US" w:eastAsia="zh-CN"/>
                    </w:rPr>
                  </w:pPr>
                  <w:r>
                    <w:rPr>
                      <w:rFonts w:hint="eastAsia" w:ascii="宋体" w:hAnsi="宋体" w:eastAsia="宋体"/>
                      <w:bCs/>
                      <w:sz w:val="24"/>
                      <w:lang w:val="en-US" w:eastAsia="zh-CN"/>
                    </w:rPr>
                    <w:t>开槽模切</w:t>
                  </w:r>
                </w:p>
              </w:tc>
              <w:tc>
                <w:tcPr>
                  <w:tcW w:w="2463" w:type="dxa"/>
                  <w:vAlign w:val="center"/>
                </w:tcPr>
                <w:p>
                  <w:pPr>
                    <w:jc w:val="center"/>
                    <w:rPr>
                      <w:rFonts w:hint="eastAsia" w:ascii="宋体" w:hAnsi="宋体" w:eastAsia="宋体"/>
                      <w:sz w:val="24"/>
                      <w:lang w:val="en-US" w:eastAsia="zh-CN"/>
                    </w:rPr>
                  </w:pPr>
                  <w:r>
                    <w:rPr>
                      <w:rFonts w:hint="eastAsia" w:ascii="宋体" w:hAnsi="宋体" w:eastAsia="宋体"/>
                      <w:sz w:val="24"/>
                      <w:lang w:val="en-US" w:eastAsia="zh-CN"/>
                    </w:rPr>
                    <w:t>颗粒物</w:t>
                  </w:r>
                </w:p>
              </w:tc>
              <w:tc>
                <w:tcPr>
                  <w:tcW w:w="3474" w:type="dxa"/>
                  <w:vAlign w:val="center"/>
                </w:tcPr>
                <w:p>
                  <w:pPr>
                    <w:jc w:val="center"/>
                    <w:rPr>
                      <w:rFonts w:hint="default" w:eastAsia="宋体"/>
                      <w:sz w:val="24"/>
                      <w:highlight w:val="none"/>
                      <w:lang w:val="en-US" w:eastAsia="zh-CN"/>
                    </w:rPr>
                  </w:pPr>
                  <w:r>
                    <w:rPr>
                      <w:rFonts w:hint="eastAsia" w:eastAsia="宋体"/>
                      <w:sz w:val="24"/>
                      <w:highlight w:val="none"/>
                      <w:lang w:val="en-US" w:eastAsia="zh-CN"/>
                    </w:rPr>
                    <w:t>加强车间通风</w:t>
                  </w:r>
                </w:p>
              </w:tc>
            </w:tr>
          </w:tbl>
          <w:p>
            <w:pPr>
              <w:pStyle w:val="2"/>
              <w:rPr>
                <w:rFonts w:hint="default"/>
                <w:lang w:val="en-US"/>
              </w:rPr>
            </w:pPr>
          </w:p>
          <w:p>
            <w:pPr>
              <w:pStyle w:val="3"/>
              <w:rPr>
                <w:rFonts w:hint="default"/>
                <w:lang w:val="en-US"/>
              </w:rPr>
            </w:pPr>
          </w:p>
          <w:p>
            <w:pPr>
              <w:rPr>
                <w:rFonts w:hint="default"/>
                <w:lang w:val="en-US"/>
              </w:rPr>
            </w:pPr>
          </w:p>
          <w:p>
            <w:pPr>
              <w:pStyle w:val="2"/>
              <w:rPr>
                <w:rFonts w:hint="default"/>
                <w:lang w:val="en-US"/>
              </w:rPr>
            </w:pPr>
          </w:p>
          <w:p>
            <w:pPr>
              <w:pStyle w:val="3"/>
              <w:rPr>
                <w:rFonts w:hint="default"/>
                <w:lang w:val="en-US"/>
              </w:rPr>
            </w:pPr>
          </w:p>
          <w:p>
            <w:pPr>
              <w:rPr>
                <w:rFonts w:hint="default"/>
                <w:lang w:val="en-US"/>
              </w:rPr>
            </w:pPr>
          </w:p>
          <w:p>
            <w:pPr>
              <w:pStyle w:val="2"/>
              <w:rPr>
                <w:rFonts w:hint="default"/>
                <w:lang w:val="en-US"/>
              </w:rPr>
            </w:pPr>
          </w:p>
          <w:p>
            <w:pPr>
              <w:spacing w:line="360" w:lineRule="auto"/>
              <w:jc w:val="left"/>
              <w:rPr>
                <w:rFonts w:hint="eastAsia" w:ascii="宋体" w:hAnsi="宋体"/>
                <w:b/>
                <w:bCs w:val="0"/>
                <w:sz w:val="24"/>
                <w:szCs w:val="24"/>
                <w:lang w:val="en-US" w:eastAsia="zh-CN"/>
              </w:rPr>
            </w:pPr>
            <w:r>
              <w:rPr>
                <w:rFonts w:hint="eastAsia" w:ascii="宋体" w:hAnsi="宋体"/>
                <w:b/>
                <w:bCs w:val="0"/>
                <w:sz w:val="24"/>
                <w:szCs w:val="24"/>
                <w:lang w:val="en-US" w:eastAsia="zh-CN"/>
              </w:rPr>
              <w:drawing>
                <wp:inline distT="0" distB="0" distL="114300" distR="114300">
                  <wp:extent cx="2199640" cy="2283460"/>
                  <wp:effectExtent l="0" t="0" r="10160" b="254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9"/>
                          <a:stretch>
                            <a:fillRect/>
                          </a:stretch>
                        </pic:blipFill>
                        <pic:spPr>
                          <a:xfrm>
                            <a:off x="0" y="0"/>
                            <a:ext cx="2199640" cy="2283460"/>
                          </a:xfrm>
                          <a:prstGeom prst="rect">
                            <a:avLst/>
                          </a:prstGeom>
                          <a:noFill/>
                          <a:ln>
                            <a:noFill/>
                          </a:ln>
                        </pic:spPr>
                      </pic:pic>
                    </a:graphicData>
                  </a:graphic>
                </wp:inline>
              </w:drawing>
            </w:r>
            <w:r>
              <w:rPr>
                <w:rFonts w:hint="eastAsia" w:ascii="宋体" w:hAnsi="宋体"/>
                <w:b/>
                <w:bCs w:val="0"/>
                <w:sz w:val="24"/>
                <w:szCs w:val="24"/>
                <w:lang w:val="en-US" w:eastAsia="zh-CN"/>
              </w:rPr>
              <w:drawing>
                <wp:inline distT="0" distB="0" distL="114300" distR="114300">
                  <wp:extent cx="2096135" cy="2238375"/>
                  <wp:effectExtent l="0" t="0" r="18415" b="952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10"/>
                          <a:stretch>
                            <a:fillRect/>
                          </a:stretch>
                        </pic:blipFill>
                        <pic:spPr>
                          <a:xfrm>
                            <a:off x="0" y="0"/>
                            <a:ext cx="2096135" cy="2238375"/>
                          </a:xfrm>
                          <a:prstGeom prst="rect">
                            <a:avLst/>
                          </a:prstGeom>
                          <a:noFill/>
                          <a:ln>
                            <a:noFill/>
                          </a:ln>
                        </pic:spPr>
                      </pic:pic>
                    </a:graphicData>
                  </a:graphic>
                </wp:inline>
              </w:drawing>
            </w:r>
            <w:r>
              <w:rPr>
                <w:rFonts w:hint="eastAsia" w:ascii="宋体" w:hAnsi="宋体"/>
                <w:b/>
                <w:bCs w:val="0"/>
                <w:sz w:val="24"/>
                <w:szCs w:val="24"/>
                <w:lang w:val="en-US" w:eastAsia="zh-CN"/>
              </w:rPr>
              <w:drawing>
                <wp:inline distT="0" distB="0" distL="114300" distR="114300">
                  <wp:extent cx="1369695" cy="2227580"/>
                  <wp:effectExtent l="0" t="0" r="1905" b="127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11"/>
                          <a:stretch>
                            <a:fillRect/>
                          </a:stretch>
                        </pic:blipFill>
                        <pic:spPr>
                          <a:xfrm>
                            <a:off x="0" y="0"/>
                            <a:ext cx="1369695" cy="2227580"/>
                          </a:xfrm>
                          <a:prstGeom prst="rect">
                            <a:avLst/>
                          </a:prstGeom>
                          <a:noFill/>
                          <a:ln>
                            <a:noFill/>
                          </a:ln>
                        </pic:spPr>
                      </pic:pic>
                    </a:graphicData>
                  </a:graphic>
                </wp:inline>
              </w:drawing>
            </w:r>
          </w:p>
          <w:p>
            <w:pPr>
              <w:spacing w:line="360" w:lineRule="auto"/>
              <w:jc w:val="center"/>
              <w:rPr>
                <w:rFonts w:hint="default" w:ascii="宋体" w:hAnsi="宋体"/>
                <w:b/>
                <w:bCs w:val="0"/>
                <w:sz w:val="24"/>
                <w:szCs w:val="24"/>
                <w:lang w:val="en-US" w:eastAsia="zh-CN"/>
              </w:rPr>
            </w:pPr>
            <w:r>
              <w:rPr>
                <w:rFonts w:hint="eastAsia" w:ascii="宋体" w:hAnsi="宋体"/>
                <w:b/>
                <w:bCs w:val="0"/>
                <w:sz w:val="24"/>
                <w:szCs w:val="24"/>
                <w:lang w:val="en-US" w:eastAsia="zh-CN"/>
              </w:rPr>
              <w:t>集气罩                    光氧化设备                排气筒</w:t>
            </w:r>
          </w:p>
          <w:p>
            <w:pPr>
              <w:spacing w:line="360" w:lineRule="auto"/>
              <w:jc w:val="center"/>
              <w:rPr>
                <w:rFonts w:hint="eastAsia" w:ascii="宋体" w:hAnsi="宋体"/>
                <w:b/>
                <w:sz w:val="28"/>
                <w:szCs w:val="28"/>
              </w:rPr>
            </w:pPr>
            <w:r>
              <w:rPr>
                <w:rFonts w:hint="eastAsia" w:ascii="宋体" w:hAnsi="宋体"/>
                <w:b/>
                <w:bCs w:val="0"/>
                <w:sz w:val="24"/>
                <w:szCs w:val="24"/>
                <w:lang w:val="en-US" w:eastAsia="zh-CN"/>
              </w:rPr>
              <w:t>图3-1 废气处理设施</w:t>
            </w:r>
          </w:p>
          <w:p>
            <w:pPr>
              <w:spacing w:line="360" w:lineRule="auto"/>
              <w:jc w:val="left"/>
              <w:rPr>
                <w:rFonts w:ascii="宋体" w:hAnsi="宋体"/>
                <w:b/>
                <w:sz w:val="28"/>
                <w:szCs w:val="28"/>
              </w:rPr>
            </w:pPr>
            <w:r>
              <w:rPr>
                <w:rFonts w:hint="eastAsia" w:ascii="宋体" w:hAnsi="宋体"/>
                <w:b/>
                <w:sz w:val="28"/>
                <w:szCs w:val="28"/>
              </w:rPr>
              <w:t>3、噪声</w:t>
            </w:r>
          </w:p>
          <w:p>
            <w:pPr>
              <w:pStyle w:val="149"/>
              <w:rPr>
                <w:rFonts w:eastAsia="宋体"/>
                <w:color w:val="auto"/>
              </w:rPr>
            </w:pPr>
            <w:r>
              <w:rPr>
                <w:rFonts w:hint="eastAsia" w:eastAsia="宋体"/>
                <w:color w:val="auto"/>
              </w:rPr>
              <w:t>本项目主要噪声来自于</w:t>
            </w:r>
            <w:r>
              <w:rPr>
                <w:rFonts w:hint="eastAsia" w:eastAsia="宋体"/>
                <w:color w:val="auto"/>
                <w:lang w:val="en-US" w:eastAsia="zh-CN"/>
              </w:rPr>
              <w:t>印刷机、印刷开槽模切堆码机、钉箱机等</w:t>
            </w:r>
            <w:r>
              <w:rPr>
                <w:rFonts w:hint="eastAsia" w:eastAsia="宋体"/>
                <w:color w:val="auto"/>
              </w:rPr>
              <w:t>设备运行时产生的机械噪声，企业通过设置减震基座、安装消声机、厂房隔声等措施降低噪声污染</w:t>
            </w:r>
            <w:r>
              <w:rPr>
                <w:rFonts w:hint="eastAsia" w:eastAsia="宋体"/>
              </w:rPr>
              <w:t>。</w:t>
            </w:r>
          </w:p>
          <w:p>
            <w:pPr>
              <w:spacing w:line="360" w:lineRule="auto"/>
              <w:jc w:val="left"/>
              <w:rPr>
                <w:rFonts w:ascii="宋体" w:hAnsi="宋体"/>
                <w:b/>
                <w:sz w:val="28"/>
                <w:szCs w:val="28"/>
              </w:rPr>
            </w:pPr>
            <w:r>
              <w:rPr>
                <w:rFonts w:hint="eastAsia" w:ascii="宋体" w:hAnsi="宋体"/>
                <w:b/>
                <w:sz w:val="28"/>
                <w:szCs w:val="28"/>
              </w:rPr>
              <w:t>4、固体废物</w:t>
            </w:r>
          </w:p>
          <w:p>
            <w:pPr>
              <w:spacing w:line="440" w:lineRule="exact"/>
              <w:ind w:firstLine="480" w:firstLineChars="200"/>
              <w:rPr>
                <w:rFonts w:hint="eastAsia"/>
                <w:kern w:val="0"/>
                <w:sz w:val="24"/>
              </w:rPr>
            </w:pPr>
            <w:r>
              <w:rPr>
                <w:rFonts w:hint="eastAsia"/>
                <w:kern w:val="0"/>
                <w:sz w:val="24"/>
              </w:rPr>
              <w:t>本项目产生的固体废弃物</w:t>
            </w:r>
            <w:r>
              <w:rPr>
                <w:rFonts w:hint="eastAsia"/>
                <w:kern w:val="0"/>
                <w:sz w:val="24"/>
                <w:lang w:val="en-US" w:eastAsia="zh-CN"/>
              </w:rPr>
              <w:t>包括印标工序产生的废油墨桶（S1）、废抹布（S2）和油墨废渣（S6）、开槽模切工序产生的边角料（S3）、钉箱工序产生的废钉子（S4）、检验工序产生的不合格品（S5）和职工生活垃圾。</w:t>
            </w:r>
          </w:p>
          <w:p>
            <w:pPr>
              <w:spacing w:line="440" w:lineRule="exact"/>
              <w:ind w:firstLine="480" w:firstLineChars="200"/>
              <w:rPr>
                <w:rFonts w:hint="eastAsia" w:ascii="宋体" w:hAnsi="宋体" w:eastAsia="宋体"/>
                <w:sz w:val="24"/>
                <w:lang w:eastAsia="zh-CN"/>
              </w:rPr>
            </w:pPr>
            <w:r>
              <w:rPr>
                <w:rFonts w:hint="eastAsia"/>
                <w:kern w:val="0"/>
                <w:sz w:val="24"/>
              </w:rPr>
              <w:t>项目员工生活垃圾</w:t>
            </w:r>
            <w:r>
              <w:rPr>
                <w:rFonts w:hint="eastAsia"/>
                <w:kern w:val="0"/>
                <w:sz w:val="24"/>
                <w:lang w:eastAsia="zh-CN"/>
              </w:rPr>
              <w:t>、</w:t>
            </w:r>
            <w:r>
              <w:rPr>
                <w:rFonts w:hint="eastAsia"/>
                <w:kern w:val="0"/>
                <w:sz w:val="24"/>
                <w:lang w:val="en-US" w:eastAsia="zh-CN"/>
              </w:rPr>
              <w:t>废抹布手套</w:t>
            </w:r>
            <w:r>
              <w:rPr>
                <w:rFonts w:hint="eastAsia"/>
                <w:kern w:val="0"/>
                <w:sz w:val="24"/>
              </w:rPr>
              <w:t>由环卫部门统一清运；</w:t>
            </w:r>
            <w:r>
              <w:rPr>
                <w:rFonts w:hint="eastAsia"/>
                <w:kern w:val="0"/>
                <w:sz w:val="24"/>
                <w:lang w:val="en-US" w:eastAsia="zh-CN"/>
              </w:rPr>
              <w:t>边角料、废钉子、不合格品交由物资回收部门处置</w:t>
            </w:r>
            <w:r>
              <w:rPr>
                <w:rFonts w:hint="eastAsia"/>
                <w:kern w:val="0"/>
                <w:sz w:val="24"/>
              </w:rPr>
              <w:t>；</w:t>
            </w:r>
            <w:r>
              <w:rPr>
                <w:rFonts w:hint="eastAsia"/>
                <w:kern w:val="0"/>
                <w:sz w:val="24"/>
                <w:lang w:val="en-US" w:eastAsia="zh-CN"/>
              </w:rPr>
              <w:t>废油墨桶由供货商回收利用，油墨废渣委托有资质单位处理，</w:t>
            </w:r>
            <w:r>
              <w:rPr>
                <w:rFonts w:hint="eastAsia" w:ascii="宋体" w:hAnsi="宋体"/>
                <w:sz w:val="24"/>
              </w:rPr>
              <w:t>具体的处理方式见下表3</w:t>
            </w:r>
            <w:r>
              <w:rPr>
                <w:rFonts w:ascii="宋体" w:hAnsi="宋体"/>
                <w:sz w:val="24"/>
              </w:rPr>
              <w:t>-3</w:t>
            </w:r>
            <w:r>
              <w:rPr>
                <w:rFonts w:hint="eastAsia" w:ascii="宋体" w:hAnsi="宋体"/>
                <w:sz w:val="24"/>
              </w:rPr>
              <w:t>。</w:t>
            </w:r>
          </w:p>
          <w:p>
            <w:pPr>
              <w:spacing w:before="156" w:beforeLines="50" w:line="360" w:lineRule="auto"/>
              <w:jc w:val="center"/>
              <w:rPr>
                <w:rFonts w:ascii="宋体" w:hAnsi="宋体"/>
                <w:b/>
                <w:sz w:val="24"/>
              </w:rPr>
            </w:pPr>
            <w:bookmarkStart w:id="6" w:name="_Hlk484007099"/>
            <w:r>
              <w:rPr>
                <w:rFonts w:hint="eastAsia" w:ascii="宋体" w:hAnsi="宋体"/>
                <w:b/>
                <w:sz w:val="24"/>
              </w:rPr>
              <w:t>表3</w:t>
            </w:r>
            <w:r>
              <w:rPr>
                <w:rFonts w:ascii="宋体" w:hAnsi="宋体"/>
                <w:b/>
                <w:sz w:val="24"/>
              </w:rPr>
              <w:t>-3</w:t>
            </w:r>
            <w:r>
              <w:rPr>
                <w:rFonts w:hint="eastAsia" w:ascii="宋体" w:hAnsi="宋体"/>
                <w:b/>
                <w:sz w:val="24"/>
              </w:rPr>
              <w:t xml:space="preserve">  </w:t>
            </w:r>
            <w:bookmarkStart w:id="7" w:name="_Hlk22907231"/>
            <w:r>
              <w:rPr>
                <w:rFonts w:hint="eastAsia" w:ascii="宋体" w:hAnsi="宋体"/>
                <w:b/>
                <w:sz w:val="24"/>
              </w:rPr>
              <w:t>项目固废</w:t>
            </w:r>
            <w:r>
              <w:rPr>
                <w:rFonts w:ascii="宋体" w:hAnsi="宋体"/>
                <w:b/>
                <w:sz w:val="24"/>
              </w:rPr>
              <w:t>污染</w:t>
            </w:r>
            <w:r>
              <w:rPr>
                <w:rFonts w:hint="eastAsia" w:ascii="宋体" w:hAnsi="宋体"/>
                <w:b/>
                <w:sz w:val="24"/>
              </w:rPr>
              <w:t>情况</w:t>
            </w:r>
          </w:p>
          <w:bookmarkEnd w:id="6"/>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463"/>
              <w:gridCol w:w="2267"/>
              <w:gridCol w:w="1910"/>
              <w:gridCol w:w="22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2" w:type="dxa"/>
                  <w:vAlign w:val="center"/>
                </w:tcPr>
                <w:p>
                  <w:pPr>
                    <w:pStyle w:val="154"/>
                    <w:widowControl/>
                    <w:rPr>
                      <w:rFonts w:ascii="宋体" w:hAnsi="宋体" w:cs="宋体"/>
                      <w:b/>
                      <w:bCs/>
                    </w:rPr>
                  </w:pPr>
                  <w:r>
                    <w:rPr>
                      <w:rFonts w:hint="eastAsia" w:ascii="宋体" w:hAnsi="宋体" w:cs="宋体"/>
                      <w:b/>
                      <w:bCs/>
                      <w:lang w:eastAsia="zh-TW"/>
                    </w:rPr>
                    <w:t>类别</w:t>
                  </w:r>
                </w:p>
              </w:tc>
              <w:tc>
                <w:tcPr>
                  <w:tcW w:w="1463" w:type="dxa"/>
                  <w:vAlign w:val="center"/>
                </w:tcPr>
                <w:p>
                  <w:pPr>
                    <w:pStyle w:val="154"/>
                    <w:widowControl/>
                    <w:rPr>
                      <w:rFonts w:ascii="宋体" w:hAnsi="宋体" w:cs="宋体"/>
                      <w:b/>
                      <w:bCs/>
                    </w:rPr>
                  </w:pPr>
                  <w:r>
                    <w:rPr>
                      <w:rFonts w:hint="eastAsia" w:ascii="宋体" w:hAnsi="宋体" w:cs="宋体"/>
                      <w:b/>
                      <w:bCs/>
                      <w:lang w:eastAsia="zh-TW"/>
                    </w:rPr>
                    <w:t>名称</w:t>
                  </w:r>
                </w:p>
              </w:tc>
              <w:tc>
                <w:tcPr>
                  <w:tcW w:w="2267" w:type="dxa"/>
                  <w:vAlign w:val="center"/>
                </w:tcPr>
                <w:p>
                  <w:pPr>
                    <w:pStyle w:val="154"/>
                    <w:widowControl/>
                    <w:rPr>
                      <w:rFonts w:ascii="宋体" w:hAnsi="宋体" w:eastAsia="PMingLiU" w:cs="宋体"/>
                      <w:b/>
                      <w:bCs/>
                      <w:lang w:eastAsia="zh-TW"/>
                    </w:rPr>
                  </w:pPr>
                  <w:r>
                    <w:rPr>
                      <w:rFonts w:hint="eastAsia" w:ascii="宋体" w:hAnsi="宋体" w:cs="宋体"/>
                      <w:b/>
                      <w:bCs/>
                      <w:lang w:eastAsia="zh-TW"/>
                    </w:rPr>
                    <w:t>环评产生量（</w:t>
                  </w:r>
                  <w:r>
                    <w:rPr>
                      <w:rFonts w:hint="eastAsia" w:ascii="宋体" w:hAnsi="宋体" w:cs="宋体"/>
                      <w:b/>
                      <w:bCs/>
                    </w:rPr>
                    <w:t>t/a</w:t>
                  </w:r>
                  <w:r>
                    <w:rPr>
                      <w:rFonts w:hint="eastAsia" w:ascii="宋体" w:hAnsi="宋体" w:cs="宋体"/>
                      <w:b/>
                      <w:bCs/>
                      <w:lang w:eastAsia="zh-TW"/>
                    </w:rPr>
                    <w:t>）</w:t>
                  </w:r>
                </w:p>
              </w:tc>
              <w:tc>
                <w:tcPr>
                  <w:tcW w:w="1910" w:type="dxa"/>
                  <w:vAlign w:val="center"/>
                </w:tcPr>
                <w:p>
                  <w:pPr>
                    <w:pStyle w:val="154"/>
                    <w:widowControl/>
                    <w:rPr>
                      <w:rFonts w:ascii="宋体" w:hAnsi="宋体" w:eastAsia="PMingLiU" w:cs="宋体"/>
                      <w:b/>
                      <w:bCs/>
                      <w:highlight w:val="none"/>
                      <w:lang w:eastAsia="zh-TW"/>
                    </w:rPr>
                  </w:pPr>
                  <w:r>
                    <w:rPr>
                      <w:rFonts w:hint="eastAsia" w:ascii="宋体" w:hAnsi="宋体" w:cs="宋体"/>
                      <w:b/>
                      <w:bCs/>
                      <w:highlight w:val="none"/>
                      <w:lang w:eastAsia="zh-TW"/>
                    </w:rPr>
                    <w:t>实际产生量（</w:t>
                  </w:r>
                  <w:r>
                    <w:rPr>
                      <w:rFonts w:hint="eastAsia" w:ascii="宋体" w:hAnsi="宋体" w:cs="宋体"/>
                      <w:b/>
                      <w:bCs/>
                      <w:highlight w:val="none"/>
                    </w:rPr>
                    <w:t>t/a</w:t>
                  </w:r>
                  <w:r>
                    <w:rPr>
                      <w:rFonts w:hint="eastAsia" w:ascii="宋体" w:hAnsi="宋体" w:cs="宋体"/>
                      <w:b/>
                      <w:bCs/>
                      <w:highlight w:val="none"/>
                      <w:lang w:eastAsia="zh-TW"/>
                    </w:rPr>
                    <w:t>）</w:t>
                  </w:r>
                </w:p>
              </w:tc>
              <w:tc>
                <w:tcPr>
                  <w:tcW w:w="2225" w:type="dxa"/>
                  <w:vAlign w:val="center"/>
                </w:tcPr>
                <w:p>
                  <w:pPr>
                    <w:pStyle w:val="154"/>
                    <w:widowControl/>
                    <w:rPr>
                      <w:rFonts w:ascii="宋体" w:hAnsi="宋体" w:cs="宋体"/>
                      <w:b/>
                      <w:bCs/>
                    </w:rPr>
                  </w:pPr>
                  <w:r>
                    <w:rPr>
                      <w:rFonts w:hint="eastAsia" w:ascii="宋体" w:hAnsi="宋体" w:cs="宋体"/>
                      <w:b/>
                      <w:bCs/>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2" w:type="dxa"/>
                  <w:vMerge w:val="restart"/>
                  <w:vAlign w:val="center"/>
                </w:tcPr>
                <w:p>
                  <w:pPr>
                    <w:jc w:val="center"/>
                    <w:rPr>
                      <w:rFonts w:ascii="宋体" w:hAnsi="宋体" w:cs="宋体"/>
                      <w:color w:val="000000"/>
                      <w:szCs w:val="21"/>
                    </w:rPr>
                  </w:pPr>
                  <w:r>
                    <w:rPr>
                      <w:rFonts w:hint="eastAsia" w:ascii="宋体" w:hAnsi="宋体" w:cs="宋体"/>
                      <w:color w:val="000000"/>
                      <w:szCs w:val="21"/>
                    </w:rPr>
                    <w:t>一般固废</w:t>
                  </w:r>
                </w:p>
              </w:tc>
              <w:tc>
                <w:tcPr>
                  <w:tcW w:w="1463" w:type="dxa"/>
                  <w:vAlign w:val="center"/>
                </w:tcPr>
                <w:p>
                  <w:pPr>
                    <w:pStyle w:val="154"/>
                    <w:widowControl/>
                    <w:rPr>
                      <w:rFonts w:ascii="宋体" w:hAnsi="宋体" w:cs="宋体"/>
                    </w:rPr>
                  </w:pPr>
                  <w:r>
                    <w:rPr>
                      <w:rFonts w:hint="eastAsia" w:ascii="宋体" w:hAnsi="宋体" w:cs="宋体"/>
                    </w:rPr>
                    <w:t>生活垃圾</w:t>
                  </w:r>
                  <w:r>
                    <w:rPr>
                      <w:rFonts w:hint="eastAsia" w:ascii="宋体" w:hAnsi="宋体" w:cs="宋体"/>
                      <w:lang w:eastAsia="zh-CN"/>
                    </w:rPr>
                    <w:t>、</w:t>
                  </w:r>
                  <w:r>
                    <w:rPr>
                      <w:rFonts w:hint="eastAsia" w:ascii="宋体" w:hAnsi="宋体" w:cs="宋体"/>
                      <w:lang w:val="en-US" w:eastAsia="zh-CN"/>
                    </w:rPr>
                    <w:t>废抹布手套</w:t>
                  </w:r>
                </w:p>
              </w:tc>
              <w:tc>
                <w:tcPr>
                  <w:tcW w:w="2267" w:type="dxa"/>
                  <w:vAlign w:val="center"/>
                </w:tcPr>
                <w:p>
                  <w:pPr>
                    <w:pStyle w:val="154"/>
                    <w:widowControl/>
                    <w:rPr>
                      <w:rFonts w:hint="default" w:ascii="宋体" w:hAnsi="宋体" w:eastAsia="宋体" w:cs="宋体"/>
                      <w:lang w:val="en-US" w:eastAsia="zh-CN"/>
                    </w:rPr>
                  </w:pPr>
                  <w:r>
                    <w:rPr>
                      <w:rFonts w:hint="eastAsia" w:ascii="宋体" w:hAnsi="宋体" w:cs="宋体"/>
                      <w:lang w:val="en-US" w:eastAsia="zh-CN"/>
                    </w:rPr>
                    <w:t>3.01</w:t>
                  </w:r>
                </w:p>
              </w:tc>
              <w:tc>
                <w:tcPr>
                  <w:tcW w:w="1910" w:type="dxa"/>
                  <w:vAlign w:val="center"/>
                </w:tcPr>
                <w:p>
                  <w:pPr>
                    <w:widowControl/>
                    <w:snapToGrid w:val="0"/>
                    <w:jc w:val="center"/>
                    <w:rPr>
                      <w:rFonts w:ascii="宋体" w:hAnsi="宋体" w:cs="宋体"/>
                      <w:highlight w:val="none"/>
                    </w:rPr>
                  </w:pPr>
                  <w:r>
                    <w:rPr>
                      <w:rFonts w:hint="eastAsia" w:ascii="宋体" w:hAnsi="宋体" w:eastAsia="宋体" w:cs="宋体"/>
                      <w:color w:val="000000"/>
                      <w:kern w:val="2"/>
                      <w:sz w:val="21"/>
                      <w:szCs w:val="21"/>
                      <w:highlight w:val="none"/>
                      <w:lang w:val="en-US" w:eastAsia="zh-CN" w:bidi="ar-SA"/>
                    </w:rPr>
                    <w:t>2</w:t>
                  </w:r>
                </w:p>
              </w:tc>
              <w:tc>
                <w:tcPr>
                  <w:tcW w:w="2225" w:type="dxa"/>
                  <w:vAlign w:val="center"/>
                </w:tcPr>
                <w:p>
                  <w:pPr>
                    <w:pStyle w:val="154"/>
                    <w:rPr>
                      <w:rFonts w:ascii="宋体" w:hAnsi="宋体" w:cs="宋体"/>
                    </w:rPr>
                  </w:pPr>
                  <w:r>
                    <w:rPr>
                      <w:rFonts w:hint="eastAsia" w:ascii="宋体" w:hAnsi="宋体" w:cs="宋体"/>
                    </w:rPr>
                    <w:t>环卫部门统一清运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2" w:type="dxa"/>
                  <w:vMerge w:val="continue"/>
                  <w:vAlign w:val="center"/>
                </w:tcPr>
                <w:p>
                  <w:pPr>
                    <w:jc w:val="center"/>
                    <w:rPr>
                      <w:rFonts w:ascii="宋体" w:hAnsi="宋体" w:cs="宋体"/>
                      <w:color w:val="000000"/>
                      <w:szCs w:val="21"/>
                    </w:rPr>
                  </w:pPr>
                </w:p>
              </w:tc>
              <w:tc>
                <w:tcPr>
                  <w:tcW w:w="1463" w:type="dxa"/>
                  <w:vAlign w:val="center"/>
                </w:tcPr>
                <w:p>
                  <w:pPr>
                    <w:spacing w:line="360" w:lineRule="exact"/>
                    <w:jc w:val="center"/>
                    <w:rPr>
                      <w:rFonts w:ascii="宋体" w:hAnsi="宋体" w:cs="宋体"/>
                    </w:rPr>
                  </w:pPr>
                  <w:r>
                    <w:rPr>
                      <w:rFonts w:hint="eastAsia"/>
                      <w:color w:val="auto"/>
                      <w:sz w:val="24"/>
                      <w:highlight w:val="none"/>
                      <w:lang w:val="en-US" w:eastAsia="zh-CN"/>
                    </w:rPr>
                    <w:t>废油墨桶</w:t>
                  </w:r>
                </w:p>
              </w:tc>
              <w:tc>
                <w:tcPr>
                  <w:tcW w:w="2267" w:type="dxa"/>
                  <w:vAlign w:val="center"/>
                </w:tcPr>
                <w:p>
                  <w:pPr>
                    <w:pStyle w:val="154"/>
                    <w:widowControl/>
                    <w:rPr>
                      <w:rFonts w:hint="default" w:ascii="宋体" w:hAnsi="宋体" w:eastAsia="宋体" w:cs="宋体"/>
                      <w:lang w:val="en-US" w:eastAsia="zh-CN"/>
                    </w:rPr>
                  </w:pPr>
                  <w:r>
                    <w:rPr>
                      <w:rFonts w:hint="eastAsia" w:ascii="宋体" w:hAnsi="宋体" w:cs="宋体"/>
                      <w:lang w:val="en-US" w:eastAsia="zh-CN"/>
                    </w:rPr>
                    <w:t>0.001</w:t>
                  </w:r>
                </w:p>
              </w:tc>
              <w:tc>
                <w:tcPr>
                  <w:tcW w:w="1910" w:type="dxa"/>
                  <w:vAlign w:val="center"/>
                </w:tcPr>
                <w:p>
                  <w:pPr>
                    <w:widowControl/>
                    <w:snapToGrid w:val="0"/>
                    <w:jc w:val="center"/>
                    <w:rPr>
                      <w:rFonts w:ascii="宋体" w:hAnsi="宋体" w:cs="宋体"/>
                      <w:highlight w:val="none"/>
                    </w:rPr>
                  </w:pPr>
                  <w:r>
                    <w:rPr>
                      <w:rFonts w:hint="eastAsia" w:ascii="宋体" w:hAnsi="宋体" w:eastAsia="宋体" w:cs="宋体"/>
                      <w:color w:val="000000"/>
                      <w:kern w:val="2"/>
                      <w:sz w:val="21"/>
                      <w:szCs w:val="21"/>
                      <w:highlight w:val="none"/>
                      <w:lang w:val="en-US" w:eastAsia="zh-CN" w:bidi="ar-SA"/>
                    </w:rPr>
                    <w:t>0.001</w:t>
                  </w:r>
                </w:p>
              </w:tc>
              <w:tc>
                <w:tcPr>
                  <w:tcW w:w="2225" w:type="dxa"/>
                  <w:vAlign w:val="center"/>
                </w:tcPr>
                <w:p>
                  <w:pPr>
                    <w:pStyle w:val="154"/>
                    <w:rPr>
                      <w:rFonts w:ascii="宋体" w:hAnsi="宋体" w:cs="宋体"/>
                    </w:rPr>
                  </w:pPr>
                  <w:r>
                    <w:rPr>
                      <w:rFonts w:hint="eastAsia" w:ascii="宋体" w:hAnsi="宋体" w:cs="宋体"/>
                      <w:lang w:val="en-US" w:eastAsia="zh-CN"/>
                    </w:rPr>
                    <w:t>供货商</w:t>
                  </w:r>
                  <w:r>
                    <w:rPr>
                      <w:rFonts w:hint="eastAsia" w:ascii="宋体" w:hAnsi="宋体" w:cs="宋体"/>
                    </w:rPr>
                    <w:t>回收利用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2" w:type="dxa"/>
                  <w:vMerge w:val="continue"/>
                  <w:vAlign w:val="center"/>
                </w:tcPr>
                <w:p>
                  <w:pPr>
                    <w:jc w:val="center"/>
                    <w:rPr>
                      <w:rFonts w:ascii="宋体" w:hAnsi="宋体" w:cs="宋体"/>
                      <w:color w:val="000000"/>
                      <w:szCs w:val="21"/>
                    </w:rPr>
                  </w:pPr>
                </w:p>
              </w:tc>
              <w:tc>
                <w:tcPr>
                  <w:tcW w:w="1463" w:type="dxa"/>
                  <w:vAlign w:val="center"/>
                </w:tcPr>
                <w:p>
                  <w:pPr>
                    <w:spacing w:line="360" w:lineRule="exact"/>
                    <w:jc w:val="center"/>
                    <w:rPr>
                      <w:rFonts w:ascii="宋体" w:hAnsi="宋体" w:cs="宋体"/>
                    </w:rPr>
                  </w:pPr>
                  <w:r>
                    <w:rPr>
                      <w:rFonts w:hint="eastAsia"/>
                      <w:color w:val="auto"/>
                      <w:sz w:val="24"/>
                      <w:highlight w:val="none"/>
                      <w:lang w:val="en-US" w:eastAsia="zh-CN"/>
                    </w:rPr>
                    <w:t>边角料</w:t>
                  </w:r>
                </w:p>
              </w:tc>
              <w:tc>
                <w:tcPr>
                  <w:tcW w:w="2267" w:type="dxa"/>
                  <w:vAlign w:val="center"/>
                </w:tcPr>
                <w:p>
                  <w:pPr>
                    <w:pStyle w:val="154"/>
                    <w:widowControl/>
                    <w:rPr>
                      <w:rFonts w:hint="eastAsia" w:ascii="宋体" w:hAnsi="宋体" w:eastAsia="宋体" w:cs="宋体"/>
                      <w:lang w:val="en-US" w:eastAsia="zh-CN"/>
                    </w:rPr>
                  </w:pPr>
                  <w:r>
                    <w:rPr>
                      <w:rFonts w:hint="eastAsia" w:ascii="宋体" w:hAnsi="宋体" w:cs="宋体"/>
                      <w:lang w:val="en-US" w:eastAsia="zh-CN"/>
                    </w:rPr>
                    <w:t>5</w:t>
                  </w:r>
                </w:p>
              </w:tc>
              <w:tc>
                <w:tcPr>
                  <w:tcW w:w="1910" w:type="dxa"/>
                  <w:vAlign w:val="center"/>
                </w:tcPr>
                <w:p>
                  <w:pPr>
                    <w:widowControl/>
                    <w:snapToGrid w:val="0"/>
                    <w:jc w:val="center"/>
                    <w:rPr>
                      <w:rFonts w:ascii="宋体" w:hAnsi="宋体" w:cs="宋体"/>
                      <w:highlight w:val="none"/>
                    </w:rPr>
                  </w:pPr>
                  <w:r>
                    <w:rPr>
                      <w:rFonts w:hint="eastAsia" w:ascii="宋体" w:hAnsi="宋体" w:eastAsia="宋体" w:cs="宋体"/>
                      <w:color w:val="000000"/>
                      <w:kern w:val="2"/>
                      <w:sz w:val="21"/>
                      <w:szCs w:val="21"/>
                      <w:highlight w:val="none"/>
                      <w:lang w:val="en-US" w:eastAsia="zh-CN" w:bidi="ar-SA"/>
                    </w:rPr>
                    <w:t>4</w:t>
                  </w:r>
                </w:p>
              </w:tc>
              <w:tc>
                <w:tcPr>
                  <w:tcW w:w="2225" w:type="dxa"/>
                  <w:vMerge w:val="restart"/>
                  <w:vAlign w:val="center"/>
                </w:tcPr>
                <w:p>
                  <w:pPr>
                    <w:pStyle w:val="154"/>
                    <w:rPr>
                      <w:rFonts w:ascii="宋体" w:hAnsi="宋体" w:cs="宋体"/>
                    </w:rPr>
                  </w:pPr>
                  <w:r>
                    <w:rPr>
                      <w:rFonts w:hint="eastAsia" w:ascii="宋体" w:hAnsi="宋体" w:cs="宋体"/>
                      <w:lang w:val="en-US" w:eastAsia="zh-CN"/>
                    </w:rPr>
                    <w:t>委托物资回收部门处置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2" w:type="dxa"/>
                  <w:vMerge w:val="continue"/>
                  <w:vAlign w:val="center"/>
                </w:tcPr>
                <w:p>
                  <w:pPr>
                    <w:jc w:val="center"/>
                    <w:rPr>
                      <w:rFonts w:ascii="宋体" w:hAnsi="宋体" w:cs="宋体"/>
                      <w:color w:val="000000"/>
                      <w:szCs w:val="21"/>
                    </w:rPr>
                  </w:pPr>
                </w:p>
              </w:tc>
              <w:tc>
                <w:tcPr>
                  <w:tcW w:w="1463" w:type="dxa"/>
                  <w:vAlign w:val="center"/>
                </w:tcPr>
                <w:p>
                  <w:pPr>
                    <w:spacing w:line="360" w:lineRule="exact"/>
                    <w:jc w:val="center"/>
                    <w:rPr>
                      <w:rFonts w:ascii="宋体" w:hAnsi="宋体" w:cs="宋体"/>
                    </w:rPr>
                  </w:pPr>
                  <w:r>
                    <w:rPr>
                      <w:rFonts w:hint="eastAsia"/>
                      <w:color w:val="auto"/>
                      <w:sz w:val="24"/>
                      <w:highlight w:val="none"/>
                      <w:lang w:val="en-US" w:eastAsia="zh-CN"/>
                    </w:rPr>
                    <w:t>不合格品</w:t>
                  </w:r>
                </w:p>
              </w:tc>
              <w:tc>
                <w:tcPr>
                  <w:tcW w:w="2267" w:type="dxa"/>
                  <w:vAlign w:val="center"/>
                </w:tcPr>
                <w:p>
                  <w:pPr>
                    <w:pStyle w:val="154"/>
                    <w:widowControl/>
                    <w:rPr>
                      <w:rFonts w:hint="eastAsia" w:ascii="宋体" w:hAnsi="宋体" w:eastAsia="宋体" w:cs="宋体"/>
                      <w:lang w:val="en-US" w:eastAsia="zh-CN"/>
                    </w:rPr>
                  </w:pPr>
                  <w:r>
                    <w:rPr>
                      <w:rFonts w:hint="eastAsia" w:ascii="宋体" w:hAnsi="宋体" w:cs="宋体"/>
                      <w:lang w:val="en-US" w:eastAsia="zh-CN"/>
                    </w:rPr>
                    <w:t>7</w:t>
                  </w:r>
                </w:p>
              </w:tc>
              <w:tc>
                <w:tcPr>
                  <w:tcW w:w="1910" w:type="dxa"/>
                  <w:vAlign w:val="center"/>
                </w:tcPr>
                <w:p>
                  <w:pPr>
                    <w:widowControl/>
                    <w:snapToGrid w:val="0"/>
                    <w:jc w:val="center"/>
                    <w:rPr>
                      <w:rFonts w:ascii="宋体" w:hAnsi="宋体" w:cs="宋体"/>
                      <w:highlight w:val="none"/>
                    </w:rPr>
                  </w:pPr>
                  <w:r>
                    <w:rPr>
                      <w:rFonts w:hint="eastAsia" w:ascii="宋体" w:hAnsi="宋体" w:eastAsia="宋体" w:cs="宋体"/>
                      <w:color w:val="000000"/>
                      <w:kern w:val="2"/>
                      <w:sz w:val="21"/>
                      <w:szCs w:val="21"/>
                      <w:highlight w:val="none"/>
                      <w:lang w:val="en-US" w:eastAsia="zh-CN" w:bidi="ar-SA"/>
                    </w:rPr>
                    <w:t>5.6</w:t>
                  </w:r>
                </w:p>
              </w:tc>
              <w:tc>
                <w:tcPr>
                  <w:tcW w:w="2225" w:type="dxa"/>
                  <w:vMerge w:val="continue"/>
                  <w:vAlign w:val="center"/>
                </w:tcPr>
                <w:p>
                  <w:pPr>
                    <w:pStyle w:val="154"/>
                    <w:rPr>
                      <w:rFonts w:ascii="宋体" w:hAnsi="宋体"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2" w:type="dxa"/>
                  <w:vMerge w:val="continue"/>
                  <w:vAlign w:val="center"/>
                </w:tcPr>
                <w:p>
                  <w:pPr>
                    <w:jc w:val="center"/>
                    <w:rPr>
                      <w:rFonts w:ascii="宋体" w:hAnsi="宋体" w:cs="宋体"/>
                      <w:color w:val="000000"/>
                      <w:szCs w:val="21"/>
                    </w:rPr>
                  </w:pPr>
                </w:p>
              </w:tc>
              <w:tc>
                <w:tcPr>
                  <w:tcW w:w="1463" w:type="dxa"/>
                  <w:vAlign w:val="center"/>
                </w:tcPr>
                <w:p>
                  <w:pPr>
                    <w:spacing w:line="360" w:lineRule="exact"/>
                    <w:jc w:val="center"/>
                    <w:rPr>
                      <w:rFonts w:ascii="宋体" w:hAnsi="宋体" w:cs="宋体"/>
                    </w:rPr>
                  </w:pPr>
                  <w:r>
                    <w:rPr>
                      <w:rFonts w:hint="eastAsia"/>
                      <w:color w:val="auto"/>
                      <w:sz w:val="24"/>
                      <w:highlight w:val="none"/>
                      <w:lang w:val="en-US" w:eastAsia="zh-CN"/>
                    </w:rPr>
                    <w:t>废钉子</w:t>
                  </w:r>
                </w:p>
              </w:tc>
              <w:tc>
                <w:tcPr>
                  <w:tcW w:w="2267" w:type="dxa"/>
                  <w:vAlign w:val="center"/>
                </w:tcPr>
                <w:p>
                  <w:pPr>
                    <w:pStyle w:val="154"/>
                    <w:widowControl/>
                    <w:rPr>
                      <w:rFonts w:hint="default" w:ascii="宋体" w:hAnsi="宋体" w:eastAsia="宋体" w:cs="宋体"/>
                      <w:lang w:val="en-US" w:eastAsia="zh-CN"/>
                    </w:rPr>
                  </w:pPr>
                  <w:r>
                    <w:rPr>
                      <w:rFonts w:hint="eastAsia" w:ascii="宋体" w:hAnsi="宋体" w:cs="宋体"/>
                      <w:lang w:val="en-US" w:eastAsia="zh-CN"/>
                    </w:rPr>
                    <w:t>0.5</w:t>
                  </w:r>
                </w:p>
              </w:tc>
              <w:tc>
                <w:tcPr>
                  <w:tcW w:w="1910" w:type="dxa"/>
                  <w:vAlign w:val="center"/>
                </w:tcPr>
                <w:p>
                  <w:pPr>
                    <w:widowControl/>
                    <w:snapToGrid w:val="0"/>
                    <w:jc w:val="center"/>
                    <w:rPr>
                      <w:rFonts w:ascii="宋体" w:hAnsi="宋体" w:cs="宋体"/>
                      <w:highlight w:val="none"/>
                    </w:rPr>
                  </w:pPr>
                  <w:r>
                    <w:rPr>
                      <w:rFonts w:hint="eastAsia" w:ascii="宋体" w:hAnsi="宋体" w:eastAsia="宋体" w:cs="宋体"/>
                      <w:color w:val="000000"/>
                      <w:kern w:val="2"/>
                      <w:sz w:val="21"/>
                      <w:szCs w:val="21"/>
                      <w:highlight w:val="none"/>
                      <w:lang w:val="en-US" w:eastAsia="zh-CN" w:bidi="ar-SA"/>
                    </w:rPr>
                    <w:t>0.4</w:t>
                  </w:r>
                </w:p>
              </w:tc>
              <w:tc>
                <w:tcPr>
                  <w:tcW w:w="2225" w:type="dxa"/>
                  <w:vMerge w:val="continue"/>
                  <w:vAlign w:val="center"/>
                </w:tcPr>
                <w:p>
                  <w:pPr>
                    <w:pStyle w:val="154"/>
                    <w:rPr>
                      <w:rFonts w:ascii="宋体" w:hAnsi="宋体"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2" w:type="dxa"/>
                  <w:vAlign w:val="center"/>
                </w:tcPr>
                <w:p>
                  <w:pPr>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危险废物</w:t>
                  </w:r>
                </w:p>
              </w:tc>
              <w:tc>
                <w:tcPr>
                  <w:tcW w:w="1463" w:type="dxa"/>
                  <w:vAlign w:val="center"/>
                </w:tcPr>
                <w:p>
                  <w:pPr>
                    <w:spacing w:line="360" w:lineRule="exact"/>
                    <w:jc w:val="center"/>
                    <w:rPr>
                      <w:rFonts w:hint="default"/>
                      <w:color w:val="auto"/>
                      <w:sz w:val="24"/>
                      <w:highlight w:val="none"/>
                      <w:lang w:val="en-US" w:eastAsia="zh-CN"/>
                    </w:rPr>
                  </w:pPr>
                  <w:r>
                    <w:rPr>
                      <w:rFonts w:hint="eastAsia"/>
                      <w:color w:val="auto"/>
                      <w:sz w:val="24"/>
                      <w:highlight w:val="none"/>
                      <w:lang w:val="en-US" w:eastAsia="zh-CN"/>
                    </w:rPr>
                    <w:t>油墨废渣</w:t>
                  </w:r>
                </w:p>
              </w:tc>
              <w:tc>
                <w:tcPr>
                  <w:tcW w:w="2267" w:type="dxa"/>
                  <w:vAlign w:val="center"/>
                </w:tcPr>
                <w:p>
                  <w:pPr>
                    <w:pStyle w:val="154"/>
                    <w:widowControl/>
                    <w:rPr>
                      <w:rFonts w:hint="default" w:ascii="宋体" w:hAnsi="宋体" w:cs="宋体"/>
                      <w:lang w:val="en-US" w:eastAsia="zh-CN"/>
                    </w:rPr>
                  </w:pPr>
                  <w:r>
                    <w:rPr>
                      <w:rFonts w:hint="eastAsia" w:ascii="宋体" w:hAnsi="宋体" w:cs="宋体"/>
                      <w:lang w:val="en-US" w:eastAsia="zh-CN"/>
                    </w:rPr>
                    <w:t>/</w:t>
                  </w:r>
                </w:p>
              </w:tc>
              <w:tc>
                <w:tcPr>
                  <w:tcW w:w="1910" w:type="dxa"/>
                  <w:vAlign w:val="center"/>
                </w:tcPr>
                <w:p>
                  <w:pPr>
                    <w:widowControl/>
                    <w:snapToGrid w:val="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kern w:val="2"/>
                      <w:sz w:val="21"/>
                      <w:szCs w:val="21"/>
                      <w:highlight w:val="none"/>
                      <w:lang w:val="en-US" w:eastAsia="zh-CN" w:bidi="ar-SA"/>
                    </w:rPr>
                    <w:t>0.2</w:t>
                  </w:r>
                </w:p>
              </w:tc>
              <w:tc>
                <w:tcPr>
                  <w:tcW w:w="2225" w:type="dxa"/>
                  <w:vAlign w:val="center"/>
                </w:tcPr>
                <w:p>
                  <w:pPr>
                    <w:pStyle w:val="154"/>
                    <w:rPr>
                      <w:rFonts w:ascii="宋体" w:hAnsi="宋体" w:cs="宋体"/>
                    </w:rPr>
                  </w:pPr>
                  <w:r>
                    <w:rPr>
                      <w:rFonts w:hint="eastAsia" w:ascii="宋体" w:hAnsi="宋体" w:cs="宋体"/>
                      <w:lang w:val="en-US" w:eastAsia="zh-CN"/>
                    </w:rPr>
                    <w:t>委托有资质单位处理</w:t>
                  </w:r>
                </w:p>
              </w:tc>
            </w:tr>
            <w:bookmarkEnd w:id="7"/>
          </w:tbl>
          <w:p>
            <w:pPr>
              <w:spacing w:line="360" w:lineRule="auto"/>
              <w:jc w:val="center"/>
              <w:rPr>
                <w:rFonts w:hint="eastAsia" w:ascii="宋体" w:hAnsi="宋体"/>
                <w:b/>
                <w:sz w:val="28"/>
                <w:szCs w:val="28"/>
              </w:rPr>
            </w:pPr>
            <w:r>
              <w:rPr>
                <w:rFonts w:hint="eastAsia" w:ascii="宋体" w:hAnsi="宋体"/>
                <w:b/>
                <w:sz w:val="28"/>
                <w:szCs w:val="28"/>
              </w:rPr>
              <w:drawing>
                <wp:inline distT="0" distB="0" distL="114300" distR="114300">
                  <wp:extent cx="3058160" cy="2961640"/>
                  <wp:effectExtent l="0" t="0" r="8890" b="1016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2"/>
                          <a:stretch>
                            <a:fillRect/>
                          </a:stretch>
                        </pic:blipFill>
                        <pic:spPr>
                          <a:xfrm>
                            <a:off x="0" y="0"/>
                            <a:ext cx="3058160" cy="2961640"/>
                          </a:xfrm>
                          <a:prstGeom prst="rect">
                            <a:avLst/>
                          </a:prstGeom>
                          <a:noFill/>
                          <a:ln>
                            <a:noFill/>
                          </a:ln>
                        </pic:spPr>
                      </pic:pic>
                    </a:graphicData>
                  </a:graphic>
                </wp:inline>
              </w:drawing>
            </w:r>
          </w:p>
          <w:p>
            <w:pPr>
              <w:spacing w:line="360" w:lineRule="auto"/>
              <w:jc w:val="center"/>
              <w:rPr>
                <w:rFonts w:hint="default" w:ascii="宋体" w:hAnsi="宋体" w:eastAsia="宋体"/>
                <w:b/>
                <w:bCs w:val="0"/>
                <w:sz w:val="24"/>
                <w:szCs w:val="24"/>
                <w:lang w:val="en-US" w:eastAsia="zh-CN"/>
              </w:rPr>
            </w:pPr>
            <w:r>
              <w:rPr>
                <w:rFonts w:hint="eastAsia" w:ascii="宋体" w:hAnsi="宋体"/>
                <w:b/>
                <w:bCs w:val="0"/>
                <w:sz w:val="24"/>
                <w:szCs w:val="24"/>
                <w:lang w:val="en-US" w:eastAsia="zh-CN"/>
              </w:rPr>
              <w:t>图3-2 危废仓库</w:t>
            </w:r>
          </w:p>
          <w:p>
            <w:pPr>
              <w:spacing w:line="360" w:lineRule="auto"/>
              <w:jc w:val="left"/>
              <w:rPr>
                <w:rFonts w:ascii="宋体" w:hAnsi="宋体"/>
                <w:b/>
                <w:sz w:val="28"/>
                <w:szCs w:val="28"/>
              </w:rPr>
            </w:pPr>
            <w:r>
              <w:rPr>
                <w:rFonts w:hint="eastAsia" w:ascii="宋体" w:hAnsi="宋体"/>
                <w:b/>
                <w:sz w:val="28"/>
                <w:szCs w:val="28"/>
              </w:rPr>
              <w:t>5、环保投资</w:t>
            </w:r>
          </w:p>
          <w:p>
            <w:pPr>
              <w:pStyle w:val="149"/>
              <w:rPr>
                <w:rFonts w:ascii="宋体" w:hAnsi="宋体"/>
                <w:b/>
                <w:sz w:val="24"/>
              </w:rPr>
            </w:pPr>
            <w:r>
              <w:rPr>
                <w:rFonts w:hint="eastAsia" w:eastAsia="宋体"/>
              </w:rPr>
              <w:t>项目总投资为</w:t>
            </w:r>
            <w:r>
              <w:rPr>
                <w:rFonts w:hint="eastAsia" w:eastAsia="宋体"/>
                <w:lang w:val="en-US" w:eastAsia="zh-CN"/>
              </w:rPr>
              <w:t>500</w:t>
            </w:r>
            <w:r>
              <w:rPr>
                <w:rFonts w:hint="eastAsia" w:eastAsia="宋体"/>
              </w:rPr>
              <w:t>万元，其中环保投资</w:t>
            </w:r>
            <w:r>
              <w:rPr>
                <w:rFonts w:hint="eastAsia" w:eastAsia="宋体"/>
                <w:lang w:val="en-US" w:eastAsia="zh-CN"/>
              </w:rPr>
              <w:t>12.6</w:t>
            </w:r>
            <w:r>
              <w:rPr>
                <w:rFonts w:hint="eastAsia" w:eastAsia="宋体"/>
              </w:rPr>
              <w:t>万元，环保投资占总投资的比例</w:t>
            </w:r>
            <w:r>
              <w:rPr>
                <w:rFonts w:hint="eastAsia" w:eastAsia="宋体"/>
                <w:lang w:val="en-US" w:eastAsia="zh-CN"/>
              </w:rPr>
              <w:t>2.52</w:t>
            </w:r>
            <w:r>
              <w:rPr>
                <w:rFonts w:eastAsia="宋体"/>
              </w:rPr>
              <w:t>%</w:t>
            </w:r>
            <w:r>
              <w:rPr>
                <w:rFonts w:hint="eastAsia" w:eastAsia="宋体"/>
              </w:rPr>
              <w:t>，建立了较为完善的污染控制措施，有效的控制了废水、废气、固废和噪声等对环境的污染。</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-3</w:t>
            </w:r>
            <w:r>
              <w:rPr>
                <w:rFonts w:hint="eastAsia" w:ascii="宋体" w:hAnsi="宋体"/>
                <w:b/>
                <w:sz w:val="24"/>
              </w:rPr>
              <w:t xml:space="preserve">  建设项目环保投资</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1995"/>
              <w:gridCol w:w="2839"/>
              <w:gridCol w:w="1843"/>
              <w:gridCol w:w="14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8"/>
                    <w:spacing w:line="276" w:lineRule="auto"/>
                    <w:rPr>
                      <w:rFonts w:hint="eastAsia" w:ascii="宋体" w:hAnsi="宋体" w:eastAsia="宋体" w:cs="宋体"/>
                      <w:b/>
                      <w:bCs/>
                      <w:kern w:val="2"/>
                      <w:sz w:val="21"/>
                      <w:szCs w:val="21"/>
                    </w:rPr>
                  </w:pPr>
                  <w:r>
                    <w:rPr>
                      <w:rFonts w:hint="eastAsia" w:ascii="宋体" w:hAnsi="宋体" w:eastAsia="宋体" w:cs="宋体"/>
                      <w:b/>
                      <w:bCs/>
                      <w:kern w:val="2"/>
                      <w:sz w:val="21"/>
                      <w:szCs w:val="21"/>
                    </w:rPr>
                    <w:t>序号</w:t>
                  </w:r>
                </w:p>
              </w:tc>
              <w:tc>
                <w:tcPr>
                  <w:tcW w:w="1995" w:type="dxa"/>
                  <w:vAlign w:val="center"/>
                </w:tcPr>
                <w:p>
                  <w:pPr>
                    <w:pStyle w:val="98"/>
                    <w:spacing w:line="276" w:lineRule="auto"/>
                    <w:rPr>
                      <w:rFonts w:hint="eastAsia" w:ascii="宋体" w:hAnsi="宋体" w:eastAsia="宋体" w:cs="宋体"/>
                      <w:b/>
                      <w:bCs/>
                      <w:kern w:val="2"/>
                      <w:sz w:val="21"/>
                      <w:szCs w:val="21"/>
                    </w:rPr>
                  </w:pPr>
                  <w:r>
                    <w:rPr>
                      <w:rFonts w:hint="eastAsia" w:ascii="宋体" w:hAnsi="宋体" w:eastAsia="宋体" w:cs="宋体"/>
                      <w:b/>
                      <w:bCs/>
                      <w:kern w:val="2"/>
                      <w:sz w:val="21"/>
                      <w:szCs w:val="21"/>
                    </w:rPr>
                    <w:t>项目名称</w:t>
                  </w:r>
                </w:p>
              </w:tc>
              <w:tc>
                <w:tcPr>
                  <w:tcW w:w="2839" w:type="dxa"/>
                  <w:vAlign w:val="center"/>
                </w:tcPr>
                <w:p>
                  <w:pPr>
                    <w:pStyle w:val="98"/>
                    <w:spacing w:line="276" w:lineRule="auto"/>
                    <w:rPr>
                      <w:rFonts w:hint="eastAsia" w:ascii="宋体" w:hAnsi="宋体" w:eastAsia="宋体" w:cs="宋体"/>
                      <w:b/>
                      <w:bCs/>
                      <w:kern w:val="2"/>
                      <w:sz w:val="21"/>
                      <w:szCs w:val="21"/>
                      <w:highlight w:val="none"/>
                    </w:rPr>
                  </w:pPr>
                  <w:r>
                    <w:rPr>
                      <w:rFonts w:hint="eastAsia" w:ascii="宋体" w:hAnsi="宋体" w:eastAsia="宋体" w:cs="宋体"/>
                      <w:b/>
                      <w:bCs/>
                      <w:kern w:val="2"/>
                      <w:sz w:val="21"/>
                      <w:szCs w:val="21"/>
                      <w:highlight w:val="none"/>
                    </w:rPr>
                    <w:t>环保设施</w:t>
                  </w:r>
                </w:p>
              </w:tc>
              <w:tc>
                <w:tcPr>
                  <w:tcW w:w="1843" w:type="dxa"/>
                  <w:vAlign w:val="center"/>
                </w:tcPr>
                <w:p>
                  <w:pPr>
                    <w:pStyle w:val="98"/>
                    <w:rPr>
                      <w:rFonts w:hint="eastAsia" w:ascii="宋体" w:hAnsi="宋体" w:eastAsia="宋体" w:cs="宋体"/>
                      <w:b/>
                      <w:bCs/>
                      <w:kern w:val="2"/>
                      <w:sz w:val="21"/>
                      <w:szCs w:val="21"/>
                    </w:rPr>
                  </w:pPr>
                  <w:r>
                    <w:rPr>
                      <w:rFonts w:hint="eastAsia" w:ascii="宋体" w:hAnsi="宋体" w:eastAsia="宋体" w:cs="宋体"/>
                      <w:b/>
                      <w:bCs/>
                      <w:kern w:val="2"/>
                      <w:sz w:val="21"/>
                      <w:szCs w:val="21"/>
                    </w:rPr>
                    <w:t>环评预估投资</w:t>
                  </w:r>
                </w:p>
                <w:p>
                  <w:pPr>
                    <w:pStyle w:val="98"/>
                    <w:rPr>
                      <w:rFonts w:hint="eastAsia" w:ascii="宋体" w:hAnsi="宋体" w:eastAsia="宋体" w:cs="宋体"/>
                      <w:b/>
                      <w:bCs/>
                      <w:kern w:val="2"/>
                      <w:sz w:val="21"/>
                      <w:szCs w:val="21"/>
                    </w:rPr>
                  </w:pPr>
                  <w:r>
                    <w:rPr>
                      <w:rFonts w:hint="eastAsia" w:ascii="宋体" w:hAnsi="宋体" w:eastAsia="宋体" w:cs="宋体"/>
                      <w:b/>
                      <w:bCs/>
                      <w:kern w:val="2"/>
                      <w:sz w:val="21"/>
                      <w:szCs w:val="21"/>
                    </w:rPr>
                    <w:t>(万元)</w:t>
                  </w:r>
                </w:p>
              </w:tc>
              <w:tc>
                <w:tcPr>
                  <w:tcW w:w="1487" w:type="dxa"/>
                  <w:vAlign w:val="center"/>
                </w:tcPr>
                <w:p>
                  <w:pPr>
                    <w:pStyle w:val="98"/>
                    <w:rPr>
                      <w:rFonts w:hint="eastAsia" w:ascii="宋体" w:hAnsi="宋体" w:eastAsia="宋体" w:cs="宋体"/>
                      <w:b/>
                      <w:bCs/>
                      <w:kern w:val="2"/>
                      <w:sz w:val="21"/>
                      <w:szCs w:val="21"/>
                    </w:rPr>
                  </w:pPr>
                  <w:r>
                    <w:rPr>
                      <w:rFonts w:hint="eastAsia" w:ascii="宋体" w:hAnsi="宋体" w:eastAsia="宋体" w:cs="宋体"/>
                      <w:b/>
                      <w:bCs/>
                      <w:kern w:val="2"/>
                      <w:sz w:val="21"/>
                      <w:szCs w:val="21"/>
                      <w:highlight w:val="none"/>
                    </w:rPr>
                    <w:t>实际环保投资(万元)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1995"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废水治理</w:t>
                  </w:r>
                </w:p>
              </w:tc>
              <w:tc>
                <w:tcPr>
                  <w:tcW w:w="2839" w:type="dxa"/>
                  <w:vAlign w:val="center"/>
                </w:tcPr>
                <w:p>
                  <w:pPr>
                    <w:pStyle w:val="98"/>
                    <w:spacing w:line="276" w:lineRule="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依托租赁厂房原有</w:t>
                  </w:r>
                  <w:r>
                    <w:rPr>
                      <w:rFonts w:hint="eastAsia" w:ascii="宋体" w:hAnsi="宋体" w:eastAsia="宋体" w:cs="宋体"/>
                      <w:kern w:val="2"/>
                      <w:sz w:val="21"/>
                      <w:szCs w:val="21"/>
                    </w:rPr>
                    <w:t>化粪池、</w:t>
                  </w:r>
                </w:p>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雨污管网</w:t>
                  </w:r>
                  <w:r>
                    <w:rPr>
                      <w:rFonts w:hint="eastAsia" w:ascii="宋体" w:hAnsi="宋体" w:eastAsia="宋体" w:cs="宋体"/>
                      <w:kern w:val="2"/>
                      <w:sz w:val="21"/>
                      <w:szCs w:val="21"/>
                      <w:lang w:eastAsia="zh-CN"/>
                    </w:rPr>
                    <w:t>、</w:t>
                  </w:r>
                  <w:r>
                    <w:rPr>
                      <w:rFonts w:hint="eastAsia" w:ascii="宋体" w:hAnsi="宋体" w:eastAsia="宋体" w:cs="宋体"/>
                      <w:kern w:val="2"/>
                      <w:sz w:val="21"/>
                      <w:szCs w:val="21"/>
                      <w:lang w:val="en-US" w:eastAsia="zh-CN"/>
                    </w:rPr>
                    <w:t>污水管网</w:t>
                  </w:r>
                </w:p>
              </w:tc>
              <w:tc>
                <w:tcPr>
                  <w:tcW w:w="1843" w:type="dxa"/>
                  <w:vAlign w:val="center"/>
                </w:tcPr>
                <w:p>
                  <w:pPr>
                    <w:pStyle w:val="98"/>
                    <w:spacing w:line="276" w:lineRule="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w:t>
                  </w:r>
                </w:p>
              </w:tc>
              <w:tc>
                <w:tcPr>
                  <w:tcW w:w="1487" w:type="dxa"/>
                  <w:vAlign w:val="center"/>
                </w:tcPr>
                <w:p>
                  <w:pPr>
                    <w:widowControl w:val="0"/>
                    <w:autoSpaceDE w:val="0"/>
                    <w:autoSpaceDN w:val="0"/>
                    <w:adjustRightInd w:val="0"/>
                    <w:spacing w:before="60" w:after="60" w:line="276" w:lineRule="auto"/>
                    <w:jc w:val="center"/>
                    <w:textAlignment w:val="bottom"/>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1995"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废气治理</w:t>
                  </w:r>
                </w:p>
              </w:tc>
              <w:tc>
                <w:tcPr>
                  <w:tcW w:w="2839" w:type="dxa"/>
                  <w:vAlign w:val="center"/>
                </w:tcPr>
                <w:p>
                  <w:pPr>
                    <w:pStyle w:val="98"/>
                    <w:spacing w:line="276"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集气罩+UV光氧装置+22m排气筒</w:t>
                  </w:r>
                </w:p>
              </w:tc>
              <w:tc>
                <w:tcPr>
                  <w:tcW w:w="1843" w:type="dxa"/>
                  <w:vAlign w:val="center"/>
                </w:tcPr>
                <w:p>
                  <w:pPr>
                    <w:pStyle w:val="98"/>
                    <w:spacing w:line="276" w:lineRule="auto"/>
                    <w:rPr>
                      <w:rFonts w:hint="eastAsia" w:ascii="宋体" w:hAnsi="宋体" w:eastAsia="宋体" w:cs="宋体"/>
                      <w:kern w:val="2"/>
                      <w:sz w:val="21"/>
                      <w:szCs w:val="21"/>
                      <w:lang w:eastAsia="zh-CN"/>
                    </w:rPr>
                  </w:pPr>
                  <w:r>
                    <w:rPr>
                      <w:rFonts w:hint="eastAsia" w:ascii="宋体" w:hAnsi="宋体" w:eastAsia="宋体" w:cs="宋体"/>
                      <w:kern w:val="2"/>
                      <w:sz w:val="21"/>
                      <w:szCs w:val="21"/>
                      <w:lang w:val="en-US" w:eastAsia="zh-CN"/>
                    </w:rPr>
                    <w:t>9</w:t>
                  </w:r>
                </w:p>
              </w:tc>
              <w:tc>
                <w:tcPr>
                  <w:tcW w:w="1487" w:type="dxa"/>
                  <w:vAlign w:val="center"/>
                </w:tcPr>
                <w:p>
                  <w:pPr>
                    <w:widowControl w:val="0"/>
                    <w:autoSpaceDE w:val="0"/>
                    <w:autoSpaceDN w:val="0"/>
                    <w:adjustRightInd w:val="0"/>
                    <w:spacing w:before="60" w:after="60" w:line="276" w:lineRule="auto"/>
                    <w:jc w:val="center"/>
                    <w:textAlignment w:val="bottom"/>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SA"/>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1995"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噪声治理</w:t>
                  </w:r>
                </w:p>
              </w:tc>
              <w:tc>
                <w:tcPr>
                  <w:tcW w:w="2839"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设备减震、厂区隔声</w:t>
                  </w:r>
                </w:p>
              </w:tc>
              <w:tc>
                <w:tcPr>
                  <w:tcW w:w="1843" w:type="dxa"/>
                  <w:vAlign w:val="center"/>
                </w:tcPr>
                <w:p>
                  <w:pPr>
                    <w:pStyle w:val="98"/>
                    <w:spacing w:line="276" w:lineRule="auto"/>
                    <w:rPr>
                      <w:rFonts w:hint="eastAsia" w:ascii="宋体" w:hAnsi="宋体" w:eastAsia="宋体" w:cs="宋体"/>
                      <w:kern w:val="2"/>
                      <w:sz w:val="21"/>
                      <w:szCs w:val="21"/>
                      <w:lang w:eastAsia="zh-CN"/>
                    </w:rPr>
                  </w:pPr>
                  <w:r>
                    <w:rPr>
                      <w:rFonts w:hint="eastAsia" w:ascii="宋体" w:hAnsi="宋体" w:eastAsia="宋体" w:cs="宋体"/>
                      <w:kern w:val="2"/>
                      <w:sz w:val="21"/>
                      <w:szCs w:val="21"/>
                      <w:lang w:val="en-US" w:eastAsia="zh-CN"/>
                    </w:rPr>
                    <w:t>1</w:t>
                  </w:r>
                </w:p>
              </w:tc>
              <w:tc>
                <w:tcPr>
                  <w:tcW w:w="1487" w:type="dxa"/>
                  <w:vAlign w:val="center"/>
                </w:tcPr>
                <w:p>
                  <w:pPr>
                    <w:widowControl w:val="0"/>
                    <w:autoSpaceDE w:val="0"/>
                    <w:autoSpaceDN w:val="0"/>
                    <w:adjustRightInd w:val="0"/>
                    <w:spacing w:before="60" w:after="60" w:line="276" w:lineRule="auto"/>
                    <w:jc w:val="center"/>
                    <w:textAlignment w:val="bottom"/>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80" w:type="dxa"/>
                  <w:vMerge w:val="restart"/>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1995" w:type="dxa"/>
                  <w:vMerge w:val="restart"/>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固废治理</w:t>
                  </w:r>
                </w:p>
              </w:tc>
              <w:tc>
                <w:tcPr>
                  <w:tcW w:w="2839"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一般固废</w:t>
                  </w:r>
                  <w:r>
                    <w:rPr>
                      <w:rFonts w:hint="eastAsia" w:ascii="宋体" w:hAnsi="宋体" w:eastAsia="宋体" w:cs="宋体"/>
                      <w:kern w:val="2"/>
                      <w:sz w:val="21"/>
                      <w:szCs w:val="21"/>
                    </w:rPr>
                    <w:t xml:space="preserve">存放设施若干 </w:t>
                  </w:r>
                </w:p>
              </w:tc>
              <w:tc>
                <w:tcPr>
                  <w:tcW w:w="1843" w:type="dxa"/>
                  <w:vAlign w:val="center"/>
                </w:tcPr>
                <w:p>
                  <w:pPr>
                    <w:jc w:val="center"/>
                    <w:rPr>
                      <w:rFonts w:hint="eastAsia" w:ascii="宋体" w:hAnsi="宋体" w:eastAsia="宋体" w:cs="宋体"/>
                      <w:kern w:val="2"/>
                      <w:sz w:val="21"/>
                      <w:szCs w:val="21"/>
                    </w:rPr>
                  </w:pPr>
                  <w:r>
                    <w:rPr>
                      <w:rFonts w:hint="eastAsia" w:ascii="宋体" w:hAnsi="宋体" w:eastAsia="宋体" w:cs="宋体"/>
                      <w:color w:val="auto"/>
                      <w:szCs w:val="21"/>
                      <w:highlight w:val="none"/>
                      <w:lang w:val="en-US" w:eastAsia="zh-CN"/>
                    </w:rPr>
                    <w:t>0.2</w:t>
                  </w:r>
                </w:p>
              </w:tc>
              <w:tc>
                <w:tcPr>
                  <w:tcW w:w="1487" w:type="dxa"/>
                  <w:vAlign w:val="center"/>
                </w:tcPr>
                <w:p>
                  <w:pPr>
                    <w:widowControl w:val="0"/>
                    <w:autoSpaceDE w:val="0"/>
                    <w:autoSpaceDN w:val="0"/>
                    <w:adjustRightInd w:val="0"/>
                    <w:spacing w:before="60" w:after="60" w:line="276" w:lineRule="auto"/>
                    <w:jc w:val="center"/>
                    <w:textAlignment w:val="bottom"/>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SA"/>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98"/>
                    <w:spacing w:line="276" w:lineRule="auto"/>
                    <w:rPr>
                      <w:rFonts w:hint="eastAsia" w:ascii="宋体" w:hAnsi="宋体" w:eastAsia="宋体" w:cs="宋体"/>
                      <w:kern w:val="2"/>
                      <w:sz w:val="21"/>
                      <w:szCs w:val="21"/>
                    </w:rPr>
                  </w:pPr>
                </w:p>
              </w:tc>
              <w:tc>
                <w:tcPr>
                  <w:tcW w:w="1995" w:type="dxa"/>
                  <w:vMerge w:val="continue"/>
                  <w:vAlign w:val="center"/>
                </w:tcPr>
                <w:p>
                  <w:pPr>
                    <w:pStyle w:val="98"/>
                    <w:spacing w:line="276" w:lineRule="auto"/>
                    <w:rPr>
                      <w:rFonts w:hint="eastAsia" w:ascii="宋体" w:hAnsi="宋体" w:eastAsia="宋体" w:cs="宋体"/>
                      <w:kern w:val="2"/>
                      <w:sz w:val="21"/>
                      <w:szCs w:val="21"/>
                    </w:rPr>
                  </w:pPr>
                </w:p>
              </w:tc>
              <w:tc>
                <w:tcPr>
                  <w:tcW w:w="2839" w:type="dxa"/>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危废暂存点</w:t>
                  </w:r>
                </w:p>
              </w:tc>
              <w:tc>
                <w:tcPr>
                  <w:tcW w:w="1843" w:type="dxa"/>
                  <w:vAlign w:val="center"/>
                </w:tcPr>
                <w:p>
                  <w:pPr>
                    <w:jc w:val="center"/>
                    <w:rPr>
                      <w:rFonts w:hint="eastAsia" w:ascii="宋体" w:hAnsi="宋体" w:eastAsia="宋体" w:cs="宋体"/>
                      <w:kern w:val="2"/>
                      <w:sz w:val="21"/>
                      <w:szCs w:val="21"/>
                    </w:rPr>
                  </w:pPr>
                  <w:r>
                    <w:rPr>
                      <w:rFonts w:hint="eastAsia" w:ascii="宋体" w:hAnsi="宋体" w:eastAsia="宋体" w:cs="宋体"/>
                      <w:color w:val="auto"/>
                      <w:szCs w:val="21"/>
                      <w:highlight w:val="none"/>
                      <w:lang w:val="en-US" w:eastAsia="zh-CN"/>
                    </w:rPr>
                    <w:t>1</w:t>
                  </w:r>
                </w:p>
              </w:tc>
              <w:tc>
                <w:tcPr>
                  <w:tcW w:w="1487" w:type="dxa"/>
                  <w:vAlign w:val="center"/>
                </w:tcPr>
                <w:p>
                  <w:pPr>
                    <w:widowControl w:val="0"/>
                    <w:autoSpaceDE w:val="0"/>
                    <w:autoSpaceDN w:val="0"/>
                    <w:adjustRightInd w:val="0"/>
                    <w:spacing w:before="60" w:after="60" w:line="276" w:lineRule="auto"/>
                    <w:jc w:val="center"/>
                    <w:textAlignment w:val="bottom"/>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SA"/>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14" w:type="dxa"/>
                  <w:gridSpan w:val="3"/>
                  <w:vAlign w:val="center"/>
                </w:tcPr>
                <w:p>
                  <w:pPr>
                    <w:pStyle w:val="98"/>
                    <w:spacing w:line="276" w:lineRule="auto"/>
                    <w:rPr>
                      <w:rFonts w:hint="eastAsia" w:ascii="宋体" w:hAnsi="宋体" w:eastAsia="宋体" w:cs="宋体"/>
                      <w:kern w:val="2"/>
                      <w:sz w:val="21"/>
                      <w:szCs w:val="21"/>
                    </w:rPr>
                  </w:pPr>
                  <w:r>
                    <w:rPr>
                      <w:rFonts w:hint="eastAsia" w:ascii="宋体" w:hAnsi="宋体" w:eastAsia="宋体" w:cs="宋体"/>
                      <w:kern w:val="2"/>
                      <w:sz w:val="21"/>
                      <w:szCs w:val="21"/>
                    </w:rPr>
                    <w:t>合计</w:t>
                  </w:r>
                </w:p>
              </w:tc>
              <w:tc>
                <w:tcPr>
                  <w:tcW w:w="1843" w:type="dxa"/>
                  <w:vAlign w:val="center"/>
                </w:tcPr>
                <w:p>
                  <w:pPr>
                    <w:pStyle w:val="98"/>
                    <w:spacing w:line="276" w:lineRule="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11.2</w:t>
                  </w:r>
                </w:p>
              </w:tc>
              <w:tc>
                <w:tcPr>
                  <w:tcW w:w="1487" w:type="dxa"/>
                  <w:vAlign w:val="center"/>
                </w:tcPr>
                <w:p>
                  <w:pPr>
                    <w:widowControl w:val="0"/>
                    <w:autoSpaceDE w:val="0"/>
                    <w:autoSpaceDN w:val="0"/>
                    <w:adjustRightInd w:val="0"/>
                    <w:spacing w:before="60" w:after="60" w:line="276" w:lineRule="auto"/>
                    <w:jc w:val="center"/>
                    <w:textAlignment w:val="bottom"/>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SA"/>
                    </w:rPr>
                    <w:t>12.6</w:t>
                  </w:r>
                </w:p>
              </w:tc>
            </w:tr>
          </w:tbl>
          <w:p>
            <w:pPr>
              <w:spacing w:line="480" w:lineRule="auto"/>
            </w:pPr>
          </w:p>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spacing w:line="360" w:lineRule="auto"/>
              <w:rPr>
                <w:rFonts w:ascii="宋体" w:hAnsi="宋体"/>
                <w:b/>
                <w:bCs/>
                <w:sz w:val="24"/>
              </w:rPr>
            </w:pPr>
            <w:r>
              <w:rPr>
                <w:rFonts w:ascii="宋体" w:hAnsi="宋体"/>
                <w:b/>
                <w:bCs/>
                <w:sz w:val="24"/>
              </w:rPr>
              <w:t>结论：</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1、项目概况</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安徽博嘉包装材料有限公司</w:t>
            </w:r>
            <w:r>
              <w:rPr>
                <w:rFonts w:hint="eastAsia" w:ascii="宋体" w:hAnsi="宋体" w:eastAsia="宋体" w:cs="宋体"/>
                <w:color w:val="auto"/>
                <w:sz w:val="24"/>
                <w:szCs w:val="24"/>
                <w:highlight w:val="none"/>
              </w:rPr>
              <w:t>拟投资</w:t>
            </w:r>
            <w:r>
              <w:rPr>
                <w:rFonts w:hint="eastAsia" w:ascii="宋体" w:hAnsi="宋体" w:eastAsia="宋体" w:cs="宋体"/>
                <w:color w:val="auto"/>
                <w:sz w:val="24"/>
                <w:szCs w:val="24"/>
                <w:highlight w:val="none"/>
                <w:lang w:val="en-US" w:eastAsia="zh-CN"/>
              </w:rPr>
              <w:t>5000万</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lang w:val="en-US" w:eastAsia="zh-CN"/>
              </w:rPr>
              <w:t>建设年产1000万平方米瓦楞纸箱项目</w:t>
            </w:r>
            <w:r>
              <w:rPr>
                <w:rFonts w:hint="eastAsia" w:ascii="宋体" w:hAnsi="宋体" w:eastAsia="宋体" w:cs="宋体"/>
                <w:color w:val="auto"/>
                <w:sz w:val="24"/>
                <w:szCs w:val="24"/>
                <w:highlight w:val="none"/>
              </w:rPr>
              <w:t>，项目总占地面积</w:t>
            </w:r>
            <w:r>
              <w:rPr>
                <w:rFonts w:hint="eastAsia" w:ascii="宋体" w:hAnsi="宋体" w:eastAsia="宋体" w:cs="宋体"/>
                <w:color w:val="auto"/>
                <w:sz w:val="24"/>
                <w:szCs w:val="24"/>
                <w:highlight w:val="none"/>
                <w:lang w:val="en-US" w:eastAsia="zh-CN"/>
              </w:rPr>
              <w:t xml:space="preserve">2600 </w:t>
            </w:r>
            <w:r>
              <w:rPr>
                <w:rFonts w:hint="eastAsia" w:ascii="宋体" w:hAnsi="宋体" w:eastAsia="宋体" w:cs="宋体"/>
                <w:color w:val="auto"/>
                <w:sz w:val="24"/>
                <w:szCs w:val="24"/>
                <w:highlight w:val="none"/>
              </w:rPr>
              <w:t>平方米</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已购置印刷机1台、印刷开槽模切堆码机1台、钉箱机3台，年产瓦楞纸箱1000万平方米</w:t>
            </w:r>
            <w:r>
              <w:rPr>
                <w:rFonts w:hint="eastAsia" w:ascii="宋体" w:hAnsi="宋体" w:eastAsia="宋体" w:cs="宋体"/>
                <w:color w:val="auto"/>
                <w:sz w:val="24"/>
                <w:szCs w:val="24"/>
                <w:highlight w:val="none"/>
              </w:rPr>
              <w:t>。</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2、产业政策</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根据《产业结构调整指导目录》（201</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年），本项目不在现行国家产业政策中规定的限制和淘汰类建设项目之列，视为允许类项目，项目建设符合国家的产业政策。</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3、项目选址可行性分析</w:t>
            </w:r>
          </w:p>
          <w:p>
            <w:pPr>
              <w:numPr>
                <w:ilvl w:val="0"/>
                <w:numId w:val="0"/>
              </w:num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本项目</w:t>
            </w:r>
            <w:r>
              <w:rPr>
                <w:rFonts w:hint="eastAsia" w:ascii="宋体" w:hAnsi="宋体" w:eastAsia="宋体" w:cs="宋体"/>
                <w:color w:val="auto"/>
                <w:sz w:val="24"/>
                <w:szCs w:val="24"/>
                <w:highlight w:val="none"/>
                <w:lang w:val="en-US" w:eastAsia="zh-CN"/>
              </w:rPr>
              <w:t>建设地点位于江北装备制造配套产业园4号楼一层，属于工业用地控制范围。项目选址所在区域地质条件、场地稳定性和适宜性较好，适宜项目的建设。项目周边主要为安徽乐菱制冷配件有限公司</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芜湖中奥新材料有限公司和闲置厂房，无与本项目有冲突的企业存在，项目在营运过程中排放的污染物皆能达标排放，不会降低项目所在区域环境质量功能级别。</w:t>
            </w:r>
          </w:p>
          <w:p>
            <w:pPr>
              <w:numPr>
                <w:ilvl w:val="0"/>
                <w:numId w:val="0"/>
              </w:num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因此，项目选址合理、与区域环境相容。</w:t>
            </w:r>
          </w:p>
          <w:p>
            <w:pPr>
              <w:spacing w:line="360" w:lineRule="auto"/>
              <w:ind w:firstLine="472" w:firstLineChars="196"/>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4、环境质量现状评价结论</w:t>
            </w:r>
          </w:p>
          <w:p>
            <w:pPr>
              <w:spacing w:line="360" w:lineRule="auto"/>
              <w:ind w:firstLine="468" w:firstLineChars="19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（1）项目所在区域大气环境质量指标满足《环境空气质量标准》（GB3095-2012）中二级标准要求。</w:t>
            </w:r>
          </w:p>
          <w:p>
            <w:p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（2）地表水</w:t>
            </w:r>
            <w:r>
              <w:rPr>
                <w:rFonts w:hint="eastAsia" w:ascii="宋体" w:hAnsi="宋体" w:eastAsia="宋体" w:cs="宋体"/>
                <w:color w:val="auto"/>
                <w:sz w:val="24"/>
                <w:szCs w:val="24"/>
                <w:highlight w:val="none"/>
                <w:lang w:val="en-US" w:eastAsia="zh-CN"/>
              </w:rPr>
              <w:t>长江</w:t>
            </w:r>
            <w:r>
              <w:rPr>
                <w:rFonts w:hint="eastAsia" w:ascii="宋体" w:hAnsi="宋体" w:eastAsia="宋体" w:cs="宋体"/>
                <w:color w:val="auto"/>
                <w:sz w:val="24"/>
                <w:szCs w:val="24"/>
                <w:highlight w:val="none"/>
              </w:rPr>
              <w:t>水质满足《地表水环境质量标准》（GB3838-2002）中的Ⅲ类标准。</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（3）该项目所在区域基本无较大噪声源，声环境质量较好，项目区域能够满足《声环境质量标准》（GB3096-2008）中</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类区标准要求。</w:t>
            </w:r>
          </w:p>
          <w:p>
            <w:pPr>
              <w:spacing w:line="360" w:lineRule="auto"/>
              <w:ind w:firstLine="472" w:firstLineChars="196"/>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5、环境影响分析及污染防治措施可行性结论</w:t>
            </w:r>
          </w:p>
          <w:p>
            <w:pPr>
              <w:spacing w:line="360" w:lineRule="auto"/>
              <w:ind w:firstLine="48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①水环境影响分析</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项目产生的废水为</w:t>
            </w:r>
            <w:r>
              <w:rPr>
                <w:rFonts w:hint="eastAsia" w:ascii="宋体" w:hAnsi="宋体" w:eastAsia="宋体" w:cs="宋体"/>
                <w:color w:val="auto"/>
                <w:sz w:val="24"/>
                <w:szCs w:val="24"/>
                <w:highlight w:val="none"/>
                <w:lang w:val="en-US" w:eastAsia="zh-CN"/>
              </w:rPr>
              <w:t>职工生活污水，经</w:t>
            </w:r>
            <w:r>
              <w:rPr>
                <w:rFonts w:hint="eastAsia" w:ascii="宋体" w:hAnsi="宋体" w:eastAsia="宋体" w:cs="宋体"/>
                <w:color w:val="auto"/>
                <w:sz w:val="24"/>
                <w:szCs w:val="24"/>
                <w:highlight w:val="none"/>
              </w:rPr>
              <w:t>化粪池</w:t>
            </w:r>
            <w:r>
              <w:rPr>
                <w:rFonts w:hint="eastAsia" w:ascii="宋体" w:hAnsi="宋体" w:eastAsia="宋体" w:cs="宋体"/>
                <w:color w:val="auto"/>
                <w:sz w:val="24"/>
                <w:szCs w:val="24"/>
                <w:highlight w:val="none"/>
                <w:lang w:val="en-US" w:eastAsia="zh-CN"/>
              </w:rPr>
              <w:t>预处理后接管园区污水管网达《污水综合排放标准》（GB8978-1996）表4中三级标准后排入市政污水管网，进入江北</w:t>
            </w:r>
            <w:r>
              <w:rPr>
                <w:rFonts w:hint="eastAsia" w:ascii="宋体" w:hAnsi="宋体" w:eastAsia="宋体" w:cs="宋体"/>
                <w:color w:val="auto"/>
                <w:sz w:val="24"/>
                <w:szCs w:val="24"/>
                <w:highlight w:val="none"/>
              </w:rPr>
              <w:t>污水处理厂集中处理，处理达到《城镇污水处理厂污染物排放标准》（GB18918-2002）一级</w:t>
            </w:r>
            <w:r>
              <w:rPr>
                <w:rFonts w:hint="eastAsia" w:ascii="宋体" w:hAnsi="宋体" w:eastAsia="宋体" w:cs="宋体"/>
                <w:color w:val="auto"/>
                <w:sz w:val="24"/>
                <w:szCs w:val="24"/>
                <w:highlight w:val="none"/>
                <w:lang w:val="en-US" w:eastAsia="zh-CN"/>
              </w:rPr>
              <w:t>A</w:t>
            </w:r>
            <w:r>
              <w:rPr>
                <w:rFonts w:hint="eastAsia" w:ascii="宋体" w:hAnsi="宋体" w:eastAsia="宋体" w:cs="宋体"/>
                <w:color w:val="auto"/>
                <w:sz w:val="24"/>
                <w:szCs w:val="24"/>
                <w:highlight w:val="none"/>
              </w:rPr>
              <w:t>标准</w:t>
            </w:r>
            <w:r>
              <w:rPr>
                <w:rFonts w:hint="eastAsia" w:ascii="宋体" w:hAnsi="宋体" w:eastAsia="宋体" w:cs="宋体"/>
                <w:color w:val="auto"/>
                <w:sz w:val="24"/>
                <w:szCs w:val="24"/>
                <w:highlight w:val="none"/>
                <w:lang w:val="en-US" w:eastAsia="zh-CN"/>
              </w:rPr>
              <w:t>后排入长江</w:t>
            </w:r>
            <w:r>
              <w:rPr>
                <w:rFonts w:hint="eastAsia" w:ascii="宋体" w:hAnsi="宋体" w:eastAsia="宋体" w:cs="宋体"/>
                <w:color w:val="auto"/>
                <w:sz w:val="24"/>
                <w:szCs w:val="24"/>
                <w:highlight w:val="none"/>
              </w:rPr>
              <w:t>，不会降低项目区现有水环境功能，对纳污水体影响甚微。</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②大气环境影响分析</w:t>
            </w:r>
          </w:p>
          <w:p>
            <w:pPr>
              <w:numPr>
                <w:ilvl w:val="0"/>
                <w:numId w:val="0"/>
              </w:num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本项目产生的废气</w:t>
            </w:r>
            <w:r>
              <w:rPr>
                <w:rFonts w:hint="eastAsia" w:ascii="宋体" w:hAnsi="宋体" w:eastAsia="宋体" w:cs="宋体"/>
                <w:color w:val="auto"/>
                <w:sz w:val="24"/>
                <w:szCs w:val="24"/>
                <w:highlight w:val="none"/>
                <w:lang w:val="en-US" w:eastAsia="zh-CN"/>
              </w:rPr>
              <w:t>为印标废气，经</w:t>
            </w:r>
            <w:r>
              <w:rPr>
                <w:rFonts w:hint="eastAsia" w:ascii="宋体" w:hAnsi="宋体" w:eastAsia="宋体" w:cs="宋体"/>
                <w:sz w:val="24"/>
                <w:szCs w:val="24"/>
                <w:highlight w:val="none"/>
                <w:lang w:val="en-US" w:eastAsia="zh-CN"/>
              </w:rPr>
              <w:t>UV光氧</w:t>
            </w:r>
            <w:r>
              <w:rPr>
                <w:rFonts w:hint="eastAsia" w:ascii="宋体" w:hAnsi="宋体" w:eastAsia="宋体" w:cs="宋体"/>
                <w:color w:val="auto"/>
                <w:sz w:val="24"/>
                <w:szCs w:val="24"/>
                <w:highlight w:val="none"/>
                <w:lang w:val="en-US" w:eastAsia="zh-CN"/>
              </w:rPr>
              <w:t>装置</w:t>
            </w:r>
            <w:r>
              <w:rPr>
                <w:rFonts w:hint="eastAsia" w:ascii="宋体" w:hAnsi="宋体" w:eastAsia="宋体" w:cs="宋体"/>
                <w:sz w:val="24"/>
                <w:szCs w:val="24"/>
                <w:highlight w:val="none"/>
                <w:lang w:val="en-US" w:eastAsia="zh-CN"/>
              </w:rPr>
              <w:t>+15 m高排气筒</w:t>
            </w:r>
            <w:r>
              <w:rPr>
                <w:rFonts w:hint="eastAsia" w:ascii="宋体" w:hAnsi="宋体" w:eastAsia="宋体" w:cs="宋体"/>
                <w:color w:val="auto"/>
                <w:sz w:val="24"/>
                <w:szCs w:val="24"/>
                <w:highlight w:val="none"/>
                <w:lang w:val="en-US" w:eastAsia="zh-CN"/>
              </w:rPr>
              <w:t>处理后排放。经预测，本项目排放的印标废气（</w:t>
            </w:r>
            <w:r>
              <w:rPr>
                <w:rFonts w:hint="eastAsia" w:ascii="宋体" w:hAnsi="宋体" w:eastAsia="宋体" w:cs="宋体"/>
                <w:color w:val="auto"/>
                <w:kern w:val="0"/>
                <w:sz w:val="24"/>
                <w:szCs w:val="24"/>
                <w:highlight w:val="none"/>
                <w:lang w:val="en-US" w:eastAsia="zh-CN"/>
              </w:rPr>
              <w:t>非甲烷总烃</w:t>
            </w:r>
            <w:r>
              <w:rPr>
                <w:rFonts w:hint="eastAsia" w:ascii="宋体" w:hAnsi="宋体" w:eastAsia="宋体" w:cs="宋体"/>
                <w:color w:val="auto"/>
                <w:sz w:val="24"/>
                <w:szCs w:val="24"/>
                <w:highlight w:val="none"/>
                <w:lang w:val="en-US" w:eastAsia="zh-CN"/>
              </w:rPr>
              <w:t>）满足</w:t>
            </w:r>
            <w:r>
              <w:rPr>
                <w:rFonts w:hint="eastAsia" w:ascii="宋体" w:hAnsi="宋体" w:eastAsia="宋体" w:cs="宋体"/>
                <w:color w:val="auto"/>
                <w:kern w:val="0"/>
                <w:sz w:val="24"/>
                <w:szCs w:val="24"/>
                <w:highlight w:val="none"/>
                <w:lang w:val="en-US" w:eastAsia="zh-CN"/>
              </w:rPr>
              <w:t>《河北省工业企业挥发性有机物排放控制标准》（DB13/2322 -2016）印刷工业类非甲烷总烃排放浓度限值</w:t>
            </w:r>
            <w:r>
              <w:rPr>
                <w:rFonts w:hint="eastAsia" w:ascii="宋体" w:hAnsi="宋体" w:eastAsia="宋体" w:cs="宋体"/>
                <w:color w:val="auto"/>
                <w:sz w:val="24"/>
                <w:szCs w:val="24"/>
                <w:highlight w:val="none"/>
                <w:lang w:val="en-US" w:eastAsia="zh-CN"/>
              </w:rPr>
              <w:t>。</w:t>
            </w:r>
          </w:p>
          <w:p>
            <w:pPr>
              <w:numPr>
                <w:ilvl w:val="0"/>
                <w:numId w:val="0"/>
              </w:num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本项目卫生防护距离设置为以生产车间为边界向外50 m范围。目前，该范围内无学校、医院、集中居民区等环境敏感目标，且今后不得在该卫生防护距离内规划和兴建学校、住宅、医院等环境敏感点。</w:t>
            </w:r>
          </w:p>
          <w:p>
            <w:pPr>
              <w:numPr>
                <w:ilvl w:val="0"/>
                <w:numId w:val="0"/>
              </w:numPr>
              <w:spacing w:line="360" w:lineRule="auto"/>
              <w:ind w:firstLine="480" w:firstLineChars="200"/>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sz w:val="24"/>
                <w:szCs w:val="24"/>
                <w:highlight w:val="none"/>
                <w:lang w:val="en-US" w:eastAsia="zh-CN"/>
              </w:rPr>
              <w:t>综上所述，评价结果表明，项目投产后对大气环境的影响较小。</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③声环境影响分析</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本项目噪声源主要是</w:t>
            </w:r>
            <w:r>
              <w:rPr>
                <w:rFonts w:hint="eastAsia" w:ascii="宋体" w:hAnsi="宋体" w:eastAsia="宋体" w:cs="宋体"/>
                <w:color w:val="auto"/>
                <w:sz w:val="24"/>
                <w:szCs w:val="24"/>
                <w:highlight w:val="none"/>
                <w:lang w:val="en-US" w:eastAsia="zh-CN"/>
              </w:rPr>
              <w:t>印刷机、印刷开槽模切堆码机、钉箱机运行时产生的噪声，</w:t>
            </w:r>
            <w:r>
              <w:rPr>
                <w:rFonts w:hint="eastAsia" w:ascii="宋体" w:hAnsi="宋体" w:eastAsia="宋体" w:cs="宋体"/>
                <w:color w:val="auto"/>
                <w:sz w:val="24"/>
                <w:szCs w:val="24"/>
                <w:highlight w:val="none"/>
              </w:rPr>
              <w:t>单机噪声在</w:t>
            </w:r>
            <w:r>
              <w:rPr>
                <w:rFonts w:hint="eastAsia" w:ascii="宋体" w:hAnsi="宋体" w:eastAsia="宋体" w:cs="宋体"/>
                <w:color w:val="auto"/>
                <w:sz w:val="24"/>
                <w:szCs w:val="24"/>
                <w:highlight w:val="none"/>
                <w:lang w:val="en-US" w:eastAsia="zh-CN"/>
              </w:rPr>
              <w:t>80</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 xml:space="preserve">90 </w:t>
            </w:r>
            <w:r>
              <w:rPr>
                <w:rFonts w:hint="eastAsia" w:ascii="宋体" w:hAnsi="宋体" w:eastAsia="宋体" w:cs="宋体"/>
                <w:color w:val="auto"/>
                <w:sz w:val="24"/>
                <w:szCs w:val="24"/>
                <w:highlight w:val="none"/>
              </w:rPr>
              <w:t>dB（A）之间。采取隔声减震降噪措施，经设备降噪、厂房隔声、距离衰减等措施</w:t>
            </w:r>
            <w:r>
              <w:rPr>
                <w:rFonts w:hint="eastAsia" w:ascii="宋体" w:hAnsi="宋体" w:eastAsia="宋体" w:cs="宋体"/>
                <w:bCs/>
                <w:color w:val="auto"/>
                <w:sz w:val="24"/>
                <w:szCs w:val="24"/>
                <w:highlight w:val="none"/>
              </w:rPr>
              <w:t>，厂界噪声声环境质量良好，预计项目运营后各厂界噪声均能满足《工业企业厂界环境噪声排放标准》（GB12348-2008）中的</w:t>
            </w: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类标准）</w:t>
            </w:r>
            <w:r>
              <w:rPr>
                <w:rFonts w:hint="eastAsia" w:ascii="宋体" w:hAnsi="宋体" w:eastAsia="宋体" w:cs="宋体"/>
                <w:color w:val="auto"/>
                <w:sz w:val="24"/>
                <w:szCs w:val="24"/>
                <w:highlight w:val="none"/>
              </w:rPr>
              <w:t>，因此本项目的运营不会对周围声环境造成影响。</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④固体废弃物环境影响分析</w:t>
            </w:r>
          </w:p>
          <w:p>
            <w:pPr>
              <w:autoSpaceDE w:val="0"/>
              <w:autoSpaceDN w:val="0"/>
              <w:adjustRightInd w:val="0"/>
              <w:spacing w:line="360" w:lineRule="auto"/>
              <w:ind w:firstLine="48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项目固体废弃物为</w:t>
            </w:r>
            <w:r>
              <w:rPr>
                <w:rFonts w:hint="eastAsia" w:ascii="宋体" w:hAnsi="宋体" w:eastAsia="宋体" w:cs="宋体"/>
                <w:color w:val="auto"/>
                <w:sz w:val="24"/>
                <w:szCs w:val="24"/>
                <w:highlight w:val="none"/>
                <w:lang w:val="en-US" w:eastAsia="zh-CN"/>
              </w:rPr>
              <w:t>废油墨桶、边角料、废钉子、不合格品、废抹布手套和生活垃圾</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边角料、废钉子和不合格品收集后交由物资回收部门回收处理；废油墨桶置于危废暂存点，由供货商送货时带回；废抹布手套和</w:t>
            </w:r>
            <w:r>
              <w:rPr>
                <w:rFonts w:hint="eastAsia" w:ascii="宋体" w:hAnsi="宋体" w:eastAsia="宋体" w:cs="宋体"/>
                <w:color w:val="auto"/>
                <w:sz w:val="24"/>
                <w:szCs w:val="24"/>
                <w:highlight w:val="none"/>
              </w:rPr>
              <w:t>生活垃圾委托环卫部门</w:t>
            </w:r>
            <w:r>
              <w:rPr>
                <w:rFonts w:hint="eastAsia" w:ascii="宋体" w:hAnsi="宋体" w:eastAsia="宋体" w:cs="宋体"/>
                <w:color w:val="auto"/>
                <w:sz w:val="24"/>
                <w:szCs w:val="24"/>
                <w:highlight w:val="none"/>
                <w:lang w:val="en-US" w:eastAsia="zh-CN"/>
              </w:rPr>
              <w:t>清运</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本项目固体废弃物均得到了合理处置，不会产生二次污染，不会对周围环境产生影响。</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6、</w:t>
            </w:r>
            <w:r>
              <w:rPr>
                <w:rFonts w:hint="eastAsia" w:ascii="宋体" w:hAnsi="宋体" w:eastAsia="宋体" w:cs="宋体"/>
                <w:b/>
                <w:color w:val="auto"/>
                <w:sz w:val="24"/>
                <w:szCs w:val="24"/>
                <w:highlight w:val="none"/>
                <w:lang w:val="en-US" w:eastAsia="zh-CN"/>
              </w:rPr>
              <w:t>清洁生产</w:t>
            </w:r>
          </w:p>
          <w:p>
            <w:pPr>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本项目采用的生产设备和生产工艺符合国家有关政策，原辅材料不涉及有毒有害物质，固废有效处置。故本项目符合清洁生产的要求。</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7</w:t>
            </w:r>
            <w:r>
              <w:rPr>
                <w:rFonts w:hint="eastAsia" w:ascii="宋体" w:hAnsi="宋体" w:eastAsia="宋体" w:cs="宋体"/>
                <w:b/>
                <w:color w:val="auto"/>
                <w:sz w:val="24"/>
                <w:szCs w:val="24"/>
                <w:highlight w:val="none"/>
              </w:rPr>
              <w:t>、综合结论</w:t>
            </w:r>
          </w:p>
          <w:p>
            <w:pPr>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综上所述，从环保角度来看，建设单位必须加强营运期的管理，严格遵循“三同时”制度，采取有效措施控制各类污染物的排放，同时做到达标排放，则</w:t>
            </w:r>
            <w:r>
              <w:rPr>
                <w:rFonts w:hint="eastAsia" w:ascii="宋体" w:hAnsi="宋体" w:eastAsia="宋体" w:cs="宋体"/>
                <w:color w:val="auto"/>
                <w:sz w:val="24"/>
                <w:szCs w:val="24"/>
                <w:highlight w:val="none"/>
              </w:rPr>
              <w:t>本项目从环保角度出发，本项目建设是可行的</w:t>
            </w:r>
            <w:r>
              <w:rPr>
                <w:rFonts w:hint="eastAsia" w:ascii="宋体" w:hAnsi="宋体" w:eastAsia="宋体" w:cs="宋体"/>
                <w:color w:val="auto"/>
                <w:kern w:val="0"/>
                <w:sz w:val="24"/>
                <w:szCs w:val="24"/>
                <w:highlight w:val="none"/>
              </w:rPr>
              <w:t>。</w:t>
            </w:r>
          </w:p>
          <w:p>
            <w:pPr>
              <w:spacing w:line="360" w:lineRule="auto"/>
              <w:rPr>
                <w:rFonts w:ascii="宋体" w:hAnsi="宋体"/>
                <w:b/>
                <w:sz w:val="24"/>
                <w:highlight w:val="none"/>
              </w:rPr>
            </w:pPr>
            <w:r>
              <w:rPr>
                <w:rFonts w:hint="eastAsia" w:ascii="宋体" w:hAnsi="宋体"/>
                <w:b/>
                <w:sz w:val="24"/>
                <w:highlight w:val="none"/>
              </w:rPr>
              <w:t>二、审批部门审批意见</w:t>
            </w:r>
          </w:p>
          <w:p>
            <w:pPr>
              <w:spacing w:line="360" w:lineRule="auto"/>
              <w:ind w:firstLine="480" w:firstLineChars="200"/>
              <w:jc w:val="left"/>
              <w:rPr>
                <w:rFonts w:hint="default"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val="en-US" w:eastAsia="zh-CN"/>
              </w:rPr>
              <w:t>安徽博嘉包装有限公司投资5000万元，在芜湖江北制造配套产业园4号楼一层建设年产1000万平方米的瓦楞纸箱项目</w:t>
            </w:r>
            <w:r>
              <w:rPr>
                <w:rFonts w:hint="eastAsia" w:ascii="宋体" w:hAnsi="宋体"/>
                <w:sz w:val="24"/>
                <w:highlight w:val="none"/>
              </w:rPr>
              <w:t>。</w:t>
            </w:r>
            <w:r>
              <w:rPr>
                <w:rFonts w:hint="eastAsia" w:ascii="宋体" w:hAnsi="宋体"/>
                <w:sz w:val="24"/>
                <w:highlight w:val="none"/>
                <w:lang w:val="en-US" w:eastAsia="zh-CN"/>
              </w:rPr>
              <w:t>项目经安徽省江北产业集中区管委会备案（江北产发备</w:t>
            </w:r>
            <w:r>
              <w:rPr>
                <w:rFonts w:hint="eastAsia" w:ascii="宋体" w:hAnsi="宋体" w:eastAsia="宋体" w:cs="宋体"/>
                <w:sz w:val="24"/>
                <w:highlight w:val="none"/>
                <w:lang w:val="en-US" w:eastAsia="zh-CN"/>
              </w:rPr>
              <w:t>[2018]9号），根据《报告表》申报材料，结合环保江北分局初审意见和公开公示反馈意见，该项目建设符合当前国家和地方产业政策要求，在全面落实《报告表》中提出的环境保护措施及本审批意见各项要求的前提下，从环境保护角度，我局同意你单位按照《登记表》所列建设建设项目的性质、规模、内容、地点、工程措施及环境保护对策实施该项目建设。项目建设地点、规模、工程措施或防治污染措施等发生重大变更时，应依法重新履行相关审批手续。</w:t>
            </w:r>
          </w:p>
          <w:p>
            <w:pPr>
              <w:spacing w:line="360" w:lineRule="auto"/>
              <w:ind w:firstLine="480" w:firstLineChars="200"/>
              <w:jc w:val="left"/>
              <w:rPr>
                <w:rFonts w:hint="default" w:ascii="宋体" w:hAnsi="宋体" w:eastAsia="宋体"/>
                <w:sz w:val="24"/>
                <w:highlight w:val="none"/>
                <w:lang w:val="en-US" w:eastAsia="zh-CN"/>
              </w:rPr>
            </w:pPr>
            <w:r>
              <w:rPr>
                <w:rFonts w:hint="eastAsia" w:ascii="宋体" w:hAnsi="宋体"/>
                <w:sz w:val="24"/>
                <w:highlight w:val="none"/>
              </w:rPr>
              <w:t>2、</w:t>
            </w:r>
            <w:r>
              <w:rPr>
                <w:rFonts w:hint="eastAsia" w:ascii="宋体" w:hAnsi="宋体"/>
                <w:sz w:val="24"/>
                <w:highlight w:val="none"/>
                <w:lang w:val="en-US" w:eastAsia="zh-CN"/>
              </w:rPr>
              <w:t>加强大气污染防治切实落实省、市相关大气污染防治行动计划实施方案以及国家和地方政府制订的冬防措施、重大活动保障措施、重污染天气应急措施等各项环境管理要求</w:t>
            </w:r>
            <w:r>
              <w:rPr>
                <w:rFonts w:hint="eastAsia" w:ascii="宋体" w:hAnsi="宋体"/>
                <w:sz w:val="24"/>
                <w:highlight w:val="none"/>
              </w:rPr>
              <w:t>。</w:t>
            </w:r>
            <w:r>
              <w:rPr>
                <w:rFonts w:hint="eastAsia" w:ascii="宋体" w:hAnsi="宋体"/>
                <w:sz w:val="24"/>
                <w:highlight w:val="none"/>
                <w:lang w:val="en-US" w:eastAsia="zh-CN"/>
              </w:rPr>
              <w:t>针对印标废气应治理后外排，执行</w:t>
            </w:r>
            <w:r>
              <w:rPr>
                <w:rFonts w:hint="default" w:ascii="宋体" w:hAnsi="宋体" w:eastAsia="宋体"/>
                <w:sz w:val="24"/>
                <w:highlight w:val="none"/>
                <w:lang w:val="en-US" w:eastAsia="zh-CN"/>
              </w:rPr>
              <w:t>《河北省工业企业挥发性有机物排放控制标准》（DB13/2322 -2016）</w:t>
            </w:r>
            <w:r>
              <w:rPr>
                <w:rFonts w:hint="eastAsia" w:ascii="宋体" w:hAnsi="宋体"/>
                <w:sz w:val="24"/>
                <w:highlight w:val="none"/>
                <w:lang w:val="en-US" w:eastAsia="zh-CN"/>
              </w:rPr>
              <w:t>相应标准。排气筒高度符合要求。卫生防护距离50米。</w:t>
            </w:r>
          </w:p>
          <w:p>
            <w:pPr>
              <w:spacing w:line="360" w:lineRule="auto"/>
              <w:ind w:firstLine="480" w:firstLineChars="200"/>
              <w:jc w:val="left"/>
              <w:rPr>
                <w:rFonts w:hint="default" w:ascii="宋体" w:hAnsi="宋体" w:eastAsia="宋体"/>
                <w:sz w:val="24"/>
                <w:highlight w:val="none"/>
                <w:lang w:val="en-US" w:eastAsia="zh-CN"/>
              </w:rPr>
            </w:pPr>
            <w:r>
              <w:rPr>
                <w:rFonts w:hint="eastAsia" w:ascii="宋体" w:hAnsi="宋体"/>
                <w:sz w:val="24"/>
                <w:highlight w:val="none"/>
              </w:rPr>
              <w:t>3、</w:t>
            </w:r>
            <w:r>
              <w:rPr>
                <w:rFonts w:hint="eastAsia" w:ascii="宋体" w:hAnsi="宋体"/>
                <w:sz w:val="24"/>
                <w:highlight w:val="none"/>
                <w:lang w:val="en-US" w:eastAsia="zh-CN"/>
              </w:rPr>
              <w:t>加强水污染防治，落实雨污分流制度</w:t>
            </w:r>
            <w:r>
              <w:rPr>
                <w:rFonts w:hint="eastAsia" w:ascii="宋体" w:hAnsi="宋体"/>
                <w:sz w:val="24"/>
                <w:highlight w:val="none"/>
              </w:rPr>
              <w:t>，废水外排执行《污水综合排放标准》(GB8978-1996)中</w:t>
            </w:r>
            <w:r>
              <w:rPr>
                <w:rFonts w:hint="eastAsia" w:ascii="宋体" w:hAnsi="宋体"/>
                <w:sz w:val="24"/>
                <w:highlight w:val="none"/>
                <w:lang w:val="en-US" w:eastAsia="zh-CN"/>
              </w:rPr>
              <w:t>三</w:t>
            </w:r>
            <w:r>
              <w:rPr>
                <w:rFonts w:hint="eastAsia" w:ascii="宋体" w:hAnsi="宋体"/>
                <w:sz w:val="24"/>
                <w:highlight w:val="none"/>
              </w:rPr>
              <w:t>级标准，</w:t>
            </w:r>
            <w:r>
              <w:rPr>
                <w:rFonts w:hint="eastAsia" w:ascii="宋体" w:hAnsi="宋体"/>
                <w:sz w:val="24"/>
                <w:highlight w:val="none"/>
                <w:lang w:val="en-US" w:eastAsia="zh-CN"/>
              </w:rPr>
              <w:t>并通过污水管网纳入区域污水处理厂集中处理，废水无法接入污水处理厂期间，外排执行一级标准</w:t>
            </w:r>
            <w:r>
              <w:rPr>
                <w:rFonts w:hint="eastAsia" w:ascii="宋体" w:hAnsi="宋体"/>
                <w:sz w:val="24"/>
                <w:highlight w:val="none"/>
              </w:rPr>
              <w:t>。</w:t>
            </w:r>
            <w:r>
              <w:rPr>
                <w:rFonts w:hint="eastAsia" w:ascii="宋体" w:hAnsi="宋体"/>
                <w:sz w:val="24"/>
                <w:highlight w:val="none"/>
                <w:lang w:val="en-US" w:eastAsia="zh-CN"/>
              </w:rPr>
              <w:t>污水收集池应按规范落实防腐、防渗工作，严防污染地下水。</w:t>
            </w:r>
          </w:p>
          <w:p>
            <w:pPr>
              <w:spacing w:line="360" w:lineRule="auto"/>
              <w:ind w:firstLine="480" w:firstLineChars="200"/>
              <w:jc w:val="left"/>
              <w:rPr>
                <w:rFonts w:hint="default" w:ascii="宋体" w:hAnsi="宋体" w:eastAsia="宋体"/>
                <w:sz w:val="24"/>
                <w:highlight w:val="none"/>
                <w:lang w:val="en-US" w:eastAsia="zh-CN"/>
              </w:rPr>
            </w:pPr>
            <w:r>
              <w:rPr>
                <w:rFonts w:hint="eastAsia" w:ascii="宋体" w:hAnsi="宋体"/>
                <w:sz w:val="24"/>
                <w:highlight w:val="none"/>
              </w:rPr>
              <w:t>4、</w:t>
            </w:r>
            <w:r>
              <w:rPr>
                <w:rFonts w:hint="eastAsia" w:ascii="宋体" w:hAnsi="宋体"/>
                <w:sz w:val="24"/>
                <w:highlight w:val="none"/>
                <w:lang w:val="en-US" w:eastAsia="zh-CN"/>
              </w:rPr>
              <w:t>加强噪声污染防治。选用低噪设备，并针对性分别采取隔声、消声、减震措施降低噪声，噪声外排执行《工业企业厂界噪声排放标准》(GB12348-2008)表3类标准限值。</w:t>
            </w:r>
          </w:p>
          <w:p>
            <w:pPr>
              <w:spacing w:line="360" w:lineRule="auto"/>
              <w:ind w:firstLine="480" w:firstLineChars="200"/>
              <w:jc w:val="left"/>
              <w:rPr>
                <w:rFonts w:hint="default" w:ascii="宋体" w:hAnsi="宋体" w:eastAsia="宋体"/>
                <w:sz w:val="24"/>
                <w:highlight w:val="none"/>
                <w:lang w:val="en-US" w:eastAsia="zh-CN"/>
              </w:rPr>
            </w:pPr>
            <w:r>
              <w:rPr>
                <w:rFonts w:hint="eastAsia" w:ascii="宋体" w:hAnsi="宋体"/>
                <w:sz w:val="24"/>
                <w:highlight w:val="none"/>
              </w:rPr>
              <w:t>5、</w:t>
            </w:r>
            <w:r>
              <w:rPr>
                <w:rFonts w:hint="eastAsia" w:ascii="宋体" w:hAnsi="宋体"/>
                <w:sz w:val="24"/>
                <w:highlight w:val="none"/>
                <w:lang w:val="en-US" w:eastAsia="zh-CN"/>
              </w:rPr>
              <w:t>加强固废污染防治。一般工业固废应分类收集。落实回收途径。生活垃圾应统一交由环卫部门定时清运，以免产生二次污染</w:t>
            </w:r>
            <w:r>
              <w:rPr>
                <w:rFonts w:hint="eastAsia" w:ascii="宋体" w:hAnsi="宋体"/>
                <w:sz w:val="24"/>
                <w:highlight w:val="none"/>
              </w:rPr>
              <w:t>。</w:t>
            </w:r>
            <w:r>
              <w:rPr>
                <w:rFonts w:hint="eastAsia" w:ascii="宋体" w:hAnsi="宋体"/>
                <w:sz w:val="24"/>
                <w:highlight w:val="none"/>
                <w:lang w:val="en-US" w:eastAsia="zh-CN"/>
              </w:rPr>
              <w:t>属危险废物的，建设单位必须委托有相应资质的单位按照国家有关规定妥善处置并做好防腐措施。公司内临时贮存设施建设需符合《危险废物贮存污染控制标准》(GB18597-2001)中有关规定。</w:t>
            </w:r>
          </w:p>
          <w:p>
            <w:pPr>
              <w:spacing w:line="360" w:lineRule="auto"/>
              <w:ind w:firstLine="480" w:firstLineChars="200"/>
              <w:jc w:val="left"/>
              <w:rPr>
                <w:rFonts w:hint="default" w:ascii="宋体" w:hAnsi="宋体" w:eastAsia="宋体"/>
                <w:sz w:val="24"/>
                <w:highlight w:val="none"/>
                <w:lang w:val="en-US" w:eastAsia="zh-CN"/>
              </w:rPr>
            </w:pPr>
            <w:r>
              <w:rPr>
                <w:rFonts w:hint="eastAsia" w:ascii="宋体" w:hAnsi="宋体"/>
                <w:sz w:val="24"/>
                <w:highlight w:val="none"/>
              </w:rPr>
              <w:t>6、</w:t>
            </w:r>
            <w:r>
              <w:rPr>
                <w:rFonts w:hint="eastAsia" w:ascii="宋体" w:hAnsi="宋体"/>
                <w:sz w:val="24"/>
                <w:highlight w:val="none"/>
                <w:lang w:val="en-US" w:eastAsia="zh-CN"/>
              </w:rPr>
              <w:t>项目实施过程中应按照“达标排放、清洁生产、总量控制”原则，严格执行配套建设的环境保护设施与主体工程同时设计、同时施工、同时投产使用的环境保护“三同时”制度</w:t>
            </w:r>
            <w:r>
              <w:rPr>
                <w:rFonts w:hint="eastAsia" w:ascii="宋体" w:hAnsi="宋体"/>
                <w:sz w:val="24"/>
                <w:highlight w:val="none"/>
              </w:rPr>
              <w:t>。</w:t>
            </w:r>
            <w:r>
              <w:rPr>
                <w:rFonts w:hint="eastAsia" w:ascii="宋体" w:hAnsi="宋体"/>
                <w:sz w:val="24"/>
                <w:highlight w:val="none"/>
                <w:lang w:val="en-US" w:eastAsia="zh-CN"/>
              </w:rPr>
              <w:t>项目竣工后，建设单位应该按照《建设项目环境保护管理条例》（国务院第682号令）要求，验收配套建设的环境保护设施，并依法向社会公开验收报告，未经验收或者验收不合格不得投入生产、使用。</w:t>
            </w:r>
          </w:p>
          <w:p>
            <w:pPr>
              <w:spacing w:line="360" w:lineRule="auto"/>
              <w:ind w:firstLine="480" w:firstLineChars="200"/>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表五</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验收监测质量保证及质量控制：</w:t>
            </w:r>
          </w:p>
          <w:p>
            <w:pPr>
              <w:spacing w:line="360" w:lineRule="auto"/>
              <w:jc w:val="left"/>
              <w:rPr>
                <w:rFonts w:ascii="宋体" w:hAnsi="宋体"/>
                <w:b/>
                <w:sz w:val="28"/>
                <w:szCs w:val="28"/>
              </w:rPr>
            </w:pPr>
            <w:r>
              <w:rPr>
                <w:rFonts w:hint="eastAsia" w:ascii="宋体" w:hAnsi="宋体"/>
                <w:b/>
                <w:sz w:val="28"/>
                <w:szCs w:val="28"/>
              </w:rPr>
              <w:t>1、监测分析方法</w:t>
            </w:r>
          </w:p>
          <w:p>
            <w:pPr>
              <w:jc w:val="center"/>
              <w:rPr>
                <w:rFonts w:ascii="宋体" w:hAnsi="宋体"/>
                <w:b/>
                <w:sz w:val="24"/>
              </w:rPr>
            </w:pPr>
            <w:r>
              <w:rPr>
                <w:rFonts w:hint="eastAsia" w:ascii="宋体" w:hAnsi="宋体"/>
                <w:b/>
                <w:sz w:val="24"/>
              </w:rPr>
              <w:t>表5-1  监测分析方法及方法来源</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Align w:val="center"/>
                </w:tcPr>
                <w:p>
                  <w:pPr>
                    <w:spacing w:line="320" w:lineRule="exact"/>
                    <w:jc w:val="center"/>
                    <w:rPr>
                      <w:rFonts w:ascii="宋体" w:hAnsi="宋体" w:cs="仿宋_GB2312"/>
                      <w:b/>
                      <w:szCs w:val="21"/>
                    </w:rPr>
                  </w:pPr>
                  <w:bookmarkStart w:id="8" w:name="_Hlk6244045"/>
                  <w:r>
                    <w:rPr>
                      <w:rFonts w:hint="eastAsia" w:ascii="宋体" w:hAnsi="宋体" w:cs="仿宋_GB2312"/>
                      <w:b/>
                      <w:szCs w:val="21"/>
                    </w:rPr>
                    <w:t>类别</w:t>
                  </w:r>
                </w:p>
              </w:tc>
              <w:tc>
                <w:tcPr>
                  <w:tcW w:w="1950" w:type="dxa"/>
                  <w:vAlign w:val="center"/>
                </w:tcPr>
                <w:p>
                  <w:pPr>
                    <w:spacing w:line="320" w:lineRule="exact"/>
                    <w:jc w:val="center"/>
                    <w:rPr>
                      <w:rFonts w:ascii="宋体" w:hAnsi="宋体" w:cs="仿宋_GB2312"/>
                      <w:b/>
                      <w:szCs w:val="21"/>
                    </w:rPr>
                  </w:pPr>
                  <w:r>
                    <w:rPr>
                      <w:rFonts w:hint="eastAsia" w:ascii="宋体" w:hAnsi="宋体" w:cs="仿宋_GB2312"/>
                      <w:b/>
                      <w:szCs w:val="21"/>
                    </w:rPr>
                    <w:t>项目</w:t>
                  </w:r>
                </w:p>
              </w:tc>
              <w:tc>
                <w:tcPr>
                  <w:tcW w:w="6703" w:type="dxa"/>
                  <w:vAlign w:val="center"/>
                </w:tcPr>
                <w:p>
                  <w:pPr>
                    <w:spacing w:line="320" w:lineRule="exact"/>
                    <w:jc w:val="center"/>
                    <w:rPr>
                      <w:rFonts w:ascii="宋体" w:hAnsi="宋体" w:cs="仿宋_GB2312"/>
                      <w:b/>
                      <w:szCs w:val="21"/>
                    </w:rPr>
                  </w:pPr>
                  <w:r>
                    <w:rPr>
                      <w:rFonts w:hint="eastAsia" w:ascii="宋体" w:hAnsi="宋体" w:cs="仿宋_GB2312"/>
                      <w:b/>
                      <w:szCs w:val="21"/>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Merge w:val="restart"/>
                  <w:vAlign w:val="center"/>
                </w:tcPr>
                <w:p>
                  <w:pPr>
                    <w:spacing w:line="320" w:lineRule="exact"/>
                    <w:jc w:val="center"/>
                    <w:rPr>
                      <w:rFonts w:ascii="宋体" w:hAnsi="宋体" w:cs="仿宋_GB2312"/>
                      <w:bCs/>
                      <w:szCs w:val="21"/>
                    </w:rPr>
                  </w:pPr>
                  <w:r>
                    <w:rPr>
                      <w:rFonts w:hint="eastAsia" w:ascii="宋体" w:hAnsi="宋体" w:cs="仿宋_GB2312"/>
                      <w:bCs/>
                      <w:szCs w:val="21"/>
                    </w:rPr>
                    <w:t>废水</w:t>
                  </w:r>
                </w:p>
              </w:tc>
              <w:tc>
                <w:tcPr>
                  <w:tcW w:w="1950" w:type="dxa"/>
                  <w:vAlign w:val="center"/>
                </w:tcPr>
                <w:p>
                  <w:pPr>
                    <w:widowControl/>
                    <w:jc w:val="center"/>
                    <w:rPr>
                      <w:rFonts w:ascii="宋体" w:hAnsi="宋体"/>
                      <w:color w:val="000000"/>
                      <w:szCs w:val="21"/>
                    </w:rPr>
                  </w:pPr>
                  <w:r>
                    <w:rPr>
                      <w:rFonts w:hint="eastAsia" w:ascii="宋体" w:hAnsi="宋体"/>
                      <w:color w:val="000000" w:themeColor="text1"/>
                      <w:szCs w:val="21"/>
                      <w14:textFill>
                        <w14:solidFill>
                          <w14:schemeClr w14:val="tx1"/>
                        </w14:solidFill>
                      </w14:textFill>
                    </w:rPr>
                    <w:t>pH</w:t>
                  </w:r>
                  <w:r>
                    <w:rPr>
                      <w:rFonts w:hint="eastAsia" w:ascii="宋体" w:hAnsi="宋体"/>
                      <w:color w:val="000000"/>
                      <w:szCs w:val="21"/>
                    </w:rPr>
                    <w:t>值</w:t>
                  </w:r>
                  <w:r>
                    <w:rPr>
                      <w:rFonts w:hint="eastAsia" w:ascii="宋体" w:hAnsi="宋体" w:cs="宋体"/>
                      <w:szCs w:val="21"/>
                      <w:vertAlign w:val="superscript"/>
                    </w:rPr>
                    <w:t>*</w:t>
                  </w:r>
                </w:p>
              </w:tc>
              <w:tc>
                <w:tcPr>
                  <w:tcW w:w="6703" w:type="dxa"/>
                  <w:vAlign w:val="center"/>
                </w:tcPr>
                <w:p>
                  <w:pPr>
                    <w:widowControl/>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便携式pH计法 《水和废水监测分析方法》(第四版)国家环保总局（2002年）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Merge w:val="continue"/>
                  <w:vAlign w:val="center"/>
                </w:tcPr>
                <w:p>
                  <w:pPr>
                    <w:spacing w:line="320" w:lineRule="exact"/>
                    <w:jc w:val="center"/>
                    <w:rPr>
                      <w:rFonts w:ascii="宋体" w:hAnsi="宋体" w:cs="仿宋_GB2312"/>
                      <w:bCs/>
                      <w:szCs w:val="21"/>
                    </w:rPr>
                  </w:pPr>
                </w:p>
              </w:tc>
              <w:tc>
                <w:tcPr>
                  <w:tcW w:w="1950" w:type="dxa"/>
                  <w:vAlign w:val="center"/>
                </w:tcPr>
                <w:p>
                  <w:pPr>
                    <w:jc w:val="center"/>
                    <w:rPr>
                      <w:rFonts w:ascii="宋体" w:hAnsi="宋体"/>
                      <w:color w:val="000000"/>
                      <w:szCs w:val="21"/>
                    </w:rPr>
                  </w:pPr>
                  <w:r>
                    <w:rPr>
                      <w:rFonts w:hint="eastAsia" w:ascii="宋体" w:hAnsi="宋体"/>
                      <w:color w:val="000000"/>
                      <w:szCs w:val="21"/>
                    </w:rPr>
                    <w:t>生化需氧量</w:t>
                  </w:r>
                </w:p>
              </w:tc>
              <w:tc>
                <w:tcPr>
                  <w:tcW w:w="6703" w:type="dxa"/>
                  <w:vAlign w:val="center"/>
                </w:tcPr>
                <w:p>
                  <w:pPr>
                    <w:jc w:val="left"/>
                    <w:rPr>
                      <w:rFonts w:ascii="宋体" w:hAnsi="宋体"/>
                      <w:color w:val="000000"/>
                      <w:szCs w:val="21"/>
                    </w:rPr>
                  </w:pPr>
                  <w:r>
                    <w:rPr>
                      <w:rFonts w:hint="eastAsia" w:ascii="宋体" w:hAnsi="宋体"/>
                      <w:color w:val="000000"/>
                      <w:szCs w:val="21"/>
                    </w:rPr>
                    <w:t>水质 五日生化需氧量（BOD</w:t>
                  </w:r>
                  <w:r>
                    <w:rPr>
                      <w:rFonts w:hint="eastAsia" w:ascii="宋体" w:hAnsi="宋体"/>
                      <w:color w:val="000000"/>
                      <w:szCs w:val="21"/>
                      <w:vertAlign w:val="subscript"/>
                    </w:rPr>
                    <w:t>5</w:t>
                  </w:r>
                  <w:r>
                    <w:rPr>
                      <w:rFonts w:hint="eastAsia" w:ascii="宋体" w:hAnsi="宋体"/>
                      <w:color w:val="000000"/>
                      <w:szCs w:val="21"/>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Merge w:val="continue"/>
                  <w:vAlign w:val="center"/>
                </w:tcPr>
                <w:p>
                  <w:pPr>
                    <w:spacing w:line="320" w:lineRule="exact"/>
                    <w:jc w:val="center"/>
                    <w:rPr>
                      <w:rFonts w:ascii="宋体" w:hAnsi="宋体" w:cs="仿宋_GB2312"/>
                      <w:bCs/>
                      <w:szCs w:val="21"/>
                    </w:rPr>
                  </w:pPr>
                </w:p>
              </w:tc>
              <w:tc>
                <w:tcPr>
                  <w:tcW w:w="1950" w:type="dxa"/>
                  <w:vAlign w:val="center"/>
                </w:tcPr>
                <w:p>
                  <w:pPr>
                    <w:jc w:val="center"/>
                    <w:rPr>
                      <w:rFonts w:ascii="宋体" w:hAnsi="宋体"/>
                      <w:color w:val="000000"/>
                      <w:szCs w:val="21"/>
                    </w:rPr>
                  </w:pPr>
                  <w:r>
                    <w:rPr>
                      <w:rFonts w:hint="eastAsia" w:ascii="宋体" w:hAnsi="宋体"/>
                      <w:color w:val="000000"/>
                      <w:szCs w:val="21"/>
                    </w:rPr>
                    <w:t>化学需氧量</w:t>
                  </w:r>
                </w:p>
              </w:tc>
              <w:tc>
                <w:tcPr>
                  <w:tcW w:w="6703" w:type="dxa"/>
                  <w:vAlign w:val="center"/>
                </w:tcPr>
                <w:p>
                  <w:pPr>
                    <w:jc w:val="left"/>
                    <w:rPr>
                      <w:rFonts w:ascii="宋体" w:hAnsi="宋体"/>
                      <w:szCs w:val="21"/>
                    </w:rPr>
                  </w:pPr>
                  <w:r>
                    <w:rPr>
                      <w:rFonts w:hint="eastAsia" w:ascii="宋体" w:hAnsi="宋体"/>
                      <w:szCs w:val="21"/>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Merge w:val="continue"/>
                  <w:vAlign w:val="center"/>
                </w:tcPr>
                <w:p>
                  <w:pPr>
                    <w:spacing w:line="320" w:lineRule="exact"/>
                    <w:jc w:val="center"/>
                    <w:rPr>
                      <w:rFonts w:ascii="宋体" w:hAnsi="宋体" w:cs="仿宋_GB2312"/>
                      <w:bCs/>
                      <w:szCs w:val="21"/>
                    </w:rPr>
                  </w:pPr>
                </w:p>
              </w:tc>
              <w:tc>
                <w:tcPr>
                  <w:tcW w:w="1950" w:type="dxa"/>
                  <w:vAlign w:val="center"/>
                </w:tcPr>
                <w:p>
                  <w:pPr>
                    <w:jc w:val="center"/>
                    <w:rPr>
                      <w:rFonts w:ascii="宋体" w:hAnsi="宋体"/>
                      <w:color w:val="000000"/>
                      <w:szCs w:val="21"/>
                    </w:rPr>
                  </w:pPr>
                  <w:r>
                    <w:rPr>
                      <w:rFonts w:hint="eastAsia" w:ascii="宋体" w:hAnsi="宋体"/>
                      <w:color w:val="000000"/>
                      <w:szCs w:val="21"/>
                    </w:rPr>
                    <w:t>悬浮物</w:t>
                  </w:r>
                </w:p>
              </w:tc>
              <w:tc>
                <w:tcPr>
                  <w:tcW w:w="6703" w:type="dxa"/>
                  <w:vAlign w:val="center"/>
                </w:tcPr>
                <w:p>
                  <w:pPr>
                    <w:jc w:val="left"/>
                    <w:rPr>
                      <w:rFonts w:ascii="宋体" w:hAnsi="宋体"/>
                      <w:color w:val="000000"/>
                      <w:szCs w:val="21"/>
                    </w:rPr>
                  </w:pPr>
                  <w:r>
                    <w:rPr>
                      <w:rFonts w:hint="eastAsia" w:ascii="宋体" w:hAnsi="宋体"/>
                      <w:szCs w:val="21"/>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Merge w:val="continue"/>
                  <w:vAlign w:val="center"/>
                </w:tcPr>
                <w:p>
                  <w:pPr>
                    <w:spacing w:line="320" w:lineRule="exact"/>
                    <w:jc w:val="center"/>
                    <w:rPr>
                      <w:rFonts w:ascii="宋体" w:hAnsi="宋体" w:cs="仿宋_GB2312"/>
                      <w:bCs/>
                      <w:szCs w:val="21"/>
                    </w:rPr>
                  </w:pPr>
                </w:p>
              </w:tc>
              <w:tc>
                <w:tcPr>
                  <w:tcW w:w="1950" w:type="dxa"/>
                  <w:vAlign w:val="center"/>
                </w:tcPr>
                <w:p>
                  <w:pPr>
                    <w:jc w:val="center"/>
                    <w:rPr>
                      <w:rFonts w:ascii="宋体" w:hAnsi="宋体" w:eastAsia="宋体" w:cs="Times New Roman"/>
                      <w:color w:val="000000"/>
                      <w:kern w:val="2"/>
                      <w:sz w:val="21"/>
                      <w:szCs w:val="21"/>
                      <w:lang w:val="en-US" w:eastAsia="zh-CN" w:bidi="ar-SA"/>
                    </w:rPr>
                  </w:pPr>
                  <w:r>
                    <w:rPr>
                      <w:rFonts w:hint="eastAsia" w:ascii="宋体" w:hAnsi="宋体"/>
                      <w:color w:val="000000"/>
                      <w:szCs w:val="21"/>
                    </w:rPr>
                    <w:t>氨氮</w:t>
                  </w:r>
                </w:p>
              </w:tc>
              <w:tc>
                <w:tcPr>
                  <w:tcW w:w="6703" w:type="dxa"/>
                  <w:vAlign w:val="center"/>
                </w:tcPr>
                <w:p>
                  <w:pPr>
                    <w:jc w:val="left"/>
                    <w:rPr>
                      <w:rFonts w:ascii="宋体" w:hAnsi="宋体" w:eastAsia="宋体" w:cs="Times New Roman"/>
                      <w:color w:val="000000"/>
                      <w:kern w:val="2"/>
                      <w:sz w:val="21"/>
                      <w:szCs w:val="21"/>
                      <w:lang w:val="en-US" w:eastAsia="zh-CN" w:bidi="ar-SA"/>
                    </w:rPr>
                  </w:pPr>
                  <w:r>
                    <w:rPr>
                      <w:rFonts w:hint="eastAsia" w:ascii="宋体" w:hAnsi="宋体"/>
                      <w:color w:val="000000" w:themeColor="text1"/>
                      <w:szCs w:val="21"/>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9" w:type="dxa"/>
                  <w:vAlign w:val="center"/>
                </w:tcPr>
                <w:p>
                  <w:pPr>
                    <w:spacing w:line="320" w:lineRule="exact"/>
                    <w:jc w:val="center"/>
                    <w:rPr>
                      <w:rFonts w:ascii="宋体" w:hAnsi="宋体" w:cs="仿宋_GB2312"/>
                      <w:bCs/>
                      <w:szCs w:val="21"/>
                    </w:rPr>
                  </w:pPr>
                  <w:r>
                    <w:rPr>
                      <w:rFonts w:hint="eastAsia" w:ascii="宋体" w:hAnsi="宋体" w:cs="仿宋_GB2312"/>
                      <w:bCs/>
                      <w:szCs w:val="21"/>
                    </w:rPr>
                    <w:t>有组织废气</w:t>
                  </w:r>
                </w:p>
              </w:tc>
              <w:tc>
                <w:tcPr>
                  <w:tcW w:w="1950" w:type="dxa"/>
                  <w:vAlign w:val="center"/>
                </w:tcPr>
                <w:p>
                  <w:pPr>
                    <w:jc w:val="center"/>
                    <w:rPr>
                      <w:rFonts w:ascii="宋体" w:hAnsi="宋体"/>
                      <w:szCs w:val="21"/>
                    </w:rPr>
                  </w:pPr>
                  <w:r>
                    <w:rPr>
                      <w:rFonts w:hint="eastAsia" w:ascii="宋体" w:hAnsi="宋体"/>
                      <w:szCs w:val="21"/>
                    </w:rPr>
                    <w:t>非甲烷总烃</w:t>
                  </w:r>
                </w:p>
              </w:tc>
              <w:tc>
                <w:tcPr>
                  <w:tcW w:w="6703" w:type="dxa"/>
                  <w:vAlign w:val="center"/>
                </w:tcPr>
                <w:p>
                  <w:pPr>
                    <w:jc w:val="left"/>
                    <w:rPr>
                      <w:rFonts w:ascii="宋体" w:hAnsi="宋体"/>
                      <w:szCs w:val="21"/>
                    </w:rPr>
                  </w:pPr>
                  <w:r>
                    <w:rPr>
                      <w:rFonts w:hint="eastAsia" w:ascii="宋体" w:hAnsi="宋体"/>
                      <w:szCs w:val="21"/>
                    </w:rPr>
                    <w:t>固定污染源废气 总烃、甲烷和非甲烷总烃的测定 气相</w:t>
                  </w:r>
                  <w:r>
                    <w:rPr>
                      <w:rFonts w:hint="eastAsia" w:ascii="宋体" w:hAnsi="宋体"/>
                      <w:color w:val="000000"/>
                      <w:szCs w:val="21"/>
                    </w:rPr>
                    <w:t>色</w:t>
                  </w:r>
                  <w:r>
                    <w:rPr>
                      <w:rFonts w:hint="eastAsia" w:ascii="宋体" w:hAnsi="宋体"/>
                      <w:szCs w:val="21"/>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Align w:val="center"/>
                </w:tcPr>
                <w:p>
                  <w:pPr>
                    <w:spacing w:line="320" w:lineRule="exact"/>
                    <w:jc w:val="center"/>
                    <w:rPr>
                      <w:rFonts w:ascii="宋体" w:hAnsi="宋体" w:cs="仿宋_GB2312"/>
                      <w:bCs/>
                      <w:szCs w:val="21"/>
                    </w:rPr>
                  </w:pPr>
                  <w:r>
                    <w:rPr>
                      <w:rFonts w:hint="eastAsia" w:ascii="宋体" w:hAnsi="宋体" w:cs="仿宋_GB2312"/>
                      <w:bCs/>
                      <w:szCs w:val="21"/>
                    </w:rPr>
                    <w:t>无组织废气</w:t>
                  </w:r>
                </w:p>
              </w:tc>
              <w:tc>
                <w:tcPr>
                  <w:tcW w:w="1950" w:type="dxa"/>
                  <w:vAlign w:val="center"/>
                </w:tcPr>
                <w:p>
                  <w:pPr>
                    <w:widowControl/>
                    <w:jc w:val="center"/>
                    <w:rPr>
                      <w:rFonts w:ascii="宋体" w:hAnsi="宋体"/>
                      <w:szCs w:val="21"/>
                    </w:rPr>
                  </w:pPr>
                  <w:r>
                    <w:rPr>
                      <w:rFonts w:hint="eastAsia" w:ascii="宋体" w:hAnsi="宋体"/>
                      <w:szCs w:val="21"/>
                    </w:rPr>
                    <w:t>非甲烷总烃</w:t>
                  </w:r>
                </w:p>
              </w:tc>
              <w:tc>
                <w:tcPr>
                  <w:tcW w:w="6703" w:type="dxa"/>
                  <w:vAlign w:val="center"/>
                </w:tcPr>
                <w:p>
                  <w:pPr>
                    <w:widowControl/>
                    <w:jc w:val="left"/>
                    <w:rPr>
                      <w:rFonts w:hint="eastAsia" w:ascii="宋体" w:hAnsi="宋体"/>
                      <w:szCs w:val="21"/>
                    </w:rPr>
                  </w:pPr>
                  <w:r>
                    <w:rPr>
                      <w:rFonts w:hint="eastAsia" w:ascii="宋体" w:hAnsi="宋体"/>
                      <w:szCs w:val="21"/>
                    </w:rPr>
                    <w:t>环境空气 总烃、甲烷和非甲烷总烃的测定直接进样-气相色谱法</w:t>
                  </w:r>
                </w:p>
                <w:p>
                  <w:pPr>
                    <w:widowControl/>
                    <w:jc w:val="left"/>
                    <w:rPr>
                      <w:rFonts w:ascii="宋体" w:hAnsi="宋体"/>
                      <w:szCs w:val="21"/>
                    </w:rPr>
                  </w:pPr>
                  <w:r>
                    <w:rPr>
                      <w:rFonts w:hint="eastAsia" w:ascii="宋体" w:hAnsi="宋体"/>
                      <w:szCs w:val="21"/>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9" w:type="dxa"/>
                  <w:vAlign w:val="center"/>
                </w:tcPr>
                <w:p>
                  <w:pPr>
                    <w:spacing w:line="320" w:lineRule="exact"/>
                    <w:jc w:val="center"/>
                    <w:rPr>
                      <w:rFonts w:ascii="宋体" w:hAnsi="宋体" w:cs="仿宋_GB2312"/>
                      <w:szCs w:val="21"/>
                    </w:rPr>
                  </w:pPr>
                  <w:r>
                    <w:rPr>
                      <w:rFonts w:hint="eastAsia" w:ascii="宋体" w:hAnsi="宋体" w:cs="仿宋_GB2312"/>
                      <w:szCs w:val="21"/>
                    </w:rPr>
                    <w:t>噪声</w:t>
                  </w:r>
                </w:p>
              </w:tc>
              <w:tc>
                <w:tcPr>
                  <w:tcW w:w="1950" w:type="dxa"/>
                  <w:vAlign w:val="center"/>
                </w:tcPr>
                <w:p>
                  <w:pPr>
                    <w:widowControl/>
                    <w:jc w:val="center"/>
                    <w:rPr>
                      <w:rFonts w:ascii="宋体" w:hAnsi="宋体"/>
                      <w:szCs w:val="21"/>
                    </w:rPr>
                  </w:pPr>
                  <w:r>
                    <w:rPr>
                      <w:rFonts w:hint="eastAsia" w:ascii="宋体" w:hAnsi="宋体"/>
                      <w:szCs w:val="21"/>
                    </w:rPr>
                    <w:t>工业企业厂界环境噪声</w:t>
                  </w:r>
                </w:p>
              </w:tc>
              <w:tc>
                <w:tcPr>
                  <w:tcW w:w="6703" w:type="dxa"/>
                  <w:vAlign w:val="center"/>
                </w:tcPr>
                <w:p>
                  <w:pPr>
                    <w:widowControl/>
                    <w:jc w:val="left"/>
                    <w:rPr>
                      <w:rFonts w:ascii="宋体" w:hAnsi="宋体"/>
                      <w:color w:val="000000"/>
                      <w:szCs w:val="21"/>
                    </w:rPr>
                  </w:pPr>
                  <w:r>
                    <w:rPr>
                      <w:rFonts w:hint="eastAsia" w:ascii="宋体" w:hAnsi="宋体"/>
                      <w:color w:val="000000"/>
                      <w:szCs w:val="21"/>
                    </w:rPr>
                    <w:t>工业企业厂界环境噪声排放标准 GB 12348-2008</w:t>
                  </w:r>
                </w:p>
              </w:tc>
            </w:tr>
            <w:bookmarkEnd w:id="8"/>
          </w:tbl>
          <w:p>
            <w:pPr>
              <w:spacing w:line="360" w:lineRule="auto"/>
              <w:jc w:val="left"/>
              <w:rPr>
                <w:rFonts w:hint="eastAsia" w:ascii="宋体" w:hAnsi="宋体"/>
                <w:b/>
                <w:sz w:val="28"/>
                <w:szCs w:val="28"/>
              </w:rPr>
            </w:pPr>
            <w:r>
              <w:rPr>
                <w:rFonts w:hint="eastAsia" w:ascii="宋体" w:hAnsi="宋体"/>
                <w:b/>
                <w:sz w:val="28"/>
                <w:szCs w:val="28"/>
              </w:rPr>
              <w:t>2、监测仪器</w:t>
            </w:r>
          </w:p>
          <w:tbl>
            <w:tblPr>
              <w:tblStyle w:val="34"/>
              <w:tblpPr w:leftFromText="180" w:rightFromText="180" w:vertAnchor="text" w:horzAnchor="page" w:tblpX="173" w:tblpY="473"/>
              <w:tblOverlap w:val="never"/>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11"/>
              <w:gridCol w:w="55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3770" w:type="dxa"/>
                  <w:tcBorders>
                    <w:tl2br w:val="nil"/>
                    <w:tr2bl w:val="nil"/>
                  </w:tcBorders>
                  <w:vAlign w:val="center"/>
                </w:tcPr>
                <w:p>
                  <w:pPr>
                    <w:spacing w:line="276" w:lineRule="auto"/>
                    <w:ind w:left="-4" w:leftChars="-2" w:right="-34" w:rightChars="-16" w:firstLine="2" w:firstLineChars="1"/>
                    <w:jc w:val="center"/>
                    <w:rPr>
                      <w:rFonts w:hint="eastAsia" w:ascii="宋体" w:hAnsi="宋体" w:cs="Times New Roman"/>
                      <w:b/>
                      <w:sz w:val="21"/>
                      <w:szCs w:val="21"/>
                      <w:vertAlign w:val="baseline"/>
                    </w:rPr>
                  </w:pPr>
                  <w:r>
                    <w:rPr>
                      <w:rFonts w:hint="eastAsia" w:ascii="宋体" w:hAnsi="宋体" w:eastAsia="宋体" w:cs="宋体"/>
                      <w:b/>
                      <w:sz w:val="21"/>
                      <w:szCs w:val="21"/>
                    </w:rPr>
                    <w:t>监测设备名称</w:t>
                  </w:r>
                </w:p>
              </w:tc>
              <w:tc>
                <w:tcPr>
                  <w:tcW w:w="5652" w:type="dxa"/>
                  <w:tcBorders>
                    <w:tl2br w:val="nil"/>
                    <w:tr2bl w:val="nil"/>
                  </w:tcBorders>
                  <w:vAlign w:val="center"/>
                </w:tcPr>
                <w:p>
                  <w:pPr>
                    <w:spacing w:line="276" w:lineRule="auto"/>
                    <w:ind w:left="-4" w:leftChars="-2" w:right="-34" w:rightChars="-16" w:firstLine="2" w:firstLineChars="1"/>
                    <w:jc w:val="center"/>
                    <w:rPr>
                      <w:rFonts w:hint="eastAsia" w:ascii="宋体" w:hAnsi="宋体" w:cs="Times New Roman"/>
                      <w:b/>
                      <w:sz w:val="21"/>
                      <w:szCs w:val="21"/>
                      <w:vertAlign w:val="baseline"/>
                    </w:rPr>
                  </w:pPr>
                  <w:r>
                    <w:rPr>
                      <w:rFonts w:hint="eastAsia" w:ascii="宋体" w:hAnsi="宋体" w:eastAsia="宋体" w:cs="宋体"/>
                      <w:b/>
                      <w:sz w:val="21"/>
                      <w:szCs w:val="21"/>
                    </w:rPr>
                    <w:t>监测设备</w:t>
                  </w:r>
                  <w:r>
                    <w:rPr>
                      <w:rFonts w:hint="eastAsia" w:ascii="宋体" w:hAnsi="宋体" w:eastAsia="宋体" w:cs="宋体"/>
                      <w:b/>
                      <w:sz w:val="21"/>
                      <w:szCs w:val="21"/>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棕色滴定管</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0-50mL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电热鼓风干燥箱</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103A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万分之一电子天平</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紫外可见分光光度计</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空盒气压表</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声校准器</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AWA6021A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噪声分析仪</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AWA6228+型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自动烟尘烟气测试仪</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生化培养箱</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便携式PH计</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PHBJ-260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自动烟尘烟气测试仪</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70"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真空箱气袋采样器</w:t>
                  </w:r>
                </w:p>
              </w:tc>
              <w:tc>
                <w:tcPr>
                  <w:tcW w:w="5652" w:type="dxa"/>
                  <w:tcBorders>
                    <w:tl2br w:val="nil"/>
                    <w:tr2bl w:val="nil"/>
                  </w:tcBorders>
                  <w:vAlign w:val="center"/>
                </w:tcPr>
                <w:p>
                  <w:pPr>
                    <w:keepNext w:val="0"/>
                    <w:keepLines w:val="0"/>
                    <w:widowControl/>
                    <w:suppressLineNumbers w:val="0"/>
                    <w:jc w:val="center"/>
                    <w:textAlignment w:val="center"/>
                    <w:rPr>
                      <w:rFonts w:hint="eastAsia" w:ascii="宋体" w:hAnsi="宋体" w:cs="Times New Roman"/>
                      <w:b/>
                      <w:sz w:val="21"/>
                      <w:szCs w:val="21"/>
                      <w:vertAlign w:val="baseline"/>
                    </w:rPr>
                  </w:pPr>
                  <w:r>
                    <w:rPr>
                      <w:rFonts w:hint="eastAsia" w:ascii="宋体" w:hAnsi="宋体" w:eastAsia="宋体" w:cs="宋体"/>
                      <w:i w:val="0"/>
                      <w:color w:val="000000"/>
                      <w:kern w:val="0"/>
                      <w:sz w:val="21"/>
                      <w:szCs w:val="21"/>
                      <w:u w:val="none"/>
                      <w:lang w:val="en-US" w:eastAsia="zh-CN" w:bidi="ar"/>
                    </w:rPr>
                    <w:t>ZR-3520</w:t>
                  </w:r>
                </w:p>
              </w:tc>
            </w:tr>
          </w:tbl>
          <w:p>
            <w:pPr>
              <w:spacing w:line="240" w:lineRule="auto"/>
              <w:jc w:val="center"/>
              <w:rPr>
                <w:rFonts w:hint="eastAsia" w:ascii="宋体" w:hAnsi="宋体"/>
                <w:b/>
                <w:sz w:val="28"/>
                <w:szCs w:val="28"/>
              </w:rPr>
            </w:pPr>
            <w:r>
              <w:rPr>
                <w:rFonts w:hint="eastAsia" w:ascii="宋体" w:hAnsi="宋体" w:cs="Times New Roman"/>
                <w:b/>
                <w:sz w:val="24"/>
              </w:rPr>
              <w:t>表5-</w:t>
            </w:r>
            <w:r>
              <w:rPr>
                <w:rFonts w:ascii="宋体" w:hAnsi="宋体" w:cs="Times New Roman"/>
                <w:b/>
                <w:sz w:val="24"/>
              </w:rPr>
              <w:t>2</w:t>
            </w:r>
            <w:r>
              <w:rPr>
                <w:rFonts w:hint="eastAsia" w:ascii="宋体" w:hAnsi="宋体" w:cs="Times New Roman"/>
                <w:b/>
                <w:sz w:val="24"/>
              </w:rPr>
              <w:t xml:space="preserve">  监测仪器一览表</w:t>
            </w:r>
          </w:p>
          <w:p>
            <w:pPr>
              <w:spacing w:line="360" w:lineRule="auto"/>
              <w:jc w:val="left"/>
              <w:rPr>
                <w:rFonts w:ascii="宋体" w:hAnsi="宋体"/>
                <w:b/>
                <w:sz w:val="28"/>
                <w:szCs w:val="28"/>
              </w:rPr>
            </w:pPr>
            <w:r>
              <w:rPr>
                <w:rFonts w:hint="eastAsia" w:ascii="宋体" w:hAnsi="宋体"/>
                <w:b/>
                <w:sz w:val="28"/>
                <w:szCs w:val="28"/>
              </w:rPr>
              <w:t>3、人员资质</w:t>
            </w:r>
          </w:p>
          <w:p>
            <w:pPr>
              <w:ind w:firstLine="420" w:firstLineChars="200"/>
              <w:rPr>
                <w:rFonts w:ascii="宋体" w:hAnsi="宋体"/>
                <w:szCs w:val="21"/>
                <w:lang w:val="zh-CN"/>
              </w:rPr>
            </w:pPr>
            <w:r>
              <w:rPr>
                <w:rFonts w:hint="eastAsia" w:ascii="宋体" w:hAnsi="宋体"/>
                <w:szCs w:val="21"/>
                <w:lang w:val="zh-CN"/>
              </w:rPr>
              <w:t>竣工验收、监测人员均进行上岗培训，经考核合格，获得上岗证。</w:t>
            </w:r>
          </w:p>
          <w:p>
            <w:pPr>
              <w:spacing w:line="360" w:lineRule="auto"/>
              <w:jc w:val="left"/>
              <w:rPr>
                <w:rFonts w:ascii="宋体" w:hAnsi="宋体"/>
                <w:b/>
                <w:sz w:val="28"/>
                <w:szCs w:val="28"/>
              </w:rPr>
            </w:pPr>
            <w:r>
              <w:rPr>
                <w:rFonts w:hint="eastAsia" w:ascii="宋体" w:hAnsi="宋体"/>
                <w:b/>
                <w:sz w:val="28"/>
                <w:szCs w:val="28"/>
              </w:rPr>
              <w:t>4、质控结果</w:t>
            </w:r>
          </w:p>
          <w:p>
            <w:pPr>
              <w:spacing w:line="400" w:lineRule="exact"/>
              <w:rPr>
                <w:rFonts w:ascii="宋体" w:hAnsi="宋体"/>
                <w:b/>
                <w:sz w:val="24"/>
              </w:rPr>
            </w:pPr>
            <w:r>
              <w:rPr>
                <w:rFonts w:hint="eastAsia" w:ascii="宋体" w:hAnsi="宋体"/>
                <w:b/>
                <w:sz w:val="24"/>
              </w:rPr>
              <w:t>4</w:t>
            </w:r>
            <w:r>
              <w:rPr>
                <w:rFonts w:ascii="宋体" w:hAnsi="宋体"/>
                <w:b/>
                <w:sz w:val="24"/>
              </w:rPr>
              <w:t>.1</w:t>
            </w:r>
            <w:r>
              <w:rPr>
                <w:rFonts w:hint="eastAsia" w:ascii="宋体" w:hAnsi="宋体"/>
                <w:b/>
                <w:sz w:val="24"/>
              </w:rPr>
              <w:t>水质监测分析过程中的质量保证和质量控制</w:t>
            </w:r>
          </w:p>
          <w:p>
            <w:pPr>
              <w:spacing w:line="360" w:lineRule="auto"/>
              <w:ind w:firstLine="240" w:firstLineChars="100"/>
              <w:rPr>
                <w:rFonts w:hint="eastAsia" w:ascii="宋体" w:hAnsi="宋体"/>
                <w:sz w:val="24"/>
                <w:lang w:bidi="he-IL"/>
              </w:rPr>
            </w:pPr>
            <w:r>
              <w:rPr>
                <w:rFonts w:hint="eastAsia" w:ascii="宋体" w:hAnsi="宋体"/>
                <w:sz w:val="24"/>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宋体" w:hAnsi="宋体"/>
                <w:b/>
                <w:sz w:val="24"/>
              </w:rPr>
            </w:pPr>
            <w:r>
              <w:rPr>
                <w:rFonts w:ascii="宋体" w:hAnsi="宋体"/>
                <w:b/>
                <w:sz w:val="24"/>
              </w:rPr>
              <w:t>4.2</w:t>
            </w:r>
            <w:r>
              <w:rPr>
                <w:rFonts w:hint="eastAsia" w:ascii="宋体" w:hAnsi="宋体"/>
                <w:b/>
                <w:sz w:val="24"/>
              </w:rPr>
              <w:t>气体监测分析过程中的质量保证和质量控制</w:t>
            </w:r>
          </w:p>
          <w:p>
            <w:pPr>
              <w:spacing w:line="360" w:lineRule="auto"/>
              <w:ind w:firstLine="480" w:firstLineChars="200"/>
              <w:rPr>
                <w:rFonts w:ascii="宋体" w:hAnsi="宋体"/>
                <w:sz w:val="24"/>
                <w:lang w:bidi="he-IL"/>
              </w:rPr>
            </w:pPr>
            <w:r>
              <w:rPr>
                <w:rFonts w:hint="eastAsia" w:ascii="宋体" w:hAnsi="宋体"/>
                <w:sz w:val="24"/>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 对采样仪器的流量计定期进行校准，校准结果合格。</w:t>
            </w:r>
          </w:p>
          <w:p>
            <w:pPr>
              <w:spacing w:line="360" w:lineRule="auto"/>
              <w:rPr>
                <w:rFonts w:ascii="宋体" w:hAnsi="宋体"/>
                <w:b/>
                <w:sz w:val="24"/>
              </w:rPr>
            </w:pPr>
            <w:r>
              <w:rPr>
                <w:rFonts w:ascii="宋体" w:hAnsi="宋体"/>
                <w:b/>
                <w:sz w:val="24"/>
              </w:rPr>
              <w:t>4.3</w:t>
            </w:r>
            <w:r>
              <w:rPr>
                <w:rFonts w:hint="eastAsia" w:ascii="宋体" w:hAnsi="宋体"/>
                <w:b/>
                <w:sz w:val="24"/>
              </w:rPr>
              <w:t>噪声监测分析过程中的质量保证和质量控制</w:t>
            </w:r>
          </w:p>
          <w:p>
            <w:pPr>
              <w:spacing w:line="360" w:lineRule="auto"/>
              <w:ind w:firstLine="480" w:firstLineChars="200"/>
              <w:rPr>
                <w:rFonts w:hint="eastAsia" w:ascii="宋体" w:hAnsi="宋体"/>
                <w:sz w:val="24"/>
                <w:lang w:bidi="he-IL"/>
              </w:rPr>
            </w:pPr>
            <w:r>
              <w:rPr>
                <w:rFonts w:hint="eastAsia" w:ascii="宋体" w:hAnsi="宋体"/>
                <w:sz w:val="24"/>
                <w:lang w:bidi="he-IL"/>
              </w:rPr>
              <w:t>噪声监测时使用经计量部门检定、并在有效使用期内的声级计，在使用前后进行校准， 前后相差在0.5dB以内。</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trPr>
              <w:tc>
                <w:tcPr>
                  <w:tcW w:w="1855" w:type="dxa"/>
                  <w:vMerge w:val="restart"/>
                  <w:tcBorders>
                    <w:tl2br w:val="nil"/>
                    <w:tr2bl w:val="nil"/>
                  </w:tcBorders>
                  <w:vAlign w:val="center"/>
                </w:tcPr>
                <w:p>
                  <w:pPr>
                    <w:spacing w:line="360" w:lineRule="auto"/>
                    <w:jc w:val="center"/>
                    <w:rPr>
                      <w:rFonts w:hint="eastAsia" w:ascii="宋体" w:hAnsi="宋体" w:eastAsia="宋体"/>
                      <w:sz w:val="24"/>
                      <w:vertAlign w:val="baseline"/>
                      <w:lang w:val="en-US" w:eastAsia="zh-CN" w:bidi="he-IL"/>
                    </w:rPr>
                  </w:pPr>
                  <w:r>
                    <w:rPr>
                      <w:rFonts w:hint="eastAsia" w:ascii="宋体" w:hAnsi="宋体"/>
                      <w:sz w:val="24"/>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2020年3月15日</w:t>
                  </w:r>
                </w:p>
              </w:tc>
              <w:tc>
                <w:tcPr>
                  <w:tcW w:w="3712" w:type="dxa"/>
                  <w:gridSpan w:val="2"/>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2020年3月16日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eastAsia" w:ascii="宋体" w:hAnsi="宋体"/>
                      <w:sz w:val="24"/>
                      <w:vertAlign w:val="baseline"/>
                      <w:lang w:bidi="he-IL"/>
                    </w:rPr>
                  </w:pPr>
                </w:p>
              </w:tc>
              <w:tc>
                <w:tcPr>
                  <w:tcW w:w="1855"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昼间</w:t>
                  </w:r>
                </w:p>
              </w:tc>
              <w:tc>
                <w:tcPr>
                  <w:tcW w:w="1855" w:type="dxa"/>
                  <w:tcBorders>
                    <w:tl2br w:val="nil"/>
                    <w:tr2bl w:val="nil"/>
                  </w:tcBorders>
                  <w:vAlign w:val="center"/>
                </w:tcPr>
                <w:p>
                  <w:pPr>
                    <w:spacing w:line="360" w:lineRule="auto"/>
                    <w:jc w:val="center"/>
                    <w:rPr>
                      <w:rFonts w:hint="eastAsia" w:ascii="宋体" w:hAnsi="宋体" w:eastAsia="宋体"/>
                      <w:sz w:val="24"/>
                      <w:vertAlign w:val="baseline"/>
                      <w:lang w:val="en-US" w:eastAsia="zh-CN" w:bidi="he-IL"/>
                    </w:rPr>
                  </w:pPr>
                  <w:r>
                    <w:rPr>
                      <w:rFonts w:hint="eastAsia" w:ascii="宋体" w:hAnsi="宋体"/>
                      <w:sz w:val="24"/>
                      <w:vertAlign w:val="baseline"/>
                      <w:lang w:val="en-US" w:eastAsia="zh-CN" w:bidi="he-IL"/>
                    </w:rPr>
                    <w:t>夜间</w:t>
                  </w:r>
                </w:p>
              </w:tc>
              <w:tc>
                <w:tcPr>
                  <w:tcW w:w="1856" w:type="dxa"/>
                  <w:tcBorders>
                    <w:tl2br w:val="nil"/>
                    <w:tr2bl w:val="nil"/>
                  </w:tcBorders>
                  <w:vAlign w:val="center"/>
                </w:tcPr>
                <w:p>
                  <w:pPr>
                    <w:spacing w:line="360" w:lineRule="auto"/>
                    <w:jc w:val="center"/>
                    <w:rPr>
                      <w:rFonts w:hint="eastAsia" w:ascii="宋体" w:hAnsi="宋体" w:eastAsia="宋体"/>
                      <w:sz w:val="24"/>
                      <w:vertAlign w:val="baseline"/>
                      <w:lang w:val="en-US" w:eastAsia="zh-CN" w:bidi="he-IL"/>
                    </w:rPr>
                  </w:pPr>
                  <w:r>
                    <w:rPr>
                      <w:rFonts w:hint="eastAsia" w:ascii="宋体" w:hAnsi="宋体"/>
                      <w:sz w:val="24"/>
                      <w:vertAlign w:val="baseline"/>
                      <w:lang w:val="en-US" w:eastAsia="zh-CN" w:bidi="he-IL"/>
                    </w:rPr>
                    <w:t>昼间</w:t>
                  </w:r>
                </w:p>
              </w:tc>
              <w:tc>
                <w:tcPr>
                  <w:tcW w:w="1856" w:type="dxa"/>
                  <w:tcBorders>
                    <w:tl2br w:val="nil"/>
                    <w:tr2bl w:val="nil"/>
                  </w:tcBorders>
                  <w:vAlign w:val="center"/>
                </w:tcPr>
                <w:p>
                  <w:pPr>
                    <w:spacing w:line="360" w:lineRule="auto"/>
                    <w:jc w:val="center"/>
                    <w:rPr>
                      <w:rFonts w:hint="eastAsia" w:ascii="宋体" w:hAnsi="宋体" w:eastAsia="宋体"/>
                      <w:sz w:val="24"/>
                      <w:vertAlign w:val="baseline"/>
                      <w:lang w:val="en-US" w:eastAsia="zh-CN" w:bidi="he-IL"/>
                    </w:rPr>
                  </w:pPr>
                  <w:r>
                    <w:rPr>
                      <w:rFonts w:hint="eastAsia" w:ascii="宋体" w:hAnsi="宋体"/>
                      <w:sz w:val="24"/>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vertAlign w:val="baseline"/>
                      <w:lang w:val="en-US" w:eastAsia="zh-CN" w:bidi="he-IL"/>
                    </w:rPr>
                  </w:pPr>
                  <w:r>
                    <w:rPr>
                      <w:rFonts w:hint="eastAsia" w:ascii="宋体" w:hAnsi="宋体"/>
                      <w:sz w:val="24"/>
                      <w:vertAlign w:val="baseline"/>
                      <w:lang w:val="en-US" w:eastAsia="zh-CN" w:bidi="he-IL"/>
                    </w:rPr>
                    <w:t>测量前dB(A)</w:t>
                  </w:r>
                </w:p>
              </w:tc>
              <w:tc>
                <w:tcPr>
                  <w:tcW w:w="1855"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93.7</w:t>
                  </w:r>
                </w:p>
              </w:tc>
              <w:tc>
                <w:tcPr>
                  <w:tcW w:w="1855"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93.8</w:t>
                  </w:r>
                </w:p>
              </w:tc>
              <w:tc>
                <w:tcPr>
                  <w:tcW w:w="1856"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93.7</w:t>
                  </w:r>
                </w:p>
              </w:tc>
              <w:tc>
                <w:tcPr>
                  <w:tcW w:w="1856"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vertAlign w:val="baseline"/>
                      <w:lang w:val="en-US" w:eastAsia="zh-CN" w:bidi="he-IL"/>
                    </w:rPr>
                  </w:pPr>
                  <w:r>
                    <w:rPr>
                      <w:rFonts w:hint="eastAsia" w:ascii="宋体" w:hAnsi="宋体"/>
                      <w:sz w:val="24"/>
                      <w:vertAlign w:val="baseline"/>
                      <w:lang w:val="en-US" w:eastAsia="zh-CN" w:bidi="he-IL"/>
                    </w:rPr>
                    <w:t>测量后dB(A)</w:t>
                  </w:r>
                </w:p>
              </w:tc>
              <w:tc>
                <w:tcPr>
                  <w:tcW w:w="1855"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93.8</w:t>
                  </w:r>
                </w:p>
              </w:tc>
              <w:tc>
                <w:tcPr>
                  <w:tcW w:w="1855"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93.8</w:t>
                  </w:r>
                </w:p>
              </w:tc>
              <w:tc>
                <w:tcPr>
                  <w:tcW w:w="1856"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93.8</w:t>
                  </w:r>
                </w:p>
              </w:tc>
              <w:tc>
                <w:tcPr>
                  <w:tcW w:w="1856" w:type="dxa"/>
                  <w:tcBorders>
                    <w:tl2br w:val="nil"/>
                    <w:tr2bl w:val="nil"/>
                  </w:tcBorders>
                  <w:vAlign w:val="center"/>
                </w:tcPr>
                <w:p>
                  <w:pPr>
                    <w:spacing w:line="360" w:lineRule="auto"/>
                    <w:jc w:val="center"/>
                    <w:rPr>
                      <w:rFonts w:hint="default" w:ascii="宋体" w:hAnsi="宋体" w:eastAsia="宋体"/>
                      <w:sz w:val="24"/>
                      <w:vertAlign w:val="baseline"/>
                      <w:lang w:val="en-US" w:eastAsia="zh-CN" w:bidi="he-IL"/>
                    </w:rPr>
                  </w:pPr>
                  <w:r>
                    <w:rPr>
                      <w:rFonts w:hint="eastAsia" w:ascii="宋体" w:hAnsi="宋体"/>
                      <w:sz w:val="24"/>
                      <w:vertAlign w:val="baseline"/>
                      <w:lang w:val="en-US" w:eastAsia="zh-CN" w:bidi="he-IL"/>
                    </w:rPr>
                    <w:t>93.8</w:t>
                  </w:r>
                </w:p>
              </w:tc>
            </w:tr>
          </w:tbl>
          <w:p>
            <w:pPr>
              <w:spacing w:line="360" w:lineRule="auto"/>
              <w:ind w:firstLine="480" w:firstLineChars="200"/>
              <w:rPr>
                <w:rFonts w:hint="eastAsia" w:ascii="宋体" w:hAnsi="宋体"/>
                <w:sz w:val="24"/>
                <w:lang w:bidi="he-IL"/>
              </w:rPr>
            </w:pPr>
          </w:p>
          <w:p/>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验收监测内容：</w:t>
            </w:r>
          </w:p>
          <w:p>
            <w:pPr>
              <w:rPr>
                <w:rFonts w:ascii="宋体" w:hAnsi="宋体"/>
                <w:b/>
                <w:sz w:val="28"/>
                <w:szCs w:val="28"/>
              </w:rPr>
            </w:pPr>
            <w:r>
              <w:rPr>
                <w:rFonts w:hint="eastAsia" w:ascii="宋体" w:hAnsi="宋体"/>
                <w:b/>
                <w:sz w:val="28"/>
                <w:szCs w:val="28"/>
              </w:rPr>
              <w:t>1、废水</w:t>
            </w:r>
          </w:p>
          <w:p>
            <w:pPr>
              <w:jc w:val="center"/>
              <w:rPr>
                <w:rFonts w:ascii="宋体" w:hAnsi="宋体"/>
                <w:b/>
                <w:sz w:val="24"/>
              </w:rPr>
            </w:pPr>
            <w:r>
              <w:rPr>
                <w:rFonts w:hint="eastAsia" w:ascii="宋体" w:hAnsi="宋体"/>
                <w:b/>
                <w:sz w:val="24"/>
              </w:rPr>
              <w:t>表6-1  废水验收监测内容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ascii="宋体" w:hAnsi="宋体"/>
                      <w:sz w:val="24"/>
                    </w:rPr>
                  </w:pPr>
                  <w:r>
                    <w:rPr>
                      <w:rFonts w:hint="eastAsia" w:ascii="宋体" w:hAnsi="宋体"/>
                      <w:sz w:val="24"/>
                    </w:rPr>
                    <w:t>监测点位</w:t>
                  </w:r>
                </w:p>
              </w:tc>
              <w:tc>
                <w:tcPr>
                  <w:tcW w:w="3013"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ascii="宋体" w:hAnsi="宋体" w:eastAsia="宋体"/>
                      <w:sz w:val="24"/>
                      <w:lang w:eastAsia="zh-CN"/>
                    </w:rPr>
                  </w:pPr>
                  <w:r>
                    <w:rPr>
                      <w:rFonts w:hint="eastAsia" w:ascii="宋体" w:hAnsi="宋体"/>
                      <w:color w:val="000000"/>
                      <w:sz w:val="24"/>
                      <w:lang w:val="en-US" w:eastAsia="zh-CN"/>
                    </w:rPr>
                    <w:t>污水总排口</w:t>
                  </w:r>
                </w:p>
              </w:tc>
              <w:tc>
                <w:tcPr>
                  <w:tcW w:w="3013" w:type="dxa"/>
                  <w:vAlign w:val="center"/>
                </w:tcPr>
                <w:p>
                  <w:pPr>
                    <w:jc w:val="center"/>
                    <w:rPr>
                      <w:rFonts w:ascii="宋体" w:hAnsi="宋体"/>
                      <w:sz w:val="24"/>
                    </w:rPr>
                  </w:pPr>
                  <w:r>
                    <w:rPr>
                      <w:rFonts w:hint="eastAsia" w:ascii="宋体" w:hAnsi="宋体"/>
                      <w:sz w:val="24"/>
                    </w:rPr>
                    <w:t>pH、COD、SS、B</w:t>
                  </w:r>
                  <w:r>
                    <w:rPr>
                      <w:rFonts w:ascii="宋体" w:hAnsi="宋体"/>
                      <w:sz w:val="24"/>
                    </w:rPr>
                    <w:t>OD</w:t>
                  </w:r>
                  <w:r>
                    <w:rPr>
                      <w:rFonts w:hint="eastAsia" w:ascii="宋体" w:hAnsi="宋体"/>
                      <w:sz w:val="24"/>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p>
              </w:tc>
              <w:tc>
                <w:tcPr>
                  <w:tcW w:w="2777" w:type="dxa"/>
                  <w:vAlign w:val="center"/>
                </w:tcPr>
                <w:p>
                  <w:pPr>
                    <w:jc w:val="center"/>
                    <w:rPr>
                      <w:rFonts w:ascii="宋体" w:hAnsi="宋体"/>
                      <w:sz w:val="24"/>
                    </w:rPr>
                  </w:pPr>
                  <w:r>
                    <w:rPr>
                      <w:rFonts w:ascii="宋体" w:hAnsi="宋体"/>
                      <w:sz w:val="24"/>
                    </w:rPr>
                    <w:t>2</w:t>
                  </w:r>
                  <w:r>
                    <w:rPr>
                      <w:rFonts w:hint="eastAsia" w:ascii="宋体" w:hAnsi="宋体"/>
                      <w:sz w:val="24"/>
                    </w:rPr>
                    <w:t>周期，每周期4频次</w:t>
                  </w:r>
                </w:p>
              </w:tc>
            </w:tr>
          </w:tbl>
          <w:p>
            <w:pPr>
              <w:rPr>
                <w:rFonts w:ascii="宋体" w:hAnsi="宋体"/>
                <w:b/>
                <w:sz w:val="28"/>
                <w:szCs w:val="28"/>
              </w:rPr>
            </w:pPr>
            <w:r>
              <w:rPr>
                <w:rFonts w:ascii="宋体" w:hAnsi="宋体"/>
                <w:b/>
                <w:sz w:val="28"/>
                <w:szCs w:val="28"/>
              </w:rPr>
              <w:t>2</w:t>
            </w:r>
            <w:r>
              <w:rPr>
                <w:rFonts w:hint="eastAsia" w:ascii="宋体" w:hAnsi="宋体"/>
                <w:b/>
                <w:sz w:val="28"/>
                <w:szCs w:val="28"/>
              </w:rPr>
              <w:t>、废气</w:t>
            </w:r>
          </w:p>
          <w:p>
            <w:pPr>
              <w:jc w:val="center"/>
              <w:rPr>
                <w:rFonts w:ascii="宋体" w:hAnsi="宋体"/>
                <w:b/>
                <w:sz w:val="24"/>
              </w:rPr>
            </w:pPr>
            <w:r>
              <w:rPr>
                <w:rFonts w:hint="eastAsia" w:ascii="宋体" w:hAnsi="宋体"/>
                <w:b/>
                <w:sz w:val="24"/>
              </w:rPr>
              <w:t>表6-</w:t>
            </w:r>
            <w:r>
              <w:rPr>
                <w:rFonts w:ascii="宋体" w:hAnsi="宋体"/>
                <w:b/>
                <w:sz w:val="24"/>
              </w:rPr>
              <w:t>2</w:t>
            </w:r>
            <w:r>
              <w:rPr>
                <w:rFonts w:hint="eastAsia" w:ascii="宋体" w:hAnsi="宋体"/>
                <w:b/>
                <w:sz w:val="24"/>
              </w:rPr>
              <w:t xml:space="preserve">  废气验收监测内容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730"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有组织废气</w:t>
                  </w:r>
                </w:p>
              </w:tc>
              <w:tc>
                <w:tcPr>
                  <w:tcW w:w="2640" w:type="dxa"/>
                  <w:vAlign w:val="center"/>
                </w:tcPr>
                <w:p>
                  <w:pPr>
                    <w:jc w:val="center"/>
                    <w:rPr>
                      <w:rFonts w:hint="default" w:ascii="宋体" w:hAnsi="宋体" w:eastAsia="宋体"/>
                      <w:sz w:val="24"/>
                      <w:lang w:val="en-US" w:eastAsia="zh-CN"/>
                    </w:rPr>
                  </w:pPr>
                  <w:r>
                    <w:rPr>
                      <w:rFonts w:hint="eastAsia" w:ascii="宋体" w:hAnsi="宋体"/>
                      <w:sz w:val="24"/>
                      <w:lang w:val="en-US" w:eastAsia="zh-CN"/>
                    </w:rPr>
                    <w:t>排气筒进出口</w:t>
                  </w:r>
                </w:p>
              </w:tc>
              <w:tc>
                <w:tcPr>
                  <w:tcW w:w="2730" w:type="dxa"/>
                  <w:vAlign w:val="center"/>
                </w:tcPr>
                <w:p>
                  <w:pPr>
                    <w:jc w:val="center"/>
                    <w:rPr>
                      <w:rFonts w:ascii="宋体" w:hAnsi="宋体"/>
                      <w:sz w:val="24"/>
                    </w:rPr>
                  </w:pPr>
                  <w:r>
                    <w:rPr>
                      <w:rFonts w:hint="eastAsia" w:ascii="宋体" w:hAnsi="宋体"/>
                      <w:sz w:val="24"/>
                    </w:rPr>
                    <w:t>非甲烷总烃</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无组织废气</w:t>
                  </w:r>
                </w:p>
              </w:tc>
              <w:tc>
                <w:tcPr>
                  <w:tcW w:w="2640" w:type="dxa"/>
                  <w:vAlign w:val="center"/>
                </w:tcPr>
                <w:p>
                  <w:pPr>
                    <w:spacing w:line="276" w:lineRule="auto"/>
                    <w:jc w:val="center"/>
                    <w:rPr>
                      <w:rFonts w:hint="default" w:ascii="宋体" w:hAnsi="宋体" w:eastAsia="宋体"/>
                      <w:bCs/>
                      <w:sz w:val="24"/>
                      <w:lang w:val="en-US" w:eastAsia="zh-CN"/>
                    </w:rPr>
                  </w:pPr>
                  <w:r>
                    <w:rPr>
                      <w:rFonts w:hint="eastAsia" w:ascii="宋体" w:hAnsi="宋体"/>
                      <w:color w:val="000000"/>
                      <w:sz w:val="24"/>
                      <w:shd w:val="clear" w:color="auto" w:fill="FFFFFF"/>
                      <w:lang w:val="en-US" w:eastAsia="zh-CN"/>
                    </w:rPr>
                    <w:t>上风向1、下风向1、下风向2、下风向3</w:t>
                  </w:r>
                </w:p>
              </w:tc>
              <w:tc>
                <w:tcPr>
                  <w:tcW w:w="2730" w:type="dxa"/>
                  <w:vAlign w:val="center"/>
                </w:tcPr>
                <w:p>
                  <w:pPr>
                    <w:spacing w:line="276" w:lineRule="auto"/>
                    <w:jc w:val="center"/>
                    <w:rPr>
                      <w:rFonts w:ascii="宋体" w:hAnsi="宋体"/>
                      <w:sz w:val="24"/>
                    </w:rPr>
                  </w:pPr>
                  <w:r>
                    <w:rPr>
                      <w:rFonts w:hint="eastAsia" w:ascii="宋体" w:hAnsi="宋体"/>
                      <w:sz w:val="24"/>
                    </w:rPr>
                    <w:t>非甲烷总烃</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bl>
          <w:p>
            <w:pPr>
              <w:rPr>
                <w:rFonts w:ascii="宋体" w:hAnsi="宋体"/>
                <w:b/>
                <w:sz w:val="28"/>
                <w:szCs w:val="28"/>
              </w:rPr>
            </w:pPr>
            <w:r>
              <w:rPr>
                <w:rFonts w:hint="eastAsia" w:ascii="宋体" w:hAnsi="宋体"/>
                <w:b/>
                <w:sz w:val="28"/>
                <w:szCs w:val="28"/>
              </w:rPr>
              <w:t>3、噪声</w:t>
            </w:r>
          </w:p>
          <w:p>
            <w:pPr>
              <w:jc w:val="center"/>
              <w:rPr>
                <w:rFonts w:ascii="宋体" w:hAnsi="宋体"/>
                <w:b/>
                <w:sz w:val="24"/>
              </w:rPr>
            </w:pPr>
            <w:r>
              <w:rPr>
                <w:rFonts w:hint="eastAsia" w:ascii="宋体" w:hAnsi="宋体"/>
                <w:b/>
                <w:sz w:val="24"/>
              </w:rPr>
              <w:t>表6-</w:t>
            </w:r>
            <w:r>
              <w:rPr>
                <w:rFonts w:ascii="宋体" w:hAnsi="宋体"/>
                <w:b/>
                <w:sz w:val="24"/>
              </w:rPr>
              <w:t xml:space="preserve">3 </w:t>
            </w:r>
            <w:r>
              <w:rPr>
                <w:rFonts w:hint="eastAsia" w:ascii="宋体" w:hAnsi="宋体"/>
                <w:b/>
                <w:sz w:val="24"/>
              </w:rPr>
              <w:t xml:space="preserve"> 噪声验收监测内容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818"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噪声</w:t>
                  </w:r>
                </w:p>
              </w:tc>
              <w:tc>
                <w:tcPr>
                  <w:tcW w:w="2552" w:type="dxa"/>
                  <w:vAlign w:val="center"/>
                </w:tcPr>
                <w:p>
                  <w:pPr>
                    <w:spacing w:line="276" w:lineRule="auto"/>
                    <w:jc w:val="center"/>
                    <w:rPr>
                      <w:rFonts w:ascii="宋体" w:hAnsi="宋体"/>
                      <w:bCs/>
                      <w:sz w:val="24"/>
                    </w:rPr>
                  </w:pPr>
                  <w:r>
                    <w:rPr>
                      <w:rFonts w:hint="eastAsia" w:ascii="宋体" w:hAnsi="宋体"/>
                      <w:color w:val="000000"/>
                      <w:sz w:val="24"/>
                      <w:shd w:val="clear" w:color="auto" w:fill="FFFFFF"/>
                    </w:rPr>
                    <w:t>厂界东侧、南侧、西侧、北侧</w:t>
                  </w:r>
                </w:p>
              </w:tc>
              <w:tc>
                <w:tcPr>
                  <w:tcW w:w="2818" w:type="dxa"/>
                  <w:vAlign w:val="center"/>
                </w:tcPr>
                <w:p>
                  <w:pPr>
                    <w:spacing w:line="276" w:lineRule="auto"/>
                    <w:jc w:val="center"/>
                    <w:rPr>
                      <w:rFonts w:ascii="宋体" w:hAnsi="宋体" w:cs="宋体"/>
                      <w:sz w:val="24"/>
                    </w:rPr>
                  </w:pPr>
                  <w:r>
                    <w:rPr>
                      <w:rFonts w:hint="eastAsia" w:ascii="宋体" w:hAnsi="宋体" w:cs="宋体"/>
                      <w:sz w:val="24"/>
                    </w:rPr>
                    <w:t>昼间</w:t>
                  </w:r>
                  <w:r>
                    <w:rPr>
                      <w:rFonts w:hint="eastAsia" w:ascii="宋体" w:hAnsi="宋体" w:cs="宋体"/>
                      <w:sz w:val="24"/>
                      <w:lang w:eastAsia="zh-CN"/>
                    </w:rPr>
                    <w:t>、</w:t>
                  </w:r>
                  <w:r>
                    <w:rPr>
                      <w:rFonts w:hint="eastAsia" w:ascii="宋体" w:hAnsi="宋体" w:cs="宋体"/>
                      <w:sz w:val="24"/>
                      <w:lang w:val="en-US" w:eastAsia="zh-CN"/>
                    </w:rPr>
                    <w:t>夜间</w:t>
                  </w:r>
                  <w:r>
                    <w:rPr>
                      <w:rFonts w:hint="eastAsia" w:ascii="宋体" w:hAnsi="宋体" w:cs="宋体"/>
                      <w:sz w:val="24"/>
                    </w:rPr>
                    <w:t>噪声</w:t>
                  </w:r>
                </w:p>
              </w:tc>
              <w:tc>
                <w:tcPr>
                  <w:tcW w:w="2777" w:type="dxa"/>
                  <w:vAlign w:val="center"/>
                </w:tcPr>
                <w:p>
                  <w:pPr>
                    <w:spacing w:line="276" w:lineRule="auto"/>
                    <w:jc w:val="center"/>
                    <w:rPr>
                      <w:rFonts w:ascii="宋体" w:hAnsi="宋体"/>
                      <w:sz w:val="24"/>
                    </w:rPr>
                  </w:pPr>
                  <w:r>
                    <w:rPr>
                      <w:rFonts w:hint="eastAsia" w:ascii="宋体" w:hAnsi="宋体"/>
                      <w:sz w:val="24"/>
                    </w:rPr>
                    <w:t>1天1频次，监测2天</w:t>
                  </w:r>
                </w:p>
              </w:tc>
            </w:tr>
          </w:tbl>
          <w:p>
            <w:pPr>
              <w:spacing w:line="360" w:lineRule="auto"/>
              <w:rPr>
                <w:rFonts w:hint="eastAsia" w:ascii="宋体" w:hAnsi="宋体"/>
                <w:b/>
                <w:sz w:val="28"/>
                <w:szCs w:val="28"/>
                <w:highlight w:val="none"/>
                <w:lang w:val="en-US" w:eastAsia="zh-CN"/>
              </w:rPr>
            </w:pPr>
            <w:r>
              <w:rPr>
                <w:rFonts w:hint="eastAsia" w:ascii="宋体" w:hAnsi="宋体"/>
                <w:b/>
                <w:sz w:val="28"/>
                <w:szCs w:val="28"/>
                <w:highlight w:val="none"/>
                <w:lang w:val="en-US" w:eastAsia="zh-CN"/>
              </w:rPr>
              <w:t>4、监测点位示意图</w:t>
            </w:r>
          </w:p>
          <w:p>
            <w:pPr>
              <w:spacing w:line="360" w:lineRule="auto"/>
              <w:jc w:val="center"/>
              <w:rPr>
                <w:rFonts w:hint="default" w:ascii="宋体" w:hAnsi="宋体"/>
                <w:b/>
                <w:sz w:val="28"/>
                <w:szCs w:val="28"/>
                <w:highlight w:val="yellow"/>
                <w:lang w:val="en-US" w:eastAsia="zh-CN"/>
              </w:rPr>
            </w:pPr>
            <w:r>
              <w:rPr>
                <w:rFonts w:hint="default" w:ascii="宋体" w:hAnsi="宋体"/>
                <w:b/>
                <w:sz w:val="28"/>
                <w:szCs w:val="28"/>
                <w:highlight w:val="none"/>
                <w:lang w:val="en-US" w:eastAsia="zh-CN"/>
              </w:rPr>
              <w:drawing>
                <wp:inline distT="0" distB="0" distL="114300" distR="114300">
                  <wp:extent cx="5406390" cy="2329180"/>
                  <wp:effectExtent l="0" t="0" r="3810" b="13970"/>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pic:cNvPicPr>
                        </pic:nvPicPr>
                        <pic:blipFill>
                          <a:blip r:embed="rId13"/>
                          <a:stretch>
                            <a:fillRect/>
                          </a:stretch>
                        </pic:blipFill>
                        <pic:spPr>
                          <a:xfrm>
                            <a:off x="0" y="0"/>
                            <a:ext cx="5406390" cy="2329180"/>
                          </a:xfrm>
                          <a:prstGeom prst="rect">
                            <a:avLst/>
                          </a:prstGeom>
                          <a:noFill/>
                          <a:ln>
                            <a:noFill/>
                          </a:ln>
                        </pic:spPr>
                      </pic:pic>
                    </a:graphicData>
                  </a:graphic>
                </wp:inline>
              </w:drawing>
            </w:r>
          </w:p>
          <w:p>
            <w:pPr>
              <w:spacing w:line="360" w:lineRule="auto"/>
              <w:jc w:val="center"/>
              <w:rPr>
                <w:rFonts w:ascii="宋体" w:hAnsi="宋体"/>
                <w:b/>
                <w:sz w:val="28"/>
                <w:szCs w:val="28"/>
              </w:rPr>
            </w:pPr>
            <w:r>
              <w:rPr>
                <w:rFonts w:hint="eastAsia"/>
                <w:b/>
                <w:kern w:val="0"/>
                <w:sz w:val="24"/>
                <w:highlight w:val="none"/>
              </w:rPr>
              <w:t>图</w:t>
            </w:r>
            <w:r>
              <w:rPr>
                <w:rFonts w:hint="eastAsia"/>
                <w:b/>
                <w:kern w:val="0"/>
                <w:sz w:val="24"/>
                <w:highlight w:val="none"/>
                <w:lang w:val="en-US" w:eastAsia="zh-CN"/>
              </w:rPr>
              <w:t>6</w:t>
            </w:r>
            <w:r>
              <w:rPr>
                <w:b/>
                <w:kern w:val="0"/>
                <w:sz w:val="24"/>
                <w:highlight w:val="none"/>
              </w:rPr>
              <w:t xml:space="preserve">-1  </w:t>
            </w:r>
            <w:r>
              <w:rPr>
                <w:rFonts w:hint="default"/>
                <w:b/>
                <w:kern w:val="0"/>
                <w:sz w:val="24"/>
                <w:highlight w:val="none"/>
                <w:lang w:val="en-US" w:eastAsia="zh-CN"/>
              </w:rPr>
              <w:t>采样点与监测点布置图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4"/>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  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b/>
                <w:sz w:val="24"/>
              </w:rPr>
            </w:pPr>
            <w:r>
              <w:rPr>
                <w:rFonts w:hint="eastAsia" w:ascii="宋体" w:hAnsi="宋体" w:eastAsia="宋体" w:cs="Times New Roman"/>
                <w:sz w:val="24"/>
              </w:rPr>
              <w:t>监测期间主体工程工况稳定、环境保护设施运行正常，满足监测工况条件要求。</w:t>
            </w:r>
          </w:p>
          <w:p>
            <w:pPr>
              <w:spacing w:line="360" w:lineRule="auto"/>
              <w:jc w:val="left"/>
              <w:rPr>
                <w:rFonts w:ascii="宋体" w:hAnsi="宋体" w:eastAsia="宋体" w:cs="Times New Roman"/>
                <w:b/>
                <w:sz w:val="28"/>
                <w:szCs w:val="28"/>
              </w:rPr>
            </w:pPr>
            <w:r>
              <w:rPr>
                <w:rFonts w:hint="eastAsia" w:ascii="宋体" w:hAnsi="宋体" w:eastAsia="宋体" w:cs="Times New Roman"/>
                <w:b/>
                <w:sz w:val="28"/>
                <w:szCs w:val="28"/>
              </w:rPr>
              <w:t>验收监测结果：</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1、废水监测结果</w:t>
            </w:r>
          </w:p>
          <w:p>
            <w:pPr>
              <w:widowControl/>
              <w:spacing w:line="360" w:lineRule="auto"/>
              <w:jc w:val="right"/>
              <w:rPr>
                <w:rFonts w:hint="default" w:ascii="宋体" w:hAnsi="宋体" w:eastAsia="宋体" w:cs="宋体"/>
                <w:b/>
                <w:sz w:val="24"/>
                <w:szCs w:val="24"/>
                <w:lang w:val="en-US" w:eastAsia="zh-CN"/>
              </w:rPr>
            </w:pPr>
            <w:r>
              <w:rPr>
                <w:rFonts w:hint="eastAsia" w:ascii="宋体" w:hAnsi="宋体" w:eastAsia="宋体" w:cs="宋体"/>
                <w:b/>
                <w:sz w:val="24"/>
                <w:szCs w:val="24"/>
              </w:rPr>
              <w:t>表7</w:t>
            </w:r>
            <w:r>
              <w:rPr>
                <w:rFonts w:ascii="宋体" w:hAnsi="宋体" w:eastAsia="宋体" w:cs="宋体"/>
                <w:b/>
                <w:sz w:val="24"/>
                <w:szCs w:val="24"/>
              </w:rPr>
              <w:t>-1</w:t>
            </w:r>
            <w:r>
              <w:rPr>
                <w:rFonts w:hint="eastAsia" w:ascii="宋体" w:hAnsi="宋体" w:eastAsia="宋体" w:cs="宋体"/>
                <w:b/>
                <w:sz w:val="24"/>
                <w:szCs w:val="24"/>
              </w:rPr>
              <w:t xml:space="preserve">  废水监测结果表</w:t>
            </w:r>
            <w:r>
              <w:rPr>
                <w:rFonts w:hint="eastAsia" w:ascii="宋体" w:hAnsi="宋体" w:cs="宋体"/>
                <w:b/>
                <w:sz w:val="24"/>
                <w:szCs w:val="24"/>
                <w:lang w:val="en-US" w:eastAsia="zh-CN"/>
              </w:rPr>
              <w:t xml:space="preserve">          单位：mg/L；pH：无量纲</w:t>
            </w:r>
          </w:p>
          <w:tbl>
            <w:tblPr>
              <w:tblStyle w:val="34"/>
              <w:tblW w:w="487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09"/>
              <w:gridCol w:w="1597"/>
              <w:gridCol w:w="1745"/>
              <w:gridCol w:w="1102"/>
              <w:gridCol w:w="1102"/>
              <w:gridCol w:w="1106"/>
              <w:gridCol w:w="1103"/>
              <w:gridCol w:w="11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0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监测点位</w:t>
                  </w:r>
                </w:p>
              </w:tc>
              <w:tc>
                <w:tcPr>
                  <w:tcW w:w="159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监测日期</w:t>
                  </w: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监测频次</w:t>
                  </w:r>
                </w:p>
              </w:tc>
              <w:tc>
                <w:tcPr>
                  <w:tcW w:w="110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PH</w:t>
                  </w:r>
                </w:p>
              </w:tc>
              <w:tc>
                <w:tcPr>
                  <w:tcW w:w="110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氨氮</w:t>
                  </w:r>
                </w:p>
              </w:tc>
              <w:tc>
                <w:tcPr>
                  <w:tcW w:w="110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COD</w:t>
                  </w:r>
                  <w:r>
                    <w:rPr>
                      <w:rFonts w:hint="eastAsia" w:ascii="宋体" w:hAnsi="宋体" w:eastAsia="宋体" w:cs="宋体"/>
                      <w:sz w:val="21"/>
                      <w:szCs w:val="21"/>
                      <w:vertAlign w:val="subscript"/>
                      <w:lang w:val="en-US" w:eastAsia="zh-CN"/>
                    </w:rPr>
                    <w:t>cr</w:t>
                  </w:r>
                </w:p>
              </w:tc>
              <w:tc>
                <w:tcPr>
                  <w:tcW w:w="110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BOD</w:t>
                  </w:r>
                  <w:r>
                    <w:rPr>
                      <w:rFonts w:hint="eastAsia" w:ascii="宋体" w:hAnsi="宋体" w:eastAsia="宋体" w:cs="宋体"/>
                      <w:sz w:val="21"/>
                      <w:szCs w:val="21"/>
                      <w:vertAlign w:val="subscript"/>
                      <w:lang w:val="en-US" w:eastAsia="zh-CN"/>
                    </w:rPr>
                    <w:t>5</w:t>
                  </w:r>
                </w:p>
              </w:tc>
              <w:tc>
                <w:tcPr>
                  <w:tcW w:w="110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0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污水总排口</w:t>
                  </w:r>
                </w:p>
              </w:tc>
              <w:tc>
                <w:tcPr>
                  <w:tcW w:w="1597"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rPr>
                  </w:pPr>
                  <w:r>
                    <w:rPr>
                      <w:rFonts w:hint="eastAsia" w:ascii="宋体" w:hAnsi="宋体" w:eastAsia="宋体" w:cs="宋体"/>
                      <w:sz w:val="21"/>
                      <w:szCs w:val="21"/>
                      <w:lang w:val="en-US" w:eastAsia="zh-CN"/>
                    </w:rPr>
                    <w:t>2020.03.15</w:t>
                  </w: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第一次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7.01</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10.8</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22</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8.9</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9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第二次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7.00</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10.9</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27</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10.7</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9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第三次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7.01</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10.5</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20</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8.2</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9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第四次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7.00</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11.1</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34</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15.0</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97"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rPr>
                  </w:pPr>
                  <w:r>
                    <w:rPr>
                      <w:rFonts w:hint="eastAsia" w:ascii="宋体" w:hAnsi="宋体" w:eastAsia="宋体" w:cs="宋体"/>
                      <w:sz w:val="21"/>
                      <w:szCs w:val="21"/>
                      <w:lang w:val="en-US" w:eastAsia="zh-CN"/>
                    </w:rPr>
                    <w:t>2020.03.16</w:t>
                  </w: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第一次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6.97</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10.8</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25</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9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第二次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7.01</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10.5</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32</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14.8</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9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第三次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7.01</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29</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13.7</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97"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74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第四次</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color w:val="000000"/>
                      <w:kern w:val="0"/>
                      <w:sz w:val="21"/>
                      <w:szCs w:val="21"/>
                      <w:u w:val="none"/>
                      <w:lang w:val="en-US" w:eastAsia="zh-CN" w:bidi="ar"/>
                    </w:rPr>
                    <w:t>7.00</w:t>
                  </w:r>
                </w:p>
              </w:tc>
              <w:tc>
                <w:tcPr>
                  <w:tcW w:w="11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11.2</w:t>
                  </w:r>
                </w:p>
              </w:tc>
              <w:tc>
                <w:tcPr>
                  <w:tcW w:w="110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24</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9.6</w:t>
                  </w:r>
                </w:p>
              </w:tc>
              <w:tc>
                <w:tcPr>
                  <w:tcW w:w="1103"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551"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执行标准限值</w:t>
                  </w:r>
                </w:p>
              </w:tc>
              <w:tc>
                <w:tcPr>
                  <w:tcW w:w="110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6-9</w:t>
                  </w:r>
                </w:p>
              </w:tc>
              <w:tc>
                <w:tcPr>
                  <w:tcW w:w="110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宋体" w:hAnsi="宋体" w:eastAsia="宋体" w:cs="宋体"/>
                      <w:sz w:val="21"/>
                      <w:szCs w:val="21"/>
                      <w:lang w:val="en-US"/>
                    </w:rPr>
                  </w:pPr>
                  <w:r>
                    <w:rPr>
                      <w:rFonts w:hint="eastAsia" w:ascii="宋体" w:hAnsi="宋体" w:cs="宋体"/>
                      <w:sz w:val="21"/>
                      <w:szCs w:val="21"/>
                      <w:lang w:val="en-US" w:eastAsia="zh-CN"/>
                    </w:rPr>
                    <w:t>--</w:t>
                  </w:r>
                </w:p>
              </w:tc>
              <w:tc>
                <w:tcPr>
                  <w:tcW w:w="110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500</w:t>
                  </w:r>
                </w:p>
              </w:tc>
              <w:tc>
                <w:tcPr>
                  <w:tcW w:w="110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300</w:t>
                  </w:r>
                </w:p>
              </w:tc>
              <w:tc>
                <w:tcPr>
                  <w:tcW w:w="110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51"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达标情况</w:t>
                  </w:r>
                </w:p>
              </w:tc>
              <w:tc>
                <w:tcPr>
                  <w:tcW w:w="110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达标</w:t>
                  </w:r>
                </w:p>
              </w:tc>
              <w:tc>
                <w:tcPr>
                  <w:tcW w:w="110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宋体" w:hAnsi="宋体" w:eastAsia="宋体" w:cs="宋体"/>
                      <w:sz w:val="21"/>
                      <w:szCs w:val="21"/>
                      <w:lang w:val="en-US"/>
                    </w:rPr>
                  </w:pPr>
                  <w:r>
                    <w:rPr>
                      <w:rFonts w:hint="eastAsia" w:ascii="宋体" w:hAnsi="宋体" w:cs="宋体"/>
                      <w:sz w:val="21"/>
                      <w:szCs w:val="21"/>
                      <w:lang w:val="en-US" w:eastAsia="zh-CN"/>
                    </w:rPr>
                    <w:t>--</w:t>
                  </w:r>
                </w:p>
              </w:tc>
              <w:tc>
                <w:tcPr>
                  <w:tcW w:w="110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达标</w:t>
                  </w:r>
                </w:p>
              </w:tc>
              <w:tc>
                <w:tcPr>
                  <w:tcW w:w="110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达标</w:t>
                  </w:r>
                </w:p>
              </w:tc>
              <w:tc>
                <w:tcPr>
                  <w:tcW w:w="1103"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废水监测结果表明：2020年</w:t>
            </w:r>
            <w:r>
              <w:rPr>
                <w:rFonts w:hint="eastAsia"/>
                <w:kern w:val="0"/>
                <w:sz w:val="24"/>
                <w:szCs w:val="22"/>
                <w:lang w:val="en-US" w:eastAsia="zh-CN" w:bidi="zh-CN"/>
              </w:rPr>
              <w:t>3</w:t>
            </w:r>
            <w:r>
              <w:rPr>
                <w:rFonts w:hint="eastAsia" w:ascii="Times New Roman" w:eastAsia="宋体"/>
                <w:kern w:val="0"/>
                <w:sz w:val="24"/>
                <w:szCs w:val="22"/>
                <w:lang w:val="en-US" w:eastAsia="zh-CN" w:bidi="zh-CN"/>
              </w:rPr>
              <w:t>月</w:t>
            </w:r>
            <w:r>
              <w:rPr>
                <w:rFonts w:hint="eastAsia"/>
                <w:kern w:val="0"/>
                <w:sz w:val="24"/>
                <w:szCs w:val="22"/>
                <w:lang w:val="en-US" w:eastAsia="zh-CN" w:bidi="zh-CN"/>
              </w:rPr>
              <w:t>15</w:t>
            </w:r>
            <w:r>
              <w:rPr>
                <w:rFonts w:hint="eastAsia" w:ascii="Times New Roman" w:eastAsia="宋体"/>
                <w:kern w:val="0"/>
                <w:sz w:val="24"/>
                <w:szCs w:val="22"/>
                <w:lang w:val="en-US" w:eastAsia="zh-CN" w:bidi="zh-CN"/>
              </w:rPr>
              <w:t>日和2020年</w:t>
            </w:r>
            <w:r>
              <w:rPr>
                <w:rFonts w:hint="eastAsia"/>
                <w:kern w:val="0"/>
                <w:sz w:val="24"/>
                <w:szCs w:val="22"/>
                <w:lang w:val="en-US" w:eastAsia="zh-CN" w:bidi="zh-CN"/>
              </w:rPr>
              <w:t>3</w:t>
            </w:r>
            <w:r>
              <w:rPr>
                <w:rFonts w:hint="eastAsia" w:ascii="Times New Roman" w:eastAsia="宋体"/>
                <w:kern w:val="0"/>
                <w:sz w:val="24"/>
                <w:szCs w:val="22"/>
                <w:lang w:val="en-US" w:eastAsia="zh-CN" w:bidi="zh-CN"/>
              </w:rPr>
              <w:t>月</w:t>
            </w:r>
            <w:r>
              <w:rPr>
                <w:rFonts w:hint="eastAsia"/>
                <w:kern w:val="0"/>
                <w:sz w:val="24"/>
                <w:szCs w:val="22"/>
                <w:lang w:val="en-US" w:eastAsia="zh-CN" w:bidi="zh-CN"/>
              </w:rPr>
              <w:t>16</w:t>
            </w:r>
            <w:r>
              <w:rPr>
                <w:rFonts w:hint="eastAsia" w:ascii="Times New Roman" w:eastAsia="宋体"/>
                <w:kern w:val="0"/>
                <w:sz w:val="24"/>
                <w:szCs w:val="22"/>
                <w:lang w:val="en-US" w:eastAsia="zh-CN" w:bidi="zh-CN"/>
              </w:rPr>
              <w:t>日，安徽博嘉包装材料有限公司污水总排口PH值、COD</w:t>
            </w:r>
            <w:r>
              <w:rPr>
                <w:rFonts w:hint="eastAsia" w:ascii="Times New Roman" w:eastAsia="宋体"/>
                <w:kern w:val="0"/>
                <w:sz w:val="24"/>
                <w:szCs w:val="22"/>
                <w:vertAlign w:val="subscript"/>
                <w:lang w:val="en-US" w:eastAsia="zh-CN" w:bidi="zh-CN"/>
              </w:rPr>
              <w:t>cr</w:t>
            </w:r>
            <w:r>
              <w:rPr>
                <w:rFonts w:hint="eastAsia" w:ascii="Times New Roman" w:eastAsia="宋体"/>
                <w:kern w:val="0"/>
                <w:sz w:val="24"/>
                <w:szCs w:val="22"/>
                <w:lang w:val="en-US" w:eastAsia="zh-CN" w:bidi="zh-CN"/>
              </w:rPr>
              <w:t>、BOD</w:t>
            </w:r>
            <w:r>
              <w:rPr>
                <w:rFonts w:hint="eastAsia" w:ascii="Times New Roman" w:eastAsia="宋体"/>
                <w:kern w:val="0"/>
                <w:sz w:val="24"/>
                <w:szCs w:val="22"/>
                <w:vertAlign w:val="subscript"/>
                <w:lang w:val="en-US" w:eastAsia="zh-CN" w:bidi="zh-CN"/>
              </w:rPr>
              <w:t>5</w:t>
            </w:r>
            <w:r>
              <w:rPr>
                <w:rFonts w:hint="eastAsia" w:ascii="Times New Roman" w:eastAsia="宋体"/>
                <w:kern w:val="0"/>
                <w:sz w:val="24"/>
                <w:szCs w:val="22"/>
                <w:lang w:val="en-US" w:eastAsia="zh-CN" w:bidi="zh-CN"/>
              </w:rPr>
              <w:t>、SS排放浓度</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w:t>
            </w:r>
            <w:r>
              <w:rPr>
                <w:rFonts w:hint="eastAsia" w:ascii="Times New Roman" w:eastAsia="宋体"/>
                <w:kern w:val="0"/>
                <w:sz w:val="24"/>
                <w:szCs w:val="22"/>
                <w:highlight w:val="none"/>
                <w:lang w:val="en-US" w:eastAsia="zh-CN" w:bidi="zh-CN"/>
              </w:rPr>
              <w:t>足《污水综合排放标准》（GB8978-1996）中三级标准要</w:t>
            </w:r>
            <w:r>
              <w:rPr>
                <w:rFonts w:hint="eastAsia" w:ascii="Times New Roman" w:eastAsia="宋体"/>
                <w:kern w:val="0"/>
                <w:sz w:val="24"/>
                <w:szCs w:val="22"/>
                <w:lang w:val="en-US" w:eastAsia="zh-CN" w:bidi="zh-CN"/>
              </w:rPr>
              <w:t>求</w:t>
            </w:r>
            <w:r>
              <w:rPr>
                <w:rFonts w:hint="eastAsia"/>
                <w:kern w:val="0"/>
                <w:sz w:val="24"/>
                <w:szCs w:val="22"/>
                <w:lang w:val="en-US" w:eastAsia="zh-CN" w:bidi="zh-CN"/>
              </w:rPr>
              <w:t>。</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2、废气监测结果</w:t>
            </w:r>
          </w:p>
          <w:p>
            <w:pPr>
              <w:widowControl/>
              <w:spacing w:line="360" w:lineRule="auto"/>
              <w:jc w:val="center"/>
              <w:rPr>
                <w:rFonts w:hint="eastAsia" w:ascii="宋体" w:hAnsi="宋体" w:eastAsia="宋体" w:cs="宋体"/>
                <w:b/>
                <w:sz w:val="24"/>
                <w:szCs w:val="24"/>
              </w:rPr>
            </w:pPr>
          </w:p>
          <w:p>
            <w:pPr>
              <w:widowControl/>
              <w:spacing w:line="360" w:lineRule="auto"/>
              <w:jc w:val="center"/>
              <w:rPr>
                <w:rFonts w:hint="eastAsia" w:ascii="宋体" w:hAnsi="宋体" w:eastAsia="宋体" w:cs="宋体"/>
                <w:b/>
                <w:sz w:val="24"/>
                <w:szCs w:val="24"/>
              </w:rPr>
            </w:pPr>
          </w:p>
          <w:p>
            <w:pPr>
              <w:widowControl/>
              <w:spacing w:line="360" w:lineRule="auto"/>
              <w:jc w:val="center"/>
              <w:rPr>
                <w:rFonts w:hint="eastAsia" w:ascii="宋体" w:hAnsi="宋体" w:eastAsia="宋体" w:cs="宋体"/>
                <w:b/>
                <w:sz w:val="24"/>
                <w:szCs w:val="24"/>
              </w:rPr>
            </w:pP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-2</w:t>
            </w:r>
            <w:r>
              <w:rPr>
                <w:rFonts w:hint="eastAsia" w:ascii="宋体" w:hAnsi="宋体" w:eastAsia="宋体" w:cs="宋体"/>
                <w:b/>
                <w:sz w:val="24"/>
                <w:szCs w:val="24"/>
              </w:rPr>
              <w:t xml:space="preserve">  有组织废气监测结果表</w:t>
            </w:r>
          </w:p>
          <w:tbl>
            <w:tblPr>
              <w:tblStyle w:val="34"/>
              <w:tblW w:w="1009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fixed"/>
              <w:tblCellMar>
                <w:top w:w="0" w:type="dxa"/>
                <w:left w:w="108" w:type="dxa"/>
                <w:bottom w:w="0" w:type="dxa"/>
                <w:right w:w="108" w:type="dxa"/>
              </w:tblCellMar>
            </w:tblPr>
            <w:tblGrid>
              <w:gridCol w:w="1148"/>
              <w:gridCol w:w="1281"/>
              <w:gridCol w:w="1196"/>
              <w:gridCol w:w="1220"/>
              <w:gridCol w:w="1379"/>
              <w:gridCol w:w="1285"/>
              <w:gridCol w:w="1310"/>
              <w:gridCol w:w="127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监测点位</w:t>
                  </w:r>
                </w:p>
              </w:tc>
              <w:tc>
                <w:tcPr>
                  <w:tcW w:w="128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监测日期</w:t>
                  </w:r>
                </w:p>
              </w:tc>
              <w:tc>
                <w:tcPr>
                  <w:tcW w:w="119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监测时间</w:t>
                  </w:r>
                </w:p>
              </w:tc>
              <w:tc>
                <w:tcPr>
                  <w:tcW w:w="259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排气筒进口</w:t>
                  </w:r>
                </w:p>
              </w:tc>
              <w:tc>
                <w:tcPr>
                  <w:tcW w:w="2595"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排气筒</w:t>
                  </w:r>
                  <w:r>
                    <w:rPr>
                      <w:rFonts w:hint="eastAsia" w:ascii="宋体" w:hAnsi="宋体" w:cs="宋体"/>
                      <w:sz w:val="21"/>
                      <w:szCs w:val="21"/>
                      <w:lang w:val="en-US" w:eastAsia="zh-CN"/>
                    </w:rPr>
                    <w:t>出</w:t>
                  </w:r>
                  <w:r>
                    <w:rPr>
                      <w:rFonts w:hint="eastAsia" w:ascii="宋体" w:hAnsi="宋体" w:eastAsia="宋体" w:cs="宋体"/>
                      <w:sz w:val="21"/>
                      <w:szCs w:val="21"/>
                      <w:lang w:val="en-US" w:eastAsia="zh-CN"/>
                    </w:rPr>
                    <w:t>口</w:t>
                  </w:r>
                </w:p>
              </w:tc>
              <w:tc>
                <w:tcPr>
                  <w:tcW w:w="1275"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19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259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非甲烷总烃</w:t>
                  </w:r>
                </w:p>
              </w:tc>
              <w:tc>
                <w:tcPr>
                  <w:tcW w:w="2595"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非甲烷总烃</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19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2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排放浓度（mg/m</w:t>
                  </w:r>
                  <w:r>
                    <w:rPr>
                      <w:rFonts w:hint="eastAsia" w:ascii="宋体" w:hAnsi="宋体" w:eastAsia="宋体" w:cs="宋体"/>
                      <w:sz w:val="21"/>
                      <w:szCs w:val="21"/>
                      <w:vertAlign w:val="superscript"/>
                      <w:lang w:val="en-US" w:eastAsia="zh-CN"/>
                    </w:rPr>
                    <w:t>3</w:t>
                  </w:r>
                  <w:r>
                    <w:rPr>
                      <w:rFonts w:hint="eastAsia" w:ascii="宋体" w:hAnsi="宋体" w:eastAsia="宋体" w:cs="宋体"/>
                      <w:sz w:val="21"/>
                      <w:szCs w:val="21"/>
                      <w:lang w:val="en-US" w:eastAsia="zh-CN"/>
                    </w:rPr>
                    <w:t>）</w:t>
                  </w:r>
                </w:p>
              </w:tc>
              <w:tc>
                <w:tcPr>
                  <w:tcW w:w="1379"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排放速率(kg/h)</w:t>
                  </w:r>
                </w:p>
              </w:tc>
              <w:tc>
                <w:tcPr>
                  <w:tcW w:w="128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排放浓度（mg/m</w:t>
                  </w:r>
                  <w:r>
                    <w:rPr>
                      <w:rFonts w:hint="eastAsia" w:ascii="宋体" w:hAnsi="宋体" w:eastAsia="宋体" w:cs="宋体"/>
                      <w:sz w:val="21"/>
                      <w:szCs w:val="21"/>
                      <w:vertAlign w:val="superscript"/>
                      <w:lang w:val="en-US" w:eastAsia="zh-CN"/>
                    </w:rPr>
                    <w:t>3</w:t>
                  </w:r>
                  <w:r>
                    <w:rPr>
                      <w:rFonts w:hint="eastAsia" w:ascii="宋体" w:hAnsi="宋体" w:eastAsia="宋体" w:cs="宋体"/>
                      <w:sz w:val="21"/>
                      <w:szCs w:val="21"/>
                      <w:lang w:val="en-US" w:eastAsia="zh-CN"/>
                    </w:rPr>
                    <w:t>）</w:t>
                  </w:r>
                </w:p>
              </w:tc>
              <w:tc>
                <w:tcPr>
                  <w:tcW w:w="131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排放速率(kg/h)</w:t>
                  </w:r>
                </w:p>
              </w:tc>
              <w:tc>
                <w:tcPr>
                  <w:tcW w:w="127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去除效率（%）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排气筒</w:t>
                  </w:r>
                </w:p>
              </w:tc>
              <w:tc>
                <w:tcPr>
                  <w:tcW w:w="128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2020.03.15</w:t>
                  </w: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第一次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1.47 </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0.008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0.72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0.005 </w:t>
                  </w:r>
                </w:p>
              </w:tc>
              <w:tc>
                <w:tcPr>
                  <w:tcW w:w="1275"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第二次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1.94 </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0.012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0.50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0.003 </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第三次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2.45 </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0.014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0.59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0.004 </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81"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2020.03.16</w:t>
                  </w: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第一次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1.68 </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0.009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0.97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0.006 </w:t>
                  </w:r>
                </w:p>
              </w:tc>
              <w:tc>
                <w:tcPr>
                  <w:tcW w:w="1275"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第二次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2.39 </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0.013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0.78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0.005 </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28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p>
              </w:tc>
              <w:tc>
                <w:tcPr>
                  <w:tcW w:w="1196"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第三次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2.44 </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0.014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0.74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0.004 </w:t>
                  </w:r>
                </w:p>
              </w:tc>
              <w:tc>
                <w:tcPr>
                  <w:tcW w:w="1275"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执行标准限值</w:t>
                  </w:r>
                </w:p>
              </w:tc>
              <w:tc>
                <w:tcPr>
                  <w:tcW w:w="128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w:t>
                  </w:r>
                </w:p>
              </w:tc>
              <w:tc>
                <w:tcPr>
                  <w:tcW w:w="131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127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监测结果</w:t>
                  </w:r>
                </w:p>
              </w:tc>
              <w:tc>
                <w:tcPr>
                  <w:tcW w:w="128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达标</w:t>
                  </w:r>
                </w:p>
              </w:tc>
              <w:tc>
                <w:tcPr>
                  <w:tcW w:w="1310"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1275" w:type="dxa"/>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宋体" w:hAnsi="宋体" w:eastAsia="宋体" w:cs="宋体"/>
                <w:b/>
                <w:highlight w:val="yellow"/>
                <w:lang w:val="en-US"/>
              </w:rPr>
            </w:pPr>
            <w:r>
              <w:rPr>
                <w:rFonts w:hint="eastAsia" w:ascii="Times New Roman" w:eastAsia="宋体"/>
                <w:kern w:val="0"/>
                <w:sz w:val="24"/>
                <w:szCs w:val="22"/>
                <w:lang w:val="en-US" w:eastAsia="zh-CN" w:bidi="zh-CN"/>
              </w:rPr>
              <w:t>有组织废气监测结果表明：2020年3月15日和2020年3月16日，安徽博嘉包装材料有限公司排气筒出口的</w:t>
            </w:r>
            <w:r>
              <w:rPr>
                <w:rFonts w:hint="eastAsia"/>
                <w:kern w:val="0"/>
                <w:sz w:val="24"/>
                <w:szCs w:val="22"/>
                <w:lang w:val="en-US" w:eastAsia="zh-CN" w:bidi="zh-CN"/>
              </w:rPr>
              <w:t>非甲烷总烃</w:t>
            </w:r>
            <w:r>
              <w:rPr>
                <w:rFonts w:hint="eastAsia" w:ascii="Times New Roman" w:eastAsia="宋体"/>
                <w:kern w:val="0"/>
                <w:sz w:val="24"/>
                <w:szCs w:val="22"/>
                <w:lang w:val="en-US" w:eastAsia="zh-CN" w:bidi="zh-CN"/>
              </w:rPr>
              <w:t>排放浓度</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满足《河北省工业企业挥发性有机物排放控制标准》（DB13/2322 -2016）</w:t>
            </w:r>
            <w:r>
              <w:rPr>
                <w:rFonts w:hint="eastAsia"/>
                <w:kern w:val="0"/>
                <w:sz w:val="24"/>
                <w:szCs w:val="22"/>
                <w:lang w:val="en-US" w:eastAsia="zh-CN" w:bidi="zh-CN"/>
              </w:rPr>
              <w:t>。根据国家排污许可相关文件规定，当非甲烷总烃排放速率小于2kg/h时，只需上废气收集设施，本项目不但有集气罩收集措施，而且还增设了UV光氧装置对废气进行处理，满足排污许可相关规定。</w:t>
            </w: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 xml:space="preserve">3 </w:t>
            </w:r>
            <w:r>
              <w:rPr>
                <w:rFonts w:hint="eastAsia" w:ascii="宋体" w:hAnsi="宋体" w:eastAsia="宋体" w:cs="宋体"/>
                <w:b/>
                <w:sz w:val="24"/>
                <w:szCs w:val="24"/>
              </w:rPr>
              <w:t xml:space="preserve"> 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83" w:hRule="atLeast"/>
                <w:jc w:val="center"/>
              </w:trPr>
              <w:tc>
                <w:tcPr>
                  <w:tcW w:w="1132" w:type="dxa"/>
                  <w:shd w:val="clear" w:color="auto" w:fill="FFFFFF"/>
                  <w:vAlign w:val="center"/>
                </w:tcPr>
                <w:p>
                  <w:pPr>
                    <w:jc w:val="center"/>
                    <w:rPr>
                      <w:rFonts w:ascii="宋体" w:hAnsi="宋体" w:eastAsia="宋体" w:cs="宋体"/>
                      <w:szCs w:val="21"/>
                    </w:rPr>
                  </w:pPr>
                  <w:r>
                    <w:rPr>
                      <w:rFonts w:hint="eastAsia" w:ascii="宋体" w:hAnsi="宋体" w:eastAsia="宋体" w:cs="Times New Roman"/>
                      <w:szCs w:val="21"/>
                    </w:rPr>
                    <w:t>采样地点</w:t>
                  </w:r>
                </w:p>
              </w:tc>
              <w:tc>
                <w:tcPr>
                  <w:tcW w:w="2458" w:type="dxa"/>
                  <w:gridSpan w:val="2"/>
                  <w:shd w:val="clear" w:color="auto" w:fill="FFFFFF"/>
                  <w:vAlign w:val="center"/>
                </w:tcPr>
                <w:p>
                  <w:pPr>
                    <w:jc w:val="center"/>
                    <w:rPr>
                      <w:rFonts w:ascii="宋体" w:hAnsi="宋体" w:eastAsia="宋体" w:cs="宋体"/>
                      <w:szCs w:val="21"/>
                    </w:rPr>
                  </w:pPr>
                  <w:r>
                    <w:rPr>
                      <w:rFonts w:hint="eastAsia" w:ascii="宋体" w:hAnsi="宋体" w:eastAsia="宋体" w:cs="Times New Roman"/>
                      <w:szCs w:val="21"/>
                    </w:rPr>
                    <w:t>采样时间</w:t>
                  </w:r>
                </w:p>
              </w:tc>
              <w:tc>
                <w:tcPr>
                  <w:tcW w:w="2061" w:type="dxa"/>
                  <w:shd w:val="clear" w:color="auto" w:fill="FFFFFF"/>
                  <w:vAlign w:val="center"/>
                </w:tcPr>
                <w:p>
                  <w:pPr>
                    <w:jc w:val="center"/>
                    <w:rPr>
                      <w:rFonts w:ascii="宋体" w:hAnsi="宋体" w:eastAsia="宋体" w:cs="Times New Roman"/>
                      <w:szCs w:val="21"/>
                    </w:rPr>
                  </w:pPr>
                  <w:r>
                    <w:rPr>
                      <w:rFonts w:hint="eastAsia" w:ascii="宋体" w:hAnsi="宋体" w:eastAsia="宋体" w:cs="Times New Roman"/>
                      <w:szCs w:val="21"/>
                    </w:rPr>
                    <w:t>检测指标</w:t>
                  </w:r>
                </w:p>
              </w:tc>
              <w:tc>
                <w:tcPr>
                  <w:tcW w:w="1860" w:type="dxa"/>
                  <w:shd w:val="clear" w:color="auto" w:fill="FFFFFF"/>
                  <w:vAlign w:val="center"/>
                </w:tcPr>
                <w:p>
                  <w:pPr>
                    <w:jc w:val="center"/>
                    <w:rPr>
                      <w:rFonts w:ascii="宋体" w:hAnsi="宋体" w:eastAsia="宋体" w:cs="宋体"/>
                      <w:szCs w:val="21"/>
                    </w:rPr>
                  </w:pPr>
                  <w:r>
                    <w:rPr>
                      <w:rFonts w:hint="eastAsia" w:ascii="宋体" w:hAnsi="宋体" w:eastAsia="宋体" w:cs="宋体"/>
                      <w:szCs w:val="21"/>
                    </w:rPr>
                    <w:t>检测结果</w:t>
                  </w:r>
                </w:p>
              </w:tc>
              <w:tc>
                <w:tcPr>
                  <w:tcW w:w="1405" w:type="dxa"/>
                  <w:shd w:val="clear" w:color="auto" w:fill="FFFFFF"/>
                  <w:vAlign w:val="center"/>
                </w:tcPr>
                <w:p>
                  <w:pPr>
                    <w:widowControl/>
                    <w:jc w:val="center"/>
                    <w:rPr>
                      <w:rFonts w:hint="eastAsia" w:ascii="宋体" w:hAnsi="宋体" w:eastAsia="宋体" w:cs="Times New Roman"/>
                      <w:b/>
                      <w:kern w:val="0"/>
                      <w:szCs w:val="21"/>
                    </w:rPr>
                  </w:pPr>
                  <w:r>
                    <w:rPr>
                      <w:rFonts w:hint="eastAsia" w:ascii="宋体" w:hAnsi="宋体" w:eastAsia="宋体" w:cs="宋体"/>
                      <w:sz w:val="21"/>
                      <w:szCs w:val="21"/>
                      <w:lang w:val="en-US" w:eastAsia="zh-CN"/>
                    </w:rPr>
                    <w:t>标准限值</w:t>
                  </w:r>
                </w:p>
              </w:tc>
              <w:tc>
                <w:tcPr>
                  <w:tcW w:w="1405" w:type="dxa"/>
                  <w:shd w:val="clear" w:color="auto" w:fill="FFFFFF"/>
                  <w:vAlign w:val="center"/>
                </w:tcPr>
                <w:p>
                  <w:pPr>
                    <w:widowControl/>
                    <w:jc w:val="center"/>
                    <w:rPr>
                      <w:rFonts w:ascii="宋体" w:hAnsi="宋体" w:eastAsia="宋体" w:cs="宋体"/>
                      <w:b w:val="0"/>
                      <w:bCs/>
                      <w:szCs w:val="21"/>
                    </w:rPr>
                  </w:pPr>
                  <w:r>
                    <w:rPr>
                      <w:rFonts w:hint="eastAsia" w:ascii="宋体" w:hAnsi="宋体" w:eastAsia="宋体" w:cs="Times New Roman"/>
                      <w:b w:val="0"/>
                      <w:bCs/>
                      <w:kern w:val="0"/>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eastAsia" w:ascii="宋体" w:hAnsi="宋体" w:eastAsia="宋体" w:cs="Times New Roman"/>
                      <w:szCs w:val="21"/>
                      <w:lang w:val="en-US" w:eastAsia="zh-CN"/>
                    </w:rPr>
                  </w:pPr>
                  <w:r>
                    <w:rPr>
                      <w:rFonts w:hint="eastAsia" w:ascii="宋体" w:hAnsi="宋体" w:eastAsia="宋体" w:cs="Times New Roman"/>
                      <w:szCs w:val="21"/>
                    </w:rPr>
                    <w:t>上风向</w:t>
                  </w:r>
                  <w:r>
                    <w:rPr>
                      <w:rFonts w:hint="eastAsia" w:ascii="宋体" w:hAnsi="宋体" w:cs="Times New Roman"/>
                      <w:szCs w:val="21"/>
                      <w:lang w:val="en-US" w:eastAsia="zh-CN"/>
                    </w:rPr>
                    <w:t>1</w:t>
                  </w:r>
                </w:p>
              </w:tc>
              <w:tc>
                <w:tcPr>
                  <w:tcW w:w="1266" w:type="dxa"/>
                  <w:vMerge w:val="restart"/>
                  <w:shd w:val="clear" w:color="auto" w:fill="FFFFFF"/>
                  <w:vAlign w:val="center"/>
                </w:tcPr>
                <w:p>
                  <w:pPr>
                    <w:jc w:val="center"/>
                    <w:rPr>
                      <w:rFonts w:hint="default" w:ascii="宋体" w:hAnsi="宋体" w:eastAsia="宋体" w:cs="Times New Roman"/>
                      <w:szCs w:val="21"/>
                      <w:lang w:val="en-US" w:eastAsia="zh-CN"/>
                    </w:rPr>
                  </w:pPr>
                  <w:r>
                    <w:rPr>
                      <w:rFonts w:hint="eastAsia" w:ascii="宋体" w:hAnsi="宋体" w:cs="Times New Roman"/>
                      <w:szCs w:val="21"/>
                      <w:lang w:val="en-US" w:eastAsia="zh-CN"/>
                    </w:rPr>
                    <w:t>2020.03.15</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szCs w:val="21"/>
                    </w:rPr>
                  </w:pPr>
                  <w:r>
                    <w:rPr>
                      <w:rFonts w:hint="eastAsia"/>
                      <w:lang w:val="en-US" w:eastAsia="zh-CN"/>
                    </w:rPr>
                    <w:t>第一次</w:t>
                  </w:r>
                </w:p>
              </w:tc>
              <w:tc>
                <w:tcPr>
                  <w:tcW w:w="2061" w:type="dxa"/>
                  <w:vMerge w:val="restart"/>
                  <w:shd w:val="clear" w:color="auto" w:fill="FFFFFF"/>
                  <w:vAlign w:val="center"/>
                </w:tcPr>
                <w:p>
                  <w:pPr>
                    <w:jc w:val="center"/>
                    <w:rPr>
                      <w:rFonts w:hint="eastAsia" w:ascii="宋体" w:hAnsi="宋体" w:eastAsia="宋体" w:cs="Times New Roman"/>
                      <w:szCs w:val="21"/>
                    </w:rPr>
                  </w:pPr>
                  <w:r>
                    <w:rPr>
                      <w:rFonts w:hint="eastAsia" w:ascii="宋体" w:hAnsi="宋体" w:eastAsia="宋体" w:cs="Times New Roman"/>
                      <w:szCs w:val="21"/>
                    </w:rPr>
                    <w:t>非甲烷总烃</w:t>
                  </w:r>
                </w:p>
                <w:p>
                  <w:pPr>
                    <w:jc w:val="center"/>
                    <w:rPr>
                      <w:rFonts w:ascii="宋体" w:hAnsi="宋体" w:eastAsia="宋体" w:cs="Times New Roman"/>
                      <w:szCs w:val="21"/>
                    </w:rPr>
                  </w:pPr>
                  <w:r>
                    <w:rPr>
                      <w:rFonts w:hint="eastAsia" w:ascii="宋体" w:hAnsi="宋体" w:eastAsia="宋体" w:cs="Times New Roman"/>
                      <w:szCs w:val="21"/>
                    </w:rPr>
                    <w:t>（mg/m³）</w:t>
                  </w:r>
                </w:p>
              </w:tc>
              <w:tc>
                <w:tcPr>
                  <w:tcW w:w="1860" w:type="dxa"/>
                  <w:shd w:val="clear" w:color="auto" w:fill="FFFFFF"/>
                  <w:vAlign w:val="center"/>
                </w:tcPr>
                <w:p>
                  <w:pPr>
                    <w:keepNext w:val="0"/>
                    <w:keepLines w:val="0"/>
                    <w:widowControl/>
                    <w:suppressLineNumbers w:val="0"/>
                    <w:jc w:val="center"/>
                    <w:textAlignment w:val="center"/>
                    <w:rPr>
                      <w:rFonts w:ascii="等线" w:hAnsi="等线" w:eastAsia="等线" w:cs="等线"/>
                      <w:i w:val="0"/>
                      <w:color w:val="000000"/>
                      <w:kern w:val="2"/>
                      <w:sz w:val="22"/>
                      <w:szCs w:val="22"/>
                      <w:u w:val="none"/>
                      <w:lang w:val="en-US" w:eastAsia="zh-CN" w:bidi="ar-SA"/>
                    </w:rPr>
                  </w:pPr>
                  <w:r>
                    <w:rPr>
                      <w:rFonts w:hint="eastAsia" w:ascii="宋体" w:hAnsi="宋体" w:eastAsia="宋体" w:cs="宋体"/>
                      <w:i w:val="0"/>
                      <w:color w:val="000000"/>
                      <w:kern w:val="0"/>
                      <w:sz w:val="21"/>
                      <w:szCs w:val="21"/>
                      <w:u w:val="none"/>
                      <w:lang w:val="en-US" w:eastAsia="zh-CN" w:bidi="ar"/>
                    </w:rPr>
                    <w:t xml:space="preserve">0.16 </w:t>
                  </w:r>
                </w:p>
              </w:tc>
              <w:tc>
                <w:tcPr>
                  <w:tcW w:w="1405" w:type="dxa"/>
                  <w:shd w:val="clear" w:color="auto" w:fill="FFFFFF"/>
                  <w:vAlign w:val="center"/>
                </w:tcPr>
                <w:p>
                  <w:pPr>
                    <w:widowControl/>
                    <w:jc w:val="center"/>
                    <w:rPr>
                      <w:rFonts w:hint="default" w:ascii="宋体" w:hAnsi="宋体" w:eastAsia="宋体" w:cs="Times New Roman"/>
                      <w:b/>
                      <w:kern w:val="0"/>
                      <w:szCs w:val="21"/>
                      <w:lang w:val="en-US" w:eastAsia="zh-CN"/>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szCs w:val="21"/>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0.14</w:t>
                  </w:r>
                </w:p>
              </w:tc>
              <w:tc>
                <w:tcPr>
                  <w:tcW w:w="1405" w:type="dxa"/>
                  <w:shd w:val="clear" w:color="auto" w:fill="FFFFFF"/>
                  <w:vAlign w:val="center"/>
                </w:tcPr>
                <w:p>
                  <w:pPr>
                    <w:widowControl/>
                    <w:jc w:val="center"/>
                    <w:rPr>
                      <w:rFonts w:hint="eastAsia" w:ascii="宋体" w:hAnsi="宋体" w:eastAsia="宋体" w:cs="Times New Roman"/>
                      <w:b/>
                      <w:kern w:val="0"/>
                      <w:szCs w:val="21"/>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szCs w:val="21"/>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0.13</w:t>
                  </w:r>
                </w:p>
              </w:tc>
              <w:tc>
                <w:tcPr>
                  <w:tcW w:w="1405" w:type="dxa"/>
                  <w:shd w:val="clear" w:color="auto" w:fill="FFFFFF"/>
                  <w:vAlign w:val="center"/>
                </w:tcPr>
                <w:p>
                  <w:pPr>
                    <w:widowControl/>
                    <w:jc w:val="center"/>
                    <w:rPr>
                      <w:rFonts w:hint="eastAsia" w:ascii="宋体" w:hAnsi="宋体" w:eastAsia="宋体" w:cs="Times New Roman"/>
                      <w:b/>
                      <w:kern w:val="0"/>
                      <w:szCs w:val="21"/>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restart"/>
                  <w:shd w:val="clear" w:color="auto" w:fill="FFFFFF"/>
                  <w:vAlign w:val="center"/>
                </w:tcPr>
                <w:p>
                  <w:pPr>
                    <w:jc w:val="center"/>
                    <w:rPr>
                      <w:rFonts w:hint="default" w:ascii="宋体" w:hAnsi="宋体" w:eastAsia="宋体" w:cs="Times New Roman"/>
                      <w:szCs w:val="21"/>
                      <w:lang w:val="en-US" w:eastAsia="zh-CN"/>
                    </w:rPr>
                  </w:pPr>
                  <w:r>
                    <w:rPr>
                      <w:rFonts w:hint="eastAsia" w:ascii="宋体" w:hAnsi="宋体" w:cs="Times New Roman"/>
                      <w:szCs w:val="21"/>
                      <w:lang w:val="en-US" w:eastAsia="zh-CN"/>
                    </w:rPr>
                    <w:t>2020.03.16</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szCs w:val="21"/>
                    </w:rPr>
                  </w:pPr>
                  <w:r>
                    <w:rPr>
                      <w:rFonts w:hint="eastAsia"/>
                      <w:lang w:val="en-US" w:eastAsia="zh-CN"/>
                    </w:rPr>
                    <w:t>第一次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0.12</w:t>
                  </w:r>
                </w:p>
              </w:tc>
              <w:tc>
                <w:tcPr>
                  <w:tcW w:w="1405" w:type="dxa"/>
                  <w:shd w:val="clear" w:color="auto" w:fill="FFFFFF"/>
                  <w:vAlign w:val="center"/>
                </w:tcPr>
                <w:p>
                  <w:pPr>
                    <w:widowControl/>
                    <w:jc w:val="center"/>
                    <w:rPr>
                      <w:rFonts w:hint="eastAsia" w:ascii="宋体" w:hAnsi="宋体" w:eastAsia="宋体" w:cs="Times New Roman"/>
                      <w:b/>
                      <w:kern w:val="0"/>
                      <w:szCs w:val="21"/>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szCs w:val="21"/>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0.13</w:t>
                  </w:r>
                </w:p>
              </w:tc>
              <w:tc>
                <w:tcPr>
                  <w:tcW w:w="1405" w:type="dxa"/>
                  <w:shd w:val="clear" w:color="auto" w:fill="FFFFFF"/>
                  <w:vAlign w:val="center"/>
                </w:tcPr>
                <w:p>
                  <w:pPr>
                    <w:widowControl/>
                    <w:jc w:val="center"/>
                    <w:rPr>
                      <w:rFonts w:hint="eastAsia" w:ascii="宋体" w:hAnsi="宋体" w:eastAsia="宋体" w:cs="Times New Roman"/>
                      <w:b/>
                      <w:kern w:val="0"/>
                      <w:szCs w:val="21"/>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szCs w:val="21"/>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0.13</w:t>
                  </w:r>
                </w:p>
              </w:tc>
              <w:tc>
                <w:tcPr>
                  <w:tcW w:w="1405" w:type="dxa"/>
                  <w:shd w:val="clear" w:color="auto" w:fill="FFFFFF"/>
                  <w:vAlign w:val="center"/>
                </w:tcPr>
                <w:p>
                  <w:pPr>
                    <w:widowControl/>
                    <w:jc w:val="center"/>
                    <w:rPr>
                      <w:rFonts w:hint="eastAsia" w:ascii="宋体" w:hAnsi="宋体" w:eastAsia="宋体" w:cs="Times New Roman"/>
                      <w:b/>
                      <w:kern w:val="0"/>
                      <w:szCs w:val="21"/>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ascii="宋体" w:hAnsi="宋体" w:eastAsia="宋体" w:cs="Times New Roman"/>
                      <w:szCs w:val="21"/>
                    </w:rPr>
                  </w:pPr>
                  <w:r>
                    <w:rPr>
                      <w:rFonts w:hint="eastAsia" w:ascii="宋体" w:hAnsi="宋体" w:eastAsia="宋体" w:cs="Times New Roman"/>
                      <w:szCs w:val="21"/>
                    </w:rPr>
                    <w:t>下风向1</w:t>
                  </w:r>
                </w:p>
              </w:tc>
              <w:tc>
                <w:tcPr>
                  <w:tcW w:w="1266" w:type="dxa"/>
                  <w:vMerge w:val="restart"/>
                  <w:shd w:val="clear" w:color="auto" w:fill="FFFFFF"/>
                  <w:vAlign w:val="center"/>
                </w:tcPr>
                <w:p>
                  <w:pPr>
                    <w:jc w:val="center"/>
                    <w:rPr>
                      <w:rFonts w:ascii="宋体" w:hAnsi="宋体" w:eastAsia="宋体" w:cs="Times New Roman"/>
                      <w:szCs w:val="21"/>
                    </w:rPr>
                  </w:pPr>
                  <w:r>
                    <w:rPr>
                      <w:rFonts w:hint="eastAsia" w:ascii="宋体" w:hAnsi="宋体" w:cs="Times New Roman"/>
                      <w:szCs w:val="21"/>
                      <w:lang w:val="en-US" w:eastAsia="zh-CN"/>
                    </w:rPr>
                    <w:t>2020.03.15</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第一次</w:t>
                  </w:r>
                </w:p>
              </w:tc>
              <w:tc>
                <w:tcPr>
                  <w:tcW w:w="2061" w:type="dxa"/>
                  <w:vMerge w:val="restart"/>
                  <w:shd w:val="clear" w:color="auto" w:fill="FFFFFF"/>
                  <w:vAlign w:val="center"/>
                </w:tcPr>
                <w:p>
                  <w:pPr>
                    <w:jc w:val="center"/>
                    <w:rPr>
                      <w:rFonts w:hint="eastAsia" w:ascii="宋体" w:hAnsi="宋体" w:eastAsia="宋体" w:cs="Times New Roman"/>
                      <w:szCs w:val="21"/>
                    </w:rPr>
                  </w:pPr>
                  <w:r>
                    <w:rPr>
                      <w:rFonts w:hint="eastAsia" w:ascii="宋体" w:hAnsi="宋体" w:eastAsia="宋体" w:cs="Times New Roman"/>
                      <w:szCs w:val="21"/>
                    </w:rPr>
                    <w:t>非甲烷总烃</w:t>
                  </w:r>
                </w:p>
                <w:p>
                  <w:pPr>
                    <w:jc w:val="center"/>
                    <w:rPr>
                      <w:rFonts w:ascii="宋体" w:hAnsi="宋体" w:eastAsia="宋体" w:cs="Times New Roman"/>
                      <w:szCs w:val="21"/>
                    </w:rPr>
                  </w:pPr>
                  <w:r>
                    <w:rPr>
                      <w:rFonts w:hint="eastAsia" w:ascii="宋体" w:hAnsi="宋体" w:eastAsia="宋体" w:cs="Times New Roman"/>
                      <w:szCs w:val="21"/>
                    </w:rPr>
                    <w:t>（mg/m³）</w:t>
                  </w: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0.17</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0.23</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0.12</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restart"/>
                  <w:shd w:val="clear" w:color="auto" w:fill="FFFFFF"/>
                  <w:vAlign w:val="center"/>
                </w:tcPr>
                <w:p>
                  <w:pPr>
                    <w:jc w:val="center"/>
                    <w:rPr>
                      <w:rFonts w:hint="default" w:ascii="宋体" w:hAnsi="宋体" w:eastAsia="宋体" w:cs="Times New Roman"/>
                      <w:kern w:val="2"/>
                      <w:sz w:val="21"/>
                      <w:szCs w:val="21"/>
                      <w:lang w:val="en-US" w:eastAsia="zh-CN" w:bidi="ar-SA"/>
                    </w:rPr>
                  </w:pPr>
                  <w:r>
                    <w:rPr>
                      <w:rFonts w:hint="eastAsia" w:ascii="宋体" w:hAnsi="宋体" w:cs="Times New Roman"/>
                      <w:szCs w:val="21"/>
                      <w:lang w:val="en-US" w:eastAsia="zh-CN"/>
                    </w:rPr>
                    <w:t>2020.03.16</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第一次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0.14</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0.14</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0.21</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ascii="宋体" w:hAnsi="宋体" w:eastAsia="宋体" w:cs="Times New Roman"/>
                      <w:szCs w:val="21"/>
                    </w:rPr>
                  </w:pPr>
                  <w:r>
                    <w:rPr>
                      <w:rFonts w:hint="eastAsia" w:ascii="宋体" w:hAnsi="宋体" w:eastAsia="宋体" w:cs="Times New Roman"/>
                      <w:szCs w:val="21"/>
                    </w:rPr>
                    <w:t>下风向2</w:t>
                  </w:r>
                </w:p>
              </w:tc>
              <w:tc>
                <w:tcPr>
                  <w:tcW w:w="1266" w:type="dxa"/>
                  <w:vMerge w:val="restart"/>
                  <w:shd w:val="clear" w:color="auto" w:fill="FFFFFF"/>
                  <w:vAlign w:val="center"/>
                </w:tcPr>
                <w:p>
                  <w:pPr>
                    <w:jc w:val="center"/>
                    <w:rPr>
                      <w:rFonts w:ascii="宋体" w:hAnsi="宋体" w:eastAsia="宋体" w:cs="Times New Roman"/>
                      <w:szCs w:val="21"/>
                    </w:rPr>
                  </w:pPr>
                  <w:r>
                    <w:rPr>
                      <w:rFonts w:hint="eastAsia" w:ascii="宋体" w:hAnsi="宋体" w:cs="Times New Roman"/>
                      <w:szCs w:val="21"/>
                      <w:lang w:val="en-US" w:eastAsia="zh-CN"/>
                    </w:rPr>
                    <w:t>2020.03.15</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第一次</w:t>
                  </w:r>
                </w:p>
              </w:tc>
              <w:tc>
                <w:tcPr>
                  <w:tcW w:w="2061" w:type="dxa"/>
                  <w:vMerge w:val="restart"/>
                  <w:shd w:val="clear" w:color="auto" w:fill="FFFFFF"/>
                  <w:vAlign w:val="center"/>
                </w:tcPr>
                <w:p>
                  <w:pPr>
                    <w:jc w:val="center"/>
                    <w:rPr>
                      <w:rFonts w:hint="eastAsia" w:ascii="宋体" w:hAnsi="宋体" w:eastAsia="宋体" w:cs="Times New Roman"/>
                      <w:szCs w:val="21"/>
                    </w:rPr>
                  </w:pPr>
                  <w:r>
                    <w:rPr>
                      <w:rFonts w:hint="eastAsia" w:ascii="宋体" w:hAnsi="宋体" w:eastAsia="宋体" w:cs="Times New Roman"/>
                      <w:szCs w:val="21"/>
                    </w:rPr>
                    <w:t>非甲烷总烃</w:t>
                  </w:r>
                </w:p>
                <w:p>
                  <w:pPr>
                    <w:jc w:val="center"/>
                    <w:rPr>
                      <w:rFonts w:ascii="宋体" w:hAnsi="宋体" w:eastAsia="宋体" w:cs="Times New Roman"/>
                      <w:szCs w:val="21"/>
                    </w:rPr>
                  </w:pPr>
                  <w:r>
                    <w:rPr>
                      <w:rFonts w:hint="eastAsia" w:ascii="宋体" w:hAnsi="宋体" w:eastAsia="宋体" w:cs="Times New Roman"/>
                      <w:szCs w:val="21"/>
                    </w:rPr>
                    <w:t>（mg/m³）</w:t>
                  </w: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0.21</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0.16</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0.20</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restart"/>
                  <w:shd w:val="clear" w:color="auto" w:fill="FFFFFF"/>
                  <w:vAlign w:val="center"/>
                </w:tcPr>
                <w:p>
                  <w:pPr>
                    <w:jc w:val="center"/>
                    <w:rPr>
                      <w:rFonts w:hint="default" w:ascii="宋体" w:hAnsi="宋体" w:eastAsia="宋体" w:cs="Times New Roman"/>
                      <w:kern w:val="2"/>
                      <w:sz w:val="21"/>
                      <w:szCs w:val="21"/>
                      <w:lang w:val="en-US" w:eastAsia="zh-CN" w:bidi="ar-SA"/>
                    </w:rPr>
                  </w:pPr>
                  <w:r>
                    <w:rPr>
                      <w:rFonts w:hint="eastAsia" w:ascii="宋体" w:hAnsi="宋体" w:cs="Times New Roman"/>
                      <w:szCs w:val="21"/>
                      <w:lang w:val="en-US" w:eastAsia="zh-CN"/>
                    </w:rPr>
                    <w:t>2020.03.16</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第一次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0.22</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0.14</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0.21</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ascii="宋体" w:hAnsi="宋体" w:eastAsia="宋体" w:cs="Times New Roman"/>
                      <w:szCs w:val="21"/>
                    </w:rPr>
                  </w:pPr>
                  <w:r>
                    <w:rPr>
                      <w:rFonts w:hint="eastAsia" w:ascii="宋体" w:hAnsi="宋体" w:eastAsia="宋体" w:cs="Times New Roman"/>
                      <w:szCs w:val="21"/>
                    </w:rPr>
                    <w:t>下风向3</w:t>
                  </w:r>
                </w:p>
              </w:tc>
              <w:tc>
                <w:tcPr>
                  <w:tcW w:w="1266" w:type="dxa"/>
                  <w:vMerge w:val="restart"/>
                  <w:shd w:val="clear" w:color="auto" w:fill="FFFFFF"/>
                  <w:vAlign w:val="center"/>
                </w:tcPr>
                <w:p>
                  <w:pPr>
                    <w:jc w:val="center"/>
                    <w:rPr>
                      <w:rFonts w:ascii="宋体" w:hAnsi="宋体" w:eastAsia="宋体" w:cs="Times New Roman"/>
                      <w:szCs w:val="21"/>
                    </w:rPr>
                  </w:pPr>
                  <w:r>
                    <w:rPr>
                      <w:rFonts w:hint="eastAsia" w:ascii="宋体" w:hAnsi="宋体" w:cs="Times New Roman"/>
                      <w:szCs w:val="21"/>
                      <w:lang w:val="en-US" w:eastAsia="zh-CN"/>
                    </w:rPr>
                    <w:t>2020.03.15</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第一次</w:t>
                  </w:r>
                </w:p>
              </w:tc>
              <w:tc>
                <w:tcPr>
                  <w:tcW w:w="2061" w:type="dxa"/>
                  <w:vMerge w:val="restart"/>
                  <w:shd w:val="clear" w:color="auto" w:fill="FFFFFF"/>
                  <w:vAlign w:val="center"/>
                </w:tcPr>
                <w:p>
                  <w:pPr>
                    <w:jc w:val="center"/>
                    <w:rPr>
                      <w:rFonts w:hint="eastAsia" w:ascii="宋体" w:hAnsi="宋体" w:eastAsia="宋体" w:cs="Times New Roman"/>
                      <w:szCs w:val="21"/>
                    </w:rPr>
                  </w:pPr>
                  <w:r>
                    <w:rPr>
                      <w:rFonts w:hint="eastAsia" w:ascii="宋体" w:hAnsi="宋体" w:eastAsia="宋体" w:cs="Times New Roman"/>
                      <w:szCs w:val="21"/>
                    </w:rPr>
                    <w:t>非甲烷总烃</w:t>
                  </w:r>
                </w:p>
                <w:p>
                  <w:pPr>
                    <w:jc w:val="center"/>
                    <w:rPr>
                      <w:rFonts w:ascii="宋体" w:hAnsi="宋体" w:eastAsia="宋体" w:cs="Times New Roman"/>
                      <w:szCs w:val="21"/>
                    </w:rPr>
                  </w:pPr>
                  <w:r>
                    <w:rPr>
                      <w:rFonts w:hint="eastAsia" w:ascii="宋体" w:hAnsi="宋体" w:eastAsia="宋体" w:cs="Times New Roman"/>
                      <w:szCs w:val="21"/>
                    </w:rPr>
                    <w:t>（mg/m³）</w:t>
                  </w: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0.23</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0.20</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宋体" w:hAnsi="宋体" w:eastAsia="宋体" w:cs="Times New Roman"/>
                      <w:kern w:val="2"/>
                      <w:sz w:val="21"/>
                      <w:szCs w:val="21"/>
                      <w:lang w:val="en-US" w:eastAsia="zh-CN" w:bidi="ar-SA"/>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0.17</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restart"/>
                  <w:shd w:val="clear" w:color="auto" w:fill="FFFFFF"/>
                  <w:vAlign w:val="center"/>
                </w:tcPr>
                <w:p>
                  <w:pPr>
                    <w:jc w:val="center"/>
                    <w:rPr>
                      <w:rFonts w:hint="default" w:ascii="宋体" w:hAnsi="宋体" w:eastAsia="宋体" w:cs="Times New Roman"/>
                      <w:kern w:val="2"/>
                      <w:sz w:val="21"/>
                      <w:szCs w:val="21"/>
                      <w:lang w:val="en-US" w:eastAsia="zh-CN" w:bidi="ar-SA"/>
                    </w:rPr>
                  </w:pPr>
                  <w:r>
                    <w:rPr>
                      <w:rFonts w:hint="eastAsia" w:ascii="宋体" w:hAnsi="宋体" w:cs="Times New Roman"/>
                      <w:szCs w:val="21"/>
                      <w:lang w:val="en-US" w:eastAsia="zh-CN"/>
                    </w:rPr>
                    <w:t>2020.03.16</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第一次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0.22</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第二次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0.16</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ascii="宋体" w:hAnsi="宋体" w:eastAsia="宋体" w:cs="Times New Roman"/>
                      <w:szCs w:val="21"/>
                    </w:rPr>
                  </w:pPr>
                </w:p>
              </w:tc>
              <w:tc>
                <w:tcPr>
                  <w:tcW w:w="1266" w:type="dxa"/>
                  <w:vMerge w:val="continue"/>
                  <w:shd w:val="clear" w:color="auto" w:fill="FFFFFF"/>
                  <w:vAlign w:val="center"/>
                </w:tcPr>
                <w:p>
                  <w:pPr>
                    <w:jc w:val="center"/>
                    <w:rPr>
                      <w:rFonts w:ascii="宋体" w:hAnsi="宋体" w:eastAsia="宋体" w:cs="Times New Roman"/>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eastAsia" w:ascii="宋体" w:hAnsi="宋体" w:eastAsia="宋体" w:cs="Times New Roman"/>
                      <w:kern w:val="2"/>
                      <w:sz w:val="21"/>
                      <w:szCs w:val="21"/>
                      <w:lang w:val="en-US" w:eastAsia="zh-CN" w:bidi="ar-SA"/>
                    </w:rPr>
                  </w:pPr>
                  <w:r>
                    <w:rPr>
                      <w:rFonts w:hint="eastAsia"/>
                      <w:lang w:val="en-US" w:eastAsia="zh-CN"/>
                    </w:rPr>
                    <w:t>第三次</w:t>
                  </w:r>
                </w:p>
              </w:tc>
              <w:tc>
                <w:tcPr>
                  <w:tcW w:w="2061" w:type="dxa"/>
                  <w:vMerge w:val="continue"/>
                  <w:shd w:val="clear" w:color="auto" w:fill="FFFFFF"/>
                  <w:vAlign w:val="center"/>
                </w:tcPr>
                <w:p>
                  <w:pPr>
                    <w:jc w:val="center"/>
                    <w:rPr>
                      <w:rFonts w:ascii="宋体" w:hAnsi="宋体" w:eastAsia="宋体" w:cs="Times New Roman"/>
                      <w:szCs w:val="21"/>
                    </w:rPr>
                  </w:pPr>
                </w:p>
              </w:tc>
              <w:tc>
                <w:tcPr>
                  <w:tcW w:w="1860" w:type="dxa"/>
                  <w:shd w:val="clear" w:color="auto" w:fill="FFFFFF"/>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0.18</w:t>
                  </w:r>
                </w:p>
              </w:tc>
              <w:tc>
                <w:tcPr>
                  <w:tcW w:w="1405" w:type="dxa"/>
                  <w:shd w:val="clear" w:color="auto" w:fill="FFFFFF"/>
                  <w:vAlign w:val="center"/>
                </w:tcPr>
                <w:p>
                  <w:pPr>
                    <w:widowControl/>
                    <w:jc w:val="center"/>
                    <w:rPr>
                      <w:rFonts w:hint="eastAsia" w:ascii="宋体" w:hAnsi="宋体" w:eastAsia="宋体" w:cs="Times New Roman"/>
                      <w:b/>
                      <w:kern w:val="0"/>
                      <w:sz w:val="21"/>
                      <w:szCs w:val="21"/>
                      <w:lang w:val="en-US" w:eastAsia="zh-CN" w:bidi="ar-SA"/>
                    </w:rPr>
                  </w:pPr>
                  <w:r>
                    <w:rPr>
                      <w:rFonts w:hint="eastAsia" w:ascii="宋体" w:hAnsi="宋体" w:cs="Times New Roman"/>
                      <w:b w:val="0"/>
                      <w:bCs/>
                      <w:kern w:val="0"/>
                      <w:szCs w:val="21"/>
                      <w:lang w:val="en-US" w:eastAsia="zh-CN"/>
                    </w:rPr>
                    <w:t>≤2.0</w:t>
                  </w:r>
                </w:p>
              </w:tc>
              <w:tc>
                <w:tcPr>
                  <w:tcW w:w="1405" w:type="dxa"/>
                  <w:shd w:val="clear" w:color="auto" w:fill="FFFFFF"/>
                  <w:vAlign w:val="center"/>
                </w:tcPr>
                <w:p>
                  <w:pPr>
                    <w:widowControl/>
                    <w:jc w:val="center"/>
                    <w:rPr>
                      <w:rFonts w:ascii="宋体" w:hAnsi="宋体" w:eastAsia="宋体" w:cs="Times New Roman"/>
                      <w:b w:val="0"/>
                      <w:bCs/>
                      <w:kern w:val="0"/>
                      <w:szCs w:val="21"/>
                    </w:rPr>
                  </w:pPr>
                  <w:r>
                    <w:rPr>
                      <w:rFonts w:hint="eastAsia" w:ascii="宋体" w:hAnsi="宋体" w:eastAsia="宋体" w:cs="Times New Roman"/>
                      <w:b w:val="0"/>
                      <w:bCs/>
                      <w:kern w:val="0"/>
                      <w:szCs w:val="21"/>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ascii="Times New Roman" w:eastAsia="宋体"/>
                <w:kern w:val="0"/>
                <w:sz w:val="24"/>
                <w:szCs w:val="22"/>
                <w:lang w:val="en-US" w:eastAsia="zh-CN" w:bidi="zh-CN"/>
              </w:rPr>
            </w:pPr>
            <w:r>
              <w:rPr>
                <w:rFonts w:hint="eastAsia" w:ascii="Times New Roman" w:eastAsia="宋体"/>
                <w:kern w:val="0"/>
                <w:sz w:val="24"/>
                <w:szCs w:val="22"/>
                <w:lang w:val="en-US" w:eastAsia="zh-CN" w:bidi="zh-CN"/>
              </w:rPr>
              <w:t>无组织废气监测结果表明：2020年3月15日和2020年3月16日，安徽博嘉包装材料有限公司上风向1个参照点，下风向3个监控点非甲烷总烃浓度</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满足《河北省工业企业挥发性有机物排放控制标准》（DB13/2322 -2016）</w:t>
            </w:r>
            <w:r>
              <w:rPr>
                <w:rFonts w:hint="eastAsia"/>
                <w:kern w:val="0"/>
                <w:sz w:val="24"/>
                <w:szCs w:val="22"/>
                <w:lang w:val="en-US" w:eastAsia="zh-CN" w:bidi="zh-CN"/>
              </w:rPr>
              <w:t>厂界大气污染浓度限值</w:t>
            </w:r>
            <w:r>
              <w:rPr>
                <w:rFonts w:hint="eastAsia" w:ascii="Times New Roman" w:eastAsia="宋体"/>
                <w:kern w:val="0"/>
                <w:sz w:val="24"/>
                <w:szCs w:val="22"/>
                <w:lang w:val="en-US" w:eastAsia="zh-CN" w:bidi="zh-CN"/>
              </w:rPr>
              <w:t>。</w:t>
            </w:r>
          </w:p>
          <w:p>
            <w:pPr>
              <w:keepNext w:val="0"/>
              <w:keepLines w:val="0"/>
              <w:suppressLineNumbers w:val="0"/>
              <w:autoSpaceDE w:val="0"/>
              <w:autoSpaceDN w:val="0"/>
              <w:bidi w:val="0"/>
              <w:spacing w:before="0" w:beforeAutospacing="0" w:after="0" w:afterAutospacing="0" w:line="360" w:lineRule="auto"/>
              <w:ind w:left="0" w:right="0" w:firstLine="482" w:firstLineChars="200"/>
              <w:rPr>
                <w:rFonts w:hint="eastAsia" w:ascii="Times New Roman" w:eastAsia="宋体"/>
                <w:b/>
                <w:bCs/>
                <w:kern w:val="0"/>
                <w:sz w:val="24"/>
                <w:szCs w:val="22"/>
                <w:lang w:val="en-US" w:eastAsia="zh-CN" w:bidi="zh-CN"/>
              </w:rPr>
            </w:pPr>
            <w:r>
              <w:rPr>
                <w:rFonts w:hint="eastAsia" w:ascii="Times New Roman" w:eastAsia="宋体"/>
                <w:b/>
                <w:bCs/>
                <w:kern w:val="0"/>
                <w:sz w:val="24"/>
                <w:szCs w:val="22"/>
                <w:lang w:val="en-US" w:eastAsia="zh-CN" w:bidi="zh-CN"/>
              </w:rPr>
              <w:t>验收监测期间气象条件</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24"/>
              <w:gridCol w:w="1354"/>
              <w:gridCol w:w="1270"/>
              <w:gridCol w:w="1232"/>
              <w:gridCol w:w="1430"/>
              <w:gridCol w:w="1521"/>
              <w:gridCol w:w="1100"/>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391"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采样日期</w:t>
                  </w: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采样频次</w:t>
                  </w:r>
                </w:p>
              </w:tc>
              <w:tc>
                <w:tcPr>
                  <w:tcW w:w="108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温度（℃）</w:t>
                  </w:r>
                </w:p>
              </w:tc>
              <w:tc>
                <w:tcPr>
                  <w:tcW w:w="1055"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湿度（%）</w:t>
                  </w:r>
                </w:p>
              </w:tc>
              <w:tc>
                <w:tcPr>
                  <w:tcW w:w="122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气压（kPa）</w:t>
                  </w:r>
                </w:p>
              </w:tc>
              <w:tc>
                <w:tcPr>
                  <w:tcW w:w="130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风速（m/s）</w:t>
                  </w:r>
                </w:p>
              </w:tc>
              <w:tc>
                <w:tcPr>
                  <w:tcW w:w="942"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风向</w:t>
                  </w:r>
                </w:p>
              </w:tc>
              <w:tc>
                <w:tcPr>
                  <w:tcW w:w="67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391" w:type="dxa"/>
                  <w:vMerge w:val="restart"/>
                  <w:tcBorders>
                    <w:tl2br w:val="nil"/>
                    <w:tr2bl w:val="nil"/>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2020.03.15</w:t>
                  </w: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第一次</w:t>
                  </w:r>
                </w:p>
              </w:tc>
              <w:tc>
                <w:tcPr>
                  <w:tcW w:w="108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13.9 </w:t>
                  </w:r>
                </w:p>
              </w:tc>
              <w:tc>
                <w:tcPr>
                  <w:tcW w:w="10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53.7</w:t>
                  </w:r>
                </w:p>
              </w:tc>
              <w:tc>
                <w:tcPr>
                  <w:tcW w:w="122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102.0</w:t>
                  </w:r>
                </w:p>
              </w:tc>
              <w:tc>
                <w:tcPr>
                  <w:tcW w:w="13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1.7 </w:t>
                  </w:r>
                </w:p>
              </w:tc>
              <w:tc>
                <w:tcPr>
                  <w:tcW w:w="94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南风</w:t>
                  </w:r>
                </w:p>
              </w:tc>
              <w:tc>
                <w:tcPr>
                  <w:tcW w:w="67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39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第二次</w:t>
                  </w:r>
                </w:p>
              </w:tc>
              <w:tc>
                <w:tcPr>
                  <w:tcW w:w="108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14.8</w:t>
                  </w:r>
                </w:p>
              </w:tc>
              <w:tc>
                <w:tcPr>
                  <w:tcW w:w="10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51.0 </w:t>
                  </w:r>
                </w:p>
              </w:tc>
              <w:tc>
                <w:tcPr>
                  <w:tcW w:w="122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102.0</w:t>
                  </w:r>
                </w:p>
              </w:tc>
              <w:tc>
                <w:tcPr>
                  <w:tcW w:w="13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1.8 </w:t>
                  </w:r>
                </w:p>
              </w:tc>
              <w:tc>
                <w:tcPr>
                  <w:tcW w:w="94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南风</w:t>
                  </w:r>
                </w:p>
              </w:tc>
              <w:tc>
                <w:tcPr>
                  <w:tcW w:w="6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39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第三次</w:t>
                  </w:r>
                </w:p>
              </w:tc>
              <w:tc>
                <w:tcPr>
                  <w:tcW w:w="108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16.0 </w:t>
                  </w:r>
                </w:p>
              </w:tc>
              <w:tc>
                <w:tcPr>
                  <w:tcW w:w="10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45.9 </w:t>
                  </w:r>
                </w:p>
              </w:tc>
              <w:tc>
                <w:tcPr>
                  <w:tcW w:w="122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102.0</w:t>
                  </w:r>
                </w:p>
              </w:tc>
              <w:tc>
                <w:tcPr>
                  <w:tcW w:w="13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1.4 </w:t>
                  </w:r>
                </w:p>
              </w:tc>
              <w:tc>
                <w:tcPr>
                  <w:tcW w:w="94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南风</w:t>
                  </w:r>
                </w:p>
              </w:tc>
              <w:tc>
                <w:tcPr>
                  <w:tcW w:w="6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391" w:type="dxa"/>
                  <w:vMerge w:val="restart"/>
                  <w:tcBorders>
                    <w:tl2br w:val="nil"/>
                    <w:tr2bl w:val="nil"/>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2020.03.16</w:t>
                  </w: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第一次</w:t>
                  </w:r>
                </w:p>
              </w:tc>
              <w:tc>
                <w:tcPr>
                  <w:tcW w:w="108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14.0 </w:t>
                  </w:r>
                </w:p>
              </w:tc>
              <w:tc>
                <w:tcPr>
                  <w:tcW w:w="10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54.2</w:t>
                  </w:r>
                </w:p>
              </w:tc>
              <w:tc>
                <w:tcPr>
                  <w:tcW w:w="122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102.0</w:t>
                  </w:r>
                </w:p>
              </w:tc>
              <w:tc>
                <w:tcPr>
                  <w:tcW w:w="13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1.6 </w:t>
                  </w:r>
                </w:p>
              </w:tc>
              <w:tc>
                <w:tcPr>
                  <w:tcW w:w="94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南风</w:t>
                  </w:r>
                </w:p>
              </w:tc>
              <w:tc>
                <w:tcPr>
                  <w:tcW w:w="676"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39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第二次</w:t>
                  </w:r>
                </w:p>
              </w:tc>
              <w:tc>
                <w:tcPr>
                  <w:tcW w:w="108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15.0 </w:t>
                  </w:r>
                </w:p>
              </w:tc>
              <w:tc>
                <w:tcPr>
                  <w:tcW w:w="10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53.0 </w:t>
                  </w:r>
                </w:p>
              </w:tc>
              <w:tc>
                <w:tcPr>
                  <w:tcW w:w="122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102.0</w:t>
                  </w:r>
                </w:p>
              </w:tc>
              <w:tc>
                <w:tcPr>
                  <w:tcW w:w="13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1.6 </w:t>
                  </w:r>
                </w:p>
              </w:tc>
              <w:tc>
                <w:tcPr>
                  <w:tcW w:w="94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南风</w:t>
                  </w:r>
                </w:p>
              </w:tc>
              <w:tc>
                <w:tcPr>
                  <w:tcW w:w="6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391"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6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第三次</w:t>
                  </w:r>
                </w:p>
              </w:tc>
              <w:tc>
                <w:tcPr>
                  <w:tcW w:w="108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16.4 </w:t>
                  </w:r>
                </w:p>
              </w:tc>
              <w:tc>
                <w:tcPr>
                  <w:tcW w:w="10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45.9 </w:t>
                  </w:r>
                </w:p>
              </w:tc>
              <w:tc>
                <w:tcPr>
                  <w:tcW w:w="122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102.0</w:t>
                  </w:r>
                </w:p>
              </w:tc>
              <w:tc>
                <w:tcPr>
                  <w:tcW w:w="13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1.4 </w:t>
                  </w:r>
                </w:p>
              </w:tc>
              <w:tc>
                <w:tcPr>
                  <w:tcW w:w="94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南风</w:t>
                  </w:r>
                </w:p>
              </w:tc>
              <w:tc>
                <w:tcPr>
                  <w:tcW w:w="676"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r>
          </w:tbl>
          <w:p>
            <w:pPr>
              <w:spacing w:line="360" w:lineRule="auto"/>
              <w:rPr>
                <w:rFonts w:ascii="宋体" w:hAnsi="宋体" w:eastAsia="宋体" w:cs="Times New Roman"/>
                <w:b/>
                <w:sz w:val="28"/>
                <w:szCs w:val="28"/>
              </w:rPr>
            </w:pPr>
            <w:r>
              <w:rPr>
                <w:rFonts w:hint="eastAsia" w:ascii="宋体" w:hAnsi="宋体" w:eastAsia="宋体" w:cs="Times New Roman"/>
                <w:b/>
                <w:sz w:val="28"/>
                <w:szCs w:val="28"/>
              </w:rPr>
              <w:t>3、噪声监测结果</w:t>
            </w: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4</w:t>
            </w:r>
            <w:r>
              <w:rPr>
                <w:rFonts w:hint="eastAsia" w:ascii="宋体" w:hAnsi="宋体" w:eastAsia="宋体" w:cs="宋体"/>
                <w:b/>
                <w:sz w:val="24"/>
                <w:szCs w:val="24"/>
              </w:rPr>
              <w:t xml:space="preserve">  噪声监测结果表</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0"/>
              <w:gridCol w:w="1295"/>
              <w:gridCol w:w="1535"/>
              <w:gridCol w:w="1856"/>
              <w:gridCol w:w="1460"/>
              <w:gridCol w:w="1784"/>
              <w:gridCol w:w="14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7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类别</w:t>
                  </w:r>
                </w:p>
              </w:tc>
              <w:tc>
                <w:tcPr>
                  <w:tcW w:w="110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监测日期</w:t>
                  </w:r>
                </w:p>
              </w:tc>
              <w:tc>
                <w:tcPr>
                  <w:tcW w:w="1314"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监测点位</w:t>
                  </w:r>
                </w:p>
              </w:tc>
              <w:tc>
                <w:tcPr>
                  <w:tcW w:w="283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昼间Leq dB(A)</w:t>
                  </w:r>
                </w:p>
              </w:tc>
              <w:tc>
                <w:tcPr>
                  <w:tcW w:w="2793"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夜间Leq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314"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589"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观测时间</w:t>
                  </w:r>
                </w:p>
              </w:tc>
              <w:tc>
                <w:tcPr>
                  <w:tcW w:w="1250"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测量结果</w:t>
                  </w:r>
                </w:p>
              </w:tc>
              <w:tc>
                <w:tcPr>
                  <w:tcW w:w="1527"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观测时间</w:t>
                  </w:r>
                </w:p>
              </w:tc>
              <w:tc>
                <w:tcPr>
                  <w:tcW w:w="1266"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工业企业厂界环境噪声</w:t>
                  </w:r>
                </w:p>
              </w:tc>
              <w:tc>
                <w:tcPr>
                  <w:tcW w:w="110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rPr>
                  </w:pPr>
                  <w:r>
                    <w:rPr>
                      <w:rFonts w:hint="eastAsia" w:ascii="宋体" w:hAnsi="宋体" w:eastAsia="宋体" w:cs="宋体"/>
                      <w:sz w:val="21"/>
                      <w:szCs w:val="21"/>
                      <w:lang w:val="en-US" w:eastAsia="zh-CN"/>
                    </w:rPr>
                    <w:t>2020.03.15</w:t>
                  </w: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厂界东侧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10:53-10:54</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48</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22:11-22:12</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厂界南侧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11:03-11:04</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49</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22:17-22:18</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厂界西侧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11:10-11:11</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49</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22:25-22:26</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厂界北侧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11:18-11:19</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48</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22:33-22:34</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lang w:val="en-US"/>
                    </w:rPr>
                  </w:pPr>
                  <w:r>
                    <w:rPr>
                      <w:rFonts w:hint="eastAsia" w:ascii="宋体" w:hAnsi="宋体" w:eastAsia="宋体" w:cs="宋体"/>
                      <w:sz w:val="21"/>
                      <w:szCs w:val="21"/>
                      <w:lang w:val="en-US" w:eastAsia="zh-CN"/>
                    </w:rPr>
                    <w:t>2020.03.16</w:t>
                  </w: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厂界东侧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11:02-11:03</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58</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22:18-22:19</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厂界南侧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11:08-11:09</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59</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22:25-22:26</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厂界西侧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11:16-11:17</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59</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22:34-22:35</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109" w:type="dxa"/>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p>
              </w:tc>
              <w:tc>
                <w:tcPr>
                  <w:tcW w:w="1314" w:type="dxa"/>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厂界北侧</w:t>
                  </w:r>
                </w:p>
              </w:tc>
              <w:tc>
                <w:tcPr>
                  <w:tcW w:w="1589"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11:24-11:25</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60</w:t>
                  </w:r>
                </w:p>
              </w:tc>
              <w:tc>
                <w:tcPr>
                  <w:tcW w:w="152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22:41-22:42</w:t>
                  </w:r>
                </w:p>
              </w:tc>
              <w:tc>
                <w:tcPr>
                  <w:tcW w:w="12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2"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执行标准限值</w:t>
                  </w:r>
                </w:p>
              </w:tc>
              <w:tc>
                <w:tcPr>
                  <w:tcW w:w="283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65</w:t>
                  </w:r>
                </w:p>
              </w:tc>
              <w:tc>
                <w:tcPr>
                  <w:tcW w:w="2793"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2" w:type="dxa"/>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监测结果</w:t>
                  </w:r>
                </w:p>
              </w:tc>
              <w:tc>
                <w:tcPr>
                  <w:tcW w:w="2839"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达标</w:t>
                  </w:r>
                </w:p>
              </w:tc>
              <w:tc>
                <w:tcPr>
                  <w:tcW w:w="2793" w:type="dxa"/>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宋体" w:hAnsi="宋体" w:eastAsia="宋体" w:cs="宋体"/>
                      <w:sz w:val="21"/>
                      <w:szCs w:val="21"/>
                    </w:rPr>
                  </w:pPr>
                  <w:r>
                    <w:rPr>
                      <w:rFonts w:hint="eastAsia" w:ascii="宋体" w:hAnsi="宋体" w:eastAsia="宋体" w:cs="宋体"/>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rPr>
            </w:pPr>
            <w:r>
              <w:rPr>
                <w:rFonts w:hint="eastAsia" w:ascii="Times New Roman" w:eastAsia="宋体"/>
                <w:kern w:val="0"/>
                <w:sz w:val="24"/>
                <w:szCs w:val="22"/>
                <w:lang w:val="en-US" w:eastAsia="zh-CN" w:bidi="zh-CN"/>
              </w:rPr>
              <w:t>噪声监测结果表明：2020年3月15日和2020年3月16日，安徽博嘉包装材料有限公司厂界东侧</w:t>
            </w:r>
            <w:r>
              <w:rPr>
                <w:rFonts w:hint="eastAsia"/>
                <w:kern w:val="0"/>
                <w:sz w:val="24"/>
                <w:szCs w:val="22"/>
                <w:lang w:val="en-US" w:eastAsia="zh-CN" w:bidi="zh-CN"/>
              </w:rPr>
              <w:t>、</w:t>
            </w:r>
            <w:r>
              <w:rPr>
                <w:rFonts w:hint="eastAsia" w:ascii="Times New Roman" w:eastAsia="宋体"/>
                <w:kern w:val="0"/>
                <w:sz w:val="24"/>
                <w:szCs w:val="22"/>
                <w:lang w:val="en-US" w:eastAsia="zh-CN" w:bidi="zh-CN"/>
              </w:rPr>
              <w:t>厂界</w:t>
            </w:r>
            <w:r>
              <w:rPr>
                <w:rFonts w:hint="eastAsia"/>
                <w:kern w:val="0"/>
                <w:sz w:val="24"/>
                <w:szCs w:val="22"/>
                <w:lang w:val="en-US" w:eastAsia="zh-CN" w:bidi="zh-CN"/>
              </w:rPr>
              <w:t>南</w:t>
            </w:r>
            <w:r>
              <w:rPr>
                <w:rFonts w:hint="eastAsia" w:ascii="Times New Roman" w:eastAsia="宋体"/>
                <w:kern w:val="0"/>
                <w:sz w:val="24"/>
                <w:szCs w:val="22"/>
                <w:lang w:val="en-US" w:eastAsia="zh-CN" w:bidi="zh-CN"/>
              </w:rPr>
              <w:t>侧、厂界</w:t>
            </w:r>
            <w:r>
              <w:rPr>
                <w:rFonts w:hint="eastAsia"/>
                <w:kern w:val="0"/>
                <w:sz w:val="24"/>
                <w:szCs w:val="22"/>
                <w:lang w:val="en-US" w:eastAsia="zh-CN" w:bidi="zh-CN"/>
              </w:rPr>
              <w:t>西</w:t>
            </w:r>
            <w:r>
              <w:rPr>
                <w:rFonts w:hint="eastAsia" w:ascii="Times New Roman" w:eastAsia="宋体"/>
                <w:kern w:val="0"/>
                <w:sz w:val="24"/>
                <w:szCs w:val="22"/>
                <w:lang w:val="en-US" w:eastAsia="zh-CN" w:bidi="zh-CN"/>
              </w:rPr>
              <w:t>侧、厂界</w:t>
            </w:r>
            <w:r>
              <w:rPr>
                <w:rFonts w:hint="eastAsia"/>
                <w:kern w:val="0"/>
                <w:sz w:val="24"/>
                <w:szCs w:val="22"/>
                <w:lang w:val="en-US" w:eastAsia="zh-CN" w:bidi="zh-CN"/>
              </w:rPr>
              <w:t>北</w:t>
            </w:r>
            <w:r>
              <w:rPr>
                <w:rFonts w:hint="eastAsia" w:ascii="Times New Roman" w:eastAsia="宋体"/>
                <w:kern w:val="0"/>
                <w:sz w:val="24"/>
                <w:szCs w:val="22"/>
                <w:lang w:val="en-US" w:eastAsia="zh-CN" w:bidi="zh-CN"/>
              </w:rPr>
              <w:t>侧昼间</w:t>
            </w:r>
            <w:r>
              <w:rPr>
                <w:rFonts w:hint="eastAsia"/>
                <w:kern w:val="0"/>
                <w:sz w:val="24"/>
                <w:szCs w:val="22"/>
                <w:lang w:val="en-US" w:eastAsia="zh-CN" w:bidi="zh-CN"/>
              </w:rPr>
              <w:t>和</w:t>
            </w:r>
            <w:r>
              <w:rPr>
                <w:rFonts w:hint="eastAsia" w:ascii="Times New Roman" w:eastAsia="宋体"/>
                <w:kern w:val="0"/>
                <w:sz w:val="24"/>
                <w:szCs w:val="22"/>
                <w:lang w:val="en-US" w:eastAsia="zh-CN" w:bidi="zh-CN"/>
              </w:rPr>
              <w:t>夜间噪声均满足《工业企业厂界环境噪声排放标准》（GB12348-2008）中3类标准。</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4、污染物排放总量控制与分析</w:t>
            </w:r>
          </w:p>
          <w:p>
            <w:pPr>
              <w:spacing w:line="360" w:lineRule="auto"/>
              <w:rPr>
                <w:rFonts w:ascii="宋体" w:hAnsi="宋体" w:eastAsia="宋体" w:cs="Times New Roman"/>
                <w:b/>
                <w:sz w:val="24"/>
              </w:rPr>
            </w:pPr>
            <w:r>
              <w:rPr>
                <w:rFonts w:ascii="宋体" w:hAnsi="宋体" w:eastAsia="宋体" w:cs="Times New Roman"/>
                <w:b/>
                <w:sz w:val="24"/>
              </w:rPr>
              <w:t>4.</w:t>
            </w:r>
            <w:r>
              <w:rPr>
                <w:rFonts w:hint="eastAsia" w:ascii="宋体" w:hAnsi="宋体" w:eastAsia="宋体" w:cs="Times New Roman"/>
                <w:b/>
                <w:sz w:val="24"/>
              </w:rPr>
              <w:t>1总量控制指标</w:t>
            </w:r>
          </w:p>
          <w:p>
            <w:pPr>
              <w:widowControl w:val="0"/>
              <w:spacing w:line="360" w:lineRule="auto"/>
              <w:ind w:firstLine="240" w:firstLineChars="100"/>
              <w:jc w:val="both"/>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 xml:space="preserve"> “十三五”规划期间我国纳入约束性考核的污染物：COD、NH</w:t>
            </w:r>
            <w:r>
              <w:rPr>
                <w:rFonts w:hint="default" w:ascii="Times New Roman" w:hAnsi="Times New Roman" w:eastAsia="宋体" w:cs="Times New Roman"/>
                <w:kern w:val="2"/>
                <w:sz w:val="24"/>
                <w:szCs w:val="24"/>
                <w:vertAlign w:val="subscript"/>
                <w:lang w:val="en-US" w:eastAsia="zh-CN" w:bidi="ar-SA"/>
              </w:rPr>
              <w:t>3</w:t>
            </w:r>
            <w:r>
              <w:rPr>
                <w:rFonts w:hint="default" w:ascii="Times New Roman" w:hAnsi="Times New Roman" w:eastAsia="宋体" w:cs="Times New Roman"/>
                <w:kern w:val="2"/>
                <w:sz w:val="24"/>
                <w:szCs w:val="24"/>
                <w:lang w:val="en-US" w:eastAsia="zh-CN" w:bidi="ar-SA"/>
              </w:rPr>
              <w:t>-N、SO</w:t>
            </w:r>
            <w:r>
              <w:rPr>
                <w:rFonts w:hint="default" w:ascii="Times New Roman" w:hAnsi="Times New Roman" w:eastAsia="宋体" w:cs="Times New Roman"/>
                <w:kern w:val="2"/>
                <w:sz w:val="24"/>
                <w:szCs w:val="24"/>
                <w:vertAlign w:val="subscript"/>
                <w:lang w:val="en-US" w:eastAsia="zh-CN" w:bidi="ar-SA"/>
              </w:rPr>
              <w:t>2</w:t>
            </w:r>
            <w:r>
              <w:rPr>
                <w:rFonts w:hint="default" w:ascii="Times New Roman" w:hAnsi="Times New Roman" w:eastAsia="宋体" w:cs="Times New Roman"/>
                <w:kern w:val="2"/>
                <w:sz w:val="24"/>
                <w:szCs w:val="24"/>
                <w:lang w:val="en-US" w:eastAsia="zh-CN" w:bidi="ar-SA"/>
              </w:rPr>
              <w:t>、NOx、烟（粉）尘、VOC</w:t>
            </w:r>
            <w:r>
              <w:rPr>
                <w:rFonts w:hint="default" w:ascii="Times New Roman" w:hAnsi="Times New Roman" w:eastAsia="宋体" w:cs="Times New Roman"/>
                <w:kern w:val="2"/>
                <w:sz w:val="24"/>
                <w:szCs w:val="24"/>
                <w:vertAlign w:val="subscript"/>
                <w:lang w:val="en-US" w:eastAsia="zh-CN" w:bidi="ar-SA"/>
              </w:rPr>
              <w:t>S</w:t>
            </w:r>
            <w:r>
              <w:rPr>
                <w:rFonts w:hint="default" w:ascii="Times New Roman" w:hAnsi="Times New Roman" w:eastAsia="宋体" w:cs="Times New Roman"/>
                <w:kern w:val="2"/>
                <w:sz w:val="24"/>
                <w:szCs w:val="24"/>
                <w:lang w:val="en-US" w:eastAsia="zh-CN" w:bidi="ar-SA"/>
              </w:rPr>
              <w:t>共6种主要污染物实行排放总量控制计划管理。根据环评建议，本项目总量控制指标为VOCs</w:t>
            </w:r>
            <w:r>
              <w:rPr>
                <w:rFonts w:hint="default" w:ascii="Times New Roman" w:hAnsi="Times New Roman" w:cs="Times New Roman"/>
                <w:kern w:val="2"/>
                <w:sz w:val="24"/>
                <w:szCs w:val="24"/>
                <w:lang w:val="en-US" w:eastAsia="zh-CN" w:bidi="ar-SA"/>
              </w:rPr>
              <w:t>（以非甲烷总烃计）</w:t>
            </w:r>
            <w:r>
              <w:rPr>
                <w:rFonts w:hint="default" w:ascii="Times New Roman" w:hAnsi="Times New Roman" w:eastAsia="宋体" w:cs="Times New Roman"/>
                <w:kern w:val="2"/>
                <w:sz w:val="24"/>
                <w:szCs w:val="24"/>
                <w:lang w:val="en-US" w:eastAsia="zh-CN" w:bidi="ar-SA"/>
              </w:rPr>
              <w:t>0.0014 t/a</w:t>
            </w:r>
            <w:r>
              <w:rPr>
                <w:rFonts w:hint="default" w:ascii="Times New Roman" w:hAnsi="Times New Roman" w:cs="Times New Roman"/>
                <w:kern w:val="2"/>
                <w:sz w:val="24"/>
                <w:szCs w:val="24"/>
                <w:lang w:val="en-US" w:eastAsia="zh-CN" w:bidi="ar-SA"/>
              </w:rPr>
              <w:t>；COD 0.014 t/a；NH</w:t>
            </w:r>
            <w:r>
              <w:rPr>
                <w:rFonts w:hint="default" w:ascii="Times New Roman" w:hAnsi="Times New Roman" w:cs="Times New Roman"/>
                <w:kern w:val="2"/>
                <w:sz w:val="24"/>
                <w:szCs w:val="24"/>
                <w:vertAlign w:val="subscript"/>
                <w:lang w:val="en-US" w:eastAsia="zh-CN" w:bidi="ar-SA"/>
              </w:rPr>
              <w:t>3</w:t>
            </w:r>
            <w:r>
              <w:rPr>
                <w:rFonts w:hint="default" w:ascii="Times New Roman" w:hAnsi="Times New Roman" w:cs="Times New Roman"/>
                <w:kern w:val="2"/>
                <w:sz w:val="24"/>
                <w:szCs w:val="24"/>
                <w:lang w:val="en-US" w:eastAsia="zh-CN" w:bidi="ar-SA"/>
              </w:rPr>
              <w:t>-N 0.001 t/a。</w:t>
            </w:r>
          </w:p>
          <w:p>
            <w:pPr>
              <w:widowControl w:val="0"/>
              <w:spacing w:line="360" w:lineRule="auto"/>
              <w:jc w:val="both"/>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rPr>
              <w:t>根据水量核算，企业用水</w:t>
            </w:r>
            <w:r>
              <w:rPr>
                <w:rFonts w:hint="default" w:ascii="Times New Roman" w:hAnsi="Times New Roman" w:eastAsia="宋体" w:cs="Times New Roman"/>
                <w:sz w:val="24"/>
                <w:highlight w:val="none"/>
              </w:rPr>
              <w:t>量约为</w:t>
            </w:r>
            <w:r>
              <w:rPr>
                <w:rFonts w:hint="default" w:ascii="Times New Roman" w:hAnsi="Times New Roman" w:cs="Times New Roman"/>
                <w:sz w:val="24"/>
                <w:highlight w:val="none"/>
                <w:lang w:val="en-US" w:eastAsia="zh-CN"/>
              </w:rPr>
              <w:t>216</w:t>
            </w:r>
            <w:r>
              <w:rPr>
                <w:rFonts w:hint="default" w:ascii="Times New Roman" w:hAnsi="Times New Roman" w:eastAsia="宋体" w:cs="Times New Roman"/>
                <w:sz w:val="24"/>
                <w:highlight w:val="none"/>
              </w:rPr>
              <w:t>t/a，根据水平衡核算，则企业废水产生量为</w:t>
            </w:r>
            <w:r>
              <w:rPr>
                <w:rFonts w:hint="default" w:ascii="Times New Roman" w:hAnsi="Times New Roman" w:cs="Times New Roman"/>
                <w:sz w:val="24"/>
                <w:highlight w:val="none"/>
                <w:lang w:val="en-US" w:eastAsia="zh-CN"/>
              </w:rPr>
              <w:t>172.8</w:t>
            </w:r>
            <w:r>
              <w:rPr>
                <w:rFonts w:hint="default" w:ascii="Times New Roman" w:hAnsi="Times New Roman" w:eastAsia="宋体" w:cs="Times New Roman"/>
                <w:sz w:val="24"/>
                <w:highlight w:val="none"/>
              </w:rPr>
              <w:t>t/a。</w:t>
            </w:r>
            <w:r>
              <w:rPr>
                <w:rFonts w:hint="default" w:ascii="Times New Roman" w:hAnsi="Times New Roman" w:eastAsia="宋体" w:cs="Times New Roman"/>
                <w:sz w:val="24"/>
                <w:lang w:val="en-US" w:eastAsia="zh-CN"/>
              </w:rPr>
              <w:t>江北</w:t>
            </w:r>
            <w:r>
              <w:rPr>
                <w:rFonts w:hint="default" w:ascii="Times New Roman" w:hAnsi="Times New Roman" w:eastAsia="宋体" w:cs="Times New Roman"/>
                <w:sz w:val="24"/>
              </w:rPr>
              <w:t>污水处理厂出水水质标准执行《城镇污水处理厂污染物排放</w:t>
            </w:r>
            <w:r>
              <w:rPr>
                <w:rFonts w:hint="default" w:ascii="Times New Roman" w:hAnsi="Times New Roman" w:eastAsia="宋体" w:cs="Times New Roman"/>
                <w:sz w:val="24"/>
                <w:highlight w:val="none"/>
              </w:rPr>
              <w:t>标准》（GB18918-2002）一级</w:t>
            </w:r>
            <w:r>
              <w:rPr>
                <w:rFonts w:hint="default" w:ascii="Times New Roman" w:hAnsi="Times New Roman" w:eastAsia="宋体" w:cs="Times New Roman"/>
                <w:sz w:val="24"/>
                <w:highlight w:val="none"/>
                <w:lang w:val="en-US" w:eastAsia="zh-CN"/>
              </w:rPr>
              <w:t>A</w:t>
            </w:r>
            <w:r>
              <w:rPr>
                <w:rFonts w:hint="default" w:ascii="Times New Roman" w:hAnsi="Times New Roman" w:eastAsia="宋体" w:cs="Times New Roman"/>
                <w:sz w:val="24"/>
                <w:highlight w:val="none"/>
              </w:rPr>
              <w:t>标准，即COD：</w:t>
            </w:r>
            <w:r>
              <w:rPr>
                <w:rFonts w:hint="default" w:ascii="Times New Roman" w:hAnsi="Times New Roman" w:eastAsia="宋体" w:cs="Times New Roman"/>
                <w:sz w:val="24"/>
                <w:highlight w:val="none"/>
                <w:lang w:val="en-US" w:eastAsia="zh-CN"/>
              </w:rPr>
              <w:t>50</w:t>
            </w:r>
            <w:r>
              <w:rPr>
                <w:rFonts w:hint="default" w:ascii="Times New Roman" w:hAnsi="Times New Roman" w:eastAsia="宋体" w:cs="Times New Roman"/>
                <w:sz w:val="24"/>
                <w:highlight w:val="none"/>
              </w:rPr>
              <w:t>mg/L, NH</w:t>
            </w:r>
            <w:r>
              <w:rPr>
                <w:rFonts w:hint="default" w:ascii="Times New Roman" w:hAnsi="Times New Roman" w:eastAsia="宋体" w:cs="Times New Roman"/>
                <w:sz w:val="24"/>
                <w:highlight w:val="none"/>
                <w:vertAlign w:val="subscript"/>
              </w:rPr>
              <w:t>3</w:t>
            </w:r>
            <w:r>
              <w:rPr>
                <w:rFonts w:hint="default" w:ascii="Times New Roman" w:hAnsi="Times New Roman" w:eastAsia="宋体" w:cs="Times New Roman"/>
                <w:sz w:val="24"/>
                <w:highlight w:val="none"/>
              </w:rPr>
              <w:t>-N：</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rPr>
              <w:t>mg/L</w:t>
            </w:r>
            <w:r>
              <w:rPr>
                <w:rFonts w:hint="default" w:ascii="Times New Roman" w:hAnsi="Times New Roman" w:eastAsia="宋体" w:cs="Times New Roman"/>
                <w:sz w:val="24"/>
                <w:highlight w:val="none"/>
                <w:lang w:val="fr-FR"/>
              </w:rPr>
              <w:t>。</w:t>
            </w:r>
            <w:r>
              <w:rPr>
                <w:rFonts w:hint="default" w:ascii="Times New Roman" w:hAnsi="Times New Roman" w:eastAsia="宋体" w:cs="Times New Roman"/>
                <w:sz w:val="24"/>
                <w:highlight w:val="none"/>
              </w:rPr>
              <w:t>则企业目前实际</w:t>
            </w:r>
            <w:r>
              <w:rPr>
                <w:rFonts w:hint="default" w:ascii="Times New Roman" w:hAnsi="Times New Roman" w:eastAsia="宋体" w:cs="Times New Roman"/>
                <w:sz w:val="24"/>
                <w:highlight w:val="none"/>
                <w:lang w:val="fr-FR"/>
              </w:rPr>
              <w:t>外排COD为</w:t>
            </w:r>
            <w:r>
              <w:rPr>
                <w:rFonts w:hint="default" w:ascii="Times New Roman" w:hAnsi="Times New Roman" w:cs="Times New Roman"/>
                <w:sz w:val="24"/>
                <w:highlight w:val="none"/>
                <w:lang w:val="en-US" w:eastAsia="zh-CN"/>
              </w:rPr>
              <w:t>0.009</w:t>
            </w:r>
            <w:r>
              <w:rPr>
                <w:rFonts w:hint="default" w:ascii="Times New Roman" w:hAnsi="Times New Roman" w:eastAsia="宋体" w:cs="Times New Roman"/>
                <w:sz w:val="24"/>
                <w:highlight w:val="none"/>
              </w:rPr>
              <w:t>t/a</w:t>
            </w:r>
            <w:r>
              <w:rPr>
                <w:rFonts w:hint="default" w:ascii="Times New Roman" w:hAnsi="Times New Roman" w:eastAsia="宋体" w:cs="Times New Roman"/>
                <w:sz w:val="24"/>
                <w:highlight w:val="none"/>
                <w:lang w:val="fr-FR"/>
              </w:rPr>
              <w:t>，</w:t>
            </w:r>
            <w:r>
              <w:rPr>
                <w:rFonts w:hint="default" w:ascii="Times New Roman" w:hAnsi="Times New Roman" w:eastAsia="宋体" w:cs="Times New Roman"/>
                <w:sz w:val="24"/>
                <w:highlight w:val="none"/>
              </w:rPr>
              <w:t>NH</w:t>
            </w:r>
            <w:r>
              <w:rPr>
                <w:rFonts w:hint="default" w:ascii="Times New Roman" w:hAnsi="Times New Roman" w:eastAsia="宋体" w:cs="Times New Roman"/>
                <w:sz w:val="24"/>
                <w:highlight w:val="none"/>
                <w:vertAlign w:val="subscript"/>
              </w:rPr>
              <w:t>3</w:t>
            </w:r>
            <w:r>
              <w:rPr>
                <w:rFonts w:hint="default" w:ascii="Times New Roman" w:hAnsi="Times New Roman" w:eastAsia="宋体" w:cs="Times New Roman"/>
                <w:sz w:val="24"/>
                <w:highlight w:val="none"/>
              </w:rPr>
              <w:t>-N为</w:t>
            </w:r>
            <w:r>
              <w:rPr>
                <w:rFonts w:hint="default" w:ascii="Times New Roman" w:hAnsi="Times New Roman" w:cs="Times New Roman"/>
                <w:sz w:val="24"/>
                <w:highlight w:val="none"/>
                <w:lang w:val="en-US" w:eastAsia="zh-CN"/>
              </w:rPr>
              <w:t>0.0009</w:t>
            </w:r>
            <w:r>
              <w:rPr>
                <w:rFonts w:hint="default" w:ascii="Times New Roman" w:hAnsi="Times New Roman" w:eastAsia="宋体" w:cs="Times New Roman"/>
                <w:sz w:val="24"/>
                <w:highlight w:val="none"/>
              </w:rPr>
              <w:t>t/a</w:t>
            </w:r>
            <w:r>
              <w:rPr>
                <w:rFonts w:hint="default" w:ascii="Times New Roman" w:hAnsi="Times New Roman" w:eastAsia="宋体" w:cs="Times New Roman"/>
                <w:sz w:val="24"/>
                <w:highlight w:val="none"/>
                <w:lang w:val="fr-FR"/>
              </w:rPr>
              <w:t>，</w:t>
            </w:r>
            <w:r>
              <w:rPr>
                <w:rFonts w:hint="default" w:ascii="Times New Roman" w:hAnsi="Times New Roman" w:eastAsia="宋体" w:cs="Times New Roman"/>
                <w:sz w:val="24"/>
                <w:highlight w:val="none"/>
              </w:rPr>
              <w:t>均符合环评建议总量</w:t>
            </w:r>
            <w:r>
              <w:rPr>
                <w:rFonts w:hint="default" w:ascii="Times New Roman" w:hAnsi="Times New Roman" w:eastAsia="宋体" w:cs="Times New Roman"/>
                <w:sz w:val="24"/>
                <w:highlight w:val="none"/>
                <w:lang w:val="fr-FR"/>
              </w:rPr>
              <w:t>指标要求</w:t>
            </w:r>
            <w:r>
              <w:rPr>
                <w:rFonts w:hint="default" w:ascii="Times New Roman" w:hAnsi="Times New Roman" w:eastAsia="宋体" w:cs="Times New Roman"/>
                <w:sz w:val="24"/>
                <w:highlight w:val="none"/>
              </w:rPr>
              <w:t>。详见下表</w:t>
            </w:r>
          </w:p>
          <w:tbl>
            <w:tblPr>
              <w:tblStyle w:val="33"/>
              <w:tblW w:w="10157" w:type="dxa"/>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81"/>
              <w:gridCol w:w="3663"/>
              <w:gridCol w:w="33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6" w:hRule="atLeast"/>
                <w:tblHeader/>
              </w:trPr>
              <w:tc>
                <w:tcPr>
                  <w:tcW w:w="3181" w:type="dxa"/>
                  <w:vAlign w:val="center"/>
                </w:tcPr>
                <w:p>
                  <w:pPr>
                    <w:spacing w:line="360" w:lineRule="auto"/>
                    <w:ind w:firstLine="480" w:firstLineChars="20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总量控制指标</w:t>
                  </w:r>
                </w:p>
              </w:tc>
              <w:tc>
                <w:tcPr>
                  <w:tcW w:w="3663" w:type="dxa"/>
                  <w:vAlign w:val="center"/>
                </w:tcPr>
                <w:p>
                  <w:pPr>
                    <w:spacing w:line="360" w:lineRule="auto"/>
                    <w:ind w:firstLine="480" w:firstLineChars="20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总量控制建议值（t/a）</w:t>
                  </w:r>
                </w:p>
              </w:tc>
              <w:tc>
                <w:tcPr>
                  <w:tcW w:w="3313" w:type="dxa"/>
                  <w:vAlign w:val="center"/>
                </w:tcPr>
                <w:p>
                  <w:pPr>
                    <w:spacing w:line="360" w:lineRule="auto"/>
                    <w:ind w:firstLine="480" w:firstLineChars="20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实际外排环境量（t/a）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3181" w:type="dxa"/>
                  <w:vAlign w:val="center"/>
                </w:tcPr>
                <w:p>
                  <w:pPr>
                    <w:spacing w:line="360" w:lineRule="auto"/>
                    <w:ind w:firstLine="480" w:firstLineChars="200"/>
                    <w:jc w:val="center"/>
                    <w:rPr>
                      <w:rFonts w:hint="default" w:ascii="Times New Roman" w:hAnsi="Times New Roman" w:eastAsia="宋体" w:cs="Times New Roman"/>
                      <w:sz w:val="24"/>
                      <w:lang w:val="fr-FR"/>
                    </w:rPr>
                  </w:pPr>
                  <w:r>
                    <w:rPr>
                      <w:rFonts w:hint="default" w:ascii="Times New Roman" w:hAnsi="Times New Roman" w:eastAsia="宋体" w:cs="Times New Roman"/>
                      <w:sz w:val="24"/>
                      <w:lang w:val="fr-FR"/>
                    </w:rPr>
                    <w:t>COD</w:t>
                  </w:r>
                </w:p>
              </w:tc>
              <w:tc>
                <w:tcPr>
                  <w:tcW w:w="3663" w:type="dxa"/>
                  <w:vAlign w:val="center"/>
                </w:tcPr>
                <w:p>
                  <w:pPr>
                    <w:spacing w:line="360" w:lineRule="auto"/>
                    <w:ind w:firstLine="480" w:firstLineChars="20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0.014</w:t>
                  </w:r>
                </w:p>
              </w:tc>
              <w:tc>
                <w:tcPr>
                  <w:tcW w:w="3313" w:type="dxa"/>
                  <w:vAlign w:val="center"/>
                </w:tcPr>
                <w:p>
                  <w:pPr>
                    <w:spacing w:line="360" w:lineRule="auto"/>
                    <w:ind w:firstLine="480" w:firstLineChars="20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3181" w:type="dxa"/>
                  <w:vAlign w:val="center"/>
                </w:tcPr>
                <w:p>
                  <w:pPr>
                    <w:spacing w:line="360" w:lineRule="auto"/>
                    <w:ind w:firstLine="480" w:firstLineChars="200"/>
                    <w:jc w:val="center"/>
                    <w:rPr>
                      <w:rFonts w:hint="default" w:ascii="Times New Roman" w:hAnsi="Times New Roman" w:eastAsia="宋体" w:cs="Times New Roman"/>
                      <w:sz w:val="24"/>
                      <w:lang w:val="fr-FR"/>
                    </w:rPr>
                  </w:pPr>
                  <w:r>
                    <w:rPr>
                      <w:rFonts w:hint="default" w:ascii="Times New Roman" w:hAnsi="Times New Roman" w:eastAsia="宋体" w:cs="Times New Roman"/>
                      <w:sz w:val="24"/>
                      <w:lang w:val="fr-FR" w:eastAsia="zh-CN"/>
                    </w:rPr>
                    <w:t>NH</w:t>
                  </w:r>
                  <w:r>
                    <w:rPr>
                      <w:rFonts w:hint="default" w:ascii="Times New Roman" w:hAnsi="Times New Roman" w:eastAsia="宋体" w:cs="Times New Roman"/>
                      <w:sz w:val="24"/>
                      <w:vertAlign w:val="subscript"/>
                      <w:lang w:val="fr-FR" w:eastAsia="zh-CN"/>
                    </w:rPr>
                    <w:t>3</w:t>
                  </w:r>
                  <w:r>
                    <w:rPr>
                      <w:rFonts w:hint="default" w:ascii="Times New Roman" w:hAnsi="Times New Roman" w:eastAsia="宋体" w:cs="Times New Roman"/>
                      <w:sz w:val="24"/>
                      <w:lang w:val="fr-FR" w:eastAsia="zh-CN"/>
                    </w:rPr>
                    <w:t>-N</w:t>
                  </w:r>
                </w:p>
              </w:tc>
              <w:tc>
                <w:tcPr>
                  <w:tcW w:w="3663" w:type="dxa"/>
                  <w:vAlign w:val="center"/>
                </w:tcPr>
                <w:p>
                  <w:pPr>
                    <w:spacing w:line="360" w:lineRule="auto"/>
                    <w:ind w:firstLine="480" w:firstLineChars="20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0.001</w:t>
                  </w:r>
                </w:p>
              </w:tc>
              <w:tc>
                <w:tcPr>
                  <w:tcW w:w="3313" w:type="dxa"/>
                  <w:vAlign w:val="center"/>
                </w:tcPr>
                <w:p>
                  <w:pPr>
                    <w:spacing w:line="360" w:lineRule="auto"/>
                    <w:ind w:firstLine="480" w:firstLineChars="200"/>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0.0009</w:t>
                  </w:r>
                </w:p>
              </w:tc>
            </w:tr>
          </w:tbl>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 xml:space="preserve">4.3废气排污总量核算： </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该项目废气排气筒年</w:t>
            </w:r>
            <w:r>
              <w:rPr>
                <w:rFonts w:hint="default" w:ascii="Times New Roman" w:hAnsi="Times New Roman" w:cs="Times New Roman"/>
                <w:sz w:val="24"/>
                <w:lang w:val="en-US" w:eastAsia="zh-CN"/>
              </w:rPr>
              <w:t>工作约</w:t>
            </w:r>
            <w:r>
              <w:rPr>
                <w:rFonts w:hint="eastAsia" w:cs="Times New Roman"/>
                <w:sz w:val="24"/>
                <w:lang w:val="en-US" w:eastAsia="zh-CN"/>
              </w:rPr>
              <w:t>1800</w:t>
            </w:r>
            <w:r>
              <w:rPr>
                <w:rFonts w:hint="default" w:ascii="Times New Roman" w:hAnsi="Times New Roman" w:eastAsia="宋体" w:cs="Times New Roman"/>
                <w:sz w:val="24"/>
                <w:highlight w:val="none"/>
              </w:rPr>
              <w:t>小时</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项目</w:t>
            </w:r>
            <w:r>
              <w:rPr>
                <w:rFonts w:hint="default" w:ascii="Times New Roman" w:hAnsi="Times New Roman" w:eastAsia="宋体" w:cs="Times New Roman"/>
                <w:bCs/>
                <w:sz w:val="24"/>
              </w:rPr>
              <w:t>VOCs（以非甲烷总烃计）</w:t>
            </w:r>
            <w:r>
              <w:rPr>
                <w:rFonts w:hint="default" w:ascii="Times New Roman" w:hAnsi="Times New Roman" w:eastAsia="宋体" w:cs="Times New Roman"/>
                <w:sz w:val="24"/>
              </w:rPr>
              <w:t>实际排放量为</w:t>
            </w:r>
            <w:r>
              <w:rPr>
                <w:rFonts w:hint="eastAsia" w:cs="Times New Roman"/>
                <w:bCs/>
                <w:sz w:val="24"/>
                <w:highlight w:val="none"/>
                <w:lang w:val="en-US" w:eastAsia="zh-CN"/>
              </w:rPr>
              <w:t>0.0081</w:t>
            </w:r>
            <w:r>
              <w:rPr>
                <w:rFonts w:hint="default" w:ascii="Times New Roman" w:hAnsi="Times New Roman" w:eastAsia="宋体" w:cs="Times New Roman"/>
                <w:bCs/>
                <w:sz w:val="24"/>
                <w:highlight w:val="none"/>
              </w:rPr>
              <w:t>t/a。</w:t>
            </w:r>
            <w:r>
              <w:rPr>
                <w:rFonts w:hint="default" w:ascii="Times New Roman" w:hAnsi="Times New Roman" w:eastAsia="宋体" w:cs="Times New Roman"/>
                <w:sz w:val="24"/>
              </w:rPr>
              <w:t>符合环评控制要求，详见下表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1585"/>
              <w:gridCol w:w="1119"/>
              <w:gridCol w:w="1119"/>
              <w:gridCol w:w="1140"/>
              <w:gridCol w:w="1460"/>
              <w:gridCol w:w="13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2041" w:type="dxa"/>
                  <w:vMerge w:val="restart"/>
                  <w:shd w:val="clear" w:color="auto" w:fill="auto"/>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采样点位</w:t>
                  </w:r>
                </w:p>
              </w:tc>
              <w:tc>
                <w:tcPr>
                  <w:tcW w:w="1585" w:type="dxa"/>
                  <w:vMerge w:val="restart"/>
                  <w:shd w:val="clear" w:color="auto" w:fill="auto"/>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监测项目</w:t>
                  </w:r>
                </w:p>
              </w:tc>
              <w:tc>
                <w:tcPr>
                  <w:tcW w:w="3378" w:type="dxa"/>
                  <w:gridSpan w:val="3"/>
                  <w:shd w:val="clear" w:color="auto" w:fill="auto"/>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排放速率（kg/h）</w:t>
                  </w:r>
                </w:p>
              </w:tc>
              <w:tc>
                <w:tcPr>
                  <w:tcW w:w="1460" w:type="dxa"/>
                  <w:vMerge w:val="restart"/>
                  <w:shd w:val="clear" w:color="auto" w:fill="auto"/>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实际年排放量（kg/a）</w:t>
                  </w:r>
                </w:p>
              </w:tc>
              <w:tc>
                <w:tcPr>
                  <w:tcW w:w="1317" w:type="dxa"/>
                  <w:vMerge w:val="restart"/>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合计排放量</w:t>
                  </w:r>
                </w:p>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w:t>
                  </w:r>
                  <w:r>
                    <w:rPr>
                      <w:rFonts w:hint="default" w:ascii="Times New Roman" w:hAnsi="Times New Roman" w:eastAsia="宋体" w:cs="Times New Roman"/>
                      <w:bCs/>
                      <w:szCs w:val="21"/>
                    </w:rPr>
                    <w:t>t/a</w:t>
                  </w:r>
                  <w:r>
                    <w:rPr>
                      <w:rFonts w:hint="default" w:ascii="Times New Roman" w:hAnsi="Times New Roman" w:eastAsia="宋体" w:cs="Times New Roman"/>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41" w:type="dxa"/>
                  <w:vMerge w:val="continue"/>
                  <w:shd w:val="clear" w:color="auto" w:fill="auto"/>
                  <w:vAlign w:val="center"/>
                </w:tcPr>
                <w:p>
                  <w:pPr>
                    <w:spacing w:line="276" w:lineRule="auto"/>
                    <w:jc w:val="center"/>
                    <w:rPr>
                      <w:rFonts w:hint="default" w:ascii="Times New Roman" w:hAnsi="Times New Roman" w:eastAsia="宋体" w:cs="Times New Roman"/>
                      <w:szCs w:val="21"/>
                    </w:rPr>
                  </w:pPr>
                </w:p>
              </w:tc>
              <w:tc>
                <w:tcPr>
                  <w:tcW w:w="1585" w:type="dxa"/>
                  <w:vMerge w:val="continue"/>
                  <w:shd w:val="clear" w:color="auto" w:fill="auto"/>
                  <w:vAlign w:val="center"/>
                </w:tcPr>
                <w:p>
                  <w:pPr>
                    <w:spacing w:line="276" w:lineRule="auto"/>
                    <w:jc w:val="center"/>
                    <w:rPr>
                      <w:rFonts w:hint="default" w:ascii="Times New Roman" w:hAnsi="Times New Roman" w:eastAsia="宋体" w:cs="Times New Roman"/>
                      <w:szCs w:val="21"/>
                    </w:rPr>
                  </w:pPr>
                </w:p>
              </w:tc>
              <w:tc>
                <w:tcPr>
                  <w:tcW w:w="1119" w:type="dxa"/>
                  <w:shd w:val="clear" w:color="auto" w:fill="auto"/>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第一天</w:t>
                  </w:r>
                </w:p>
              </w:tc>
              <w:tc>
                <w:tcPr>
                  <w:tcW w:w="1119" w:type="dxa"/>
                  <w:shd w:val="clear" w:color="auto" w:fill="auto"/>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第二天</w:t>
                  </w:r>
                </w:p>
              </w:tc>
              <w:tc>
                <w:tcPr>
                  <w:tcW w:w="1140" w:type="dxa"/>
                  <w:shd w:val="clear" w:color="auto" w:fill="auto"/>
                  <w:vAlign w:val="center"/>
                </w:tcPr>
                <w:p>
                  <w:pPr>
                    <w:spacing w:line="276"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两天均值</w:t>
                  </w:r>
                </w:p>
              </w:tc>
              <w:tc>
                <w:tcPr>
                  <w:tcW w:w="1460" w:type="dxa"/>
                  <w:vMerge w:val="continue"/>
                  <w:shd w:val="clear" w:color="auto" w:fill="auto"/>
                  <w:vAlign w:val="center"/>
                </w:tcPr>
                <w:p>
                  <w:pPr>
                    <w:spacing w:line="276" w:lineRule="auto"/>
                    <w:jc w:val="center"/>
                    <w:rPr>
                      <w:rFonts w:hint="default" w:ascii="Times New Roman" w:hAnsi="Times New Roman" w:eastAsia="宋体" w:cs="Times New Roman"/>
                      <w:szCs w:val="21"/>
                    </w:rPr>
                  </w:pPr>
                </w:p>
              </w:tc>
              <w:tc>
                <w:tcPr>
                  <w:tcW w:w="1317" w:type="dxa"/>
                  <w:vMerge w:val="continue"/>
                  <w:vAlign w:val="center"/>
                </w:tcPr>
                <w:p>
                  <w:pPr>
                    <w:spacing w:line="276" w:lineRule="auto"/>
                    <w:jc w:val="center"/>
                    <w:rPr>
                      <w:rFonts w:hint="default" w:ascii="Times New Roman" w:hAnsi="Times New Roman" w:eastAsia="宋体" w:cs="Times New Roman"/>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2041" w:type="dxa"/>
                  <w:shd w:val="clear" w:color="auto" w:fill="auto"/>
                  <w:vAlign w:val="center"/>
                </w:tcPr>
                <w:p>
                  <w:pPr>
                    <w:spacing w:line="276" w:lineRule="auto"/>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排气筒出口</w:t>
                  </w:r>
                </w:p>
              </w:tc>
              <w:tc>
                <w:tcPr>
                  <w:tcW w:w="1585" w:type="dxa"/>
                  <w:shd w:val="clear" w:color="auto" w:fill="auto"/>
                  <w:vAlign w:val="center"/>
                </w:tcPr>
                <w:p>
                  <w:pPr>
                    <w:spacing w:line="276" w:lineRule="auto"/>
                    <w:jc w:val="center"/>
                    <w:rPr>
                      <w:rFonts w:hint="default" w:ascii="Times New Roman" w:hAnsi="Times New Roman" w:eastAsia="宋体" w:cs="Times New Roman"/>
                      <w:szCs w:val="21"/>
                      <w:vertAlign w:val="subscript"/>
                    </w:rPr>
                  </w:pPr>
                  <w:r>
                    <w:rPr>
                      <w:rFonts w:hint="default" w:ascii="Times New Roman" w:hAnsi="Times New Roman" w:eastAsia="宋体" w:cs="Times New Roman"/>
                      <w:szCs w:val="21"/>
                    </w:rPr>
                    <w:t>非甲烷总烃</w:t>
                  </w:r>
                </w:p>
              </w:tc>
              <w:tc>
                <w:tcPr>
                  <w:tcW w:w="1119" w:type="dxa"/>
                  <w:shd w:val="clear" w:color="auto" w:fill="auto"/>
                  <w:vAlign w:val="center"/>
                </w:tcPr>
                <w:p>
                  <w:pPr>
                    <w:spacing w:line="276" w:lineRule="auto"/>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0.004</w:t>
                  </w:r>
                </w:p>
              </w:tc>
              <w:tc>
                <w:tcPr>
                  <w:tcW w:w="1119" w:type="dxa"/>
                  <w:shd w:val="clear" w:color="auto" w:fill="auto"/>
                  <w:vAlign w:val="center"/>
                </w:tcPr>
                <w:p>
                  <w:pPr>
                    <w:spacing w:line="276" w:lineRule="auto"/>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0.005</w:t>
                  </w:r>
                </w:p>
              </w:tc>
              <w:tc>
                <w:tcPr>
                  <w:tcW w:w="1140" w:type="dxa"/>
                  <w:shd w:val="clear" w:color="auto" w:fill="auto"/>
                  <w:vAlign w:val="center"/>
                </w:tcPr>
                <w:p>
                  <w:pPr>
                    <w:spacing w:line="276" w:lineRule="auto"/>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0.0045</w:t>
                  </w:r>
                </w:p>
              </w:tc>
              <w:tc>
                <w:tcPr>
                  <w:tcW w:w="1460" w:type="dxa"/>
                  <w:shd w:val="clear" w:color="auto" w:fill="auto"/>
                  <w:vAlign w:val="center"/>
                </w:tcPr>
                <w:p>
                  <w:pPr>
                    <w:spacing w:line="276" w:lineRule="auto"/>
                    <w:jc w:val="center"/>
                    <w:rPr>
                      <w:rFonts w:hint="default" w:ascii="Times New Roman" w:hAnsi="Times New Roman" w:eastAsia="宋体" w:cs="Times New Roman"/>
                      <w:szCs w:val="21"/>
                      <w:lang w:val="en-US" w:eastAsia="zh-CN"/>
                    </w:rPr>
                  </w:pPr>
                  <w:r>
                    <w:rPr>
                      <w:rFonts w:hint="eastAsia" w:cs="Times New Roman"/>
                      <w:szCs w:val="21"/>
                      <w:lang w:val="en-US" w:eastAsia="zh-CN"/>
                    </w:rPr>
                    <w:t>8.1</w:t>
                  </w:r>
                </w:p>
              </w:tc>
              <w:tc>
                <w:tcPr>
                  <w:tcW w:w="1317" w:type="dxa"/>
                  <w:vAlign w:val="center"/>
                </w:tcPr>
                <w:p>
                  <w:pPr>
                    <w:spacing w:line="276" w:lineRule="auto"/>
                    <w:jc w:val="center"/>
                    <w:rPr>
                      <w:rFonts w:hint="default" w:ascii="Times New Roman" w:hAnsi="Times New Roman" w:eastAsia="宋体" w:cs="Times New Roman"/>
                      <w:szCs w:val="21"/>
                      <w:lang w:val="en-US" w:eastAsia="zh-CN"/>
                    </w:rPr>
                  </w:pPr>
                  <w:r>
                    <w:rPr>
                      <w:rFonts w:hint="eastAsia" w:cs="Times New Roman"/>
                      <w:szCs w:val="21"/>
                      <w:lang w:val="en-US" w:eastAsia="zh-CN"/>
                    </w:rPr>
                    <w:t>0.0081</w:t>
                  </w:r>
                </w:p>
              </w:tc>
            </w:tr>
          </w:tbl>
          <w:p>
            <w:pPr>
              <w:spacing w:line="360" w:lineRule="auto"/>
              <w:rPr>
                <w:rFonts w:ascii="宋体" w:hAnsi="宋体" w:eastAsia="宋体" w:cs="Times New Roman"/>
                <w:sz w:val="18"/>
                <w:szCs w:val="18"/>
              </w:rPr>
            </w:pPr>
            <w:r>
              <w:rPr>
                <w:rFonts w:hint="eastAsia" w:ascii="宋体" w:hAnsi="宋体" w:eastAsia="宋体" w:cs="Times New Roman"/>
                <w:szCs w:val="21"/>
              </w:rPr>
              <w:t>注：本表排放速率为三次测量平均值</w:t>
            </w:r>
          </w:p>
        </w:tc>
      </w:tr>
    </w:tbl>
    <w:p>
      <w:pPr>
        <w:rPr>
          <w:b/>
          <w:sz w:val="28"/>
          <w:szCs w:val="28"/>
        </w:rPr>
      </w:pPr>
    </w:p>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表八</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vAlign w:val="center"/>
          </w:tcPr>
          <w:p>
            <w:pPr>
              <w:pStyle w:val="23"/>
              <w:jc w:val="both"/>
              <w:rPr>
                <w:rFonts w:ascii="宋体" w:hAnsi="宋体"/>
                <w:b/>
                <w:sz w:val="28"/>
                <w:szCs w:val="28"/>
                <w:highlight w:val="none"/>
                <w:lang w:eastAsia="zh-CN"/>
              </w:rPr>
            </w:pPr>
            <w:bookmarkStart w:id="9" w:name="_Toc8304035"/>
            <w:r>
              <w:rPr>
                <w:rFonts w:ascii="宋体" w:hAnsi="宋体"/>
                <w:b/>
                <w:sz w:val="28"/>
                <w:szCs w:val="28"/>
                <w:highlight w:val="none"/>
                <w:lang w:eastAsia="zh-CN"/>
              </w:rPr>
              <w:t>环评报告表及批复要求落实情况</w:t>
            </w:r>
            <w:bookmarkEnd w:id="9"/>
            <w:r>
              <w:rPr>
                <w:rFonts w:hint="eastAsia" w:ascii="宋体" w:hAnsi="宋体"/>
                <w:b/>
                <w:sz w:val="28"/>
                <w:szCs w:val="28"/>
                <w:highlight w:val="none"/>
                <w:lang w:eastAsia="zh-CN"/>
              </w:rPr>
              <w:t>：</w:t>
            </w:r>
          </w:p>
          <w:tbl>
            <w:tblPr>
              <w:tblStyle w:val="33"/>
              <w:tblW w:w="990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4053"/>
              <w:gridCol w:w="49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序号</w:t>
                  </w:r>
                </w:p>
              </w:tc>
              <w:tc>
                <w:tcPr>
                  <w:tcW w:w="4053"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报告表及批复要求</w:t>
                  </w:r>
                </w:p>
              </w:tc>
              <w:tc>
                <w:tcPr>
                  <w:tcW w:w="4918" w:type="dxa"/>
                  <w:shd w:val="clear" w:color="auto" w:fill="auto"/>
                  <w:vAlign w:val="center"/>
                </w:tcPr>
                <w:p>
                  <w:pPr>
                    <w:spacing w:line="276" w:lineRule="auto"/>
                    <w:jc w:val="center"/>
                    <w:rPr>
                      <w:rFonts w:ascii="宋体" w:hAnsi="宋体"/>
                      <w:szCs w:val="21"/>
                      <w:highlight w:val="yellow"/>
                    </w:rPr>
                  </w:pPr>
                  <w:r>
                    <w:rPr>
                      <w:rFonts w:hint="eastAsia" w:ascii="宋体" w:hAnsi="宋体"/>
                      <w:szCs w:val="21"/>
                      <w:highlight w:val="none"/>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1</w:t>
                  </w:r>
                </w:p>
              </w:tc>
              <w:tc>
                <w:tcPr>
                  <w:tcW w:w="4053" w:type="dxa"/>
                  <w:shd w:val="clear" w:color="auto" w:fill="auto"/>
                  <w:vAlign w:val="center"/>
                </w:tcPr>
                <w:p>
                  <w:pPr>
                    <w:spacing w:line="276" w:lineRule="auto"/>
                    <w:ind w:firstLine="436" w:firstLineChars="208"/>
                    <w:jc w:val="left"/>
                    <w:rPr>
                      <w:rFonts w:ascii="宋体" w:hAnsi="宋体"/>
                      <w:szCs w:val="21"/>
                      <w:highlight w:val="none"/>
                    </w:rPr>
                  </w:pPr>
                  <w:r>
                    <w:rPr>
                      <w:rFonts w:hint="eastAsia" w:ascii="宋体" w:hAnsi="宋体"/>
                      <w:szCs w:val="21"/>
                      <w:highlight w:val="none"/>
                    </w:rPr>
                    <w:t>该项目选址</w:t>
                  </w:r>
                  <w:r>
                    <w:rPr>
                      <w:rFonts w:hint="eastAsia" w:ascii="宋体" w:hAnsi="宋体"/>
                      <w:szCs w:val="21"/>
                      <w:highlight w:val="none"/>
                      <w:lang w:eastAsia="zh-CN"/>
                    </w:rPr>
                    <w:t>安徽省芜湖市江北产业集中区和睦路与新沈路交叉口</w:t>
                  </w:r>
                  <w:r>
                    <w:rPr>
                      <w:rFonts w:hint="eastAsia" w:ascii="宋体" w:hAnsi="宋体"/>
                      <w:szCs w:val="21"/>
                      <w:highlight w:val="none"/>
                    </w:rPr>
                    <w:t>，主要从事</w:t>
                  </w:r>
                  <w:r>
                    <w:rPr>
                      <w:rFonts w:hint="eastAsia" w:ascii="宋体" w:hAnsi="宋体"/>
                      <w:szCs w:val="21"/>
                      <w:highlight w:val="none"/>
                      <w:lang w:val="en-US" w:eastAsia="zh-CN"/>
                    </w:rPr>
                    <w:t>瓦楞纸箱</w:t>
                  </w:r>
                  <w:r>
                    <w:rPr>
                      <w:rFonts w:hint="eastAsia" w:ascii="宋体" w:hAnsi="宋体"/>
                      <w:szCs w:val="21"/>
                      <w:highlight w:val="none"/>
                    </w:rPr>
                    <w:t>的生产加工。项目</w:t>
                  </w:r>
                  <w:r>
                    <w:rPr>
                      <w:rFonts w:ascii="宋体" w:hAnsi="宋体"/>
                      <w:szCs w:val="21"/>
                      <w:highlight w:val="none"/>
                    </w:rPr>
                    <w:t>投产后可实现</w:t>
                  </w:r>
                  <w:r>
                    <w:rPr>
                      <w:rFonts w:hint="eastAsia" w:ascii="宋体" w:hAnsi="宋体"/>
                      <w:szCs w:val="21"/>
                      <w:highlight w:val="none"/>
                    </w:rPr>
                    <w:t>年产</w:t>
                  </w:r>
                  <w:r>
                    <w:rPr>
                      <w:rFonts w:hint="eastAsia" w:ascii="宋体" w:hAnsi="宋体"/>
                      <w:szCs w:val="21"/>
                      <w:highlight w:val="none"/>
                      <w:lang w:val="en-US" w:eastAsia="zh-CN"/>
                    </w:rPr>
                    <w:t>1000万㎡瓦楞纸箱</w:t>
                  </w:r>
                  <w:r>
                    <w:rPr>
                      <w:rFonts w:ascii="宋体" w:hAnsi="宋体"/>
                      <w:szCs w:val="21"/>
                      <w:highlight w:val="none"/>
                    </w:rPr>
                    <w:t>的生产规模</w:t>
                  </w:r>
                  <w:r>
                    <w:rPr>
                      <w:rFonts w:hint="eastAsia" w:ascii="宋体" w:hAnsi="宋体"/>
                      <w:szCs w:val="21"/>
                      <w:highlight w:val="none"/>
                    </w:rPr>
                    <w:t>。</w:t>
                  </w:r>
                </w:p>
              </w:tc>
              <w:tc>
                <w:tcPr>
                  <w:tcW w:w="4918" w:type="dxa"/>
                  <w:shd w:val="clear" w:color="auto" w:fill="auto"/>
                  <w:vAlign w:val="center"/>
                </w:tcPr>
                <w:p>
                  <w:pPr>
                    <w:numPr>
                      <w:ilvl w:val="0"/>
                      <w:numId w:val="1"/>
                    </w:numPr>
                    <w:spacing w:line="276" w:lineRule="auto"/>
                    <w:jc w:val="left"/>
                    <w:rPr>
                      <w:rFonts w:ascii="宋体" w:hAnsi="宋体"/>
                      <w:szCs w:val="21"/>
                      <w:highlight w:val="none"/>
                    </w:rPr>
                  </w:pPr>
                  <w:r>
                    <w:rPr>
                      <w:rFonts w:hint="eastAsia" w:ascii="宋体" w:hAnsi="宋体"/>
                      <w:szCs w:val="21"/>
                      <w:highlight w:val="none"/>
                    </w:rPr>
                    <w:t>该项目选址</w:t>
                  </w:r>
                  <w:r>
                    <w:rPr>
                      <w:rFonts w:hint="eastAsia" w:ascii="宋体" w:hAnsi="宋体"/>
                      <w:szCs w:val="21"/>
                      <w:highlight w:val="none"/>
                      <w:lang w:eastAsia="zh-CN"/>
                    </w:rPr>
                    <w:t>安徽省芜湖市江北产业集中区和睦路与新沈路交叉口</w:t>
                  </w:r>
                  <w:r>
                    <w:rPr>
                      <w:rFonts w:hint="eastAsia" w:ascii="宋体" w:hAnsi="宋体"/>
                      <w:szCs w:val="21"/>
                      <w:highlight w:val="none"/>
                    </w:rPr>
                    <w:t>进行</w:t>
                  </w:r>
                  <w:r>
                    <w:rPr>
                      <w:rFonts w:hint="eastAsia" w:ascii="宋体" w:hAnsi="宋体"/>
                      <w:szCs w:val="21"/>
                      <w:highlight w:val="none"/>
                      <w:lang w:eastAsia="zh-CN"/>
                    </w:rPr>
                    <w:t>年产1000万平方米瓦楞纸箱项目</w:t>
                  </w:r>
                  <w:r>
                    <w:rPr>
                      <w:rFonts w:hint="eastAsia" w:ascii="宋体" w:hAnsi="宋体"/>
                      <w:szCs w:val="21"/>
                      <w:highlight w:val="none"/>
                    </w:rPr>
                    <w:t>的生产。</w:t>
                  </w:r>
                </w:p>
                <w:p>
                  <w:pPr>
                    <w:numPr>
                      <w:ilvl w:val="0"/>
                      <w:numId w:val="1"/>
                    </w:numPr>
                    <w:spacing w:line="276" w:lineRule="auto"/>
                    <w:jc w:val="left"/>
                    <w:rPr>
                      <w:rFonts w:ascii="宋体" w:hAnsi="宋体"/>
                      <w:szCs w:val="21"/>
                      <w:highlight w:val="none"/>
                    </w:rPr>
                  </w:pPr>
                  <w:r>
                    <w:rPr>
                      <w:rFonts w:hint="eastAsia" w:ascii="宋体" w:hAnsi="宋体"/>
                      <w:szCs w:val="21"/>
                      <w:highlight w:val="none"/>
                    </w:rPr>
                    <w:t>该项目实际生产能力已达到年产</w:t>
                  </w:r>
                  <w:r>
                    <w:rPr>
                      <w:rFonts w:hint="eastAsia" w:ascii="宋体" w:hAnsi="宋体"/>
                      <w:szCs w:val="21"/>
                      <w:highlight w:val="none"/>
                      <w:lang w:val="en-US" w:eastAsia="zh-CN"/>
                    </w:rPr>
                    <w:t>1000万㎡瓦楞纸箱</w:t>
                  </w:r>
                  <w:r>
                    <w:rPr>
                      <w:rFonts w:hint="eastAsia" w:ascii="宋体" w:hAnsi="宋体"/>
                      <w:szCs w:val="21"/>
                      <w:highlight w:val="none"/>
                    </w:rPr>
                    <w:t xml:space="preserve">。 </w:t>
                  </w:r>
                </w:p>
                <w:p>
                  <w:pPr>
                    <w:numPr>
                      <w:ilvl w:val="0"/>
                      <w:numId w:val="1"/>
                    </w:numPr>
                    <w:spacing w:line="276" w:lineRule="auto"/>
                    <w:jc w:val="left"/>
                    <w:rPr>
                      <w:rFonts w:ascii="宋体" w:hAnsi="宋体"/>
                      <w:szCs w:val="21"/>
                      <w:highlight w:val="none"/>
                    </w:rPr>
                  </w:pPr>
                  <w:r>
                    <w:rPr>
                      <w:rFonts w:hint="eastAsia" w:ascii="宋体" w:hAnsi="宋体"/>
                      <w:szCs w:val="21"/>
                      <w:highlight w:val="none"/>
                    </w:rPr>
                    <w:t>该项目性质、平面布局及工艺均与环评相符。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2</w:t>
                  </w:r>
                </w:p>
              </w:tc>
              <w:tc>
                <w:tcPr>
                  <w:tcW w:w="4053" w:type="dxa"/>
                  <w:shd w:val="clear" w:color="auto" w:fill="auto"/>
                  <w:vAlign w:val="center"/>
                </w:tcPr>
                <w:p>
                  <w:pPr>
                    <w:spacing w:line="276" w:lineRule="auto"/>
                    <w:ind w:firstLine="436" w:firstLineChars="208"/>
                    <w:jc w:val="left"/>
                    <w:rPr>
                      <w:rFonts w:ascii="宋体" w:hAnsi="宋体"/>
                      <w:szCs w:val="21"/>
                      <w:highlight w:val="none"/>
                    </w:rPr>
                  </w:pPr>
                  <w:r>
                    <w:rPr>
                      <w:rFonts w:hint="eastAsia" w:ascii="宋体" w:hAnsi="宋体"/>
                      <w:szCs w:val="21"/>
                      <w:highlight w:val="none"/>
                      <w:lang w:val="en-US" w:eastAsia="zh-CN"/>
                    </w:rPr>
                    <w:t>加强水污染防治，落实雨污分流制度</w:t>
                  </w:r>
                  <w:r>
                    <w:rPr>
                      <w:rFonts w:hint="eastAsia" w:ascii="宋体" w:hAnsi="宋体"/>
                      <w:szCs w:val="21"/>
                      <w:highlight w:val="none"/>
                    </w:rPr>
                    <w:t>，废水外排执行《污水综合排放标准》(GB8978-1996)中</w:t>
                  </w:r>
                  <w:r>
                    <w:rPr>
                      <w:rFonts w:hint="eastAsia" w:ascii="宋体" w:hAnsi="宋体"/>
                      <w:szCs w:val="21"/>
                      <w:highlight w:val="none"/>
                      <w:lang w:val="en-US" w:eastAsia="zh-CN"/>
                    </w:rPr>
                    <w:t>三</w:t>
                  </w:r>
                  <w:r>
                    <w:rPr>
                      <w:rFonts w:hint="eastAsia" w:ascii="宋体" w:hAnsi="宋体"/>
                      <w:szCs w:val="21"/>
                      <w:highlight w:val="none"/>
                    </w:rPr>
                    <w:t>级标准，</w:t>
                  </w:r>
                  <w:r>
                    <w:rPr>
                      <w:rFonts w:hint="eastAsia" w:ascii="宋体" w:hAnsi="宋体"/>
                      <w:szCs w:val="21"/>
                      <w:highlight w:val="none"/>
                      <w:lang w:val="en-US" w:eastAsia="zh-CN"/>
                    </w:rPr>
                    <w:t>并通过污水管网纳入区域污水处理厂集中处理，废水无法接入污水处理厂期间，外排执行一级标准</w:t>
                  </w:r>
                  <w:r>
                    <w:rPr>
                      <w:rFonts w:hint="eastAsia" w:ascii="宋体" w:hAnsi="宋体"/>
                      <w:szCs w:val="21"/>
                      <w:highlight w:val="none"/>
                    </w:rPr>
                    <w:t>。</w:t>
                  </w:r>
                  <w:r>
                    <w:rPr>
                      <w:rFonts w:hint="eastAsia" w:ascii="宋体" w:hAnsi="宋体"/>
                      <w:szCs w:val="21"/>
                      <w:highlight w:val="none"/>
                      <w:lang w:val="en-US" w:eastAsia="zh-CN"/>
                    </w:rPr>
                    <w:t>污水收集池应按规范落实防腐、防渗工作，严防污染地下水。</w:t>
                  </w:r>
                </w:p>
              </w:tc>
              <w:tc>
                <w:tcPr>
                  <w:tcW w:w="4918" w:type="dxa"/>
                  <w:shd w:val="clear" w:color="auto" w:fill="auto"/>
                  <w:vAlign w:val="center"/>
                </w:tcPr>
                <w:p>
                  <w:pPr>
                    <w:numPr>
                      <w:ilvl w:val="0"/>
                      <w:numId w:val="2"/>
                    </w:numPr>
                    <w:spacing w:line="276" w:lineRule="auto"/>
                    <w:jc w:val="left"/>
                    <w:rPr>
                      <w:rFonts w:ascii="宋体" w:hAnsi="宋体"/>
                      <w:szCs w:val="21"/>
                      <w:highlight w:val="none"/>
                    </w:rPr>
                  </w:pPr>
                  <w:r>
                    <w:rPr>
                      <w:rFonts w:hint="eastAsia" w:ascii="宋体" w:hAnsi="宋体"/>
                      <w:szCs w:val="21"/>
                      <w:highlight w:val="none"/>
                      <w:lang w:val="en-US" w:eastAsia="zh-CN"/>
                    </w:rPr>
                    <w:t>项目废水主要为生产废水及生活污水</w:t>
                  </w:r>
                  <w:r>
                    <w:rPr>
                      <w:rFonts w:hint="eastAsia" w:ascii="宋体" w:hAnsi="宋体"/>
                      <w:szCs w:val="21"/>
                      <w:highlight w:val="none"/>
                    </w:rPr>
                    <w:t>。</w:t>
                  </w:r>
                </w:p>
                <w:p>
                  <w:pPr>
                    <w:numPr>
                      <w:ilvl w:val="0"/>
                      <w:numId w:val="2"/>
                    </w:numPr>
                    <w:spacing w:line="276" w:lineRule="auto"/>
                    <w:jc w:val="left"/>
                    <w:rPr>
                      <w:rFonts w:hint="eastAsia" w:ascii="宋体" w:hAnsi="宋体"/>
                      <w:kern w:val="0"/>
                      <w:szCs w:val="21"/>
                      <w:highlight w:val="none"/>
                    </w:rPr>
                  </w:pPr>
                  <w:r>
                    <w:rPr>
                      <w:rFonts w:hint="eastAsia" w:ascii="宋体" w:hAnsi="宋体"/>
                      <w:kern w:val="0"/>
                      <w:szCs w:val="21"/>
                      <w:highlight w:val="none"/>
                      <w:lang w:val="en-US" w:eastAsia="zh-CN"/>
                    </w:rPr>
                    <w:t>项目生产废水主要为设备清洗废水，废水循环使用，定期更换，清洗废水收集后自然蒸发，剩余的少量油墨废渣做危废处理，不外排。项目</w:t>
                  </w:r>
                  <w:r>
                    <w:rPr>
                      <w:rFonts w:hint="eastAsia" w:ascii="宋体" w:hAnsi="宋体"/>
                      <w:kern w:val="0"/>
                      <w:szCs w:val="21"/>
                      <w:highlight w:val="none"/>
                    </w:rPr>
                    <w:t>生活污水</w:t>
                  </w:r>
                  <w:r>
                    <w:rPr>
                      <w:rFonts w:hint="eastAsia" w:ascii="宋体" w:hAnsi="宋体"/>
                      <w:kern w:val="0"/>
                      <w:szCs w:val="21"/>
                      <w:highlight w:val="none"/>
                      <w:lang w:val="en-US" w:eastAsia="zh-CN"/>
                    </w:rPr>
                    <w:t>经</w:t>
                  </w:r>
                  <w:r>
                    <w:rPr>
                      <w:rFonts w:hint="eastAsia" w:ascii="宋体" w:hAnsi="宋体"/>
                      <w:kern w:val="0"/>
                      <w:szCs w:val="21"/>
                      <w:highlight w:val="none"/>
                    </w:rPr>
                    <w:t>化粪池</w:t>
                  </w:r>
                  <w:r>
                    <w:rPr>
                      <w:rFonts w:hint="eastAsia" w:ascii="宋体" w:hAnsi="宋体"/>
                      <w:kern w:val="0"/>
                      <w:szCs w:val="21"/>
                      <w:highlight w:val="none"/>
                      <w:lang w:val="en-US" w:eastAsia="zh-CN"/>
                    </w:rPr>
                    <w:t>预处理后由园区污水管网汇集至市政污水管网，最终进入江北污水处理厂集中处理</w:t>
                  </w:r>
                  <w:r>
                    <w:rPr>
                      <w:rFonts w:hint="eastAsia" w:ascii="宋体" w:hAnsi="宋体"/>
                      <w:kern w:val="0"/>
                      <w:szCs w:val="21"/>
                      <w:highlight w:val="none"/>
                    </w:rPr>
                    <w:t>。</w:t>
                  </w:r>
                </w:p>
                <w:p>
                  <w:pPr>
                    <w:numPr>
                      <w:ilvl w:val="0"/>
                      <w:numId w:val="2"/>
                    </w:numPr>
                    <w:spacing w:line="276" w:lineRule="auto"/>
                    <w:jc w:val="left"/>
                    <w:rPr>
                      <w:rFonts w:ascii="宋体" w:hAnsi="宋体"/>
                      <w:szCs w:val="21"/>
                      <w:highlight w:val="none"/>
                    </w:rPr>
                  </w:pPr>
                  <w:r>
                    <w:rPr>
                      <w:rFonts w:hint="eastAsia" w:ascii="宋体" w:hAnsi="宋体"/>
                      <w:color w:val="000000"/>
                      <w:szCs w:val="21"/>
                      <w:highlight w:val="none"/>
                      <w:lang w:val="en-US" w:eastAsia="zh-CN"/>
                    </w:rPr>
                    <w:t>2020年3月15日和2020年3月16日，安徽博嘉包装材料有限公司污水总排口PH值、COD、BOD、SS排放浓度均满足《污水综合排放标准》（GB8978-1996）中三级标准要求。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3</w:t>
                  </w:r>
                </w:p>
              </w:tc>
              <w:tc>
                <w:tcPr>
                  <w:tcW w:w="4053" w:type="dxa"/>
                  <w:shd w:val="clear" w:color="auto" w:fill="auto"/>
                  <w:vAlign w:val="center"/>
                </w:tcPr>
                <w:p>
                  <w:pPr>
                    <w:spacing w:line="276" w:lineRule="auto"/>
                    <w:ind w:firstLine="420" w:firstLineChars="200"/>
                    <w:rPr>
                      <w:rFonts w:ascii="宋体" w:hAnsi="宋体"/>
                      <w:color w:val="000000"/>
                      <w:szCs w:val="21"/>
                      <w:highlight w:val="none"/>
                    </w:rPr>
                  </w:pPr>
                  <w:r>
                    <w:rPr>
                      <w:rFonts w:hint="eastAsia" w:ascii="宋体" w:hAnsi="宋体"/>
                      <w:color w:val="000000"/>
                      <w:szCs w:val="21"/>
                      <w:highlight w:val="none"/>
                      <w:lang w:val="en-US" w:eastAsia="zh-CN"/>
                    </w:rPr>
                    <w:t>加强大气污染防治切实落实省、市相关大气污染防治行动计划实施方案以及国家和地方政府制订的冬防措施、重大活动保障措施、重污染天气应急措施等各项环境管理要求</w:t>
                  </w:r>
                  <w:r>
                    <w:rPr>
                      <w:rFonts w:hint="eastAsia" w:ascii="宋体" w:hAnsi="宋体"/>
                      <w:color w:val="000000"/>
                      <w:szCs w:val="21"/>
                      <w:highlight w:val="none"/>
                    </w:rPr>
                    <w:t>。</w:t>
                  </w:r>
                  <w:r>
                    <w:rPr>
                      <w:rFonts w:hint="eastAsia" w:ascii="宋体" w:hAnsi="宋体"/>
                      <w:color w:val="000000"/>
                      <w:szCs w:val="21"/>
                      <w:highlight w:val="none"/>
                      <w:lang w:val="en-US" w:eastAsia="zh-CN"/>
                    </w:rPr>
                    <w:t>针对印标废气应治理后外排，执行《河北省工业企业挥发性有机物排放控制标准》（DB13/2322 -2016）相应标准。排气筒高度符合要求。</w:t>
                  </w:r>
                </w:p>
              </w:tc>
              <w:tc>
                <w:tcPr>
                  <w:tcW w:w="4918" w:type="dxa"/>
                  <w:shd w:val="clear" w:color="auto" w:fill="auto"/>
                  <w:vAlign w:val="center"/>
                </w:tcPr>
                <w:p>
                  <w:pPr>
                    <w:numPr>
                      <w:ilvl w:val="0"/>
                      <w:numId w:val="3"/>
                    </w:numPr>
                    <w:spacing w:line="276" w:lineRule="auto"/>
                    <w:jc w:val="left"/>
                    <w:rPr>
                      <w:rFonts w:ascii="宋体" w:hAnsi="宋体"/>
                      <w:szCs w:val="21"/>
                      <w:highlight w:val="none"/>
                    </w:rPr>
                  </w:pPr>
                  <w:r>
                    <w:rPr>
                      <w:rFonts w:hint="eastAsia" w:ascii="宋体" w:hAnsi="宋体"/>
                      <w:szCs w:val="21"/>
                      <w:highlight w:val="none"/>
                    </w:rPr>
                    <w:t>项目废气主要来源于</w:t>
                  </w:r>
                  <w:r>
                    <w:rPr>
                      <w:rFonts w:hint="eastAsia" w:ascii="宋体" w:hAnsi="宋体"/>
                      <w:szCs w:val="21"/>
                      <w:highlight w:val="none"/>
                      <w:lang w:val="en-US" w:eastAsia="zh-CN"/>
                    </w:rPr>
                    <w:t>印标</w:t>
                  </w:r>
                  <w:r>
                    <w:rPr>
                      <w:rFonts w:hint="eastAsia" w:ascii="宋体" w:hAnsi="宋体"/>
                      <w:szCs w:val="21"/>
                      <w:highlight w:val="none"/>
                    </w:rPr>
                    <w:t>过程中产生的</w:t>
                  </w:r>
                  <w:r>
                    <w:rPr>
                      <w:rFonts w:hint="eastAsia" w:ascii="宋体" w:hAnsi="宋体"/>
                      <w:szCs w:val="21"/>
                      <w:highlight w:val="none"/>
                      <w:lang w:val="en-US" w:eastAsia="zh-CN"/>
                    </w:rPr>
                    <w:t>印标废气</w:t>
                  </w:r>
                  <w:r>
                    <w:rPr>
                      <w:rFonts w:hint="eastAsia" w:ascii="宋体" w:hAnsi="宋体"/>
                      <w:szCs w:val="21"/>
                      <w:highlight w:val="none"/>
                    </w:rPr>
                    <w:t>（</w:t>
                  </w:r>
                  <w:r>
                    <w:rPr>
                      <w:rFonts w:hint="eastAsia" w:ascii="宋体" w:hAnsi="宋体"/>
                      <w:szCs w:val="21"/>
                      <w:highlight w:val="none"/>
                      <w:lang w:val="en-US" w:eastAsia="zh-CN"/>
                    </w:rPr>
                    <w:t>以非甲烷总烃计</w:t>
                  </w:r>
                  <w:r>
                    <w:rPr>
                      <w:rFonts w:hint="eastAsia" w:ascii="宋体" w:hAnsi="宋体"/>
                      <w:szCs w:val="21"/>
                      <w:highlight w:val="none"/>
                    </w:rPr>
                    <w:t>）</w:t>
                  </w:r>
                  <w:r>
                    <w:rPr>
                      <w:rFonts w:hint="eastAsia" w:ascii="宋体" w:hAnsi="宋体"/>
                      <w:szCs w:val="21"/>
                      <w:highlight w:val="none"/>
                      <w:lang w:val="en-US" w:eastAsia="zh-CN"/>
                    </w:rPr>
                    <w:t>及开槽模切过程中产生的少量粉尘</w:t>
                  </w:r>
                  <w:r>
                    <w:rPr>
                      <w:rFonts w:hint="eastAsia" w:ascii="宋体" w:hAnsi="宋体"/>
                      <w:szCs w:val="21"/>
                      <w:highlight w:val="none"/>
                    </w:rPr>
                    <w:t>。</w:t>
                  </w:r>
                </w:p>
                <w:p>
                  <w:pPr>
                    <w:numPr>
                      <w:ilvl w:val="0"/>
                      <w:numId w:val="3"/>
                    </w:numPr>
                    <w:spacing w:line="276" w:lineRule="auto"/>
                    <w:jc w:val="left"/>
                    <w:rPr>
                      <w:rFonts w:ascii="宋体" w:hAnsi="宋体"/>
                      <w:szCs w:val="21"/>
                      <w:highlight w:val="none"/>
                    </w:rPr>
                  </w:pPr>
                  <w:r>
                    <w:rPr>
                      <w:rFonts w:hint="eastAsia" w:ascii="宋体" w:hAnsi="宋体"/>
                      <w:kern w:val="0"/>
                      <w:szCs w:val="21"/>
                      <w:highlight w:val="none"/>
                      <w:lang w:val="en-US" w:eastAsia="zh-CN"/>
                    </w:rPr>
                    <w:t>印标废气由印标工序上方集气装置收集后引至UV光氧装置进行处理，尾气经22m高排气筒排放。</w:t>
                  </w:r>
                  <w:r>
                    <w:rPr>
                      <w:rFonts w:hint="eastAsia" w:ascii="宋体" w:hAnsi="宋体"/>
                      <w:kern w:val="0"/>
                      <w:szCs w:val="21"/>
                      <w:highlight w:val="none"/>
                    </w:rPr>
                    <w:t xml:space="preserve"> </w:t>
                  </w:r>
                  <w:r>
                    <w:rPr>
                      <w:rFonts w:hint="eastAsia" w:ascii="宋体" w:hAnsi="宋体"/>
                      <w:kern w:val="0"/>
                      <w:szCs w:val="21"/>
                      <w:highlight w:val="none"/>
                      <w:lang w:val="en-US" w:eastAsia="zh-CN"/>
                    </w:rPr>
                    <w:t>开槽粉尘于车间无组织排放。</w:t>
                  </w:r>
                </w:p>
                <w:p>
                  <w:pPr>
                    <w:numPr>
                      <w:ilvl w:val="0"/>
                      <w:numId w:val="3"/>
                    </w:numPr>
                    <w:spacing w:line="276" w:lineRule="auto"/>
                    <w:jc w:val="left"/>
                    <w:rPr>
                      <w:rFonts w:ascii="宋体" w:hAnsi="宋体"/>
                      <w:szCs w:val="21"/>
                      <w:highlight w:val="none"/>
                    </w:rPr>
                  </w:pPr>
                  <w:r>
                    <w:rPr>
                      <w:rFonts w:hint="eastAsia" w:ascii="宋体" w:hAnsi="宋体"/>
                      <w:color w:val="000000"/>
                      <w:szCs w:val="21"/>
                      <w:highlight w:val="none"/>
                    </w:rPr>
                    <w:t>有组织废气：</w:t>
                  </w:r>
                  <w:r>
                    <w:rPr>
                      <w:rFonts w:hint="eastAsia" w:ascii="宋体" w:hAnsi="宋体"/>
                      <w:color w:val="000000"/>
                      <w:szCs w:val="21"/>
                      <w:highlight w:val="none"/>
                      <w:lang w:val="en-US" w:eastAsia="zh-CN"/>
                    </w:rPr>
                    <w:t>2020年3月15日和2020年3月16日，安徽博嘉包装材料有限公司排气筒出口的非甲烷总烃排放浓度均满足《河北省工业企业挥发性有机物排放控制标准》（DB13/2322 -2016）。</w:t>
                  </w:r>
                </w:p>
                <w:p>
                  <w:pPr>
                    <w:numPr>
                      <w:ilvl w:val="0"/>
                      <w:numId w:val="3"/>
                    </w:numPr>
                    <w:spacing w:line="276" w:lineRule="auto"/>
                    <w:jc w:val="left"/>
                    <w:rPr>
                      <w:rFonts w:ascii="宋体" w:hAnsi="宋体"/>
                      <w:szCs w:val="21"/>
                      <w:highlight w:val="none"/>
                    </w:rPr>
                  </w:pPr>
                  <w:r>
                    <w:rPr>
                      <w:rFonts w:hint="eastAsia" w:ascii="宋体" w:hAnsi="宋体"/>
                      <w:color w:val="000000"/>
                      <w:szCs w:val="21"/>
                      <w:highlight w:val="none"/>
                    </w:rPr>
                    <w:t>无组织废气：</w:t>
                  </w:r>
                  <w:r>
                    <w:rPr>
                      <w:rFonts w:hint="eastAsia" w:ascii="宋体" w:hAnsi="宋体"/>
                      <w:color w:val="000000"/>
                      <w:szCs w:val="21"/>
                      <w:highlight w:val="none"/>
                      <w:lang w:val="en-US" w:eastAsia="zh-CN"/>
                    </w:rPr>
                    <w:t>2020年3月15日和2020年3月16日，安徽博嘉包装材料有限公司上风向1个参照点，下风向3个监控点非甲烷总烃浓度均满足《河北省工业企业挥发性有机物排放控制标准》（DB</w:t>
                  </w:r>
                </w:p>
                <w:p>
                  <w:pPr>
                    <w:numPr>
                      <w:ilvl w:val="0"/>
                      <w:numId w:val="0"/>
                    </w:numPr>
                    <w:spacing w:line="276" w:lineRule="auto"/>
                    <w:jc w:val="left"/>
                    <w:rPr>
                      <w:rFonts w:ascii="宋体" w:hAnsi="宋体"/>
                      <w:szCs w:val="21"/>
                      <w:highlight w:val="none"/>
                    </w:rPr>
                  </w:pPr>
                  <w:r>
                    <w:rPr>
                      <w:rFonts w:hint="eastAsia" w:ascii="宋体" w:hAnsi="宋体"/>
                      <w:color w:val="000000"/>
                      <w:szCs w:val="21"/>
                      <w:highlight w:val="none"/>
                      <w:lang w:val="en-US" w:eastAsia="zh-CN"/>
                    </w:rPr>
                    <w:t>13/2322 -2016）厂界污染物浓度限值。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4</w:t>
                  </w:r>
                </w:p>
              </w:tc>
              <w:tc>
                <w:tcPr>
                  <w:tcW w:w="4053" w:type="dxa"/>
                  <w:shd w:val="clear" w:color="auto" w:fill="auto"/>
                  <w:vAlign w:val="center"/>
                </w:tcPr>
                <w:p>
                  <w:pPr>
                    <w:spacing w:line="276" w:lineRule="auto"/>
                    <w:ind w:firstLine="436" w:firstLineChars="208"/>
                    <w:jc w:val="left"/>
                    <w:rPr>
                      <w:rFonts w:ascii="宋体" w:hAnsi="宋体"/>
                      <w:szCs w:val="21"/>
                      <w:highlight w:val="none"/>
                    </w:rPr>
                  </w:pPr>
                  <w:r>
                    <w:rPr>
                      <w:rFonts w:hint="eastAsia" w:ascii="宋体" w:hAnsi="宋体"/>
                      <w:color w:val="000000"/>
                      <w:szCs w:val="21"/>
                      <w:highlight w:val="none"/>
                      <w:lang w:val="en-US" w:eastAsia="zh-CN"/>
                    </w:rPr>
                    <w:t>加强噪声污染防治。选用低噪设备，并针对性分别采取隔声、消声、减震措施降低噪声，噪声外排执行《工业企业厂界噪声排放标准》(GB12348-2008)表3类标准限值。</w:t>
                  </w:r>
                </w:p>
              </w:tc>
              <w:tc>
                <w:tcPr>
                  <w:tcW w:w="4918" w:type="dxa"/>
                  <w:shd w:val="clear" w:color="auto" w:fill="auto"/>
                  <w:vAlign w:val="center"/>
                </w:tcPr>
                <w:p>
                  <w:pPr>
                    <w:pStyle w:val="149"/>
                    <w:spacing w:line="276" w:lineRule="auto"/>
                    <w:ind w:left="94" w:firstLine="420"/>
                    <w:rPr>
                      <w:rFonts w:eastAsia="宋体"/>
                      <w:color w:val="auto"/>
                      <w:sz w:val="21"/>
                      <w:szCs w:val="21"/>
                      <w:highlight w:val="none"/>
                    </w:rPr>
                  </w:pPr>
                  <w:r>
                    <w:rPr>
                      <w:rFonts w:hint="eastAsia" w:eastAsia="宋体"/>
                      <w:color w:val="auto"/>
                      <w:sz w:val="21"/>
                      <w:szCs w:val="21"/>
                      <w:highlight w:val="none"/>
                    </w:rPr>
                    <w:t>1</w:t>
                  </w:r>
                  <w:r>
                    <w:rPr>
                      <w:rFonts w:eastAsia="宋体"/>
                      <w:color w:val="auto"/>
                      <w:sz w:val="21"/>
                      <w:szCs w:val="21"/>
                      <w:highlight w:val="none"/>
                    </w:rPr>
                    <w:t>.</w:t>
                  </w:r>
                  <w:r>
                    <w:rPr>
                      <w:rFonts w:hint="eastAsia"/>
                      <w:sz w:val="21"/>
                      <w:szCs w:val="21"/>
                      <w:highlight w:val="none"/>
                    </w:rPr>
                    <w:t xml:space="preserve"> </w:t>
                  </w:r>
                  <w:r>
                    <w:rPr>
                      <w:rFonts w:hint="eastAsia" w:eastAsia="宋体"/>
                      <w:color w:val="auto"/>
                      <w:sz w:val="21"/>
                      <w:szCs w:val="21"/>
                      <w:highlight w:val="none"/>
                    </w:rPr>
                    <w:t>本项目主要噪声来自于</w:t>
                  </w:r>
                  <w:r>
                    <w:rPr>
                      <w:rFonts w:hint="eastAsia" w:eastAsia="宋体"/>
                      <w:color w:val="auto"/>
                      <w:sz w:val="21"/>
                      <w:szCs w:val="21"/>
                      <w:highlight w:val="none"/>
                      <w:lang w:val="en-US" w:eastAsia="zh-CN"/>
                    </w:rPr>
                    <w:t>印刷机、印刷开槽模切堆码机、钉箱机等</w:t>
                  </w:r>
                  <w:r>
                    <w:rPr>
                      <w:rFonts w:hint="eastAsia" w:eastAsia="宋体"/>
                      <w:color w:val="auto"/>
                      <w:sz w:val="21"/>
                      <w:szCs w:val="21"/>
                      <w:highlight w:val="none"/>
                    </w:rPr>
                    <w:t>设备运行时产生的机械噪声。</w:t>
                  </w:r>
                </w:p>
                <w:p>
                  <w:pPr>
                    <w:pStyle w:val="149"/>
                    <w:spacing w:line="276" w:lineRule="auto"/>
                    <w:ind w:left="94" w:firstLine="420"/>
                    <w:rPr>
                      <w:rFonts w:eastAsia="宋体"/>
                      <w:color w:val="auto"/>
                      <w:sz w:val="21"/>
                      <w:szCs w:val="21"/>
                      <w:highlight w:val="none"/>
                    </w:rPr>
                  </w:pPr>
                  <w:r>
                    <w:rPr>
                      <w:rFonts w:hint="eastAsia" w:eastAsia="宋体"/>
                      <w:sz w:val="21"/>
                      <w:szCs w:val="21"/>
                      <w:highlight w:val="none"/>
                    </w:rPr>
                    <w:t>2</w:t>
                  </w:r>
                  <w:r>
                    <w:rPr>
                      <w:rFonts w:eastAsia="宋体"/>
                      <w:sz w:val="21"/>
                      <w:szCs w:val="21"/>
                      <w:highlight w:val="none"/>
                    </w:rPr>
                    <w:t>.</w:t>
                  </w:r>
                  <w:r>
                    <w:rPr>
                      <w:rFonts w:hint="eastAsia"/>
                      <w:sz w:val="21"/>
                      <w:szCs w:val="21"/>
                      <w:highlight w:val="none"/>
                    </w:rPr>
                    <w:t xml:space="preserve"> </w:t>
                  </w:r>
                  <w:r>
                    <w:rPr>
                      <w:rFonts w:hint="eastAsia" w:eastAsia="宋体"/>
                      <w:color w:val="auto"/>
                      <w:sz w:val="21"/>
                      <w:szCs w:val="21"/>
                      <w:highlight w:val="none"/>
                    </w:rPr>
                    <w:t>企业通过设置减震基座、安装消声机、厂房隔声等措施降低噪声污染。</w:t>
                  </w:r>
                </w:p>
                <w:p>
                  <w:pPr>
                    <w:pStyle w:val="149"/>
                    <w:spacing w:line="276" w:lineRule="auto"/>
                    <w:ind w:left="94" w:firstLine="420"/>
                    <w:rPr>
                      <w:rFonts w:eastAsia="宋体"/>
                      <w:color w:val="auto"/>
                      <w:sz w:val="21"/>
                      <w:szCs w:val="21"/>
                      <w:highlight w:val="none"/>
                    </w:rPr>
                  </w:pPr>
                  <w:r>
                    <w:rPr>
                      <w:rFonts w:eastAsia="宋体"/>
                      <w:color w:val="auto"/>
                      <w:sz w:val="21"/>
                      <w:szCs w:val="21"/>
                      <w:highlight w:val="none"/>
                    </w:rPr>
                    <w:t>3.</w:t>
                  </w:r>
                  <w:r>
                    <w:rPr>
                      <w:rFonts w:eastAsia="宋体" w:cs="宋体"/>
                      <w:sz w:val="21"/>
                      <w:szCs w:val="21"/>
                      <w:highlight w:val="none"/>
                    </w:rPr>
                    <w:t xml:space="preserve"> </w:t>
                  </w:r>
                  <w:r>
                    <w:rPr>
                      <w:rFonts w:hint="eastAsia" w:eastAsia="宋体" w:cs="宋体"/>
                      <w:sz w:val="21"/>
                      <w:szCs w:val="21"/>
                      <w:highlight w:val="none"/>
                      <w:lang w:val="en-US" w:eastAsia="zh-CN"/>
                    </w:rPr>
                    <w:t>2020年3月15日和2020年3月16日，安徽博嘉包装材料有限公司厂界东侧、厂界南侧、厂界西侧、厂界北侧昼间和夜间噪声均满足《工业企业厂界环境噪声排放标准》（GB12348-2008）中3类标准。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ascii="宋体" w:hAnsi="宋体"/>
                      <w:szCs w:val="21"/>
                      <w:highlight w:val="none"/>
                    </w:rPr>
                  </w:pPr>
                  <w:r>
                    <w:rPr>
                      <w:rFonts w:hint="eastAsia" w:ascii="宋体" w:hAnsi="宋体"/>
                      <w:szCs w:val="21"/>
                      <w:highlight w:val="none"/>
                    </w:rPr>
                    <w:t>5</w:t>
                  </w:r>
                </w:p>
              </w:tc>
              <w:tc>
                <w:tcPr>
                  <w:tcW w:w="4053" w:type="dxa"/>
                  <w:shd w:val="clear" w:color="auto" w:fill="auto"/>
                  <w:vAlign w:val="center"/>
                </w:tcPr>
                <w:p>
                  <w:pPr>
                    <w:spacing w:line="276" w:lineRule="auto"/>
                    <w:ind w:firstLine="525" w:firstLineChars="250"/>
                    <w:rPr>
                      <w:rFonts w:ascii="宋体" w:hAnsi="宋体"/>
                      <w:color w:val="000000"/>
                      <w:szCs w:val="21"/>
                      <w:highlight w:val="none"/>
                    </w:rPr>
                  </w:pPr>
                  <w:r>
                    <w:rPr>
                      <w:rFonts w:hint="eastAsia" w:ascii="宋体" w:hAnsi="宋体"/>
                      <w:color w:val="000000"/>
                      <w:szCs w:val="21"/>
                      <w:highlight w:val="none"/>
                      <w:lang w:val="en-US" w:eastAsia="zh-CN"/>
                    </w:rPr>
                    <w:t>加强固废污染防治。一般工业固废应分类收集。落实回收途径。生活垃圾应统一交由环卫部门定时清运，以免产生二次污染</w:t>
                  </w:r>
                  <w:r>
                    <w:rPr>
                      <w:rFonts w:hint="eastAsia" w:ascii="宋体" w:hAnsi="宋体"/>
                      <w:color w:val="000000"/>
                      <w:szCs w:val="21"/>
                      <w:highlight w:val="none"/>
                    </w:rPr>
                    <w:t>。</w:t>
                  </w:r>
                  <w:r>
                    <w:rPr>
                      <w:rFonts w:hint="eastAsia" w:ascii="宋体" w:hAnsi="宋体"/>
                      <w:color w:val="000000"/>
                      <w:szCs w:val="21"/>
                      <w:highlight w:val="none"/>
                      <w:lang w:val="en-US" w:eastAsia="zh-CN"/>
                    </w:rPr>
                    <w:t>属危险废物的，建设单位必须委托有相应资质的单位按照国家有关规定妥善处置并做好防腐措施。公司内临时贮存设施建设需符合《危险废物贮存污染控制标准》(GB18597-2001)中有关规定。</w:t>
                  </w:r>
                </w:p>
              </w:tc>
              <w:tc>
                <w:tcPr>
                  <w:tcW w:w="4918" w:type="dxa"/>
                  <w:shd w:val="clear" w:color="auto" w:fill="auto"/>
                  <w:vAlign w:val="center"/>
                </w:tcPr>
                <w:p>
                  <w:pPr>
                    <w:numPr>
                      <w:ilvl w:val="0"/>
                      <w:numId w:val="4"/>
                    </w:numPr>
                    <w:spacing w:line="276" w:lineRule="auto"/>
                    <w:jc w:val="left"/>
                    <w:rPr>
                      <w:rFonts w:ascii="宋体" w:hAnsi="宋体"/>
                      <w:color w:val="000000"/>
                      <w:szCs w:val="21"/>
                      <w:highlight w:val="none"/>
                    </w:rPr>
                  </w:pPr>
                  <w:r>
                    <w:rPr>
                      <w:rFonts w:hint="eastAsia"/>
                      <w:kern w:val="0"/>
                      <w:szCs w:val="21"/>
                      <w:highlight w:val="none"/>
                    </w:rPr>
                    <w:t>项目产生的一般固废主要为</w:t>
                  </w:r>
                  <w:r>
                    <w:rPr>
                      <w:rFonts w:hint="eastAsia"/>
                      <w:kern w:val="0"/>
                      <w:szCs w:val="21"/>
                      <w:highlight w:val="none"/>
                      <w:lang w:val="en-US" w:eastAsia="zh-CN"/>
                    </w:rPr>
                    <w:t>印标工序产生的废油墨桶和废抹布、开槽模切工序产生的边角料、钉箱工序产生的废钉子、检验工序产生的不合格品和职工生活垃圾。危险废物为油墨废渣。</w:t>
                  </w:r>
                </w:p>
                <w:p>
                  <w:pPr>
                    <w:numPr>
                      <w:ilvl w:val="0"/>
                      <w:numId w:val="4"/>
                    </w:numPr>
                    <w:spacing w:line="276" w:lineRule="auto"/>
                    <w:jc w:val="left"/>
                    <w:rPr>
                      <w:rFonts w:ascii="宋体" w:hAnsi="宋体"/>
                      <w:color w:val="000000"/>
                      <w:szCs w:val="21"/>
                      <w:highlight w:val="none"/>
                    </w:rPr>
                  </w:pPr>
                  <w:r>
                    <w:rPr>
                      <w:rFonts w:hint="eastAsia" w:ascii="宋体" w:hAnsi="宋体"/>
                      <w:szCs w:val="21"/>
                      <w:highlight w:val="none"/>
                    </w:rPr>
                    <w:t>项目员工生活垃圾</w:t>
                  </w:r>
                  <w:r>
                    <w:rPr>
                      <w:rFonts w:hint="eastAsia" w:ascii="宋体" w:hAnsi="宋体"/>
                      <w:szCs w:val="21"/>
                      <w:highlight w:val="none"/>
                      <w:lang w:eastAsia="zh-CN"/>
                    </w:rPr>
                    <w:t>、</w:t>
                  </w:r>
                  <w:r>
                    <w:rPr>
                      <w:rFonts w:hint="eastAsia" w:ascii="宋体" w:hAnsi="宋体"/>
                      <w:szCs w:val="21"/>
                      <w:highlight w:val="none"/>
                      <w:lang w:val="en-US" w:eastAsia="zh-CN"/>
                    </w:rPr>
                    <w:t>废抹布手套</w:t>
                  </w:r>
                  <w:r>
                    <w:rPr>
                      <w:rFonts w:hint="eastAsia" w:ascii="宋体" w:hAnsi="宋体"/>
                      <w:szCs w:val="21"/>
                      <w:highlight w:val="none"/>
                    </w:rPr>
                    <w:t>由环卫部门统一清运；</w:t>
                  </w:r>
                  <w:r>
                    <w:rPr>
                      <w:rFonts w:hint="eastAsia" w:ascii="宋体" w:hAnsi="宋体"/>
                      <w:szCs w:val="21"/>
                      <w:highlight w:val="none"/>
                      <w:lang w:val="en-US" w:eastAsia="zh-CN"/>
                    </w:rPr>
                    <w:t>边角料、废钉子、不合格品交由物资回收部门处置</w:t>
                  </w:r>
                  <w:r>
                    <w:rPr>
                      <w:rFonts w:hint="eastAsia" w:ascii="宋体" w:hAnsi="宋体"/>
                      <w:szCs w:val="21"/>
                      <w:highlight w:val="none"/>
                    </w:rPr>
                    <w:t>；</w:t>
                  </w:r>
                  <w:r>
                    <w:rPr>
                      <w:rFonts w:hint="eastAsia" w:ascii="宋体" w:hAnsi="宋体"/>
                      <w:szCs w:val="21"/>
                      <w:highlight w:val="none"/>
                      <w:lang w:val="en-US" w:eastAsia="zh-CN"/>
                    </w:rPr>
                    <w:t>废油墨桶由供货商回收利用；油墨废渣委托有资质单位处理。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930" w:type="dxa"/>
                  <w:shd w:val="clear" w:color="auto" w:fill="auto"/>
                  <w:vAlign w:val="center"/>
                </w:tcPr>
                <w:p>
                  <w:pPr>
                    <w:spacing w:line="276" w:lineRule="auto"/>
                    <w:jc w:val="center"/>
                    <w:rPr>
                      <w:rFonts w:hint="eastAsia" w:ascii="宋体" w:hAnsi="宋体" w:eastAsia="宋体"/>
                      <w:szCs w:val="21"/>
                      <w:highlight w:val="none"/>
                      <w:lang w:eastAsia="zh-CN"/>
                    </w:rPr>
                  </w:pPr>
                  <w:r>
                    <w:rPr>
                      <w:rFonts w:hint="eastAsia" w:ascii="宋体" w:hAnsi="宋体"/>
                      <w:szCs w:val="21"/>
                      <w:highlight w:val="none"/>
                      <w:lang w:val="en-US" w:eastAsia="zh-CN"/>
                    </w:rPr>
                    <w:t>6</w:t>
                  </w:r>
                </w:p>
              </w:tc>
              <w:tc>
                <w:tcPr>
                  <w:tcW w:w="4053" w:type="dxa"/>
                  <w:shd w:val="clear" w:color="auto" w:fill="auto"/>
                  <w:vAlign w:val="center"/>
                </w:tcPr>
                <w:p>
                  <w:pPr>
                    <w:spacing w:line="276" w:lineRule="auto"/>
                    <w:ind w:firstLine="525" w:firstLineChars="250"/>
                    <w:rPr>
                      <w:rFonts w:ascii="宋体" w:hAnsi="宋体"/>
                      <w:color w:val="000000"/>
                      <w:szCs w:val="21"/>
                      <w:highlight w:val="none"/>
                    </w:rPr>
                  </w:pPr>
                  <w:r>
                    <w:rPr>
                      <w:rFonts w:hint="eastAsia" w:ascii="宋体" w:hAnsi="宋体"/>
                      <w:color w:val="000000"/>
                      <w:szCs w:val="21"/>
                      <w:highlight w:val="none"/>
                    </w:rPr>
                    <w:t>本项目总量控制指标为</w:t>
                  </w:r>
                  <w:r>
                    <w:rPr>
                      <w:rFonts w:hint="eastAsia" w:ascii="宋体" w:hAnsi="宋体"/>
                      <w:color w:val="000000"/>
                      <w:szCs w:val="21"/>
                      <w:highlight w:val="none"/>
                      <w:lang w:val="en-US" w:eastAsia="zh-CN"/>
                    </w:rPr>
                    <w:t>VOCs 0.0014 t/a、COD 0.014 t/a、NH</w:t>
                  </w:r>
                  <w:r>
                    <w:rPr>
                      <w:rFonts w:hint="eastAsia" w:ascii="宋体" w:hAnsi="宋体"/>
                      <w:color w:val="000000"/>
                      <w:szCs w:val="21"/>
                      <w:highlight w:val="none"/>
                      <w:vertAlign w:val="subscript"/>
                      <w:lang w:val="en-US" w:eastAsia="zh-CN"/>
                    </w:rPr>
                    <w:t>3</w:t>
                  </w:r>
                  <w:r>
                    <w:rPr>
                      <w:rFonts w:hint="eastAsia" w:ascii="宋体" w:hAnsi="宋体"/>
                      <w:color w:val="000000"/>
                      <w:szCs w:val="21"/>
                      <w:highlight w:val="none"/>
                      <w:lang w:val="en-US" w:eastAsia="zh-CN"/>
                    </w:rPr>
                    <w:t>-N 0.001 t/a。</w:t>
                  </w:r>
                </w:p>
              </w:tc>
              <w:tc>
                <w:tcPr>
                  <w:tcW w:w="4918" w:type="dxa"/>
                  <w:shd w:val="clear" w:color="auto" w:fill="auto"/>
                  <w:vAlign w:val="center"/>
                </w:tcPr>
                <w:p>
                  <w:pPr>
                    <w:spacing w:line="276" w:lineRule="auto"/>
                    <w:ind w:left="220" w:leftChars="0" w:firstLine="178" w:firstLineChars="85"/>
                    <w:jc w:val="left"/>
                    <w:rPr>
                      <w:rFonts w:hint="default" w:eastAsia="宋体"/>
                      <w:kern w:val="0"/>
                      <w:szCs w:val="21"/>
                      <w:highlight w:val="yellow"/>
                      <w:lang w:val="en-US" w:eastAsia="zh-CN"/>
                    </w:rPr>
                  </w:pPr>
                  <w:r>
                    <w:rPr>
                      <w:rFonts w:hint="eastAsia"/>
                      <w:kern w:val="0"/>
                      <w:szCs w:val="21"/>
                      <w:highlight w:val="none"/>
                    </w:rPr>
                    <w:t>本项目</w:t>
                  </w:r>
                  <w:r>
                    <w:rPr>
                      <w:rFonts w:hint="eastAsia" w:ascii="宋体" w:hAnsi="宋体"/>
                      <w:color w:val="000000"/>
                      <w:szCs w:val="21"/>
                      <w:highlight w:val="none"/>
                    </w:rPr>
                    <w:t>COD 实际排放量为</w:t>
                  </w:r>
                  <w:r>
                    <w:rPr>
                      <w:rFonts w:hint="eastAsia" w:ascii="宋体" w:hAnsi="宋体"/>
                      <w:color w:val="000000"/>
                      <w:szCs w:val="21"/>
                      <w:highlight w:val="none"/>
                      <w:lang w:val="en-US" w:eastAsia="zh-CN"/>
                    </w:rPr>
                    <w:t>0.009</w:t>
                  </w:r>
                  <w:r>
                    <w:rPr>
                      <w:rFonts w:hint="eastAsia" w:ascii="宋体" w:hAnsi="宋体"/>
                      <w:color w:val="000000"/>
                      <w:szCs w:val="21"/>
                      <w:highlight w:val="none"/>
                    </w:rPr>
                    <w:t>t/a</w:t>
                  </w:r>
                  <w:r>
                    <w:rPr>
                      <w:rFonts w:hint="eastAsia" w:ascii="宋体" w:hAnsi="宋体"/>
                      <w:color w:val="000000"/>
                      <w:szCs w:val="21"/>
                      <w:highlight w:val="none"/>
                      <w:lang w:eastAsia="zh-CN"/>
                    </w:rPr>
                    <w:t>；</w:t>
                  </w:r>
                  <w:r>
                    <w:rPr>
                      <w:rFonts w:hint="eastAsia" w:ascii="宋体" w:hAnsi="宋体"/>
                      <w:color w:val="000000"/>
                      <w:szCs w:val="21"/>
                      <w:highlight w:val="none"/>
                      <w:lang w:val="en-US" w:eastAsia="zh-CN"/>
                    </w:rPr>
                    <w:t>NH</w:t>
                  </w:r>
                  <w:r>
                    <w:rPr>
                      <w:rFonts w:hint="eastAsia" w:ascii="宋体" w:hAnsi="宋体"/>
                      <w:color w:val="000000"/>
                      <w:szCs w:val="21"/>
                      <w:highlight w:val="none"/>
                      <w:vertAlign w:val="subscript"/>
                      <w:lang w:val="en-US" w:eastAsia="zh-CN"/>
                    </w:rPr>
                    <w:t>3</w:t>
                  </w:r>
                  <w:r>
                    <w:rPr>
                      <w:rFonts w:hint="eastAsia" w:ascii="宋体" w:hAnsi="宋体"/>
                      <w:color w:val="000000"/>
                      <w:szCs w:val="21"/>
                      <w:highlight w:val="none"/>
                      <w:lang w:val="en-US" w:eastAsia="zh-CN"/>
                    </w:rPr>
                    <w:t>-N实际排放量为0.0009t/a；非甲烷总烃实际排放量为0.0081t/a。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930" w:type="dxa"/>
                  <w:shd w:val="clear" w:color="auto" w:fill="auto"/>
                  <w:vAlign w:val="center"/>
                </w:tcPr>
                <w:p>
                  <w:pPr>
                    <w:spacing w:line="276" w:lineRule="auto"/>
                    <w:jc w:val="center"/>
                    <w:rPr>
                      <w:rFonts w:hint="default" w:ascii="宋体" w:hAnsi="宋体"/>
                      <w:szCs w:val="21"/>
                      <w:highlight w:val="yellow"/>
                      <w:lang w:val="en-US" w:eastAsia="zh-CN"/>
                    </w:rPr>
                  </w:pPr>
                  <w:r>
                    <w:rPr>
                      <w:rFonts w:hint="eastAsia" w:ascii="宋体" w:hAnsi="宋体"/>
                      <w:szCs w:val="21"/>
                      <w:highlight w:val="none"/>
                      <w:lang w:val="en-US" w:eastAsia="zh-CN"/>
                    </w:rPr>
                    <w:t>7</w:t>
                  </w:r>
                </w:p>
              </w:tc>
              <w:tc>
                <w:tcPr>
                  <w:tcW w:w="4053" w:type="dxa"/>
                  <w:shd w:val="clear" w:color="auto" w:fill="auto"/>
                  <w:vAlign w:val="center"/>
                </w:tcPr>
                <w:p>
                  <w:pPr>
                    <w:spacing w:line="276" w:lineRule="auto"/>
                    <w:ind w:firstLine="525" w:firstLineChars="250"/>
                    <w:rPr>
                      <w:rFonts w:hint="default" w:ascii="宋体" w:hAnsi="宋体" w:eastAsia="宋体"/>
                      <w:color w:val="000000"/>
                      <w:szCs w:val="21"/>
                      <w:highlight w:val="none"/>
                      <w:lang w:val="en-US" w:eastAsia="zh-CN"/>
                    </w:rPr>
                  </w:pPr>
                  <w:r>
                    <w:rPr>
                      <w:rFonts w:hint="eastAsia" w:ascii="宋体" w:hAnsi="宋体"/>
                      <w:color w:val="000000"/>
                      <w:szCs w:val="21"/>
                      <w:highlight w:val="none"/>
                      <w:lang w:val="en-US" w:eastAsia="zh-CN"/>
                    </w:rPr>
                    <w:t>项目卫生防护距离50米</w:t>
                  </w:r>
                </w:p>
              </w:tc>
              <w:tc>
                <w:tcPr>
                  <w:tcW w:w="4918" w:type="dxa"/>
                  <w:shd w:val="clear" w:color="auto" w:fill="auto"/>
                  <w:vAlign w:val="center"/>
                </w:tcPr>
                <w:p>
                  <w:pPr>
                    <w:spacing w:line="276" w:lineRule="auto"/>
                    <w:ind w:left="220" w:leftChars="0" w:firstLine="178" w:firstLineChars="85"/>
                    <w:jc w:val="left"/>
                    <w:rPr>
                      <w:rFonts w:hint="default" w:eastAsia="宋体"/>
                      <w:kern w:val="0"/>
                      <w:szCs w:val="21"/>
                      <w:highlight w:val="none"/>
                      <w:lang w:val="en-US" w:eastAsia="zh-CN"/>
                    </w:rPr>
                  </w:pPr>
                  <w:r>
                    <w:rPr>
                      <w:rFonts w:hint="eastAsia"/>
                      <w:kern w:val="0"/>
                      <w:szCs w:val="21"/>
                      <w:highlight w:val="none"/>
                      <w:lang w:val="en-US" w:eastAsia="zh-CN"/>
                    </w:rPr>
                    <w:t>项目卫生防护距离内未规划、建设居民住宅、医院、学校等环境敏感建筑及食品加工等易受本项目特征污染物影响的企业。</w:t>
                  </w:r>
                </w:p>
              </w:tc>
            </w:tr>
          </w:tbl>
          <w:p>
            <w:pPr>
              <w:spacing w:line="360" w:lineRule="auto"/>
              <w:rPr>
                <w:rFonts w:ascii="宋体" w:hAnsi="宋体"/>
                <w:sz w:val="24"/>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表九</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3"/>
              <w:jc w:val="both"/>
              <w:rPr>
                <w:rFonts w:ascii="宋体" w:hAnsi="宋体"/>
                <w:b/>
                <w:sz w:val="28"/>
                <w:szCs w:val="28"/>
                <w:lang w:eastAsia="zh-CN"/>
              </w:rPr>
            </w:pPr>
            <w:r>
              <w:rPr>
                <w:rFonts w:ascii="宋体" w:hAnsi="宋体"/>
                <w:b/>
                <w:sz w:val="28"/>
                <w:szCs w:val="28"/>
                <w:lang w:eastAsia="zh-CN"/>
              </w:rPr>
              <w:t>1</w:t>
            </w:r>
            <w:r>
              <w:rPr>
                <w:rFonts w:hint="eastAsia" w:ascii="宋体" w:hAnsi="宋体"/>
                <w:b/>
                <w:sz w:val="28"/>
                <w:szCs w:val="28"/>
                <w:lang w:eastAsia="zh-CN"/>
              </w:rPr>
              <w:t>、废水</w:t>
            </w:r>
          </w:p>
          <w:p>
            <w:pPr>
              <w:pStyle w:val="23"/>
              <w:ind w:firstLine="480" w:firstLineChars="200"/>
              <w:jc w:val="both"/>
              <w:rPr>
                <w:rFonts w:ascii="宋体" w:hAnsi="宋体"/>
                <w:color w:val="000000"/>
                <w:sz w:val="24"/>
                <w:highlight w:val="yellow"/>
                <w:lang w:eastAsia="zh-CN"/>
              </w:rPr>
            </w:pPr>
            <w:r>
              <w:rPr>
                <w:rFonts w:ascii="宋体" w:hAnsi="宋体"/>
                <w:sz w:val="24"/>
                <w:lang w:eastAsia="zh-CN"/>
              </w:rPr>
              <w:t>本次监测结果显示：</w:t>
            </w:r>
            <w:r>
              <w:rPr>
                <w:rFonts w:hint="eastAsia" w:ascii="宋体" w:hAnsi="宋体"/>
                <w:sz w:val="24"/>
                <w:lang w:val="en-US" w:eastAsia="zh-CN"/>
              </w:rPr>
              <w:t>2020年3月15日和2020年3月16日，安徽博嘉包装材料有限公司污水总排口PH值、CODcr、BOD5、SS排放浓度均满足《污水综合排放标准》（GB8978-1996）中三级标准要求</w:t>
            </w:r>
            <w:r>
              <w:rPr>
                <w:rFonts w:hint="eastAsia" w:ascii="宋体" w:hAnsi="宋体"/>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2、废气</w:t>
            </w:r>
          </w:p>
          <w:p>
            <w:pPr>
              <w:spacing w:line="360" w:lineRule="auto"/>
              <w:rPr>
                <w:sz w:val="24"/>
                <w:lang w:val="zh-CN" w:bidi="en-US"/>
              </w:rPr>
            </w:pPr>
            <w:r>
              <w:rPr>
                <w:rFonts w:hint="eastAsia"/>
                <w:sz w:val="24"/>
                <w:lang w:val="zh-CN" w:bidi="en-US"/>
              </w:rPr>
              <w:t>本次监测结果显示：</w:t>
            </w:r>
          </w:p>
          <w:p>
            <w:pPr>
              <w:spacing w:line="360" w:lineRule="auto"/>
              <w:ind w:firstLine="480" w:firstLineChars="200"/>
              <w:rPr>
                <w:rFonts w:ascii="宋体" w:hAnsi="宋体"/>
                <w:sz w:val="24"/>
              </w:rPr>
            </w:pPr>
            <w:r>
              <w:rPr>
                <w:rFonts w:hint="eastAsia" w:ascii="宋体" w:hAnsi="宋体"/>
                <w:sz w:val="24"/>
              </w:rPr>
              <w:t>有组织废气：</w:t>
            </w:r>
            <w:r>
              <w:rPr>
                <w:rFonts w:hint="eastAsia" w:ascii="宋体" w:hAnsi="宋体"/>
                <w:sz w:val="24"/>
                <w:lang w:val="en-US" w:eastAsia="zh-CN"/>
              </w:rPr>
              <w:t>2020年3月15日和2020年3月16日，安徽博嘉包装材料有限公司排气筒出口的非甲烷总烃排放浓度均满足《河北省工业企业挥发性有机物排放控制标准》（DB13/2322 -2016）。</w:t>
            </w:r>
          </w:p>
          <w:p>
            <w:pPr>
              <w:spacing w:line="360" w:lineRule="auto"/>
              <w:ind w:firstLine="480" w:firstLineChars="200"/>
              <w:rPr>
                <w:rFonts w:ascii="宋体" w:hAnsi="宋体"/>
                <w:sz w:val="24"/>
                <w:highlight w:val="none"/>
              </w:rPr>
            </w:pPr>
            <w:r>
              <w:rPr>
                <w:rFonts w:hint="eastAsia" w:ascii="宋体" w:hAnsi="宋体"/>
                <w:sz w:val="24"/>
              </w:rPr>
              <w:t>无组织废气：</w:t>
            </w:r>
            <w:r>
              <w:rPr>
                <w:rFonts w:hint="eastAsia" w:ascii="宋体" w:hAnsi="宋体"/>
                <w:sz w:val="24"/>
                <w:lang w:val="en-US" w:eastAsia="zh-CN"/>
              </w:rPr>
              <w:t>2020年3月15日和2020年3月16日，安徽博嘉包装材料有限公司上风向1个参照点，下风向3个监控</w:t>
            </w:r>
            <w:r>
              <w:rPr>
                <w:rFonts w:hint="eastAsia" w:ascii="宋体" w:hAnsi="宋体"/>
                <w:sz w:val="24"/>
                <w:highlight w:val="none"/>
                <w:lang w:val="en-US" w:eastAsia="zh-CN"/>
              </w:rPr>
              <w:t>点非甲烷总烃浓度均满足《河北省工业企业挥发性有机物排放控制标准》（DB13/2322 -2016）厂界污染物排放浓度限值。</w:t>
            </w:r>
            <w:r>
              <w:rPr>
                <w:rFonts w:ascii="宋体" w:hAnsi="宋体"/>
                <w:sz w:val="24"/>
                <w:highlight w:val="none"/>
              </w:rPr>
              <w:t xml:space="preserve"> </w:t>
            </w:r>
          </w:p>
          <w:p>
            <w:pPr>
              <w:pStyle w:val="23"/>
              <w:jc w:val="both"/>
              <w:rPr>
                <w:rFonts w:ascii="宋体" w:hAnsi="宋体"/>
                <w:b/>
                <w:sz w:val="28"/>
                <w:szCs w:val="28"/>
                <w:lang w:eastAsia="zh-CN"/>
              </w:rPr>
            </w:pPr>
            <w:r>
              <w:rPr>
                <w:rFonts w:hint="eastAsia" w:ascii="宋体" w:hAnsi="宋体"/>
                <w:b/>
                <w:sz w:val="28"/>
                <w:szCs w:val="28"/>
                <w:lang w:eastAsia="zh-CN"/>
              </w:rPr>
              <w:t xml:space="preserve">3、噪声 </w:t>
            </w:r>
          </w:p>
          <w:p>
            <w:pPr>
              <w:pStyle w:val="23"/>
              <w:ind w:firstLine="480" w:firstLineChars="200"/>
              <w:jc w:val="both"/>
              <w:rPr>
                <w:rFonts w:ascii="宋体" w:hAnsi="宋体" w:cs="宋体"/>
                <w:kern w:val="2"/>
                <w:sz w:val="24"/>
                <w:lang w:val="en-US" w:eastAsia="zh-CN" w:bidi="ar-SA"/>
              </w:rPr>
            </w:pPr>
            <w:r>
              <w:rPr>
                <w:rFonts w:hint="eastAsia" w:ascii="宋体" w:hAnsi="宋体"/>
                <w:sz w:val="24"/>
                <w:lang w:eastAsia="zh-CN"/>
              </w:rPr>
              <w:t>本次监测结果显示：</w:t>
            </w:r>
            <w:r>
              <w:rPr>
                <w:rFonts w:hint="eastAsia" w:ascii="宋体" w:hAnsi="宋体"/>
                <w:sz w:val="24"/>
                <w:lang w:val="en-US" w:eastAsia="zh-CN"/>
              </w:rPr>
              <w:t>2020年3月15日和2020年3月16日，安徽博嘉包装材料有限公司厂界东侧、厂界南侧、厂界西侧、厂界北侧昼间和夜间噪声均满足《工业企业厂界环境噪声排放标准》（GB12348-2008）中3类标准</w:t>
            </w:r>
            <w:r>
              <w:rPr>
                <w:rFonts w:hint="eastAsia" w:ascii="宋体" w:hAnsi="宋体"/>
                <w:sz w:val="24"/>
                <w:lang w:eastAsia="zh-CN"/>
              </w:rPr>
              <w:t>。</w:t>
            </w:r>
          </w:p>
          <w:p>
            <w:pPr>
              <w:pStyle w:val="23"/>
              <w:jc w:val="both"/>
              <w:rPr>
                <w:rFonts w:ascii="宋体" w:hAnsi="宋体"/>
                <w:b/>
                <w:sz w:val="28"/>
                <w:szCs w:val="28"/>
                <w:lang w:eastAsia="zh-CN"/>
              </w:rPr>
            </w:pPr>
            <w:r>
              <w:rPr>
                <w:rFonts w:hint="eastAsia" w:ascii="宋体" w:hAnsi="宋体"/>
                <w:b/>
                <w:sz w:val="28"/>
                <w:szCs w:val="28"/>
                <w:lang w:eastAsia="zh-CN"/>
              </w:rPr>
              <w:t>4、固体废物</w:t>
            </w:r>
          </w:p>
          <w:p>
            <w:pPr>
              <w:spacing w:line="360" w:lineRule="auto"/>
              <w:ind w:firstLine="480" w:firstLineChars="200"/>
              <w:rPr>
                <w:rFonts w:ascii="宋体" w:hAnsi="宋体"/>
                <w:sz w:val="24"/>
              </w:rPr>
            </w:pPr>
            <w:r>
              <w:rPr>
                <w:rFonts w:hint="eastAsia"/>
                <w:kern w:val="0"/>
                <w:sz w:val="24"/>
              </w:rPr>
              <w:t>项目员工生活垃圾</w:t>
            </w:r>
            <w:r>
              <w:rPr>
                <w:rFonts w:hint="eastAsia"/>
                <w:kern w:val="0"/>
                <w:sz w:val="24"/>
                <w:lang w:eastAsia="zh-CN"/>
              </w:rPr>
              <w:t>、</w:t>
            </w:r>
            <w:r>
              <w:rPr>
                <w:rFonts w:hint="eastAsia"/>
                <w:kern w:val="0"/>
                <w:sz w:val="24"/>
                <w:lang w:val="en-US" w:eastAsia="zh-CN"/>
              </w:rPr>
              <w:t>废抹布手套</w:t>
            </w:r>
            <w:r>
              <w:rPr>
                <w:rFonts w:hint="eastAsia"/>
                <w:kern w:val="0"/>
                <w:sz w:val="24"/>
              </w:rPr>
              <w:t>由环卫部门统一清运；</w:t>
            </w:r>
            <w:r>
              <w:rPr>
                <w:rFonts w:hint="eastAsia"/>
                <w:kern w:val="0"/>
                <w:sz w:val="24"/>
                <w:lang w:val="en-US" w:eastAsia="zh-CN"/>
              </w:rPr>
              <w:t>边角料、废钉子、不合格品交由物资回收部门处置</w:t>
            </w:r>
            <w:r>
              <w:rPr>
                <w:rFonts w:hint="eastAsia"/>
                <w:kern w:val="0"/>
                <w:sz w:val="24"/>
              </w:rPr>
              <w:t>；</w:t>
            </w:r>
            <w:r>
              <w:rPr>
                <w:rFonts w:hint="eastAsia"/>
                <w:kern w:val="0"/>
                <w:sz w:val="24"/>
                <w:lang w:val="en-US" w:eastAsia="zh-CN"/>
              </w:rPr>
              <w:t>废油墨桶由供货商回收利用，油墨废渣委托有资质单位处理。</w:t>
            </w:r>
          </w:p>
          <w:p>
            <w:pPr>
              <w:pStyle w:val="23"/>
              <w:jc w:val="both"/>
              <w:rPr>
                <w:rFonts w:ascii="宋体" w:hAnsi="宋体"/>
                <w:b/>
                <w:sz w:val="28"/>
                <w:szCs w:val="28"/>
                <w:lang w:eastAsia="zh-CN"/>
              </w:rPr>
            </w:pPr>
            <w:r>
              <w:rPr>
                <w:rFonts w:hint="eastAsia" w:ascii="宋体" w:hAnsi="宋体"/>
                <w:b/>
                <w:sz w:val="28"/>
                <w:szCs w:val="28"/>
                <w:lang w:eastAsia="zh-CN"/>
              </w:rPr>
              <w:t>5、</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3"/>
              <w:jc w:val="both"/>
              <w:rPr>
                <w:rFonts w:ascii="宋体" w:hAnsi="宋体"/>
                <w:b/>
                <w:sz w:val="28"/>
                <w:szCs w:val="28"/>
                <w:lang w:eastAsia="zh-CN"/>
              </w:rPr>
            </w:pPr>
            <w:r>
              <w:rPr>
                <w:rFonts w:hint="eastAsia" w:ascii="宋体" w:hAnsi="宋体"/>
                <w:b/>
                <w:sz w:val="28"/>
                <w:szCs w:val="28"/>
                <w:lang w:eastAsia="zh-CN"/>
              </w:rPr>
              <w:t>6、建议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rPr>
              <w:t>根据此次</w:t>
            </w:r>
            <w:r>
              <w:rPr>
                <w:rFonts w:hint="eastAsia" w:ascii="宋体" w:hAnsi="宋体"/>
                <w:sz w:val="24"/>
                <w:lang w:eastAsia="zh-CN"/>
              </w:rPr>
              <w:t>安徽博嘉包装材料有限公司</w:t>
            </w:r>
            <w:r>
              <w:rPr>
                <w:rFonts w:hint="eastAsia" w:ascii="宋体" w:hAnsi="宋体"/>
                <w:sz w:val="24"/>
              </w:rPr>
              <w:t>委托监测结果，建议</w:t>
            </w:r>
            <w:r>
              <w:rPr>
                <w:rFonts w:hint="eastAsia" w:ascii="宋体" w:hAnsi="宋体"/>
                <w:sz w:val="24"/>
                <w:lang w:eastAsia="zh-CN"/>
              </w:rPr>
              <w:t>安徽博嘉包装材料有限公司</w:t>
            </w:r>
            <w:r>
              <w:rPr>
                <w:rFonts w:hint="eastAsia" w:ascii="宋体" w:hAnsi="宋体"/>
                <w:sz w:val="24"/>
              </w:rPr>
              <w:t>加强废水收集处理工作，确保废水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本报告表有以下附图、附件：</w:t>
      </w:r>
    </w:p>
    <w:p>
      <w:pPr>
        <w:snapToGrid w:val="0"/>
        <w:spacing w:before="240" w:line="276" w:lineRule="auto"/>
        <w:jc w:val="left"/>
        <w:rPr>
          <w:rFonts w:hint="eastAsia" w:ascii="宋体" w:hAnsi="宋体"/>
          <w:sz w:val="24"/>
        </w:rPr>
      </w:pPr>
      <w:r>
        <w:rPr>
          <w:rFonts w:hint="eastAsia" w:ascii="宋体" w:hAnsi="宋体"/>
          <w:sz w:val="24"/>
        </w:rPr>
        <w:t>附图 1  建设项目厂区地理位置示意图</w:t>
      </w:r>
    </w:p>
    <w:p>
      <w:pPr>
        <w:spacing w:line="276" w:lineRule="auto"/>
        <w:jc w:val="left"/>
        <w:rPr>
          <w:rFonts w:hint="default" w:ascii="宋体" w:hAnsi="宋体" w:eastAsia="宋体"/>
          <w:sz w:val="24"/>
          <w:lang w:val="en-US" w:eastAsia="zh-CN"/>
        </w:rPr>
      </w:pPr>
      <w:r>
        <w:rPr>
          <w:rFonts w:hint="eastAsia" w:ascii="宋体" w:hAnsi="宋体" w:cs="宋体"/>
          <w:sz w:val="24"/>
        </w:rPr>
        <w:t xml:space="preserve">附图 2  </w:t>
      </w:r>
      <w:r>
        <w:rPr>
          <w:rFonts w:hint="eastAsia" w:ascii="宋体" w:hAnsi="宋体"/>
          <w:sz w:val="24"/>
        </w:rPr>
        <w:t>建设项目</w:t>
      </w:r>
      <w:r>
        <w:rPr>
          <w:rFonts w:hint="eastAsia" w:ascii="宋体" w:hAnsi="宋体"/>
          <w:sz w:val="24"/>
          <w:lang w:val="en-US" w:eastAsia="zh-CN"/>
        </w:rPr>
        <w:t>周边环境图</w:t>
      </w:r>
    </w:p>
    <w:p>
      <w:pPr>
        <w:spacing w:line="276" w:lineRule="auto"/>
        <w:jc w:val="left"/>
        <w:rPr>
          <w:rFonts w:ascii="宋体" w:hAnsi="宋体"/>
          <w:sz w:val="24"/>
        </w:rPr>
      </w:pPr>
      <w:r>
        <w:rPr>
          <w:rFonts w:hint="eastAsia" w:ascii="宋体" w:hAnsi="宋体" w:cs="宋体"/>
          <w:sz w:val="24"/>
        </w:rPr>
        <w:t xml:space="preserve">附图 </w:t>
      </w:r>
      <w:r>
        <w:rPr>
          <w:rFonts w:hint="eastAsia" w:ascii="宋体" w:hAnsi="宋体" w:cs="宋体"/>
          <w:sz w:val="24"/>
          <w:lang w:val="en-US" w:eastAsia="zh-CN"/>
        </w:rPr>
        <w:t>3</w:t>
      </w:r>
      <w:r>
        <w:rPr>
          <w:rFonts w:hint="eastAsia" w:ascii="宋体" w:hAnsi="宋体" w:cs="宋体"/>
          <w:sz w:val="24"/>
        </w:rPr>
        <w:t xml:space="preserve">  </w:t>
      </w:r>
      <w:r>
        <w:rPr>
          <w:rFonts w:hint="eastAsia" w:ascii="宋体" w:hAnsi="宋体"/>
          <w:sz w:val="24"/>
        </w:rPr>
        <w:t>建设项目平面布置示意图</w:t>
      </w:r>
    </w:p>
    <w:p>
      <w:pPr>
        <w:spacing w:line="276" w:lineRule="auto"/>
        <w:jc w:val="left"/>
        <w:rPr>
          <w:rFonts w:ascii="宋体" w:hAnsi="宋体"/>
          <w:sz w:val="24"/>
        </w:rPr>
      </w:pPr>
      <w:r>
        <w:rPr>
          <w:rFonts w:hint="eastAsia" w:ascii="宋体" w:hAnsi="宋体"/>
          <w:sz w:val="24"/>
        </w:rPr>
        <w:t xml:space="preserve">附图 </w:t>
      </w:r>
      <w:r>
        <w:rPr>
          <w:rFonts w:hint="eastAsia" w:ascii="宋体" w:hAnsi="宋体"/>
          <w:sz w:val="24"/>
          <w:lang w:val="en-US" w:eastAsia="zh-CN"/>
        </w:rPr>
        <w:t>4</w:t>
      </w:r>
      <w:r>
        <w:rPr>
          <w:rFonts w:hint="eastAsia" w:ascii="宋体" w:hAnsi="宋体"/>
          <w:sz w:val="24"/>
        </w:rPr>
        <w:t xml:space="preserve">  现场监测采样图</w:t>
      </w:r>
    </w:p>
    <w:p>
      <w:pPr>
        <w:spacing w:line="276" w:lineRule="auto"/>
        <w:jc w:val="left"/>
        <w:rPr>
          <w:rFonts w:ascii="宋体" w:hAnsi="宋体" w:cs="宋体"/>
          <w:b/>
          <w:sz w:val="24"/>
        </w:rPr>
      </w:pPr>
      <w:r>
        <w:rPr>
          <w:rFonts w:hint="eastAsia" w:ascii="宋体" w:hAnsi="宋体" w:cs="宋体"/>
          <w:sz w:val="24"/>
        </w:rPr>
        <w:t xml:space="preserve">附件 1  </w:t>
      </w:r>
      <w:r>
        <w:rPr>
          <w:rFonts w:hint="eastAsia" w:ascii="宋体" w:hAnsi="宋体"/>
          <w:sz w:val="24"/>
          <w:lang w:eastAsia="zh-CN"/>
        </w:rPr>
        <w:t>安徽博嘉包装材料有限公司</w:t>
      </w:r>
      <w:r>
        <w:rPr>
          <w:rFonts w:hint="eastAsia" w:ascii="宋体" w:hAnsi="宋体"/>
          <w:sz w:val="24"/>
        </w:rPr>
        <w:t>的营业执照</w:t>
      </w:r>
    </w:p>
    <w:p>
      <w:pPr>
        <w:spacing w:line="276" w:lineRule="auto"/>
        <w:ind w:left="972" w:hanging="972" w:hangingChars="405"/>
        <w:jc w:val="left"/>
        <w:rPr>
          <w:rFonts w:hint="default" w:ascii="宋体" w:hAnsi="宋体" w:eastAsia="宋体"/>
          <w:sz w:val="24"/>
          <w:lang w:val="en-US" w:eastAsia="zh-CN"/>
        </w:rPr>
      </w:pPr>
      <w:r>
        <w:rPr>
          <w:rFonts w:hint="eastAsia" w:ascii="宋体" w:hAnsi="宋体" w:cs="宋体"/>
          <w:sz w:val="24"/>
        </w:rPr>
        <w:t>附件 2</w:t>
      </w:r>
      <w:r>
        <w:rPr>
          <w:rFonts w:ascii="宋体" w:hAnsi="宋体" w:cs="宋体"/>
          <w:sz w:val="24"/>
        </w:rPr>
        <w:t xml:space="preserve"> </w:t>
      </w:r>
      <w:r>
        <w:rPr>
          <w:rFonts w:hint="eastAsia" w:ascii="宋体" w:hAnsi="宋体" w:cs="宋体"/>
          <w:sz w:val="24"/>
        </w:rPr>
        <w:t xml:space="preserve"> </w:t>
      </w:r>
      <w:r>
        <w:rPr>
          <w:rFonts w:hint="eastAsia" w:ascii="宋体" w:hAnsi="宋体"/>
          <w:sz w:val="24"/>
          <w:lang w:eastAsia="zh-CN"/>
        </w:rPr>
        <w:t>安徽博嘉包装材料有限公司</w:t>
      </w:r>
      <w:r>
        <w:rPr>
          <w:rFonts w:hint="eastAsia" w:ascii="宋体" w:hAnsi="宋体"/>
          <w:sz w:val="24"/>
          <w:lang w:val="en-US" w:eastAsia="zh-CN"/>
        </w:rPr>
        <w:t>租赁合同</w:t>
      </w:r>
    </w:p>
    <w:p>
      <w:pPr>
        <w:spacing w:line="276" w:lineRule="auto"/>
        <w:ind w:left="972" w:hanging="972" w:hangingChars="405"/>
        <w:jc w:val="left"/>
        <w:rPr>
          <w:rFonts w:ascii="宋体" w:hAnsi="宋体"/>
          <w:sz w:val="24"/>
        </w:rPr>
      </w:pPr>
      <w:r>
        <w:rPr>
          <w:rFonts w:hint="eastAsia" w:ascii="宋体" w:hAnsi="宋体"/>
          <w:sz w:val="24"/>
        </w:rPr>
        <w:t xml:space="preserve">附件 </w:t>
      </w:r>
      <w:r>
        <w:rPr>
          <w:rFonts w:ascii="宋体" w:hAnsi="宋体"/>
          <w:sz w:val="24"/>
        </w:rPr>
        <w:t>3</w:t>
      </w:r>
      <w:r>
        <w:rPr>
          <w:rFonts w:hint="eastAsia" w:ascii="宋体" w:hAnsi="宋体"/>
          <w:sz w:val="24"/>
        </w:rPr>
        <w:t xml:space="preserve">  </w:t>
      </w:r>
      <w:r>
        <w:rPr>
          <w:rFonts w:hint="eastAsia" w:ascii="宋体" w:hAnsi="宋体"/>
          <w:sz w:val="24"/>
          <w:lang w:eastAsia="zh-CN"/>
        </w:rPr>
        <w:t>芜湖市环境保护局</w:t>
      </w:r>
      <w:r>
        <w:rPr>
          <w:rFonts w:hint="eastAsia" w:ascii="宋体" w:hAnsi="宋体"/>
          <w:sz w:val="24"/>
        </w:rPr>
        <w:t>审批的环评批复</w:t>
      </w:r>
    </w:p>
    <w:p>
      <w:pPr>
        <w:spacing w:line="276" w:lineRule="auto"/>
        <w:ind w:left="972" w:hanging="972" w:hangingChars="405"/>
        <w:jc w:val="left"/>
        <w:rPr>
          <w:rFonts w:ascii="宋体" w:hAnsi="宋体"/>
          <w:sz w:val="24"/>
        </w:rPr>
      </w:pPr>
      <w:r>
        <w:rPr>
          <w:rFonts w:hint="eastAsia" w:ascii="宋体" w:hAnsi="宋体"/>
          <w:sz w:val="24"/>
        </w:rPr>
        <w:t xml:space="preserve">附件 </w:t>
      </w:r>
      <w:r>
        <w:rPr>
          <w:rFonts w:ascii="宋体" w:hAnsi="宋体"/>
          <w:sz w:val="24"/>
        </w:rPr>
        <w:t>4</w:t>
      </w:r>
      <w:r>
        <w:rPr>
          <w:rFonts w:hint="eastAsia" w:ascii="宋体" w:hAnsi="宋体"/>
          <w:sz w:val="24"/>
        </w:rPr>
        <w:t xml:space="preserve"> </w:t>
      </w:r>
      <w:r>
        <w:rPr>
          <w:rFonts w:ascii="宋体" w:hAnsi="宋体"/>
          <w:sz w:val="24"/>
        </w:rPr>
        <w:t xml:space="preserve"> </w:t>
      </w:r>
      <w:r>
        <w:rPr>
          <w:rFonts w:hint="eastAsia" w:ascii="宋体" w:hAnsi="宋体"/>
          <w:sz w:val="24"/>
          <w:lang w:eastAsia="zh-CN"/>
        </w:rPr>
        <w:t>安徽博嘉包装材料有限公司</w:t>
      </w:r>
      <w:r>
        <w:rPr>
          <w:rFonts w:hint="eastAsia" w:ascii="宋体" w:hAnsi="宋体"/>
          <w:sz w:val="24"/>
        </w:rPr>
        <w:t>项目备案</w:t>
      </w:r>
    </w:p>
    <w:p>
      <w:pPr>
        <w:spacing w:line="276" w:lineRule="auto"/>
        <w:ind w:left="972" w:hanging="972" w:hangingChars="405"/>
        <w:jc w:val="left"/>
        <w:rPr>
          <w:rFonts w:hint="eastAsia" w:ascii="宋体" w:hAnsi="宋体" w:eastAsia="宋体"/>
          <w:sz w:val="24"/>
          <w:highlight w:val="none"/>
          <w:lang w:eastAsia="zh-CN"/>
        </w:rPr>
      </w:pPr>
      <w:r>
        <w:rPr>
          <w:rFonts w:hint="eastAsia" w:ascii="宋体" w:hAnsi="宋体"/>
          <w:sz w:val="24"/>
          <w:highlight w:val="none"/>
        </w:rPr>
        <w:t xml:space="preserve">附件 </w:t>
      </w:r>
      <w:r>
        <w:rPr>
          <w:rFonts w:hint="eastAsia" w:ascii="宋体" w:hAnsi="宋体"/>
          <w:sz w:val="24"/>
          <w:highlight w:val="none"/>
          <w:lang w:val="en-US" w:eastAsia="zh-CN"/>
        </w:rPr>
        <w:t>5</w:t>
      </w:r>
      <w:r>
        <w:rPr>
          <w:rFonts w:ascii="宋体" w:hAnsi="宋体"/>
          <w:sz w:val="24"/>
          <w:highlight w:val="none"/>
        </w:rPr>
        <w:t xml:space="preserve">  </w:t>
      </w:r>
      <w:r>
        <w:rPr>
          <w:rFonts w:hint="eastAsia" w:ascii="宋体" w:hAnsi="宋体"/>
          <w:sz w:val="24"/>
          <w:highlight w:val="none"/>
          <w:lang w:eastAsia="zh-CN"/>
        </w:rPr>
        <w:t>安徽博嘉包装材料有限公司</w:t>
      </w:r>
      <w:r>
        <w:rPr>
          <w:rFonts w:hint="eastAsia" w:ascii="宋体" w:hAnsi="宋体"/>
          <w:sz w:val="24"/>
          <w:highlight w:val="none"/>
          <w:lang w:val="en-US" w:eastAsia="zh-CN"/>
        </w:rPr>
        <w:t>纳管证明</w:t>
      </w:r>
    </w:p>
    <w:p>
      <w:pPr>
        <w:spacing w:line="276" w:lineRule="auto"/>
        <w:ind w:left="972" w:hanging="972" w:hangingChars="405"/>
        <w:jc w:val="left"/>
        <w:rPr>
          <w:rFonts w:hint="eastAsia" w:ascii="宋体" w:hAnsi="宋体"/>
          <w:sz w:val="24"/>
          <w:highlight w:val="none"/>
        </w:rPr>
      </w:pPr>
      <w:r>
        <w:rPr>
          <w:rFonts w:hint="eastAsia" w:ascii="宋体" w:hAnsi="宋体"/>
          <w:sz w:val="24"/>
          <w:highlight w:val="none"/>
        </w:rPr>
        <w:t xml:space="preserve">附件 </w:t>
      </w:r>
      <w:r>
        <w:rPr>
          <w:rFonts w:hint="eastAsia" w:ascii="宋体" w:hAnsi="宋体"/>
          <w:sz w:val="24"/>
          <w:highlight w:val="none"/>
          <w:lang w:val="en-US" w:eastAsia="zh-CN"/>
        </w:rPr>
        <w:t>6</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eastAsia="zh-CN"/>
        </w:rPr>
        <w:t>年产1000万平方米瓦楞纸箱项目</w:t>
      </w:r>
      <w:r>
        <w:rPr>
          <w:rFonts w:hint="eastAsia" w:ascii="宋体" w:hAnsi="宋体"/>
          <w:sz w:val="24"/>
          <w:highlight w:val="none"/>
        </w:rPr>
        <w:t>竣工验收环境保护检测报告</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lang w:val="en-US" w:eastAsia="zh-CN"/>
        </w:rPr>
        <w:t>附件 7  安徽博嘉包装材料有限公司危废协议</w:t>
      </w:r>
    </w:p>
    <w:p>
      <w:pPr>
        <w:spacing w:line="276" w:lineRule="auto"/>
        <w:ind w:left="960" w:hanging="960" w:hangingChars="400"/>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8</w:t>
      </w:r>
      <w:r>
        <w:rPr>
          <w:rFonts w:hint="eastAsia" w:ascii="宋体" w:hAnsi="宋体"/>
          <w:sz w:val="24"/>
          <w:highlight w:val="none"/>
        </w:rPr>
        <w:t xml:space="preserve">  </w:t>
      </w:r>
      <w:r>
        <w:rPr>
          <w:rFonts w:hint="eastAsia" w:ascii="宋体" w:hAnsi="宋体"/>
          <w:sz w:val="24"/>
          <w:highlight w:val="none"/>
          <w:lang w:eastAsia="zh-CN"/>
        </w:rPr>
        <w:t>年产1000万平方米瓦楞纸箱项目</w:t>
      </w:r>
      <w:r>
        <w:rPr>
          <w:rFonts w:hint="eastAsia" w:ascii="宋体" w:hAnsi="宋体"/>
          <w:sz w:val="24"/>
          <w:highlight w:val="none"/>
        </w:rPr>
        <w:t>竣工验收环境保护验收意见</w:t>
      </w:r>
      <w:r>
        <w:rPr>
          <w:rFonts w:hint="eastAsia" w:ascii="宋体" w:hAnsi="宋体"/>
          <w:sz w:val="24"/>
          <w:highlight w:val="none"/>
          <w:lang w:val="en-US" w:eastAsia="zh-CN"/>
        </w:rPr>
        <w:t>及签到表</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lang w:val="en-US" w:eastAsia="zh-CN"/>
        </w:rPr>
        <w:t>附件 9  年产1000万平方米瓦楞纸箱项目验收公示情况</w:t>
      </w:r>
    </w:p>
    <w:p>
      <w:pPr>
        <w:rPr>
          <w:b/>
          <w:sz w:val="28"/>
          <w:szCs w:val="28"/>
        </w:rPr>
      </w:pPr>
    </w:p>
    <w:p>
      <w:pPr>
        <w:rPr>
          <w:b/>
          <w:sz w:val="28"/>
          <w:szCs w:val="28"/>
        </w:rPr>
      </w:pPr>
    </w:p>
    <w:p>
      <w:pPr>
        <w:widowControl/>
        <w:jc w:val="left"/>
        <w:rPr>
          <w:b/>
          <w:sz w:val="28"/>
          <w:szCs w:val="28"/>
        </w:rPr>
      </w:pPr>
    </w:p>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3"/>
        <w:tblW w:w="544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61"/>
        <w:gridCol w:w="1727"/>
        <w:gridCol w:w="794"/>
        <w:gridCol w:w="1325"/>
        <w:gridCol w:w="1050"/>
        <w:gridCol w:w="955"/>
        <w:gridCol w:w="464"/>
        <w:gridCol w:w="602"/>
        <w:gridCol w:w="1090"/>
        <w:gridCol w:w="1147"/>
        <w:gridCol w:w="1527"/>
        <w:gridCol w:w="645"/>
        <w:gridCol w:w="340"/>
        <w:gridCol w:w="663"/>
        <w:gridCol w:w="538"/>
        <w:gridCol w:w="139"/>
        <w:gridCol w:w="920"/>
        <w:gridCol w:w="7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10" w:name="_Hlk6228189"/>
            <w:r>
              <w:rPr>
                <w:rFonts w:ascii="宋体" w:hAnsi="宋体"/>
                <w:b/>
                <w:sz w:val="18"/>
                <w:szCs w:val="18"/>
                <w:highlight w:val="none"/>
              </w:rPr>
              <w:t>建设项目</w:t>
            </w:r>
          </w:p>
        </w:tc>
        <w:tc>
          <w:tcPr>
            <w:tcW w:w="1886"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183"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年产1000万平方米瓦楞纸箱项目</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646"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60" w:type="dxa"/>
            <w:gridSpan w:val="4"/>
            <w:tcMar>
              <w:left w:w="0" w:type="dxa"/>
              <w:right w:w="0" w:type="dxa"/>
            </w:tcMar>
            <w:vAlign w:val="center"/>
          </w:tcPr>
          <w:p>
            <w:pPr>
              <w:spacing w:line="200" w:lineRule="exact"/>
              <w:jc w:val="center"/>
              <w:rPr>
                <w:rFonts w:hint="eastAsia" w:ascii="宋体" w:hAnsi="宋体" w:eastAsia="宋体"/>
                <w:sz w:val="18"/>
                <w:szCs w:val="18"/>
                <w:highlight w:val="yellow"/>
                <w:lang w:eastAsia="zh-CN"/>
              </w:rPr>
            </w:pPr>
            <w:r>
              <w:rPr>
                <w:rFonts w:hint="eastAsia" w:ascii="宋体" w:hAnsi="宋体"/>
                <w:sz w:val="18"/>
                <w:szCs w:val="18"/>
                <w:highlight w:val="none"/>
                <w:lang w:eastAsia="zh-CN"/>
              </w:rPr>
              <w:t>安徽省芜湖市江北产业集中区和睦路与新沈路交叉口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C</w:t>
            </w:r>
            <w:r>
              <w:rPr>
                <w:rFonts w:hint="eastAsia" w:ascii="宋体" w:hAnsi="宋体"/>
                <w:sz w:val="18"/>
                <w:szCs w:val="18"/>
                <w:highlight w:val="none"/>
                <w:lang w:val="en-US" w:eastAsia="zh-CN"/>
              </w:rPr>
              <w:t>2231</w:t>
            </w:r>
            <w:r>
              <w:rPr>
                <w:rFonts w:hint="eastAsia" w:ascii="宋体" w:hAnsi="宋体"/>
                <w:sz w:val="18"/>
                <w:szCs w:val="18"/>
                <w:highlight w:val="none"/>
              </w:rPr>
              <w:t>】</w:t>
            </w:r>
            <w:r>
              <w:rPr>
                <w:rFonts w:hint="eastAsia" w:ascii="宋体" w:hAnsi="宋体"/>
                <w:sz w:val="18"/>
                <w:szCs w:val="18"/>
                <w:highlight w:val="none"/>
                <w:lang w:val="en-US" w:eastAsia="zh-CN"/>
              </w:rPr>
              <w:t>纸和纸板容器制造</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6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改扩建□技术改造</w:t>
            </w:r>
          </w:p>
        </w:tc>
        <w:tc>
          <w:tcPr>
            <w:tcW w:w="1678" w:type="dxa"/>
            <w:gridSpan w:val="4"/>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项目厂区中心经度/纬度</w:t>
            </w:r>
          </w:p>
        </w:tc>
        <w:tc>
          <w:tcPr>
            <w:tcW w:w="1684" w:type="dxa"/>
            <w:gridSpan w:val="2"/>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 xml:space="preserve">118.249208 </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31.46421611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1000万㎡/a</w:t>
            </w:r>
          </w:p>
        </w:tc>
        <w:tc>
          <w:tcPr>
            <w:tcW w:w="223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实际生产能力</w:t>
            </w:r>
          </w:p>
        </w:tc>
        <w:tc>
          <w:tcPr>
            <w:tcW w:w="1525"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1000万㎡/a</w:t>
            </w:r>
          </w:p>
        </w:tc>
        <w:tc>
          <w:tcPr>
            <w:tcW w:w="1646" w:type="dxa"/>
            <w:gridSpan w:val="3"/>
            <w:tcMar>
              <w:left w:w="0" w:type="dxa"/>
              <w:right w:w="0" w:type="dxa"/>
            </w:tcMar>
            <w:vAlign w:val="center"/>
          </w:tcPr>
          <w:p>
            <w:pPr>
              <w:spacing w:line="200" w:lineRule="exact"/>
              <w:jc w:val="center"/>
              <w:rPr>
                <w:rFonts w:ascii="宋体" w:hAnsi="宋体"/>
                <w:sz w:val="18"/>
                <w:szCs w:val="18"/>
                <w:highlight w:val="yellow"/>
              </w:rPr>
            </w:pPr>
            <w:r>
              <w:rPr>
                <w:rFonts w:ascii="宋体" w:hAnsi="宋体"/>
                <w:b/>
                <w:sz w:val="18"/>
                <w:szCs w:val="18"/>
                <w:highlight w:val="none"/>
              </w:rPr>
              <w:t>环评单位</w:t>
            </w:r>
          </w:p>
        </w:tc>
        <w:tc>
          <w:tcPr>
            <w:tcW w:w="2360" w:type="dxa"/>
            <w:gridSpan w:val="4"/>
            <w:tcMar>
              <w:left w:w="0" w:type="dxa"/>
              <w:right w:w="0" w:type="dxa"/>
            </w:tcMar>
            <w:vAlign w:val="center"/>
          </w:tcPr>
          <w:p>
            <w:pPr>
              <w:spacing w:line="200" w:lineRule="exact"/>
              <w:jc w:val="center"/>
              <w:rPr>
                <w:rFonts w:hint="eastAsia" w:ascii="宋体" w:hAnsi="宋体" w:eastAsia="宋体"/>
                <w:sz w:val="18"/>
                <w:szCs w:val="18"/>
                <w:highlight w:val="yellow"/>
                <w:lang w:eastAsia="zh-CN"/>
              </w:rPr>
            </w:pPr>
            <w:r>
              <w:rPr>
                <w:rFonts w:hint="eastAsia" w:ascii="宋体" w:hAnsi="宋体"/>
                <w:sz w:val="18"/>
                <w:szCs w:val="18"/>
                <w:highlight w:val="none"/>
                <w:lang w:eastAsia="zh-CN"/>
              </w:rPr>
              <w:t>安徽禹水华阳环境工程技术有限公司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芜湖市环境保护局</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芜环评审[2018]96号</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18</w:t>
            </w:r>
            <w:r>
              <w:rPr>
                <w:rFonts w:hint="eastAsia" w:ascii="宋体" w:hAnsi="宋体"/>
                <w:sz w:val="18"/>
                <w:szCs w:val="18"/>
                <w:highlight w:val="none"/>
              </w:rPr>
              <w:t>年</w:t>
            </w:r>
            <w:r>
              <w:rPr>
                <w:rFonts w:hint="eastAsia" w:ascii="宋体" w:hAnsi="宋体"/>
                <w:sz w:val="18"/>
                <w:szCs w:val="18"/>
                <w:highlight w:val="none"/>
                <w:lang w:val="en-US" w:eastAsia="zh-CN"/>
              </w:rPr>
              <w:t>5</w:t>
            </w:r>
            <w:r>
              <w:rPr>
                <w:rFonts w:hint="eastAsia" w:ascii="宋体" w:hAnsi="宋体"/>
                <w:sz w:val="18"/>
                <w:szCs w:val="18"/>
                <w:highlight w:val="none"/>
              </w:rPr>
              <w:t>月</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19</w:t>
            </w:r>
            <w:r>
              <w:rPr>
                <w:rFonts w:hint="eastAsia" w:ascii="宋体" w:hAnsi="宋体"/>
                <w:sz w:val="18"/>
                <w:szCs w:val="18"/>
                <w:highlight w:val="none"/>
              </w:rPr>
              <w:t>年</w:t>
            </w:r>
            <w:r>
              <w:rPr>
                <w:rFonts w:hint="eastAsia" w:ascii="宋体" w:hAnsi="宋体"/>
                <w:sz w:val="18"/>
                <w:szCs w:val="18"/>
                <w:highlight w:val="none"/>
                <w:lang w:val="en-US" w:eastAsia="zh-CN"/>
              </w:rPr>
              <w:t>12</w:t>
            </w:r>
            <w:r>
              <w:rPr>
                <w:rFonts w:hint="eastAsia" w:ascii="宋体" w:hAnsi="宋体"/>
                <w:sz w:val="18"/>
                <w:szCs w:val="18"/>
                <w:highlight w:val="none"/>
              </w:rPr>
              <w:t>月</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183" w:type="dxa"/>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183" w:type="dxa"/>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sz w:val="18"/>
                <w:szCs w:val="18"/>
                <w:highlight w:val="none"/>
                <w:lang w:eastAsia="zh-CN"/>
              </w:rPr>
              <w:t>安徽博嘉包装材料有限公司</w:t>
            </w:r>
          </w:p>
        </w:tc>
        <w:tc>
          <w:tcPr>
            <w:tcW w:w="2234" w:type="dxa"/>
            <w:gridSpan w:val="2"/>
            <w:tcMar>
              <w:left w:w="0" w:type="dxa"/>
              <w:right w:w="0" w:type="dxa"/>
            </w:tcMar>
            <w:vAlign w:val="center"/>
          </w:tcPr>
          <w:p>
            <w:pPr>
              <w:spacing w:line="200" w:lineRule="exact"/>
              <w:jc w:val="center"/>
              <w:rPr>
                <w:rFonts w:ascii="宋体" w:hAnsi="宋体"/>
                <w:b/>
                <w:sz w:val="18"/>
                <w:szCs w:val="18"/>
                <w:highlight w:val="yellow"/>
              </w:rPr>
            </w:pPr>
            <w:r>
              <w:rPr>
                <w:rFonts w:ascii="宋体" w:hAnsi="宋体"/>
                <w:b/>
                <w:sz w:val="18"/>
                <w:szCs w:val="18"/>
                <w:highlight w:val="none"/>
              </w:rPr>
              <w:t>环保设施监测单位</w:t>
            </w:r>
          </w:p>
        </w:tc>
        <w:tc>
          <w:tcPr>
            <w:tcW w:w="1525" w:type="dxa"/>
            <w:tcMar>
              <w:left w:w="0" w:type="dxa"/>
              <w:right w:w="0" w:type="dxa"/>
            </w:tcMar>
            <w:vAlign w:val="center"/>
          </w:tcPr>
          <w:p>
            <w:pPr>
              <w:spacing w:line="200" w:lineRule="exact"/>
              <w:jc w:val="center"/>
              <w:rPr>
                <w:rFonts w:hint="default" w:ascii="宋体" w:hAnsi="宋体" w:eastAsia="宋体"/>
                <w:sz w:val="18"/>
                <w:szCs w:val="18"/>
                <w:highlight w:val="yellow"/>
                <w:lang w:val="en-US" w:eastAsia="zh-CN"/>
              </w:rPr>
            </w:pPr>
            <w:r>
              <w:rPr>
                <w:rFonts w:hint="eastAsia" w:ascii="宋体" w:hAnsi="宋体"/>
                <w:sz w:val="18"/>
                <w:szCs w:val="18"/>
                <w:highlight w:val="none"/>
                <w:lang w:val="en-US" w:eastAsia="zh-CN"/>
              </w:rPr>
              <w:t>安徽天净环绿科技有限公司</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60"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yellow"/>
              </w:rPr>
            </w:pPr>
            <w:r>
              <w:rPr>
                <w:rFonts w:ascii="宋体" w:hAnsi="宋体"/>
                <w:b/>
                <w:sz w:val="18"/>
                <w:szCs w:val="18"/>
                <w:highlight w:val="none"/>
              </w:rPr>
              <w:t>投资总概算（万元）</w:t>
            </w:r>
          </w:p>
        </w:tc>
        <w:tc>
          <w:tcPr>
            <w:tcW w:w="5183" w:type="dxa"/>
            <w:gridSpan w:val="6"/>
            <w:tcMar>
              <w:left w:w="0" w:type="dxa"/>
              <w:right w:w="0" w:type="dxa"/>
            </w:tcMar>
            <w:vAlign w:val="center"/>
          </w:tcPr>
          <w:p>
            <w:pPr>
              <w:spacing w:line="200" w:lineRule="exact"/>
              <w:jc w:val="center"/>
              <w:rPr>
                <w:rFonts w:hint="default" w:ascii="宋体" w:hAnsi="宋体" w:eastAsia="宋体"/>
                <w:b/>
                <w:sz w:val="18"/>
                <w:szCs w:val="18"/>
                <w:highlight w:val="yellow"/>
                <w:lang w:val="en-US" w:eastAsia="zh-CN"/>
              </w:rPr>
            </w:pPr>
            <w:r>
              <w:rPr>
                <w:rFonts w:hint="eastAsia" w:ascii="宋体" w:hAnsi="宋体"/>
                <w:sz w:val="18"/>
                <w:szCs w:val="18"/>
                <w:highlight w:val="none"/>
                <w:lang w:val="en-US" w:eastAsia="zh-CN"/>
              </w:rPr>
              <w:t>5000</w:t>
            </w:r>
          </w:p>
        </w:tc>
        <w:tc>
          <w:tcPr>
            <w:tcW w:w="2234"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525"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11.2</w:t>
            </w:r>
          </w:p>
        </w:tc>
        <w:tc>
          <w:tcPr>
            <w:tcW w:w="1646"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60"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5183"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500</w:t>
            </w:r>
          </w:p>
        </w:tc>
        <w:tc>
          <w:tcPr>
            <w:tcW w:w="223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52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12.6</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60"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3"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32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4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10</w:t>
            </w:r>
          </w:p>
        </w:tc>
        <w:tc>
          <w:tcPr>
            <w:tcW w:w="141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1"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1</w:t>
            </w:r>
          </w:p>
        </w:tc>
        <w:tc>
          <w:tcPr>
            <w:tcW w:w="223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52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0.1</w:t>
            </w:r>
          </w:p>
        </w:tc>
        <w:tc>
          <w:tcPr>
            <w:tcW w:w="1646"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37"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05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6"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183"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34"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646"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60" w:type="dxa"/>
            <w:gridSpan w:val="4"/>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b/>
                <w:sz w:val="18"/>
                <w:szCs w:val="18"/>
                <w:highlight w:val="none"/>
                <w:lang w:val="en-US" w:eastAsia="zh-CN"/>
              </w:rPr>
              <w:t>2400</w:t>
            </w:r>
            <w:r>
              <w:rPr>
                <w:rFonts w:ascii="宋体" w:hAnsi="宋体"/>
                <w:b/>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2302"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4119"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安徽博嘉包装材料有限公司</w:t>
            </w:r>
          </w:p>
        </w:tc>
        <w:tc>
          <w:tcPr>
            <w:tcW w:w="3298"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'91340200MA2RM41TXC</w:t>
            </w:r>
          </w:p>
        </w:tc>
        <w:tc>
          <w:tcPr>
            <w:tcW w:w="1646" w:type="dxa"/>
            <w:gridSpan w:val="3"/>
            <w:tcMar>
              <w:left w:w="0" w:type="dxa"/>
              <w:right w:w="0" w:type="dxa"/>
            </w:tcMar>
            <w:vAlign w:val="center"/>
          </w:tcPr>
          <w:p>
            <w:pPr>
              <w:spacing w:line="200" w:lineRule="exact"/>
              <w:jc w:val="center"/>
              <w:rPr>
                <w:rFonts w:ascii="宋体" w:hAnsi="宋体"/>
                <w:b/>
                <w:sz w:val="18"/>
                <w:szCs w:val="18"/>
                <w:highlight w:val="yellow"/>
              </w:rPr>
            </w:pPr>
            <w:r>
              <w:rPr>
                <w:rFonts w:ascii="宋体" w:hAnsi="宋体"/>
                <w:b/>
                <w:sz w:val="18"/>
                <w:szCs w:val="18"/>
                <w:highlight w:val="none"/>
              </w:rPr>
              <w:t>验收时间</w:t>
            </w:r>
          </w:p>
        </w:tc>
        <w:tc>
          <w:tcPr>
            <w:tcW w:w="2360" w:type="dxa"/>
            <w:gridSpan w:val="4"/>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3</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3"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4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4"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6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8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4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5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98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19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5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0.0173</w:t>
            </w:r>
          </w:p>
        </w:tc>
        <w:tc>
          <w:tcPr>
            <w:tcW w:w="1145"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0.0288</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0.009</w:t>
            </w:r>
          </w:p>
        </w:tc>
        <w:tc>
          <w:tcPr>
            <w:tcW w:w="1145"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0.014</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0.0009</w:t>
            </w:r>
          </w:p>
        </w:tc>
        <w:tc>
          <w:tcPr>
            <w:tcW w:w="1145"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0.001</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3"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0.0081</w:t>
            </w:r>
          </w:p>
        </w:tc>
        <w:tc>
          <w:tcPr>
            <w:tcW w:w="114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0.0014</w:t>
            </w:r>
          </w:p>
        </w:tc>
        <w:tc>
          <w:tcPr>
            <w:tcW w:w="152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5"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3"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8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10"/>
    </w:tbl>
    <w:p>
      <w:pPr>
        <w:ind w:left="-708" w:leftChars="-337" w:right="-1210" w:rightChars="-576"/>
        <w:rPr>
          <w:rFonts w:ascii="宋体" w:hAnsi="宋体" w:cs="宋体"/>
          <w:sz w:val="24"/>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sectPr>
      <w:footerReference r:id="rId7"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PMingLiU">
    <w:altName w:val="Microsoft JhengHei UI"/>
    <w:panose1 w:val="02010601000101010101"/>
    <w:charset w:val="88"/>
    <w:family w:val="roman"/>
    <w:pitch w:val="default"/>
    <w:sig w:usb0="00000000" w:usb1="00000000" w:usb2="00000016" w:usb3="00000000" w:csb0="00100001" w:csb1="00000000"/>
  </w:font>
  <w:font w:name="Segoe UI Emoji">
    <w:panose1 w:val="020B0502040204020203"/>
    <w:charset w:val="00"/>
    <w:family w:val="swiss"/>
    <w:pitch w:val="default"/>
    <w:sig w:usb0="00000001" w:usb1="02000000" w:usb2="00000000" w:usb3="00000000" w:csb0="0000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sdt>
    <w:sdtPr>
      <w:id w:val="165759787"/>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950B6"/>
    <w:multiLevelType w:val="singleLevel"/>
    <w:tmpl w:val="2B9950B6"/>
    <w:lvl w:ilvl="0" w:tentative="0">
      <w:start w:val="1"/>
      <w:numFmt w:val="decimal"/>
      <w:suff w:val="nothing"/>
      <w:lvlText w:val="%1．"/>
      <w:lvlJc w:val="left"/>
      <w:pPr>
        <w:ind w:left="25" w:firstLine="400"/>
      </w:pPr>
      <w:rPr>
        <w:rFonts w:hint="default"/>
      </w:rPr>
    </w:lvl>
  </w:abstractNum>
  <w:abstractNum w:abstractNumId="1">
    <w:nsid w:val="43FD0980"/>
    <w:multiLevelType w:val="multilevel"/>
    <w:tmpl w:val="43FD0980"/>
    <w:lvl w:ilvl="0" w:tentative="0">
      <w:start w:val="1"/>
      <w:numFmt w:val="decimal"/>
      <w:suff w:val="nothing"/>
      <w:lvlText w:val="%1．"/>
      <w:lvlJc w:val="left"/>
      <w:pPr>
        <w:ind w:left="0" w:firstLine="4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4F93E17"/>
    <w:multiLevelType w:val="singleLevel"/>
    <w:tmpl w:val="44F93E17"/>
    <w:lvl w:ilvl="0" w:tentative="0">
      <w:start w:val="1"/>
      <w:numFmt w:val="decimal"/>
      <w:suff w:val="nothing"/>
      <w:lvlText w:val="%1．"/>
      <w:lvlJc w:val="left"/>
      <w:pPr>
        <w:ind w:left="25" w:firstLine="400"/>
      </w:pPr>
      <w:rPr>
        <w:rFonts w:hint="default"/>
      </w:rPr>
    </w:lvl>
  </w:abstractNum>
  <w:abstractNum w:abstractNumId="3">
    <w:nsid w:val="53C681AC"/>
    <w:multiLevelType w:val="singleLevel"/>
    <w:tmpl w:val="53C681AC"/>
    <w:lvl w:ilvl="0" w:tentative="0">
      <w:start w:val="1"/>
      <w:numFmt w:val="decimal"/>
      <w:suff w:val="nothing"/>
      <w:lvlText w:val="%1．"/>
      <w:lvlJc w:val="left"/>
      <w:pPr>
        <w:ind w:left="0" w:firstLine="40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AB1"/>
    <w:rsid w:val="00380F0D"/>
    <w:rsid w:val="003818EB"/>
    <w:rsid w:val="003825A1"/>
    <w:rsid w:val="003826B6"/>
    <w:rsid w:val="00382BEB"/>
    <w:rsid w:val="00382CDC"/>
    <w:rsid w:val="003830CB"/>
    <w:rsid w:val="00383518"/>
    <w:rsid w:val="0038375F"/>
    <w:rsid w:val="00383F54"/>
    <w:rsid w:val="0038417B"/>
    <w:rsid w:val="003844DF"/>
    <w:rsid w:val="00385393"/>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6A"/>
    <w:rsid w:val="00731126"/>
    <w:rsid w:val="007312AD"/>
    <w:rsid w:val="0073147A"/>
    <w:rsid w:val="0073156A"/>
    <w:rsid w:val="007315FA"/>
    <w:rsid w:val="0073285D"/>
    <w:rsid w:val="00732CA8"/>
    <w:rsid w:val="007336C8"/>
    <w:rsid w:val="00733753"/>
    <w:rsid w:val="007338C5"/>
    <w:rsid w:val="00734077"/>
    <w:rsid w:val="007346E4"/>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679"/>
    <w:rsid w:val="00B51D94"/>
    <w:rsid w:val="00B52B23"/>
    <w:rsid w:val="00B5328A"/>
    <w:rsid w:val="00B535C2"/>
    <w:rsid w:val="00B53A84"/>
    <w:rsid w:val="00B546D6"/>
    <w:rsid w:val="00B54895"/>
    <w:rsid w:val="00B54AF9"/>
    <w:rsid w:val="00B555A0"/>
    <w:rsid w:val="00B56150"/>
    <w:rsid w:val="00B56705"/>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65A00"/>
    <w:rsid w:val="010C7205"/>
    <w:rsid w:val="01155EC5"/>
    <w:rsid w:val="01156C2E"/>
    <w:rsid w:val="011A7091"/>
    <w:rsid w:val="011D12FE"/>
    <w:rsid w:val="01305BB3"/>
    <w:rsid w:val="01456DDE"/>
    <w:rsid w:val="014D49FE"/>
    <w:rsid w:val="01747A15"/>
    <w:rsid w:val="01A90907"/>
    <w:rsid w:val="01CA1450"/>
    <w:rsid w:val="01D020C5"/>
    <w:rsid w:val="01D76C1F"/>
    <w:rsid w:val="01F93723"/>
    <w:rsid w:val="01FB1D51"/>
    <w:rsid w:val="020D1AFE"/>
    <w:rsid w:val="021C1DB4"/>
    <w:rsid w:val="02220ACE"/>
    <w:rsid w:val="02251BEB"/>
    <w:rsid w:val="024C215F"/>
    <w:rsid w:val="025167EF"/>
    <w:rsid w:val="0261526F"/>
    <w:rsid w:val="02681492"/>
    <w:rsid w:val="027A28B5"/>
    <w:rsid w:val="02887D78"/>
    <w:rsid w:val="029B3CE2"/>
    <w:rsid w:val="02AD464A"/>
    <w:rsid w:val="02BF60A0"/>
    <w:rsid w:val="02D73871"/>
    <w:rsid w:val="02F41DD5"/>
    <w:rsid w:val="02F85F33"/>
    <w:rsid w:val="02FE3F95"/>
    <w:rsid w:val="03006960"/>
    <w:rsid w:val="03066B03"/>
    <w:rsid w:val="031C04FC"/>
    <w:rsid w:val="032837A2"/>
    <w:rsid w:val="03311AF0"/>
    <w:rsid w:val="035071F0"/>
    <w:rsid w:val="03602001"/>
    <w:rsid w:val="036D51F3"/>
    <w:rsid w:val="0375424B"/>
    <w:rsid w:val="038E31E1"/>
    <w:rsid w:val="03915CEE"/>
    <w:rsid w:val="03990526"/>
    <w:rsid w:val="039D69B5"/>
    <w:rsid w:val="03AF2EF3"/>
    <w:rsid w:val="03AF3B39"/>
    <w:rsid w:val="03B63C65"/>
    <w:rsid w:val="03C20F6B"/>
    <w:rsid w:val="03C80C55"/>
    <w:rsid w:val="03E4661B"/>
    <w:rsid w:val="03E54729"/>
    <w:rsid w:val="03FD54E6"/>
    <w:rsid w:val="043F3CAA"/>
    <w:rsid w:val="0448168C"/>
    <w:rsid w:val="044B15E2"/>
    <w:rsid w:val="044D2C23"/>
    <w:rsid w:val="04503788"/>
    <w:rsid w:val="04791203"/>
    <w:rsid w:val="04B466D3"/>
    <w:rsid w:val="04CF7306"/>
    <w:rsid w:val="04D4376B"/>
    <w:rsid w:val="04F54BA3"/>
    <w:rsid w:val="04FD4436"/>
    <w:rsid w:val="050514F5"/>
    <w:rsid w:val="052A3CDD"/>
    <w:rsid w:val="05332E87"/>
    <w:rsid w:val="055C3FEF"/>
    <w:rsid w:val="056E19BB"/>
    <w:rsid w:val="05982ECB"/>
    <w:rsid w:val="059A5E82"/>
    <w:rsid w:val="05A36948"/>
    <w:rsid w:val="05B11E81"/>
    <w:rsid w:val="05DB799D"/>
    <w:rsid w:val="05E73E94"/>
    <w:rsid w:val="05F245DF"/>
    <w:rsid w:val="060A771F"/>
    <w:rsid w:val="06270316"/>
    <w:rsid w:val="063241A5"/>
    <w:rsid w:val="06361D75"/>
    <w:rsid w:val="06504D55"/>
    <w:rsid w:val="06554146"/>
    <w:rsid w:val="065D4547"/>
    <w:rsid w:val="065E3702"/>
    <w:rsid w:val="06801E2D"/>
    <w:rsid w:val="06856C70"/>
    <w:rsid w:val="06A10C83"/>
    <w:rsid w:val="06A66EAD"/>
    <w:rsid w:val="06C11E6A"/>
    <w:rsid w:val="06D61973"/>
    <w:rsid w:val="06EC0985"/>
    <w:rsid w:val="07093E61"/>
    <w:rsid w:val="07287644"/>
    <w:rsid w:val="07397709"/>
    <w:rsid w:val="073D66AF"/>
    <w:rsid w:val="07421661"/>
    <w:rsid w:val="07456416"/>
    <w:rsid w:val="074E084E"/>
    <w:rsid w:val="07682B64"/>
    <w:rsid w:val="07791BB9"/>
    <w:rsid w:val="077F225B"/>
    <w:rsid w:val="07867889"/>
    <w:rsid w:val="079B0415"/>
    <w:rsid w:val="079E3211"/>
    <w:rsid w:val="07B63E4F"/>
    <w:rsid w:val="07D93FC0"/>
    <w:rsid w:val="07E81A6F"/>
    <w:rsid w:val="07F43E8D"/>
    <w:rsid w:val="08027E0C"/>
    <w:rsid w:val="08061329"/>
    <w:rsid w:val="08127E9F"/>
    <w:rsid w:val="081E266E"/>
    <w:rsid w:val="0824775F"/>
    <w:rsid w:val="083A0BE1"/>
    <w:rsid w:val="083E6317"/>
    <w:rsid w:val="085858CB"/>
    <w:rsid w:val="08901C95"/>
    <w:rsid w:val="08AA6928"/>
    <w:rsid w:val="08BE432A"/>
    <w:rsid w:val="08E31450"/>
    <w:rsid w:val="08FB5DDC"/>
    <w:rsid w:val="08FC4BAC"/>
    <w:rsid w:val="09032CB0"/>
    <w:rsid w:val="091B225B"/>
    <w:rsid w:val="092D5304"/>
    <w:rsid w:val="095A4F34"/>
    <w:rsid w:val="096545FA"/>
    <w:rsid w:val="0967533C"/>
    <w:rsid w:val="096B6A7B"/>
    <w:rsid w:val="09AC2705"/>
    <w:rsid w:val="09B55ED4"/>
    <w:rsid w:val="09B93582"/>
    <w:rsid w:val="09C618E4"/>
    <w:rsid w:val="09CD1EA6"/>
    <w:rsid w:val="09EA469C"/>
    <w:rsid w:val="0A0713F5"/>
    <w:rsid w:val="0A1352A3"/>
    <w:rsid w:val="0A1C2F41"/>
    <w:rsid w:val="0A3C44C0"/>
    <w:rsid w:val="0A572034"/>
    <w:rsid w:val="0A594625"/>
    <w:rsid w:val="0A5A7C6D"/>
    <w:rsid w:val="0A625B6D"/>
    <w:rsid w:val="0A694648"/>
    <w:rsid w:val="0A704CF2"/>
    <w:rsid w:val="0A7464CA"/>
    <w:rsid w:val="0AA03EBC"/>
    <w:rsid w:val="0ABE0E87"/>
    <w:rsid w:val="0B320803"/>
    <w:rsid w:val="0B324E62"/>
    <w:rsid w:val="0B6B6136"/>
    <w:rsid w:val="0B6C0656"/>
    <w:rsid w:val="0B74696C"/>
    <w:rsid w:val="0B770C6B"/>
    <w:rsid w:val="0B8D1395"/>
    <w:rsid w:val="0B93711D"/>
    <w:rsid w:val="0BB10598"/>
    <w:rsid w:val="0BC52E88"/>
    <w:rsid w:val="0BD62EBE"/>
    <w:rsid w:val="0BE1728D"/>
    <w:rsid w:val="0BF3453E"/>
    <w:rsid w:val="0BF5487C"/>
    <w:rsid w:val="0C0C2FCA"/>
    <w:rsid w:val="0C135662"/>
    <w:rsid w:val="0C1671E4"/>
    <w:rsid w:val="0C590655"/>
    <w:rsid w:val="0C6639F7"/>
    <w:rsid w:val="0C6D1069"/>
    <w:rsid w:val="0C8D2D3A"/>
    <w:rsid w:val="0CAB5EE3"/>
    <w:rsid w:val="0CC734AD"/>
    <w:rsid w:val="0CF531EB"/>
    <w:rsid w:val="0CF70B9B"/>
    <w:rsid w:val="0D0F4A1F"/>
    <w:rsid w:val="0D110865"/>
    <w:rsid w:val="0D3D1396"/>
    <w:rsid w:val="0D4C6DE3"/>
    <w:rsid w:val="0D5474D7"/>
    <w:rsid w:val="0D77353B"/>
    <w:rsid w:val="0D824227"/>
    <w:rsid w:val="0D89595A"/>
    <w:rsid w:val="0D937E0B"/>
    <w:rsid w:val="0DAB7EFD"/>
    <w:rsid w:val="0DAD0EEF"/>
    <w:rsid w:val="0DB05903"/>
    <w:rsid w:val="0E103DAA"/>
    <w:rsid w:val="0E1950C9"/>
    <w:rsid w:val="0E1E63F7"/>
    <w:rsid w:val="0E266916"/>
    <w:rsid w:val="0E2D3A4A"/>
    <w:rsid w:val="0E462611"/>
    <w:rsid w:val="0E7B64FA"/>
    <w:rsid w:val="0EB14F06"/>
    <w:rsid w:val="0ED26ECA"/>
    <w:rsid w:val="0F3C4D0C"/>
    <w:rsid w:val="0F551102"/>
    <w:rsid w:val="0F5C6024"/>
    <w:rsid w:val="0F5D021C"/>
    <w:rsid w:val="0F7D7174"/>
    <w:rsid w:val="0F905A3B"/>
    <w:rsid w:val="0FAF4D2D"/>
    <w:rsid w:val="10094D5F"/>
    <w:rsid w:val="100A5742"/>
    <w:rsid w:val="102D2210"/>
    <w:rsid w:val="102F5D98"/>
    <w:rsid w:val="103D1E85"/>
    <w:rsid w:val="103E10DE"/>
    <w:rsid w:val="105675DB"/>
    <w:rsid w:val="10621A85"/>
    <w:rsid w:val="106E54BC"/>
    <w:rsid w:val="10997348"/>
    <w:rsid w:val="10CB2A70"/>
    <w:rsid w:val="10E027A1"/>
    <w:rsid w:val="10EE161B"/>
    <w:rsid w:val="11056366"/>
    <w:rsid w:val="111479CA"/>
    <w:rsid w:val="112C796F"/>
    <w:rsid w:val="113E6492"/>
    <w:rsid w:val="11524294"/>
    <w:rsid w:val="11615BCF"/>
    <w:rsid w:val="117245B2"/>
    <w:rsid w:val="117604CC"/>
    <w:rsid w:val="119865CA"/>
    <w:rsid w:val="11AE3C96"/>
    <w:rsid w:val="11BB76EB"/>
    <w:rsid w:val="11E766C8"/>
    <w:rsid w:val="11F00E4E"/>
    <w:rsid w:val="11FA2112"/>
    <w:rsid w:val="120068C7"/>
    <w:rsid w:val="12037675"/>
    <w:rsid w:val="120C5F06"/>
    <w:rsid w:val="12163C49"/>
    <w:rsid w:val="121D2DF1"/>
    <w:rsid w:val="12204A6B"/>
    <w:rsid w:val="1245261C"/>
    <w:rsid w:val="12495FAD"/>
    <w:rsid w:val="12535036"/>
    <w:rsid w:val="12633798"/>
    <w:rsid w:val="126B751B"/>
    <w:rsid w:val="127A273B"/>
    <w:rsid w:val="12800932"/>
    <w:rsid w:val="12883A67"/>
    <w:rsid w:val="12A21EAE"/>
    <w:rsid w:val="12E52029"/>
    <w:rsid w:val="12E6761D"/>
    <w:rsid w:val="12F633BA"/>
    <w:rsid w:val="13035319"/>
    <w:rsid w:val="13072830"/>
    <w:rsid w:val="130B0F8E"/>
    <w:rsid w:val="131D3348"/>
    <w:rsid w:val="13342778"/>
    <w:rsid w:val="1339279B"/>
    <w:rsid w:val="135F289D"/>
    <w:rsid w:val="13600D5C"/>
    <w:rsid w:val="13633282"/>
    <w:rsid w:val="137253E1"/>
    <w:rsid w:val="13745FC7"/>
    <w:rsid w:val="137C08CB"/>
    <w:rsid w:val="13816AE9"/>
    <w:rsid w:val="13A51B9B"/>
    <w:rsid w:val="13AD168E"/>
    <w:rsid w:val="13EE75EA"/>
    <w:rsid w:val="13F607BD"/>
    <w:rsid w:val="14042606"/>
    <w:rsid w:val="14106573"/>
    <w:rsid w:val="14294210"/>
    <w:rsid w:val="14577B03"/>
    <w:rsid w:val="14645E1C"/>
    <w:rsid w:val="1473362B"/>
    <w:rsid w:val="14827F33"/>
    <w:rsid w:val="14841859"/>
    <w:rsid w:val="14C76F17"/>
    <w:rsid w:val="14CF353F"/>
    <w:rsid w:val="14D83EB1"/>
    <w:rsid w:val="14E21D97"/>
    <w:rsid w:val="14EF3037"/>
    <w:rsid w:val="14F65E5A"/>
    <w:rsid w:val="14F7436C"/>
    <w:rsid w:val="14F96D32"/>
    <w:rsid w:val="150F72C6"/>
    <w:rsid w:val="1540791D"/>
    <w:rsid w:val="15416726"/>
    <w:rsid w:val="1551646D"/>
    <w:rsid w:val="155C212E"/>
    <w:rsid w:val="15696C0D"/>
    <w:rsid w:val="15776E04"/>
    <w:rsid w:val="15A210E3"/>
    <w:rsid w:val="15C5105B"/>
    <w:rsid w:val="15D55A71"/>
    <w:rsid w:val="15DD74F9"/>
    <w:rsid w:val="15F256E3"/>
    <w:rsid w:val="15F77C14"/>
    <w:rsid w:val="15FC2686"/>
    <w:rsid w:val="16064B95"/>
    <w:rsid w:val="16112D5C"/>
    <w:rsid w:val="162D0020"/>
    <w:rsid w:val="163A0CB7"/>
    <w:rsid w:val="163A27EF"/>
    <w:rsid w:val="16644110"/>
    <w:rsid w:val="16644E05"/>
    <w:rsid w:val="166C1183"/>
    <w:rsid w:val="167C3929"/>
    <w:rsid w:val="1682501C"/>
    <w:rsid w:val="16883C42"/>
    <w:rsid w:val="168A6622"/>
    <w:rsid w:val="16CA31C6"/>
    <w:rsid w:val="16D36755"/>
    <w:rsid w:val="16D779DB"/>
    <w:rsid w:val="170227BF"/>
    <w:rsid w:val="170B6D31"/>
    <w:rsid w:val="172658DC"/>
    <w:rsid w:val="173A1E42"/>
    <w:rsid w:val="17410373"/>
    <w:rsid w:val="174B716D"/>
    <w:rsid w:val="176A10B2"/>
    <w:rsid w:val="17B95B76"/>
    <w:rsid w:val="17BB0700"/>
    <w:rsid w:val="17CF71A2"/>
    <w:rsid w:val="17D96455"/>
    <w:rsid w:val="17E23324"/>
    <w:rsid w:val="17F80071"/>
    <w:rsid w:val="18104A4D"/>
    <w:rsid w:val="181B4837"/>
    <w:rsid w:val="18204F5C"/>
    <w:rsid w:val="1831265A"/>
    <w:rsid w:val="18361615"/>
    <w:rsid w:val="183F630B"/>
    <w:rsid w:val="1857119F"/>
    <w:rsid w:val="185A2813"/>
    <w:rsid w:val="185D7696"/>
    <w:rsid w:val="186D07D0"/>
    <w:rsid w:val="188C1375"/>
    <w:rsid w:val="18A64D9B"/>
    <w:rsid w:val="18BA0EA0"/>
    <w:rsid w:val="18D3550B"/>
    <w:rsid w:val="18E033D2"/>
    <w:rsid w:val="18F21D06"/>
    <w:rsid w:val="18F3097E"/>
    <w:rsid w:val="18F77469"/>
    <w:rsid w:val="18FE4E86"/>
    <w:rsid w:val="19040C09"/>
    <w:rsid w:val="19074038"/>
    <w:rsid w:val="1915479B"/>
    <w:rsid w:val="19215280"/>
    <w:rsid w:val="192A6212"/>
    <w:rsid w:val="194175CA"/>
    <w:rsid w:val="1952613B"/>
    <w:rsid w:val="199E0A55"/>
    <w:rsid w:val="19B134E8"/>
    <w:rsid w:val="19CD7EA8"/>
    <w:rsid w:val="19DB3BE3"/>
    <w:rsid w:val="19E7660E"/>
    <w:rsid w:val="19F81B82"/>
    <w:rsid w:val="19FF095A"/>
    <w:rsid w:val="1A09628F"/>
    <w:rsid w:val="1A363C26"/>
    <w:rsid w:val="1A6472DF"/>
    <w:rsid w:val="1A834961"/>
    <w:rsid w:val="1A917150"/>
    <w:rsid w:val="1AA83338"/>
    <w:rsid w:val="1AAB35B8"/>
    <w:rsid w:val="1AB55FF9"/>
    <w:rsid w:val="1AB66BC4"/>
    <w:rsid w:val="1ACC74AC"/>
    <w:rsid w:val="1AFB3B45"/>
    <w:rsid w:val="1B1C08BC"/>
    <w:rsid w:val="1B325F26"/>
    <w:rsid w:val="1B3A2FAA"/>
    <w:rsid w:val="1B6276F1"/>
    <w:rsid w:val="1BBD369E"/>
    <w:rsid w:val="1BFA59A2"/>
    <w:rsid w:val="1C1C7300"/>
    <w:rsid w:val="1C7A3144"/>
    <w:rsid w:val="1C930083"/>
    <w:rsid w:val="1C9A293B"/>
    <w:rsid w:val="1C9E6F9E"/>
    <w:rsid w:val="1CA93819"/>
    <w:rsid w:val="1CE71156"/>
    <w:rsid w:val="1CE9671F"/>
    <w:rsid w:val="1D082EA0"/>
    <w:rsid w:val="1D0E60F9"/>
    <w:rsid w:val="1D285748"/>
    <w:rsid w:val="1D4D3C28"/>
    <w:rsid w:val="1D617ECD"/>
    <w:rsid w:val="1D745763"/>
    <w:rsid w:val="1D873542"/>
    <w:rsid w:val="1D8F2A0C"/>
    <w:rsid w:val="1DA36861"/>
    <w:rsid w:val="1DB3347E"/>
    <w:rsid w:val="1DED7A62"/>
    <w:rsid w:val="1E03464E"/>
    <w:rsid w:val="1E054446"/>
    <w:rsid w:val="1E330055"/>
    <w:rsid w:val="1E374883"/>
    <w:rsid w:val="1E3C7069"/>
    <w:rsid w:val="1E3E05BD"/>
    <w:rsid w:val="1E3F0106"/>
    <w:rsid w:val="1E427698"/>
    <w:rsid w:val="1E4A162B"/>
    <w:rsid w:val="1E586823"/>
    <w:rsid w:val="1E5C57E5"/>
    <w:rsid w:val="1E6D0335"/>
    <w:rsid w:val="1E714D36"/>
    <w:rsid w:val="1E8958B8"/>
    <w:rsid w:val="1E9933EE"/>
    <w:rsid w:val="1EAB2708"/>
    <w:rsid w:val="1EC01C43"/>
    <w:rsid w:val="1EFB736C"/>
    <w:rsid w:val="1EFE24ED"/>
    <w:rsid w:val="1F0D3C9F"/>
    <w:rsid w:val="1F100F40"/>
    <w:rsid w:val="1F245739"/>
    <w:rsid w:val="1F3740AF"/>
    <w:rsid w:val="1F460725"/>
    <w:rsid w:val="1F4E4C51"/>
    <w:rsid w:val="1F5758D8"/>
    <w:rsid w:val="1F75047D"/>
    <w:rsid w:val="1F7B6472"/>
    <w:rsid w:val="1F8617EC"/>
    <w:rsid w:val="1FD470E6"/>
    <w:rsid w:val="1FF41FD4"/>
    <w:rsid w:val="1FF85169"/>
    <w:rsid w:val="1FF936FF"/>
    <w:rsid w:val="20032255"/>
    <w:rsid w:val="202C21AA"/>
    <w:rsid w:val="202C2CCC"/>
    <w:rsid w:val="203443A5"/>
    <w:rsid w:val="2037725D"/>
    <w:rsid w:val="204E7FCC"/>
    <w:rsid w:val="20550D62"/>
    <w:rsid w:val="20580C6D"/>
    <w:rsid w:val="209C14B6"/>
    <w:rsid w:val="20C477AA"/>
    <w:rsid w:val="20D114DC"/>
    <w:rsid w:val="20E00AC0"/>
    <w:rsid w:val="21077F78"/>
    <w:rsid w:val="2108519A"/>
    <w:rsid w:val="21197081"/>
    <w:rsid w:val="214252FE"/>
    <w:rsid w:val="216C3FCF"/>
    <w:rsid w:val="217C3CCE"/>
    <w:rsid w:val="217D1977"/>
    <w:rsid w:val="219A14AB"/>
    <w:rsid w:val="21AB59C7"/>
    <w:rsid w:val="21BF01FB"/>
    <w:rsid w:val="21C76A4E"/>
    <w:rsid w:val="21E43C11"/>
    <w:rsid w:val="21EA6050"/>
    <w:rsid w:val="21EF7BBE"/>
    <w:rsid w:val="222E2243"/>
    <w:rsid w:val="2231449C"/>
    <w:rsid w:val="22353BD9"/>
    <w:rsid w:val="22443524"/>
    <w:rsid w:val="2273352B"/>
    <w:rsid w:val="229D4CBB"/>
    <w:rsid w:val="22EC5517"/>
    <w:rsid w:val="22EF3920"/>
    <w:rsid w:val="22F07628"/>
    <w:rsid w:val="22FA0C7C"/>
    <w:rsid w:val="23165B8D"/>
    <w:rsid w:val="231A3E39"/>
    <w:rsid w:val="231D6822"/>
    <w:rsid w:val="232416B9"/>
    <w:rsid w:val="233814FD"/>
    <w:rsid w:val="23460670"/>
    <w:rsid w:val="234966F2"/>
    <w:rsid w:val="234D19DF"/>
    <w:rsid w:val="23567733"/>
    <w:rsid w:val="235C03D9"/>
    <w:rsid w:val="235E287C"/>
    <w:rsid w:val="238158E5"/>
    <w:rsid w:val="239B2F59"/>
    <w:rsid w:val="23C054DA"/>
    <w:rsid w:val="23E34A00"/>
    <w:rsid w:val="241F19B3"/>
    <w:rsid w:val="24206411"/>
    <w:rsid w:val="242F24FB"/>
    <w:rsid w:val="242F4E28"/>
    <w:rsid w:val="243139F2"/>
    <w:rsid w:val="2444287E"/>
    <w:rsid w:val="245363C5"/>
    <w:rsid w:val="246538E3"/>
    <w:rsid w:val="247C0A6F"/>
    <w:rsid w:val="248372EE"/>
    <w:rsid w:val="249D2C95"/>
    <w:rsid w:val="24B20225"/>
    <w:rsid w:val="24D27652"/>
    <w:rsid w:val="24D7398A"/>
    <w:rsid w:val="251D2D5B"/>
    <w:rsid w:val="25206795"/>
    <w:rsid w:val="252231D1"/>
    <w:rsid w:val="25252DC0"/>
    <w:rsid w:val="25294AA4"/>
    <w:rsid w:val="254243CF"/>
    <w:rsid w:val="254C096F"/>
    <w:rsid w:val="257E2F8F"/>
    <w:rsid w:val="258A6A08"/>
    <w:rsid w:val="258D2C14"/>
    <w:rsid w:val="25A6728E"/>
    <w:rsid w:val="25BA7179"/>
    <w:rsid w:val="25C02FF7"/>
    <w:rsid w:val="25D41687"/>
    <w:rsid w:val="25DF0353"/>
    <w:rsid w:val="25FE077B"/>
    <w:rsid w:val="260A4D55"/>
    <w:rsid w:val="260D5427"/>
    <w:rsid w:val="2619763A"/>
    <w:rsid w:val="26523493"/>
    <w:rsid w:val="26540953"/>
    <w:rsid w:val="26790974"/>
    <w:rsid w:val="26826CC7"/>
    <w:rsid w:val="26943455"/>
    <w:rsid w:val="26BB311B"/>
    <w:rsid w:val="26CB5A13"/>
    <w:rsid w:val="26DC1929"/>
    <w:rsid w:val="26E05E6D"/>
    <w:rsid w:val="26E87254"/>
    <w:rsid w:val="26F17FC8"/>
    <w:rsid w:val="26FF187F"/>
    <w:rsid w:val="2713186B"/>
    <w:rsid w:val="27215519"/>
    <w:rsid w:val="273C04C0"/>
    <w:rsid w:val="273F0FCF"/>
    <w:rsid w:val="2751667B"/>
    <w:rsid w:val="27654A12"/>
    <w:rsid w:val="2788178D"/>
    <w:rsid w:val="27886378"/>
    <w:rsid w:val="278A2C0A"/>
    <w:rsid w:val="27B311E8"/>
    <w:rsid w:val="27E54603"/>
    <w:rsid w:val="27E7225E"/>
    <w:rsid w:val="28075F4F"/>
    <w:rsid w:val="28226AB2"/>
    <w:rsid w:val="286C31F6"/>
    <w:rsid w:val="28741B67"/>
    <w:rsid w:val="2880225C"/>
    <w:rsid w:val="288B0246"/>
    <w:rsid w:val="28935866"/>
    <w:rsid w:val="289E3415"/>
    <w:rsid w:val="28A5196E"/>
    <w:rsid w:val="28A811DB"/>
    <w:rsid w:val="28C80069"/>
    <w:rsid w:val="28D5020D"/>
    <w:rsid w:val="29020AE4"/>
    <w:rsid w:val="29086C0C"/>
    <w:rsid w:val="291A1E58"/>
    <w:rsid w:val="29321185"/>
    <w:rsid w:val="293D2B0F"/>
    <w:rsid w:val="294033CF"/>
    <w:rsid w:val="29411664"/>
    <w:rsid w:val="295B1C64"/>
    <w:rsid w:val="295C20AC"/>
    <w:rsid w:val="296B6FEB"/>
    <w:rsid w:val="29917682"/>
    <w:rsid w:val="299A77A5"/>
    <w:rsid w:val="29A13E61"/>
    <w:rsid w:val="29B4209C"/>
    <w:rsid w:val="29BD404E"/>
    <w:rsid w:val="29C07338"/>
    <w:rsid w:val="29D67690"/>
    <w:rsid w:val="29D869AE"/>
    <w:rsid w:val="29DF464F"/>
    <w:rsid w:val="29E27016"/>
    <w:rsid w:val="29EB708C"/>
    <w:rsid w:val="2A0F387B"/>
    <w:rsid w:val="2A116D2C"/>
    <w:rsid w:val="2A275533"/>
    <w:rsid w:val="2A327970"/>
    <w:rsid w:val="2A431DC2"/>
    <w:rsid w:val="2A4C4840"/>
    <w:rsid w:val="2A5E27DA"/>
    <w:rsid w:val="2A64047E"/>
    <w:rsid w:val="2A864EEF"/>
    <w:rsid w:val="2A8C0891"/>
    <w:rsid w:val="2AA227C4"/>
    <w:rsid w:val="2AD112F9"/>
    <w:rsid w:val="2ADC04BC"/>
    <w:rsid w:val="2B1A19E8"/>
    <w:rsid w:val="2B20344F"/>
    <w:rsid w:val="2B21701D"/>
    <w:rsid w:val="2B28456B"/>
    <w:rsid w:val="2B343C7A"/>
    <w:rsid w:val="2B403826"/>
    <w:rsid w:val="2B5210B3"/>
    <w:rsid w:val="2B584AEA"/>
    <w:rsid w:val="2B7F34AC"/>
    <w:rsid w:val="2B8F7FC0"/>
    <w:rsid w:val="2BA053CF"/>
    <w:rsid w:val="2BB87B8E"/>
    <w:rsid w:val="2BC06393"/>
    <w:rsid w:val="2BD346EF"/>
    <w:rsid w:val="2BEA144B"/>
    <w:rsid w:val="2C1F3B06"/>
    <w:rsid w:val="2C23112B"/>
    <w:rsid w:val="2C2A0A0E"/>
    <w:rsid w:val="2C374788"/>
    <w:rsid w:val="2C3C1015"/>
    <w:rsid w:val="2C3F3390"/>
    <w:rsid w:val="2C437BF3"/>
    <w:rsid w:val="2C71355B"/>
    <w:rsid w:val="2C71451E"/>
    <w:rsid w:val="2C806C38"/>
    <w:rsid w:val="2C904FCF"/>
    <w:rsid w:val="2CA9512B"/>
    <w:rsid w:val="2CB85135"/>
    <w:rsid w:val="2CCA57E2"/>
    <w:rsid w:val="2CE13EA1"/>
    <w:rsid w:val="2CF719A3"/>
    <w:rsid w:val="2D330CA6"/>
    <w:rsid w:val="2D4B57B5"/>
    <w:rsid w:val="2D4E7D1F"/>
    <w:rsid w:val="2D79047A"/>
    <w:rsid w:val="2D8B6504"/>
    <w:rsid w:val="2DA066CE"/>
    <w:rsid w:val="2DCB7564"/>
    <w:rsid w:val="2DCF0621"/>
    <w:rsid w:val="2DDA74C5"/>
    <w:rsid w:val="2DDB1844"/>
    <w:rsid w:val="2DE53E8E"/>
    <w:rsid w:val="2DF15AF7"/>
    <w:rsid w:val="2E177523"/>
    <w:rsid w:val="2E1F377F"/>
    <w:rsid w:val="2E212338"/>
    <w:rsid w:val="2E2225E6"/>
    <w:rsid w:val="2E3A0924"/>
    <w:rsid w:val="2E4353DA"/>
    <w:rsid w:val="2E510EE3"/>
    <w:rsid w:val="2E573B9D"/>
    <w:rsid w:val="2E595233"/>
    <w:rsid w:val="2E781283"/>
    <w:rsid w:val="2E887D9D"/>
    <w:rsid w:val="2E9F4D71"/>
    <w:rsid w:val="2EA17D43"/>
    <w:rsid w:val="2EA42062"/>
    <w:rsid w:val="2ED824C5"/>
    <w:rsid w:val="2EDE180F"/>
    <w:rsid w:val="2EFA5DF5"/>
    <w:rsid w:val="2F217369"/>
    <w:rsid w:val="2F231681"/>
    <w:rsid w:val="2F382481"/>
    <w:rsid w:val="2F3F235E"/>
    <w:rsid w:val="2F440AB8"/>
    <w:rsid w:val="2F4630F3"/>
    <w:rsid w:val="2F4B4214"/>
    <w:rsid w:val="2F5A4274"/>
    <w:rsid w:val="2F764EFF"/>
    <w:rsid w:val="2F8A2709"/>
    <w:rsid w:val="2F8A404B"/>
    <w:rsid w:val="2F903402"/>
    <w:rsid w:val="2FD611FB"/>
    <w:rsid w:val="2FE66D4B"/>
    <w:rsid w:val="2FEF1DE9"/>
    <w:rsid w:val="2FF4629D"/>
    <w:rsid w:val="30261ECC"/>
    <w:rsid w:val="30370912"/>
    <w:rsid w:val="303C1C96"/>
    <w:rsid w:val="304041DE"/>
    <w:rsid w:val="3061776A"/>
    <w:rsid w:val="30667187"/>
    <w:rsid w:val="306B587D"/>
    <w:rsid w:val="306E1321"/>
    <w:rsid w:val="30723988"/>
    <w:rsid w:val="307E2473"/>
    <w:rsid w:val="30917DEE"/>
    <w:rsid w:val="309C594A"/>
    <w:rsid w:val="30AD0005"/>
    <w:rsid w:val="30CD2042"/>
    <w:rsid w:val="30CF1B61"/>
    <w:rsid w:val="30E7460B"/>
    <w:rsid w:val="30F52DC8"/>
    <w:rsid w:val="310F1716"/>
    <w:rsid w:val="312E72CA"/>
    <w:rsid w:val="31604329"/>
    <w:rsid w:val="31641D44"/>
    <w:rsid w:val="316525AA"/>
    <w:rsid w:val="3167327A"/>
    <w:rsid w:val="316C225B"/>
    <w:rsid w:val="316F6698"/>
    <w:rsid w:val="31796290"/>
    <w:rsid w:val="31814D0D"/>
    <w:rsid w:val="31843F85"/>
    <w:rsid w:val="31855669"/>
    <w:rsid w:val="31874D74"/>
    <w:rsid w:val="319861BF"/>
    <w:rsid w:val="319A0AD1"/>
    <w:rsid w:val="31A37B90"/>
    <w:rsid w:val="31BA57F4"/>
    <w:rsid w:val="31ED5C9A"/>
    <w:rsid w:val="321F02ED"/>
    <w:rsid w:val="32335971"/>
    <w:rsid w:val="32366166"/>
    <w:rsid w:val="323C683D"/>
    <w:rsid w:val="326567D4"/>
    <w:rsid w:val="327F4478"/>
    <w:rsid w:val="32991B4E"/>
    <w:rsid w:val="32D43677"/>
    <w:rsid w:val="32F42A93"/>
    <w:rsid w:val="32F44EE3"/>
    <w:rsid w:val="330A3095"/>
    <w:rsid w:val="33136AC0"/>
    <w:rsid w:val="331A41C2"/>
    <w:rsid w:val="3351083C"/>
    <w:rsid w:val="33595FA0"/>
    <w:rsid w:val="33662867"/>
    <w:rsid w:val="33A75C1B"/>
    <w:rsid w:val="33AB54FD"/>
    <w:rsid w:val="33B24C8D"/>
    <w:rsid w:val="33B32935"/>
    <w:rsid w:val="33CA3B75"/>
    <w:rsid w:val="33EC36AE"/>
    <w:rsid w:val="33FC7CE6"/>
    <w:rsid w:val="34255D1D"/>
    <w:rsid w:val="34571A5C"/>
    <w:rsid w:val="345A1A25"/>
    <w:rsid w:val="345C5EC1"/>
    <w:rsid w:val="346270E2"/>
    <w:rsid w:val="34771709"/>
    <w:rsid w:val="34865319"/>
    <w:rsid w:val="348B49D3"/>
    <w:rsid w:val="34A841C8"/>
    <w:rsid w:val="34B658F1"/>
    <w:rsid w:val="34C75F92"/>
    <w:rsid w:val="34C90D17"/>
    <w:rsid w:val="35001B30"/>
    <w:rsid w:val="350F731B"/>
    <w:rsid w:val="35105C72"/>
    <w:rsid w:val="353D2C14"/>
    <w:rsid w:val="354F7ED3"/>
    <w:rsid w:val="35531D63"/>
    <w:rsid w:val="3584010E"/>
    <w:rsid w:val="359568ED"/>
    <w:rsid w:val="35BE6B8C"/>
    <w:rsid w:val="35C44324"/>
    <w:rsid w:val="35E10260"/>
    <w:rsid w:val="35E37A01"/>
    <w:rsid w:val="36076073"/>
    <w:rsid w:val="36214773"/>
    <w:rsid w:val="36274398"/>
    <w:rsid w:val="36332687"/>
    <w:rsid w:val="36503D71"/>
    <w:rsid w:val="365671CC"/>
    <w:rsid w:val="36A1727E"/>
    <w:rsid w:val="36A6368D"/>
    <w:rsid w:val="36AC0A38"/>
    <w:rsid w:val="36B736C6"/>
    <w:rsid w:val="36B94AF5"/>
    <w:rsid w:val="36BE53B2"/>
    <w:rsid w:val="36C00BEC"/>
    <w:rsid w:val="36D25801"/>
    <w:rsid w:val="36DA673C"/>
    <w:rsid w:val="36DD5641"/>
    <w:rsid w:val="36F25B9D"/>
    <w:rsid w:val="36F803CA"/>
    <w:rsid w:val="37196A35"/>
    <w:rsid w:val="372B40C9"/>
    <w:rsid w:val="373558BD"/>
    <w:rsid w:val="375B2148"/>
    <w:rsid w:val="37684744"/>
    <w:rsid w:val="377F478A"/>
    <w:rsid w:val="37801373"/>
    <w:rsid w:val="3794711D"/>
    <w:rsid w:val="37A1310D"/>
    <w:rsid w:val="37BF3FE5"/>
    <w:rsid w:val="37C305E9"/>
    <w:rsid w:val="37D71605"/>
    <w:rsid w:val="37E827EF"/>
    <w:rsid w:val="37EB7AA7"/>
    <w:rsid w:val="38106459"/>
    <w:rsid w:val="38225D4B"/>
    <w:rsid w:val="382C498E"/>
    <w:rsid w:val="383E0943"/>
    <w:rsid w:val="38531C75"/>
    <w:rsid w:val="385B38A6"/>
    <w:rsid w:val="38707465"/>
    <w:rsid w:val="388B699F"/>
    <w:rsid w:val="38987E3C"/>
    <w:rsid w:val="38DC4588"/>
    <w:rsid w:val="38EA78F9"/>
    <w:rsid w:val="390402B9"/>
    <w:rsid w:val="392B1FC1"/>
    <w:rsid w:val="393022AA"/>
    <w:rsid w:val="39901AC9"/>
    <w:rsid w:val="39AE6D84"/>
    <w:rsid w:val="39C650CD"/>
    <w:rsid w:val="39CA58A7"/>
    <w:rsid w:val="39EE08BE"/>
    <w:rsid w:val="39F619AE"/>
    <w:rsid w:val="3A0730D1"/>
    <w:rsid w:val="3A14675C"/>
    <w:rsid w:val="3A26475F"/>
    <w:rsid w:val="3A521EC6"/>
    <w:rsid w:val="3A623C75"/>
    <w:rsid w:val="3A633962"/>
    <w:rsid w:val="3A811B6A"/>
    <w:rsid w:val="3A9B588D"/>
    <w:rsid w:val="3AC01675"/>
    <w:rsid w:val="3AC84B9F"/>
    <w:rsid w:val="3B0F7D05"/>
    <w:rsid w:val="3B107531"/>
    <w:rsid w:val="3B293BFF"/>
    <w:rsid w:val="3B3979D2"/>
    <w:rsid w:val="3B4D78C9"/>
    <w:rsid w:val="3B5A0133"/>
    <w:rsid w:val="3B6A2873"/>
    <w:rsid w:val="3B6A659B"/>
    <w:rsid w:val="3B7255A2"/>
    <w:rsid w:val="3B7C4A77"/>
    <w:rsid w:val="3B801D42"/>
    <w:rsid w:val="3B961ACF"/>
    <w:rsid w:val="3BA00257"/>
    <w:rsid w:val="3BB12805"/>
    <w:rsid w:val="3BC52E4B"/>
    <w:rsid w:val="3BD342D8"/>
    <w:rsid w:val="3BF0781C"/>
    <w:rsid w:val="3C302DAD"/>
    <w:rsid w:val="3C4256C0"/>
    <w:rsid w:val="3C5C1F3D"/>
    <w:rsid w:val="3C5F05FB"/>
    <w:rsid w:val="3C6254EE"/>
    <w:rsid w:val="3C6F29A1"/>
    <w:rsid w:val="3C8C7DF0"/>
    <w:rsid w:val="3C8D2CCC"/>
    <w:rsid w:val="3C8E1701"/>
    <w:rsid w:val="3C9F0ADE"/>
    <w:rsid w:val="3CB6223D"/>
    <w:rsid w:val="3CC7541F"/>
    <w:rsid w:val="3CCE622A"/>
    <w:rsid w:val="3CD20F57"/>
    <w:rsid w:val="3CDE54FC"/>
    <w:rsid w:val="3CE75124"/>
    <w:rsid w:val="3CFD2508"/>
    <w:rsid w:val="3D184818"/>
    <w:rsid w:val="3D1A518E"/>
    <w:rsid w:val="3D1B1713"/>
    <w:rsid w:val="3D1C5FC0"/>
    <w:rsid w:val="3D2A4798"/>
    <w:rsid w:val="3D42217A"/>
    <w:rsid w:val="3D597BD2"/>
    <w:rsid w:val="3D666E3D"/>
    <w:rsid w:val="3D827F8D"/>
    <w:rsid w:val="3D8D3DC5"/>
    <w:rsid w:val="3DA522E3"/>
    <w:rsid w:val="3DA57116"/>
    <w:rsid w:val="3DAB738B"/>
    <w:rsid w:val="3DBB10BC"/>
    <w:rsid w:val="3DC13D14"/>
    <w:rsid w:val="3DD7386E"/>
    <w:rsid w:val="3DE80E52"/>
    <w:rsid w:val="3E1C66EA"/>
    <w:rsid w:val="3E2D244D"/>
    <w:rsid w:val="3E392E98"/>
    <w:rsid w:val="3E50786D"/>
    <w:rsid w:val="3E56288F"/>
    <w:rsid w:val="3E5B12A7"/>
    <w:rsid w:val="3E6131FA"/>
    <w:rsid w:val="3E8C1BE4"/>
    <w:rsid w:val="3E986B9C"/>
    <w:rsid w:val="3EA03482"/>
    <w:rsid w:val="3ECF3117"/>
    <w:rsid w:val="3ED67021"/>
    <w:rsid w:val="3EE27653"/>
    <w:rsid w:val="3EE76D9A"/>
    <w:rsid w:val="3EE81C15"/>
    <w:rsid w:val="3EEA37AB"/>
    <w:rsid w:val="3F077648"/>
    <w:rsid w:val="3F274BB8"/>
    <w:rsid w:val="3F2D18C3"/>
    <w:rsid w:val="3F5816BA"/>
    <w:rsid w:val="3F6E1A37"/>
    <w:rsid w:val="3F920C79"/>
    <w:rsid w:val="3F934BC9"/>
    <w:rsid w:val="3FB455CF"/>
    <w:rsid w:val="3FC5790E"/>
    <w:rsid w:val="3FE56BF8"/>
    <w:rsid w:val="3FFC3934"/>
    <w:rsid w:val="402722EE"/>
    <w:rsid w:val="403B1ACD"/>
    <w:rsid w:val="405B1DB9"/>
    <w:rsid w:val="40656F4D"/>
    <w:rsid w:val="4066176F"/>
    <w:rsid w:val="406864E3"/>
    <w:rsid w:val="40884C56"/>
    <w:rsid w:val="40AA3F2F"/>
    <w:rsid w:val="40C13249"/>
    <w:rsid w:val="40D40110"/>
    <w:rsid w:val="40D53347"/>
    <w:rsid w:val="40D97C49"/>
    <w:rsid w:val="40DD5CB7"/>
    <w:rsid w:val="411E2CF0"/>
    <w:rsid w:val="412709D5"/>
    <w:rsid w:val="412950D4"/>
    <w:rsid w:val="412A3ED8"/>
    <w:rsid w:val="413F5075"/>
    <w:rsid w:val="41513141"/>
    <w:rsid w:val="419A5DFF"/>
    <w:rsid w:val="41A1323B"/>
    <w:rsid w:val="41B33226"/>
    <w:rsid w:val="41B776AA"/>
    <w:rsid w:val="41B91162"/>
    <w:rsid w:val="41F80693"/>
    <w:rsid w:val="421477C5"/>
    <w:rsid w:val="42184BC1"/>
    <w:rsid w:val="421F17AB"/>
    <w:rsid w:val="42276B9A"/>
    <w:rsid w:val="4235743D"/>
    <w:rsid w:val="4239767B"/>
    <w:rsid w:val="42544461"/>
    <w:rsid w:val="425F1269"/>
    <w:rsid w:val="42767453"/>
    <w:rsid w:val="429A5322"/>
    <w:rsid w:val="429A6685"/>
    <w:rsid w:val="42B33E02"/>
    <w:rsid w:val="42D871B4"/>
    <w:rsid w:val="42E67B83"/>
    <w:rsid w:val="431D1968"/>
    <w:rsid w:val="43284501"/>
    <w:rsid w:val="434377FF"/>
    <w:rsid w:val="43537153"/>
    <w:rsid w:val="436E35F8"/>
    <w:rsid w:val="43772FA3"/>
    <w:rsid w:val="438020F3"/>
    <w:rsid w:val="43993142"/>
    <w:rsid w:val="439D75E7"/>
    <w:rsid w:val="43A10B41"/>
    <w:rsid w:val="43A87BF0"/>
    <w:rsid w:val="43A96D47"/>
    <w:rsid w:val="43E301F6"/>
    <w:rsid w:val="43F638F3"/>
    <w:rsid w:val="43FF5995"/>
    <w:rsid w:val="441F5B73"/>
    <w:rsid w:val="4437498A"/>
    <w:rsid w:val="443A36AE"/>
    <w:rsid w:val="44651BA3"/>
    <w:rsid w:val="447023E0"/>
    <w:rsid w:val="447A0C36"/>
    <w:rsid w:val="44995B11"/>
    <w:rsid w:val="449F7E0E"/>
    <w:rsid w:val="44A0419A"/>
    <w:rsid w:val="44A25E00"/>
    <w:rsid w:val="44B076CC"/>
    <w:rsid w:val="44CB17D2"/>
    <w:rsid w:val="44D079F2"/>
    <w:rsid w:val="44D40D10"/>
    <w:rsid w:val="44D46F52"/>
    <w:rsid w:val="44E53FB0"/>
    <w:rsid w:val="45041599"/>
    <w:rsid w:val="45214C5D"/>
    <w:rsid w:val="453A289D"/>
    <w:rsid w:val="453C7448"/>
    <w:rsid w:val="45526FF0"/>
    <w:rsid w:val="455375CC"/>
    <w:rsid w:val="4572706B"/>
    <w:rsid w:val="458C3BA1"/>
    <w:rsid w:val="45AE338E"/>
    <w:rsid w:val="45D45EB1"/>
    <w:rsid w:val="45E867E1"/>
    <w:rsid w:val="45E92AB3"/>
    <w:rsid w:val="4601326B"/>
    <w:rsid w:val="46024DD8"/>
    <w:rsid w:val="460C2595"/>
    <w:rsid w:val="460C41F8"/>
    <w:rsid w:val="46113BB1"/>
    <w:rsid w:val="46147A06"/>
    <w:rsid w:val="462B60D3"/>
    <w:rsid w:val="463B57C2"/>
    <w:rsid w:val="464C3022"/>
    <w:rsid w:val="46562C1B"/>
    <w:rsid w:val="4660467F"/>
    <w:rsid w:val="468401B0"/>
    <w:rsid w:val="46870EBB"/>
    <w:rsid w:val="46B83653"/>
    <w:rsid w:val="46CF0686"/>
    <w:rsid w:val="46D040A0"/>
    <w:rsid w:val="46D226E1"/>
    <w:rsid w:val="46FB797C"/>
    <w:rsid w:val="476B5BF5"/>
    <w:rsid w:val="47984B5D"/>
    <w:rsid w:val="47A04C10"/>
    <w:rsid w:val="47B5564C"/>
    <w:rsid w:val="47BF0ED4"/>
    <w:rsid w:val="47D12764"/>
    <w:rsid w:val="47E033CA"/>
    <w:rsid w:val="47EB198B"/>
    <w:rsid w:val="47ED68B2"/>
    <w:rsid w:val="48007D67"/>
    <w:rsid w:val="48120C3F"/>
    <w:rsid w:val="48491FCB"/>
    <w:rsid w:val="484A0F1B"/>
    <w:rsid w:val="484B5C86"/>
    <w:rsid w:val="485767CB"/>
    <w:rsid w:val="48711DA0"/>
    <w:rsid w:val="487C0A49"/>
    <w:rsid w:val="48A93E12"/>
    <w:rsid w:val="490A3D9C"/>
    <w:rsid w:val="49144982"/>
    <w:rsid w:val="49152BF0"/>
    <w:rsid w:val="492D1152"/>
    <w:rsid w:val="492F720E"/>
    <w:rsid w:val="49302D48"/>
    <w:rsid w:val="494D2FFB"/>
    <w:rsid w:val="495C4C37"/>
    <w:rsid w:val="49682334"/>
    <w:rsid w:val="49975FDF"/>
    <w:rsid w:val="499D46C3"/>
    <w:rsid w:val="49D50FE0"/>
    <w:rsid w:val="49FE6909"/>
    <w:rsid w:val="49FF45F0"/>
    <w:rsid w:val="4A085CD8"/>
    <w:rsid w:val="4A147B3C"/>
    <w:rsid w:val="4A1E4778"/>
    <w:rsid w:val="4A1F206F"/>
    <w:rsid w:val="4A474C0D"/>
    <w:rsid w:val="4A676E7A"/>
    <w:rsid w:val="4A782A83"/>
    <w:rsid w:val="4A9F71A0"/>
    <w:rsid w:val="4ACB5424"/>
    <w:rsid w:val="4ACC0299"/>
    <w:rsid w:val="4AE517C1"/>
    <w:rsid w:val="4AF225F5"/>
    <w:rsid w:val="4AF53EA9"/>
    <w:rsid w:val="4AF85A62"/>
    <w:rsid w:val="4B045A55"/>
    <w:rsid w:val="4B110339"/>
    <w:rsid w:val="4B1776EE"/>
    <w:rsid w:val="4B263C56"/>
    <w:rsid w:val="4B43102F"/>
    <w:rsid w:val="4B43284A"/>
    <w:rsid w:val="4B6C5BE7"/>
    <w:rsid w:val="4B727F80"/>
    <w:rsid w:val="4B7A4851"/>
    <w:rsid w:val="4B7B003E"/>
    <w:rsid w:val="4B843864"/>
    <w:rsid w:val="4B935406"/>
    <w:rsid w:val="4BC42982"/>
    <w:rsid w:val="4BC8764A"/>
    <w:rsid w:val="4BD614AE"/>
    <w:rsid w:val="4BD71E76"/>
    <w:rsid w:val="4C0868DC"/>
    <w:rsid w:val="4C153201"/>
    <w:rsid w:val="4C311F67"/>
    <w:rsid w:val="4C32072D"/>
    <w:rsid w:val="4C3A21F9"/>
    <w:rsid w:val="4C4E6541"/>
    <w:rsid w:val="4C6559FC"/>
    <w:rsid w:val="4C720CEE"/>
    <w:rsid w:val="4C7252EA"/>
    <w:rsid w:val="4C7D0B6A"/>
    <w:rsid w:val="4C8E7BC4"/>
    <w:rsid w:val="4CAE0B43"/>
    <w:rsid w:val="4CBE238F"/>
    <w:rsid w:val="4CC7153B"/>
    <w:rsid w:val="4CEB0D22"/>
    <w:rsid w:val="4D0C0AD3"/>
    <w:rsid w:val="4D3D5D27"/>
    <w:rsid w:val="4D523FE5"/>
    <w:rsid w:val="4D584B02"/>
    <w:rsid w:val="4D614A5F"/>
    <w:rsid w:val="4D6D4028"/>
    <w:rsid w:val="4D6E2FAA"/>
    <w:rsid w:val="4D7C3503"/>
    <w:rsid w:val="4D7D1C4C"/>
    <w:rsid w:val="4D8477AA"/>
    <w:rsid w:val="4DA05B04"/>
    <w:rsid w:val="4DBF0DE5"/>
    <w:rsid w:val="4DED4FAA"/>
    <w:rsid w:val="4DFC582F"/>
    <w:rsid w:val="4E1D2672"/>
    <w:rsid w:val="4E344F9D"/>
    <w:rsid w:val="4E7406B8"/>
    <w:rsid w:val="4E7546C5"/>
    <w:rsid w:val="4E8D5EDB"/>
    <w:rsid w:val="4E9F0EAA"/>
    <w:rsid w:val="4EB07804"/>
    <w:rsid w:val="4EB850F3"/>
    <w:rsid w:val="4ECB6374"/>
    <w:rsid w:val="4ED45BD9"/>
    <w:rsid w:val="4EE83167"/>
    <w:rsid w:val="4EEF6457"/>
    <w:rsid w:val="4F493C2D"/>
    <w:rsid w:val="4F4F180C"/>
    <w:rsid w:val="4F6133BD"/>
    <w:rsid w:val="4F645524"/>
    <w:rsid w:val="4F992107"/>
    <w:rsid w:val="4FAF37F3"/>
    <w:rsid w:val="4FBF291F"/>
    <w:rsid w:val="4FC5467C"/>
    <w:rsid w:val="4FCB4AF9"/>
    <w:rsid w:val="4FCF51DE"/>
    <w:rsid w:val="4FE15106"/>
    <w:rsid w:val="4FF140F5"/>
    <w:rsid w:val="4FF927C0"/>
    <w:rsid w:val="501270DC"/>
    <w:rsid w:val="50543D51"/>
    <w:rsid w:val="505D79A8"/>
    <w:rsid w:val="506E004A"/>
    <w:rsid w:val="506E0B59"/>
    <w:rsid w:val="507733B4"/>
    <w:rsid w:val="507D73D3"/>
    <w:rsid w:val="50832E31"/>
    <w:rsid w:val="508D7571"/>
    <w:rsid w:val="50AD24D6"/>
    <w:rsid w:val="50BD70DA"/>
    <w:rsid w:val="50EC6330"/>
    <w:rsid w:val="511D7300"/>
    <w:rsid w:val="5129388C"/>
    <w:rsid w:val="513B2746"/>
    <w:rsid w:val="513C7A80"/>
    <w:rsid w:val="513D0FC2"/>
    <w:rsid w:val="51471690"/>
    <w:rsid w:val="514D0DD3"/>
    <w:rsid w:val="518D0C58"/>
    <w:rsid w:val="51B43EEA"/>
    <w:rsid w:val="51CF7C2E"/>
    <w:rsid w:val="51DD0CEB"/>
    <w:rsid w:val="51EC7919"/>
    <w:rsid w:val="51ED543B"/>
    <w:rsid w:val="51F175CA"/>
    <w:rsid w:val="51F913D3"/>
    <w:rsid w:val="52010F1D"/>
    <w:rsid w:val="520253E4"/>
    <w:rsid w:val="5203685E"/>
    <w:rsid w:val="52106EDD"/>
    <w:rsid w:val="5237036E"/>
    <w:rsid w:val="525819E4"/>
    <w:rsid w:val="525B6EA5"/>
    <w:rsid w:val="52861FB9"/>
    <w:rsid w:val="52BE31DB"/>
    <w:rsid w:val="52BE367F"/>
    <w:rsid w:val="52C83138"/>
    <w:rsid w:val="52CD04BF"/>
    <w:rsid w:val="52D47182"/>
    <w:rsid w:val="52D6580A"/>
    <w:rsid w:val="52DB74BB"/>
    <w:rsid w:val="52EF31E7"/>
    <w:rsid w:val="530363FB"/>
    <w:rsid w:val="53170A58"/>
    <w:rsid w:val="5325096E"/>
    <w:rsid w:val="5327262E"/>
    <w:rsid w:val="53272E5B"/>
    <w:rsid w:val="534A70F2"/>
    <w:rsid w:val="53597F54"/>
    <w:rsid w:val="539B74B5"/>
    <w:rsid w:val="539C479B"/>
    <w:rsid w:val="53A14533"/>
    <w:rsid w:val="53DF72C0"/>
    <w:rsid w:val="53EB78FC"/>
    <w:rsid w:val="53F1535C"/>
    <w:rsid w:val="541203D2"/>
    <w:rsid w:val="5418032A"/>
    <w:rsid w:val="546A0CD6"/>
    <w:rsid w:val="547F23FA"/>
    <w:rsid w:val="549B171F"/>
    <w:rsid w:val="54A65B4B"/>
    <w:rsid w:val="54AC1BA8"/>
    <w:rsid w:val="54CA6EA8"/>
    <w:rsid w:val="54CC6F72"/>
    <w:rsid w:val="54D930FD"/>
    <w:rsid w:val="54DF5E81"/>
    <w:rsid w:val="54E34CFD"/>
    <w:rsid w:val="54EB6D3C"/>
    <w:rsid w:val="54F15F8C"/>
    <w:rsid w:val="54F274A3"/>
    <w:rsid w:val="550007F9"/>
    <w:rsid w:val="55086443"/>
    <w:rsid w:val="55435C0A"/>
    <w:rsid w:val="55452D9A"/>
    <w:rsid w:val="554B7F4E"/>
    <w:rsid w:val="554D32A9"/>
    <w:rsid w:val="554E5BA8"/>
    <w:rsid w:val="55860413"/>
    <w:rsid w:val="558852DD"/>
    <w:rsid w:val="559E5BA4"/>
    <w:rsid w:val="55A81885"/>
    <w:rsid w:val="55C73022"/>
    <w:rsid w:val="55EC2329"/>
    <w:rsid w:val="55F153E4"/>
    <w:rsid w:val="55F8283D"/>
    <w:rsid w:val="56262A9D"/>
    <w:rsid w:val="562F3230"/>
    <w:rsid w:val="564209E4"/>
    <w:rsid w:val="564232E4"/>
    <w:rsid w:val="56440901"/>
    <w:rsid w:val="565548F7"/>
    <w:rsid w:val="56576AEA"/>
    <w:rsid w:val="56594F75"/>
    <w:rsid w:val="565F5F17"/>
    <w:rsid w:val="56A03946"/>
    <w:rsid w:val="56AF440D"/>
    <w:rsid w:val="56ED05AB"/>
    <w:rsid w:val="56F41267"/>
    <w:rsid w:val="56FC360F"/>
    <w:rsid w:val="570B28C5"/>
    <w:rsid w:val="5740067E"/>
    <w:rsid w:val="574238E8"/>
    <w:rsid w:val="57452DAD"/>
    <w:rsid w:val="57645827"/>
    <w:rsid w:val="576A3E8A"/>
    <w:rsid w:val="578452A3"/>
    <w:rsid w:val="579B76DF"/>
    <w:rsid w:val="57A3151E"/>
    <w:rsid w:val="57C702DE"/>
    <w:rsid w:val="57C971D0"/>
    <w:rsid w:val="57DB3EA0"/>
    <w:rsid w:val="57E138B4"/>
    <w:rsid w:val="57E50089"/>
    <w:rsid w:val="57F600EB"/>
    <w:rsid w:val="57FA15D6"/>
    <w:rsid w:val="58044BFF"/>
    <w:rsid w:val="58073DF4"/>
    <w:rsid w:val="580A7835"/>
    <w:rsid w:val="581710E7"/>
    <w:rsid w:val="581B303A"/>
    <w:rsid w:val="58323E49"/>
    <w:rsid w:val="585354FC"/>
    <w:rsid w:val="585C3814"/>
    <w:rsid w:val="586C3D2F"/>
    <w:rsid w:val="58714E38"/>
    <w:rsid w:val="58861757"/>
    <w:rsid w:val="588D2EA4"/>
    <w:rsid w:val="58A31419"/>
    <w:rsid w:val="58B32340"/>
    <w:rsid w:val="58C37666"/>
    <w:rsid w:val="58D43DAD"/>
    <w:rsid w:val="58F1021D"/>
    <w:rsid w:val="58F80808"/>
    <w:rsid w:val="59322C3F"/>
    <w:rsid w:val="59684C5D"/>
    <w:rsid w:val="59732B8B"/>
    <w:rsid w:val="598A1AB6"/>
    <w:rsid w:val="59A06FAE"/>
    <w:rsid w:val="59B32522"/>
    <w:rsid w:val="59D33CC4"/>
    <w:rsid w:val="59E42770"/>
    <w:rsid w:val="59E6117B"/>
    <w:rsid w:val="5A38552E"/>
    <w:rsid w:val="5A5F54A5"/>
    <w:rsid w:val="5A654918"/>
    <w:rsid w:val="5A747CFD"/>
    <w:rsid w:val="5A75795D"/>
    <w:rsid w:val="5A9048C9"/>
    <w:rsid w:val="5A936DAF"/>
    <w:rsid w:val="5AB83780"/>
    <w:rsid w:val="5ABA3050"/>
    <w:rsid w:val="5ABE5D64"/>
    <w:rsid w:val="5ACC73F5"/>
    <w:rsid w:val="5AD8123F"/>
    <w:rsid w:val="5AFB5FFB"/>
    <w:rsid w:val="5B05244D"/>
    <w:rsid w:val="5B421E86"/>
    <w:rsid w:val="5B633779"/>
    <w:rsid w:val="5B737982"/>
    <w:rsid w:val="5B825496"/>
    <w:rsid w:val="5BE54ED2"/>
    <w:rsid w:val="5C017D6B"/>
    <w:rsid w:val="5C0221CE"/>
    <w:rsid w:val="5C112AC0"/>
    <w:rsid w:val="5C272FC3"/>
    <w:rsid w:val="5C2F6D3A"/>
    <w:rsid w:val="5C577AF8"/>
    <w:rsid w:val="5C6D5E9D"/>
    <w:rsid w:val="5C7221D8"/>
    <w:rsid w:val="5C774529"/>
    <w:rsid w:val="5C8C1F56"/>
    <w:rsid w:val="5C910726"/>
    <w:rsid w:val="5C942113"/>
    <w:rsid w:val="5CA16A48"/>
    <w:rsid w:val="5CAB42E2"/>
    <w:rsid w:val="5CAC62E0"/>
    <w:rsid w:val="5CC66529"/>
    <w:rsid w:val="5CC713A9"/>
    <w:rsid w:val="5CD57CAC"/>
    <w:rsid w:val="5CDF7EC4"/>
    <w:rsid w:val="5D250270"/>
    <w:rsid w:val="5D304B9F"/>
    <w:rsid w:val="5D361F47"/>
    <w:rsid w:val="5D4179B0"/>
    <w:rsid w:val="5D49763B"/>
    <w:rsid w:val="5D5A3C33"/>
    <w:rsid w:val="5D617090"/>
    <w:rsid w:val="5D647F12"/>
    <w:rsid w:val="5D755B10"/>
    <w:rsid w:val="5D7A3B1C"/>
    <w:rsid w:val="5D81631E"/>
    <w:rsid w:val="5D97088B"/>
    <w:rsid w:val="5DB84369"/>
    <w:rsid w:val="5DCF0819"/>
    <w:rsid w:val="5DCF4EE9"/>
    <w:rsid w:val="5DD21D5C"/>
    <w:rsid w:val="5DD81BB2"/>
    <w:rsid w:val="5DE1430C"/>
    <w:rsid w:val="5DED30FE"/>
    <w:rsid w:val="5E2C14B9"/>
    <w:rsid w:val="5E303CE3"/>
    <w:rsid w:val="5E3B4E35"/>
    <w:rsid w:val="5E5201A8"/>
    <w:rsid w:val="5E67266A"/>
    <w:rsid w:val="5E7A5D4A"/>
    <w:rsid w:val="5EA93A79"/>
    <w:rsid w:val="5EEA4D74"/>
    <w:rsid w:val="5EEA4F00"/>
    <w:rsid w:val="5EEC6266"/>
    <w:rsid w:val="5F04411D"/>
    <w:rsid w:val="5F0B179A"/>
    <w:rsid w:val="5F2704AE"/>
    <w:rsid w:val="5F2E24A3"/>
    <w:rsid w:val="5F2F1224"/>
    <w:rsid w:val="5F39744E"/>
    <w:rsid w:val="5F4927D7"/>
    <w:rsid w:val="5F4C336C"/>
    <w:rsid w:val="5F9870C7"/>
    <w:rsid w:val="5FB43EFE"/>
    <w:rsid w:val="5FB459F2"/>
    <w:rsid w:val="5FB64E37"/>
    <w:rsid w:val="5FBB2F3B"/>
    <w:rsid w:val="5FCA2FF2"/>
    <w:rsid w:val="5FD7714F"/>
    <w:rsid w:val="5FF06265"/>
    <w:rsid w:val="600E7D4C"/>
    <w:rsid w:val="60237213"/>
    <w:rsid w:val="60251B47"/>
    <w:rsid w:val="6026570E"/>
    <w:rsid w:val="602D5E45"/>
    <w:rsid w:val="60462A3F"/>
    <w:rsid w:val="60540C58"/>
    <w:rsid w:val="605D0BE8"/>
    <w:rsid w:val="606C7BB0"/>
    <w:rsid w:val="606F603F"/>
    <w:rsid w:val="608356BA"/>
    <w:rsid w:val="60982FDD"/>
    <w:rsid w:val="609B2DDD"/>
    <w:rsid w:val="60A128B6"/>
    <w:rsid w:val="60A371AD"/>
    <w:rsid w:val="60AC5E58"/>
    <w:rsid w:val="60BA6E9B"/>
    <w:rsid w:val="60C82685"/>
    <w:rsid w:val="60D266A9"/>
    <w:rsid w:val="613214B6"/>
    <w:rsid w:val="61383167"/>
    <w:rsid w:val="613A6DAA"/>
    <w:rsid w:val="615515FC"/>
    <w:rsid w:val="61585034"/>
    <w:rsid w:val="61844AA1"/>
    <w:rsid w:val="618B077E"/>
    <w:rsid w:val="61C43783"/>
    <w:rsid w:val="61C811DA"/>
    <w:rsid w:val="61D814FF"/>
    <w:rsid w:val="61D90DCE"/>
    <w:rsid w:val="61E55BB3"/>
    <w:rsid w:val="62237136"/>
    <w:rsid w:val="62513AA0"/>
    <w:rsid w:val="625F276F"/>
    <w:rsid w:val="627146B7"/>
    <w:rsid w:val="62853302"/>
    <w:rsid w:val="62886014"/>
    <w:rsid w:val="62944E98"/>
    <w:rsid w:val="629750CC"/>
    <w:rsid w:val="62AF67A9"/>
    <w:rsid w:val="62BD588D"/>
    <w:rsid w:val="62D14847"/>
    <w:rsid w:val="62D738A6"/>
    <w:rsid w:val="630E7686"/>
    <w:rsid w:val="63123BB7"/>
    <w:rsid w:val="631A2116"/>
    <w:rsid w:val="634621E9"/>
    <w:rsid w:val="63694450"/>
    <w:rsid w:val="636D1E5B"/>
    <w:rsid w:val="6372559E"/>
    <w:rsid w:val="63A4772C"/>
    <w:rsid w:val="63A67D29"/>
    <w:rsid w:val="63BA5440"/>
    <w:rsid w:val="63D953C1"/>
    <w:rsid w:val="63DD10A0"/>
    <w:rsid w:val="63EC46C4"/>
    <w:rsid w:val="63ED7BB9"/>
    <w:rsid w:val="63FD40D2"/>
    <w:rsid w:val="64121B5F"/>
    <w:rsid w:val="64143468"/>
    <w:rsid w:val="64163464"/>
    <w:rsid w:val="64227F96"/>
    <w:rsid w:val="644B059C"/>
    <w:rsid w:val="6460139F"/>
    <w:rsid w:val="64742891"/>
    <w:rsid w:val="64771115"/>
    <w:rsid w:val="64A21F1F"/>
    <w:rsid w:val="64A52F92"/>
    <w:rsid w:val="64BC2C6A"/>
    <w:rsid w:val="64E113E2"/>
    <w:rsid w:val="64E91CFD"/>
    <w:rsid w:val="64FE6D70"/>
    <w:rsid w:val="6522475D"/>
    <w:rsid w:val="652E46D3"/>
    <w:rsid w:val="65300199"/>
    <w:rsid w:val="653213B7"/>
    <w:rsid w:val="65422787"/>
    <w:rsid w:val="65731A9A"/>
    <w:rsid w:val="657C7ACA"/>
    <w:rsid w:val="658D6144"/>
    <w:rsid w:val="65AB1BA8"/>
    <w:rsid w:val="65FA7A7B"/>
    <w:rsid w:val="661054EC"/>
    <w:rsid w:val="66316B9F"/>
    <w:rsid w:val="663A47B8"/>
    <w:rsid w:val="66417AE3"/>
    <w:rsid w:val="66424F54"/>
    <w:rsid w:val="66647BB1"/>
    <w:rsid w:val="667A31C0"/>
    <w:rsid w:val="66A010B6"/>
    <w:rsid w:val="66A334EA"/>
    <w:rsid w:val="66B054AC"/>
    <w:rsid w:val="66C163B8"/>
    <w:rsid w:val="66C530A6"/>
    <w:rsid w:val="66D136AF"/>
    <w:rsid w:val="66E33761"/>
    <w:rsid w:val="670925BC"/>
    <w:rsid w:val="67186248"/>
    <w:rsid w:val="673F3B5E"/>
    <w:rsid w:val="67546A0E"/>
    <w:rsid w:val="67590382"/>
    <w:rsid w:val="67596B1A"/>
    <w:rsid w:val="67674FEB"/>
    <w:rsid w:val="67940FDD"/>
    <w:rsid w:val="67AF3AC1"/>
    <w:rsid w:val="67BB3164"/>
    <w:rsid w:val="67E03513"/>
    <w:rsid w:val="67E56938"/>
    <w:rsid w:val="67E57C24"/>
    <w:rsid w:val="67EC2FDF"/>
    <w:rsid w:val="68035234"/>
    <w:rsid w:val="683F5BB3"/>
    <w:rsid w:val="686C75CA"/>
    <w:rsid w:val="686F5F24"/>
    <w:rsid w:val="68931A52"/>
    <w:rsid w:val="68AF5643"/>
    <w:rsid w:val="68DA769A"/>
    <w:rsid w:val="68E03FBB"/>
    <w:rsid w:val="68F721CA"/>
    <w:rsid w:val="68FF0DAD"/>
    <w:rsid w:val="69447E4D"/>
    <w:rsid w:val="694C638F"/>
    <w:rsid w:val="69534B8B"/>
    <w:rsid w:val="69660C22"/>
    <w:rsid w:val="6973620B"/>
    <w:rsid w:val="69746794"/>
    <w:rsid w:val="69B55F6D"/>
    <w:rsid w:val="6A043392"/>
    <w:rsid w:val="6A2C168C"/>
    <w:rsid w:val="6A4F041D"/>
    <w:rsid w:val="6A57114A"/>
    <w:rsid w:val="6A5A67B6"/>
    <w:rsid w:val="6A7A5A68"/>
    <w:rsid w:val="6A7F36A4"/>
    <w:rsid w:val="6AA53CB9"/>
    <w:rsid w:val="6AB46018"/>
    <w:rsid w:val="6AC016FE"/>
    <w:rsid w:val="6AC825F6"/>
    <w:rsid w:val="6ACD3CA9"/>
    <w:rsid w:val="6AE8704D"/>
    <w:rsid w:val="6AF132E9"/>
    <w:rsid w:val="6B0912A0"/>
    <w:rsid w:val="6B091462"/>
    <w:rsid w:val="6B4A0491"/>
    <w:rsid w:val="6B5C3BBD"/>
    <w:rsid w:val="6B5E767B"/>
    <w:rsid w:val="6B6768EA"/>
    <w:rsid w:val="6BA75FA3"/>
    <w:rsid w:val="6BAE1F3A"/>
    <w:rsid w:val="6BB16F07"/>
    <w:rsid w:val="6BC84BE4"/>
    <w:rsid w:val="6BD627B8"/>
    <w:rsid w:val="6BDA2C04"/>
    <w:rsid w:val="6C1C281E"/>
    <w:rsid w:val="6C1D6234"/>
    <w:rsid w:val="6C294FB3"/>
    <w:rsid w:val="6C3034E5"/>
    <w:rsid w:val="6C522E5B"/>
    <w:rsid w:val="6C635518"/>
    <w:rsid w:val="6C6B3F78"/>
    <w:rsid w:val="6C8C5E8F"/>
    <w:rsid w:val="6C916564"/>
    <w:rsid w:val="6C9856EE"/>
    <w:rsid w:val="6CA9068A"/>
    <w:rsid w:val="6CB712AE"/>
    <w:rsid w:val="6CB766F8"/>
    <w:rsid w:val="6CBF4FB5"/>
    <w:rsid w:val="6CD13B76"/>
    <w:rsid w:val="6CF90BB4"/>
    <w:rsid w:val="6D0247DC"/>
    <w:rsid w:val="6D034132"/>
    <w:rsid w:val="6D08588D"/>
    <w:rsid w:val="6D0D516D"/>
    <w:rsid w:val="6D1B6496"/>
    <w:rsid w:val="6D2166F1"/>
    <w:rsid w:val="6D241D45"/>
    <w:rsid w:val="6D3364B4"/>
    <w:rsid w:val="6D412F10"/>
    <w:rsid w:val="6D484FDA"/>
    <w:rsid w:val="6D627534"/>
    <w:rsid w:val="6D7A05D5"/>
    <w:rsid w:val="6D7E06EF"/>
    <w:rsid w:val="6D8B0CB3"/>
    <w:rsid w:val="6D963059"/>
    <w:rsid w:val="6D984331"/>
    <w:rsid w:val="6D997AFC"/>
    <w:rsid w:val="6DA434AF"/>
    <w:rsid w:val="6DE5103F"/>
    <w:rsid w:val="6E0322A3"/>
    <w:rsid w:val="6E057442"/>
    <w:rsid w:val="6E13662E"/>
    <w:rsid w:val="6E157B98"/>
    <w:rsid w:val="6E172929"/>
    <w:rsid w:val="6E1B5637"/>
    <w:rsid w:val="6E2030D3"/>
    <w:rsid w:val="6E272A39"/>
    <w:rsid w:val="6E3544F2"/>
    <w:rsid w:val="6ED62F61"/>
    <w:rsid w:val="6F0867D6"/>
    <w:rsid w:val="6F162257"/>
    <w:rsid w:val="6F1D1813"/>
    <w:rsid w:val="6F207E33"/>
    <w:rsid w:val="6F292EC0"/>
    <w:rsid w:val="6F2E1569"/>
    <w:rsid w:val="6F346501"/>
    <w:rsid w:val="6F392C3E"/>
    <w:rsid w:val="6F3D0CAC"/>
    <w:rsid w:val="6F415887"/>
    <w:rsid w:val="6F596322"/>
    <w:rsid w:val="6F7D1A42"/>
    <w:rsid w:val="6F832AD6"/>
    <w:rsid w:val="6F952B72"/>
    <w:rsid w:val="6FC6021A"/>
    <w:rsid w:val="6FD30AC4"/>
    <w:rsid w:val="6FE94F45"/>
    <w:rsid w:val="700204D1"/>
    <w:rsid w:val="70127B3B"/>
    <w:rsid w:val="705A73EB"/>
    <w:rsid w:val="70653FB9"/>
    <w:rsid w:val="70926B0E"/>
    <w:rsid w:val="709459DC"/>
    <w:rsid w:val="709E3103"/>
    <w:rsid w:val="70B31679"/>
    <w:rsid w:val="70DD0D2B"/>
    <w:rsid w:val="70E45230"/>
    <w:rsid w:val="71127567"/>
    <w:rsid w:val="713A0A4A"/>
    <w:rsid w:val="714C3248"/>
    <w:rsid w:val="714C6211"/>
    <w:rsid w:val="715E2221"/>
    <w:rsid w:val="716A0810"/>
    <w:rsid w:val="716A5457"/>
    <w:rsid w:val="71A22462"/>
    <w:rsid w:val="71B86D3B"/>
    <w:rsid w:val="71BA7EA9"/>
    <w:rsid w:val="71BE2234"/>
    <w:rsid w:val="71C14014"/>
    <w:rsid w:val="71C268A8"/>
    <w:rsid w:val="71CF1BDE"/>
    <w:rsid w:val="71CF461F"/>
    <w:rsid w:val="71DE20AD"/>
    <w:rsid w:val="71EE4F07"/>
    <w:rsid w:val="71F422DC"/>
    <w:rsid w:val="71F536A3"/>
    <w:rsid w:val="71FC4351"/>
    <w:rsid w:val="7214146C"/>
    <w:rsid w:val="721F376D"/>
    <w:rsid w:val="72470A06"/>
    <w:rsid w:val="724E33F8"/>
    <w:rsid w:val="726774A5"/>
    <w:rsid w:val="726D71D0"/>
    <w:rsid w:val="728123B0"/>
    <w:rsid w:val="72AE416D"/>
    <w:rsid w:val="72E02194"/>
    <w:rsid w:val="72F0647A"/>
    <w:rsid w:val="730B1212"/>
    <w:rsid w:val="730C7362"/>
    <w:rsid w:val="73214C6D"/>
    <w:rsid w:val="73326BCD"/>
    <w:rsid w:val="73343731"/>
    <w:rsid w:val="735036F8"/>
    <w:rsid w:val="73687752"/>
    <w:rsid w:val="736F5641"/>
    <w:rsid w:val="73745130"/>
    <w:rsid w:val="738659E1"/>
    <w:rsid w:val="738B0D0B"/>
    <w:rsid w:val="73AB4EEC"/>
    <w:rsid w:val="73B24B13"/>
    <w:rsid w:val="73C25375"/>
    <w:rsid w:val="73C545ED"/>
    <w:rsid w:val="73E00B69"/>
    <w:rsid w:val="7404127A"/>
    <w:rsid w:val="740F02C5"/>
    <w:rsid w:val="74194D93"/>
    <w:rsid w:val="741B2BB6"/>
    <w:rsid w:val="744B1F4E"/>
    <w:rsid w:val="744C672D"/>
    <w:rsid w:val="746A0D9A"/>
    <w:rsid w:val="746B76C5"/>
    <w:rsid w:val="74700A49"/>
    <w:rsid w:val="749E0FA0"/>
    <w:rsid w:val="74C75CAA"/>
    <w:rsid w:val="750C5A29"/>
    <w:rsid w:val="75271124"/>
    <w:rsid w:val="75283652"/>
    <w:rsid w:val="752918ED"/>
    <w:rsid w:val="752B78A0"/>
    <w:rsid w:val="755E6D33"/>
    <w:rsid w:val="756002CE"/>
    <w:rsid w:val="756749D3"/>
    <w:rsid w:val="756E2101"/>
    <w:rsid w:val="758F2FF0"/>
    <w:rsid w:val="75901984"/>
    <w:rsid w:val="7596291C"/>
    <w:rsid w:val="75A35E57"/>
    <w:rsid w:val="75A534D7"/>
    <w:rsid w:val="75AC35F4"/>
    <w:rsid w:val="75B742D7"/>
    <w:rsid w:val="75EC7DDE"/>
    <w:rsid w:val="762108F9"/>
    <w:rsid w:val="76275F68"/>
    <w:rsid w:val="762F3419"/>
    <w:rsid w:val="76357912"/>
    <w:rsid w:val="764728D5"/>
    <w:rsid w:val="766949C9"/>
    <w:rsid w:val="76735CD1"/>
    <w:rsid w:val="76F82F9E"/>
    <w:rsid w:val="772A6CCF"/>
    <w:rsid w:val="7736471D"/>
    <w:rsid w:val="7780780C"/>
    <w:rsid w:val="778227FD"/>
    <w:rsid w:val="77AA3320"/>
    <w:rsid w:val="77AB5D5B"/>
    <w:rsid w:val="77BA65E9"/>
    <w:rsid w:val="77E302CC"/>
    <w:rsid w:val="77EE0510"/>
    <w:rsid w:val="78195C4A"/>
    <w:rsid w:val="783869AB"/>
    <w:rsid w:val="7848590F"/>
    <w:rsid w:val="784E1C07"/>
    <w:rsid w:val="784F2C7E"/>
    <w:rsid w:val="784F4FCD"/>
    <w:rsid w:val="786C593A"/>
    <w:rsid w:val="78711E8B"/>
    <w:rsid w:val="788651D9"/>
    <w:rsid w:val="78A52E2C"/>
    <w:rsid w:val="78B115BC"/>
    <w:rsid w:val="78D35E3F"/>
    <w:rsid w:val="78D70945"/>
    <w:rsid w:val="78E812DB"/>
    <w:rsid w:val="79067F1A"/>
    <w:rsid w:val="7908099A"/>
    <w:rsid w:val="792C7DC4"/>
    <w:rsid w:val="793272FC"/>
    <w:rsid w:val="793B2150"/>
    <w:rsid w:val="796815FE"/>
    <w:rsid w:val="7968571D"/>
    <w:rsid w:val="79895029"/>
    <w:rsid w:val="799F4A8C"/>
    <w:rsid w:val="79AD5AE3"/>
    <w:rsid w:val="79F543FD"/>
    <w:rsid w:val="79FC4DA1"/>
    <w:rsid w:val="7A0F09A6"/>
    <w:rsid w:val="7A1D776F"/>
    <w:rsid w:val="7A2C729D"/>
    <w:rsid w:val="7A8457B0"/>
    <w:rsid w:val="7A8516A5"/>
    <w:rsid w:val="7AA155DC"/>
    <w:rsid w:val="7AAE0C7A"/>
    <w:rsid w:val="7ABD0A30"/>
    <w:rsid w:val="7ADA2D7A"/>
    <w:rsid w:val="7ADE113B"/>
    <w:rsid w:val="7AE81470"/>
    <w:rsid w:val="7AEB4818"/>
    <w:rsid w:val="7AF877E8"/>
    <w:rsid w:val="7B006E8A"/>
    <w:rsid w:val="7B096174"/>
    <w:rsid w:val="7B141D15"/>
    <w:rsid w:val="7B1D6448"/>
    <w:rsid w:val="7B244DCE"/>
    <w:rsid w:val="7B3A1648"/>
    <w:rsid w:val="7B3B2D7A"/>
    <w:rsid w:val="7B404FFF"/>
    <w:rsid w:val="7B47697F"/>
    <w:rsid w:val="7B542467"/>
    <w:rsid w:val="7B9F208A"/>
    <w:rsid w:val="7BD3697D"/>
    <w:rsid w:val="7BD6557C"/>
    <w:rsid w:val="7BF059CF"/>
    <w:rsid w:val="7BFB7C0E"/>
    <w:rsid w:val="7BFC394D"/>
    <w:rsid w:val="7C046A6C"/>
    <w:rsid w:val="7C0E7861"/>
    <w:rsid w:val="7C291C61"/>
    <w:rsid w:val="7C385370"/>
    <w:rsid w:val="7C533E8E"/>
    <w:rsid w:val="7C570C67"/>
    <w:rsid w:val="7C7B377A"/>
    <w:rsid w:val="7C7D4A93"/>
    <w:rsid w:val="7C8841D0"/>
    <w:rsid w:val="7CAF11E3"/>
    <w:rsid w:val="7CB00512"/>
    <w:rsid w:val="7CB204EC"/>
    <w:rsid w:val="7CB96571"/>
    <w:rsid w:val="7CCB6018"/>
    <w:rsid w:val="7CE96A5E"/>
    <w:rsid w:val="7D103CA2"/>
    <w:rsid w:val="7D142149"/>
    <w:rsid w:val="7D35727D"/>
    <w:rsid w:val="7D65663E"/>
    <w:rsid w:val="7D6F48FE"/>
    <w:rsid w:val="7D8E7983"/>
    <w:rsid w:val="7DAB0888"/>
    <w:rsid w:val="7DAF4A53"/>
    <w:rsid w:val="7DB861F3"/>
    <w:rsid w:val="7DED6DCE"/>
    <w:rsid w:val="7DFF5133"/>
    <w:rsid w:val="7E015F26"/>
    <w:rsid w:val="7E2C166E"/>
    <w:rsid w:val="7E3B4346"/>
    <w:rsid w:val="7E3C3476"/>
    <w:rsid w:val="7E4C5755"/>
    <w:rsid w:val="7E731B01"/>
    <w:rsid w:val="7EA07638"/>
    <w:rsid w:val="7EAB0E19"/>
    <w:rsid w:val="7EB66B70"/>
    <w:rsid w:val="7EC22FFF"/>
    <w:rsid w:val="7ECA5DAA"/>
    <w:rsid w:val="7ED44D56"/>
    <w:rsid w:val="7F0D0C24"/>
    <w:rsid w:val="7F1B4BF7"/>
    <w:rsid w:val="7F306E0F"/>
    <w:rsid w:val="7F3407BB"/>
    <w:rsid w:val="7F39577E"/>
    <w:rsid w:val="7F3A561D"/>
    <w:rsid w:val="7F4C006A"/>
    <w:rsid w:val="7F587E33"/>
    <w:rsid w:val="7F7B124B"/>
    <w:rsid w:val="7F806FE5"/>
    <w:rsid w:val="7F982D80"/>
    <w:rsid w:val="7FA03B81"/>
    <w:rsid w:val="7FB72B7E"/>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0"/>
    <w:qFormat/>
    <w:uiPriority w:val="99"/>
    <w:pPr>
      <w:keepNext/>
      <w:spacing w:line="500" w:lineRule="exact"/>
      <w:outlineLvl w:val="0"/>
    </w:pPr>
    <w:rPr>
      <w:w w:val="90"/>
      <w:sz w:val="28"/>
    </w:rPr>
  </w:style>
  <w:style w:type="paragraph" w:styleId="5">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6">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7">
    <w:name w:val="heading 4"/>
    <w:basedOn w:val="1"/>
    <w:next w:val="1"/>
    <w:link w:val="52"/>
    <w:qFormat/>
    <w:uiPriority w:val="0"/>
    <w:pPr>
      <w:keepNext/>
      <w:spacing w:line="440" w:lineRule="exact"/>
      <w:ind w:left="-50" w:right="-50"/>
      <w:jc w:val="center"/>
      <w:outlineLvl w:val="3"/>
    </w:pPr>
    <w:rPr>
      <w:sz w:val="28"/>
    </w:rPr>
  </w:style>
  <w:style w:type="paragraph" w:styleId="8">
    <w:name w:val="heading 7"/>
    <w:basedOn w:val="1"/>
    <w:next w:val="1"/>
    <w:link w:val="53"/>
    <w:qFormat/>
    <w:uiPriority w:val="0"/>
    <w:pPr>
      <w:keepNext/>
      <w:tabs>
        <w:tab w:val="left" w:pos="360"/>
      </w:tabs>
      <w:spacing w:line="348" w:lineRule="auto"/>
      <w:outlineLvl w:val="6"/>
    </w:pPr>
    <w:rPr>
      <w:color w:val="000000"/>
      <w:sz w:val="28"/>
    </w:rPr>
  </w:style>
  <w:style w:type="character" w:default="1" w:styleId="39">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59"/>
    <w:qFormat/>
    <w:uiPriority w:val="0"/>
    <w:rPr>
      <w:rFonts w:ascii="宋体" w:hAnsi="Courier New" w:cs="Courier New"/>
      <w:szCs w:val="21"/>
    </w:rPr>
  </w:style>
  <w:style w:type="paragraph" w:styleId="3">
    <w:name w:val="Salutation"/>
    <w:basedOn w:val="1"/>
    <w:next w:val="1"/>
    <w:qFormat/>
    <w:uiPriority w:val="0"/>
    <w:pPr>
      <w:spacing w:line="240" w:lineRule="auto"/>
      <w:ind w:firstLine="0" w:firstLineChars="0"/>
    </w:pPr>
    <w:rPr>
      <w:sz w:val="28"/>
      <w:szCs w:val="20"/>
    </w:rPr>
  </w:style>
  <w:style w:type="paragraph" w:styleId="9">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10">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1">
    <w:name w:val="Document Map"/>
    <w:basedOn w:val="1"/>
    <w:link w:val="144"/>
    <w:qFormat/>
    <w:uiPriority w:val="99"/>
    <w:pPr>
      <w:shd w:val="clear" w:color="auto" w:fill="000080"/>
    </w:pPr>
    <w:rPr>
      <w:lang w:val="zh-CN" w:eastAsia="zh-CN"/>
    </w:rPr>
  </w:style>
  <w:style w:type="paragraph" w:styleId="12">
    <w:name w:val="annotation text"/>
    <w:basedOn w:val="1"/>
    <w:link w:val="129"/>
    <w:qFormat/>
    <w:uiPriority w:val="99"/>
    <w:pPr>
      <w:jc w:val="left"/>
    </w:pPr>
    <w:rPr>
      <w:lang w:val="zh-CN" w:eastAsia="zh-CN"/>
    </w:rPr>
  </w:style>
  <w:style w:type="paragraph" w:styleId="13">
    <w:name w:val="Body Text 3"/>
    <w:basedOn w:val="1"/>
    <w:link w:val="84"/>
    <w:qFormat/>
    <w:uiPriority w:val="0"/>
    <w:pPr>
      <w:widowControl/>
      <w:jc w:val="center"/>
    </w:pPr>
    <w:rPr>
      <w:rFonts w:eastAsia="方正书宋简体"/>
      <w:w w:val="90"/>
      <w:kern w:val="0"/>
      <w:sz w:val="28"/>
      <w:szCs w:val="20"/>
    </w:rPr>
  </w:style>
  <w:style w:type="paragraph" w:styleId="14">
    <w:name w:val="Body Text"/>
    <w:basedOn w:val="1"/>
    <w:link w:val="79"/>
    <w:qFormat/>
    <w:uiPriority w:val="0"/>
    <w:rPr>
      <w:sz w:val="28"/>
    </w:rPr>
  </w:style>
  <w:style w:type="paragraph" w:styleId="15">
    <w:name w:val="Body Text Indent"/>
    <w:basedOn w:val="1"/>
    <w:link w:val="85"/>
    <w:qFormat/>
    <w:uiPriority w:val="0"/>
    <w:pPr>
      <w:ind w:firstLine="538" w:firstLineChars="192"/>
    </w:pPr>
    <w:rPr>
      <w:sz w:val="28"/>
    </w:rPr>
  </w:style>
  <w:style w:type="paragraph" w:styleId="16">
    <w:name w:val="Block Text"/>
    <w:basedOn w:val="1"/>
    <w:qFormat/>
    <w:uiPriority w:val="0"/>
    <w:pPr>
      <w:spacing w:line="360" w:lineRule="exact"/>
      <w:ind w:left="105" w:leftChars="50" w:right="105" w:rightChars="50"/>
    </w:pPr>
    <w:rPr>
      <w:sz w:val="24"/>
    </w:rPr>
  </w:style>
  <w:style w:type="paragraph" w:styleId="17">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8">
    <w:name w:val="Body Text Indent 2"/>
    <w:basedOn w:val="1"/>
    <w:link w:val="74"/>
    <w:qFormat/>
    <w:uiPriority w:val="0"/>
    <w:pPr>
      <w:tabs>
        <w:tab w:val="left" w:pos="180"/>
      </w:tabs>
      <w:ind w:firstLine="567"/>
    </w:pPr>
    <w:rPr>
      <w:rFonts w:ascii="宋体" w:hAnsi="宋体"/>
      <w:sz w:val="28"/>
    </w:rPr>
  </w:style>
  <w:style w:type="paragraph" w:styleId="19">
    <w:name w:val="Balloon Text"/>
    <w:basedOn w:val="1"/>
    <w:link w:val="72"/>
    <w:qFormat/>
    <w:uiPriority w:val="99"/>
    <w:rPr>
      <w:sz w:val="18"/>
      <w:szCs w:val="18"/>
    </w:rPr>
  </w:style>
  <w:style w:type="paragraph" w:styleId="20">
    <w:name w:val="footer"/>
    <w:basedOn w:val="1"/>
    <w:link w:val="47"/>
    <w:unhideWhenUsed/>
    <w:qFormat/>
    <w:uiPriority w:val="99"/>
    <w:pPr>
      <w:tabs>
        <w:tab w:val="center" w:pos="4153"/>
        <w:tab w:val="right" w:pos="8306"/>
      </w:tabs>
      <w:snapToGrid w:val="0"/>
      <w:jc w:val="left"/>
    </w:pPr>
    <w:rPr>
      <w:sz w:val="18"/>
      <w:szCs w:val="18"/>
    </w:rPr>
  </w:style>
  <w:style w:type="paragraph" w:styleId="21">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unhideWhenUsed/>
    <w:qFormat/>
    <w:uiPriority w:val="39"/>
  </w:style>
  <w:style w:type="paragraph" w:styleId="23">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4">
    <w:name w:val="List"/>
    <w:basedOn w:val="1"/>
    <w:qFormat/>
    <w:uiPriority w:val="0"/>
    <w:pPr>
      <w:ind w:left="200" w:hanging="200" w:hangingChars="200"/>
    </w:pPr>
  </w:style>
  <w:style w:type="paragraph" w:styleId="25">
    <w:name w:val="Body Text Indent 3"/>
    <w:basedOn w:val="1"/>
    <w:link w:val="83"/>
    <w:qFormat/>
    <w:uiPriority w:val="0"/>
    <w:pPr>
      <w:spacing w:line="560" w:lineRule="exact"/>
      <w:ind w:firstLine="560" w:firstLineChars="200"/>
    </w:pPr>
    <w:rPr>
      <w:sz w:val="28"/>
    </w:rPr>
  </w:style>
  <w:style w:type="paragraph" w:styleId="26">
    <w:name w:val="Body Text 2"/>
    <w:basedOn w:val="1"/>
    <w:link w:val="62"/>
    <w:qFormat/>
    <w:uiPriority w:val="0"/>
    <w:rPr>
      <w:rFonts w:asciiTheme="minorHAnsi" w:hAnsiTheme="minorHAnsi" w:eastAsiaTheme="minorEastAsia" w:cstheme="minorBidi"/>
      <w:sz w:val="24"/>
    </w:rPr>
  </w:style>
  <w:style w:type="paragraph" w:styleId="27">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pPr>
      <w:jc w:val="center"/>
    </w:pPr>
    <w:rPr>
      <w:rFonts w:eastAsia="仿宋_GB2312"/>
    </w:rPr>
  </w:style>
  <w:style w:type="paragraph" w:styleId="30">
    <w:name w:val="annotation subject"/>
    <w:basedOn w:val="12"/>
    <w:next w:val="12"/>
    <w:link w:val="76"/>
    <w:qFormat/>
    <w:uiPriority w:val="99"/>
    <w:rPr>
      <w:b/>
      <w:bCs/>
    </w:rPr>
  </w:style>
  <w:style w:type="paragraph" w:styleId="31">
    <w:name w:val="Body Text First Indent"/>
    <w:basedOn w:val="14"/>
    <w:link w:val="145"/>
    <w:semiHidden/>
    <w:unhideWhenUsed/>
    <w:qFormat/>
    <w:uiPriority w:val="99"/>
    <w:pPr>
      <w:spacing w:after="120"/>
      <w:ind w:firstLine="420" w:firstLineChars="100"/>
    </w:pPr>
    <w:rPr>
      <w:sz w:val="21"/>
    </w:rPr>
  </w:style>
  <w:style w:type="paragraph" w:styleId="32">
    <w:name w:val="Body Text First Indent 2"/>
    <w:basedOn w:val="15"/>
    <w:link w:val="146"/>
    <w:semiHidden/>
    <w:unhideWhenUsed/>
    <w:qFormat/>
    <w:uiPriority w:val="99"/>
    <w:pPr>
      <w:spacing w:after="120"/>
      <w:ind w:left="420" w:leftChars="200" w:firstLine="420" w:firstLineChars="200"/>
    </w:pPr>
    <w:rPr>
      <w:sz w:val="21"/>
    </w:rPr>
  </w:style>
  <w:style w:type="table" w:styleId="34">
    <w:name w:val="Table Grid"/>
    <w:basedOn w:val="3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Light Shading Accent 2"/>
    <w:basedOn w:val="33"/>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6">
    <w:name w:val="Light Shading Accent 3"/>
    <w:basedOn w:val="33"/>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7">
    <w:name w:val="Light Shading Accent 4"/>
    <w:basedOn w:val="33"/>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8">
    <w:name w:val="Light List Accent 3"/>
    <w:basedOn w:val="33"/>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0">
    <w:name w:val="Strong"/>
    <w:qFormat/>
    <w:uiPriority w:val="0"/>
    <w:rPr>
      <w:b/>
      <w:bCs/>
    </w:rPr>
  </w:style>
  <w:style w:type="character" w:styleId="41">
    <w:name w:val="page number"/>
    <w:basedOn w:val="39"/>
    <w:qFormat/>
    <w:uiPriority w:val="99"/>
  </w:style>
  <w:style w:type="character" w:styleId="42">
    <w:name w:val="line number"/>
    <w:basedOn w:val="39"/>
    <w:semiHidden/>
    <w:unhideWhenUsed/>
    <w:qFormat/>
    <w:uiPriority w:val="99"/>
  </w:style>
  <w:style w:type="character" w:styleId="43">
    <w:name w:val="Hyperlink"/>
    <w:qFormat/>
    <w:uiPriority w:val="99"/>
    <w:rPr>
      <w:color w:val="0000FF"/>
      <w:u w:val="none"/>
    </w:rPr>
  </w:style>
  <w:style w:type="character" w:styleId="44">
    <w:name w:val="annotation reference"/>
    <w:qFormat/>
    <w:uiPriority w:val="99"/>
    <w:rPr>
      <w:sz w:val="21"/>
      <w:szCs w:val="21"/>
    </w:rPr>
  </w:style>
  <w:style w:type="paragraph" w:customStyle="1" w:styleId="45">
    <w:name w:val="样式1"/>
    <w:basedOn w:val="22"/>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6">
    <w:name w:val="页眉 字符"/>
    <w:basedOn w:val="39"/>
    <w:link w:val="21"/>
    <w:qFormat/>
    <w:uiPriority w:val="99"/>
    <w:rPr>
      <w:sz w:val="18"/>
      <w:szCs w:val="18"/>
    </w:rPr>
  </w:style>
  <w:style w:type="character" w:customStyle="1" w:styleId="47">
    <w:name w:val="页脚 字符"/>
    <w:basedOn w:val="39"/>
    <w:link w:val="20"/>
    <w:qFormat/>
    <w:uiPriority w:val="99"/>
    <w:rPr>
      <w:sz w:val="18"/>
      <w:szCs w:val="18"/>
    </w:rPr>
  </w:style>
  <w:style w:type="character" w:customStyle="1" w:styleId="48">
    <w:name w:val="标题 2 字符"/>
    <w:basedOn w:val="39"/>
    <w:link w:val="5"/>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9"/>
    <w:link w:val="4"/>
    <w:qFormat/>
    <w:uiPriority w:val="99"/>
    <w:rPr>
      <w:rFonts w:ascii="Times New Roman" w:hAnsi="Times New Roman" w:eastAsia="宋体" w:cs="Times New Roman"/>
      <w:w w:val="90"/>
      <w:sz w:val="28"/>
      <w:szCs w:val="24"/>
    </w:rPr>
  </w:style>
  <w:style w:type="character" w:customStyle="1" w:styleId="51">
    <w:name w:val="标题 3 字符"/>
    <w:basedOn w:val="39"/>
    <w:link w:val="6"/>
    <w:qFormat/>
    <w:uiPriority w:val="0"/>
    <w:rPr>
      <w:rFonts w:ascii="Times New Roman" w:hAnsi="Times New Roman" w:eastAsia="宋体" w:cs="Times New Roman"/>
      <w:w w:val="90"/>
      <w:sz w:val="28"/>
      <w:szCs w:val="24"/>
    </w:rPr>
  </w:style>
  <w:style w:type="character" w:customStyle="1" w:styleId="52">
    <w:name w:val="标题 4 字符"/>
    <w:basedOn w:val="39"/>
    <w:link w:val="7"/>
    <w:qFormat/>
    <w:uiPriority w:val="0"/>
    <w:rPr>
      <w:rFonts w:ascii="Times New Roman" w:hAnsi="Times New Roman" w:eastAsia="宋体" w:cs="Times New Roman"/>
      <w:sz w:val="28"/>
      <w:szCs w:val="24"/>
    </w:rPr>
  </w:style>
  <w:style w:type="character" w:customStyle="1" w:styleId="53">
    <w:name w:val="标题 7 字符"/>
    <w:basedOn w:val="39"/>
    <w:link w:val="8"/>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9"/>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9"/>
    <w:qFormat/>
    <w:uiPriority w:val="0"/>
  </w:style>
  <w:style w:type="character" w:customStyle="1" w:styleId="58">
    <w:name w:val="style10"/>
    <w:basedOn w:val="39"/>
    <w:qFormat/>
    <w:uiPriority w:val="0"/>
  </w:style>
  <w:style w:type="character" w:customStyle="1" w:styleId="59">
    <w:name w:val="纯文本 字符1"/>
    <w:link w:val="2"/>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6"/>
    <w:qFormat/>
    <w:uiPriority w:val="0"/>
    <w:rPr>
      <w:sz w:val="24"/>
      <w:szCs w:val="24"/>
    </w:rPr>
  </w:style>
  <w:style w:type="character" w:customStyle="1" w:styleId="63">
    <w:name w:val="正文缩进 字符"/>
    <w:link w:val="9"/>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9"/>
    <w:link w:val="19"/>
    <w:qFormat/>
    <w:uiPriority w:val="99"/>
    <w:rPr>
      <w:rFonts w:ascii="Times New Roman" w:hAnsi="Times New Roman" w:eastAsia="宋体" w:cs="Times New Roman"/>
      <w:sz w:val="18"/>
      <w:szCs w:val="18"/>
    </w:rPr>
  </w:style>
  <w:style w:type="paragraph" w:customStyle="1" w:styleId="73">
    <w:name w:val="_Style 40"/>
    <w:basedOn w:val="15"/>
    <w:next w:val="32"/>
    <w:qFormat/>
    <w:uiPriority w:val="0"/>
    <w:pPr>
      <w:spacing w:after="120"/>
      <w:ind w:left="420" w:leftChars="200" w:firstLine="210" w:firstLineChars="200"/>
    </w:pPr>
    <w:rPr>
      <w:sz w:val="21"/>
    </w:rPr>
  </w:style>
  <w:style w:type="character" w:customStyle="1" w:styleId="74">
    <w:name w:val="正文文本缩进 2 字符"/>
    <w:basedOn w:val="39"/>
    <w:link w:val="18"/>
    <w:qFormat/>
    <w:uiPriority w:val="0"/>
    <w:rPr>
      <w:rFonts w:ascii="宋体" w:hAnsi="宋体" w:eastAsia="宋体" w:cs="Times New Roman"/>
      <w:sz w:val="28"/>
      <w:szCs w:val="24"/>
    </w:rPr>
  </w:style>
  <w:style w:type="character" w:customStyle="1" w:styleId="75">
    <w:name w:val="批注文字 字符"/>
    <w:basedOn w:val="39"/>
    <w:semiHidden/>
    <w:qFormat/>
    <w:uiPriority w:val="99"/>
    <w:rPr>
      <w:rFonts w:ascii="Times New Roman" w:hAnsi="Times New Roman" w:eastAsia="宋体" w:cs="Times New Roman"/>
      <w:szCs w:val="24"/>
    </w:rPr>
  </w:style>
  <w:style w:type="character" w:customStyle="1" w:styleId="76">
    <w:name w:val="批注主题 字符"/>
    <w:basedOn w:val="75"/>
    <w:link w:val="30"/>
    <w:qFormat/>
    <w:uiPriority w:val="99"/>
    <w:rPr>
      <w:rFonts w:ascii="Times New Roman" w:hAnsi="Times New Roman" w:eastAsia="宋体" w:cs="Times New Roman"/>
      <w:b/>
      <w:bCs/>
      <w:szCs w:val="24"/>
      <w:lang w:val="zh-CN" w:eastAsia="zh-CN"/>
    </w:rPr>
  </w:style>
  <w:style w:type="character" w:customStyle="1" w:styleId="77">
    <w:name w:val="正文文本 2 字符"/>
    <w:basedOn w:val="39"/>
    <w:semiHidden/>
    <w:qFormat/>
    <w:uiPriority w:val="99"/>
    <w:rPr>
      <w:rFonts w:ascii="Times New Roman" w:hAnsi="Times New Roman" w:eastAsia="宋体" w:cs="Times New Roman"/>
      <w:szCs w:val="24"/>
    </w:rPr>
  </w:style>
  <w:style w:type="character" w:customStyle="1" w:styleId="78">
    <w:name w:val="日期 字符"/>
    <w:basedOn w:val="39"/>
    <w:link w:val="17"/>
    <w:qFormat/>
    <w:uiPriority w:val="0"/>
    <w:rPr>
      <w:rFonts w:ascii="Times New Roman" w:hAnsi="Times New Roman" w:eastAsia="楷体_GB2312" w:cs="Times New Roman"/>
      <w:kern w:val="0"/>
      <w:sz w:val="28"/>
      <w:szCs w:val="20"/>
    </w:rPr>
  </w:style>
  <w:style w:type="character" w:customStyle="1" w:styleId="79">
    <w:name w:val="正文文本 字符"/>
    <w:basedOn w:val="39"/>
    <w:link w:val="14"/>
    <w:qFormat/>
    <w:uiPriority w:val="0"/>
    <w:rPr>
      <w:rFonts w:ascii="Times New Roman" w:hAnsi="Times New Roman" w:eastAsia="宋体" w:cs="Times New Roman"/>
      <w:sz w:val="28"/>
      <w:szCs w:val="24"/>
    </w:rPr>
  </w:style>
  <w:style w:type="character" w:customStyle="1" w:styleId="80">
    <w:name w:val="纯文本 字符"/>
    <w:basedOn w:val="39"/>
    <w:qFormat/>
    <w:uiPriority w:val="0"/>
    <w:rPr>
      <w:rFonts w:hAnsi="Courier New" w:cs="Courier New" w:asciiTheme="minorEastAsia"/>
      <w:szCs w:val="24"/>
    </w:rPr>
  </w:style>
  <w:style w:type="character" w:customStyle="1" w:styleId="81">
    <w:name w:val="HTML 预设格式 字符"/>
    <w:basedOn w:val="39"/>
    <w:link w:val="27"/>
    <w:qFormat/>
    <w:uiPriority w:val="0"/>
    <w:rPr>
      <w:rFonts w:ascii="Arial" w:hAnsi="Arial" w:eastAsia="宋体" w:cs="Arial"/>
      <w:kern w:val="0"/>
      <w:szCs w:val="21"/>
    </w:rPr>
  </w:style>
  <w:style w:type="character" w:customStyle="1" w:styleId="82">
    <w:name w:val="文档结构图 字符"/>
    <w:basedOn w:val="39"/>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9"/>
    <w:link w:val="25"/>
    <w:qFormat/>
    <w:uiPriority w:val="0"/>
    <w:rPr>
      <w:rFonts w:ascii="Times New Roman" w:hAnsi="Times New Roman" w:eastAsia="宋体" w:cs="Times New Roman"/>
      <w:sz w:val="28"/>
      <w:szCs w:val="24"/>
    </w:rPr>
  </w:style>
  <w:style w:type="character" w:customStyle="1" w:styleId="84">
    <w:name w:val="正文文本 3 字符"/>
    <w:basedOn w:val="39"/>
    <w:link w:val="13"/>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9"/>
    <w:link w:val="15"/>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2"/>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9">
    <w:name w:val="默认段落字体 Para Char Char Char Char"/>
    <w:basedOn w:val="1"/>
    <w:qFormat/>
    <w:uiPriority w:val="99"/>
    <w:rPr>
      <w:sz w:val="24"/>
    </w:rPr>
  </w:style>
  <w:style w:type="paragraph" w:customStyle="1" w:styleId="100">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1">
    <w:name w:val="默认段落字体 Para Char Char Char Char Char Char Char Char Char Char Char Char Char"/>
    <w:basedOn w:val="1"/>
    <w:qFormat/>
    <w:uiPriority w:val="0"/>
    <w:rPr>
      <w:sz w:val="24"/>
    </w:rPr>
  </w:style>
  <w:style w:type="paragraph" w:customStyle="1" w:styleId="102">
    <w:name w:val="Char Char Char Char"/>
    <w:basedOn w:val="1"/>
    <w:qFormat/>
    <w:uiPriority w:val="0"/>
    <w:rPr>
      <w:sz w:val="24"/>
    </w:rPr>
  </w:style>
  <w:style w:type="paragraph" w:customStyle="1" w:styleId="103">
    <w:name w:val="Char1"/>
    <w:basedOn w:val="1"/>
    <w:qFormat/>
    <w:uiPriority w:val="0"/>
    <w:rPr>
      <w:sz w:val="24"/>
    </w:rPr>
  </w:style>
  <w:style w:type="paragraph" w:customStyle="1" w:styleId="104">
    <w:name w:val="Char Char Char Char1"/>
    <w:basedOn w:val="1"/>
    <w:qFormat/>
    <w:uiPriority w:val="0"/>
    <w:rPr>
      <w:sz w:val="24"/>
    </w:rPr>
  </w:style>
  <w:style w:type="paragraph" w:customStyle="1" w:styleId="105">
    <w:name w:val="表格式"/>
    <w:basedOn w:val="24"/>
    <w:qFormat/>
    <w:uiPriority w:val="0"/>
    <w:pPr>
      <w:spacing w:before="156" w:beforeLines="50" w:after="156" w:afterLines="50" w:line="200" w:lineRule="exact"/>
      <w:ind w:left="0" w:firstLine="0" w:firstLineChars="0"/>
      <w:jc w:val="center"/>
    </w:pPr>
    <w:rPr>
      <w:szCs w:val="20"/>
    </w:rPr>
  </w:style>
  <w:style w:type="paragraph" w:customStyle="1" w:styleId="106">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7">
    <w:name w:val="1 Char Char Char Char Char Char Char Char Char Char"/>
    <w:basedOn w:val="1"/>
    <w:qFormat/>
    <w:uiPriority w:val="0"/>
  </w:style>
  <w:style w:type="paragraph" w:customStyle="1" w:styleId="108">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9">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0">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2">
    <w:name w:val="三级标题"/>
    <w:basedOn w:val="1"/>
    <w:next w:val="32"/>
    <w:qFormat/>
    <w:uiPriority w:val="0"/>
    <w:pPr>
      <w:spacing w:line="440" w:lineRule="exact"/>
      <w:jc w:val="center"/>
    </w:pPr>
    <w:rPr>
      <w:w w:val="90"/>
      <w:sz w:val="24"/>
    </w:rPr>
  </w:style>
  <w:style w:type="paragraph" w:customStyle="1" w:styleId="113">
    <w:name w:val="样式35"/>
    <w:basedOn w:val="1"/>
    <w:qFormat/>
    <w:uiPriority w:val="0"/>
    <w:pPr>
      <w:adjustRightInd w:val="0"/>
      <w:spacing w:line="312" w:lineRule="auto"/>
      <w:ind w:firstLine="567"/>
    </w:pPr>
    <w:rPr>
      <w:rFonts w:ascii="宋体"/>
      <w:kern w:val="0"/>
      <w:sz w:val="28"/>
      <w:szCs w:val="20"/>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2">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kern w:val="0"/>
      <w:sz w:val="24"/>
      <w:szCs w:val="24"/>
      <w:lang w:val="en-US" w:eastAsia="zh-CN" w:bidi="ar-SA"/>
    </w:rPr>
  </w:style>
  <w:style w:type="character" w:customStyle="1" w:styleId="127">
    <w:name w:val="副标题 字符"/>
    <w:basedOn w:val="39"/>
    <w:qFormat/>
    <w:uiPriority w:val="11"/>
    <w:rPr>
      <w:b/>
      <w:bCs/>
      <w:kern w:val="28"/>
      <w:sz w:val="32"/>
      <w:szCs w:val="32"/>
    </w:rPr>
  </w:style>
  <w:style w:type="character" w:customStyle="1" w:styleId="128">
    <w:name w:val="副标题 字符1"/>
    <w:link w:val="23"/>
    <w:qFormat/>
    <w:uiPriority w:val="0"/>
    <w:rPr>
      <w:rFonts w:ascii="Cambria" w:hAnsi="Cambria" w:eastAsia="宋体" w:cs="Times New Roman"/>
      <w:kern w:val="0"/>
      <w:szCs w:val="24"/>
      <w:lang w:val="zh-CN" w:eastAsia="en-US" w:bidi="en-US"/>
    </w:rPr>
  </w:style>
  <w:style w:type="character" w:customStyle="1" w:styleId="129">
    <w:name w:val="批注文字 字符1"/>
    <w:link w:val="12"/>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5"/>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eastAsia="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字符1"/>
    <w:link w:val="11"/>
    <w:qFormat/>
    <w:uiPriority w:val="0"/>
    <w:rPr>
      <w:rFonts w:ascii="Times New Roman" w:hAnsi="Times New Roman" w:eastAsia="宋体" w:cs="Times New Roman"/>
      <w:szCs w:val="24"/>
      <w:shd w:val="clear" w:color="auto" w:fill="000080"/>
      <w:lang w:val="zh-CN" w:eastAsia="zh-CN"/>
    </w:rPr>
  </w:style>
  <w:style w:type="character" w:customStyle="1" w:styleId="145">
    <w:name w:val="正文文本首行缩进 字符"/>
    <w:basedOn w:val="79"/>
    <w:link w:val="31"/>
    <w:semiHidden/>
    <w:qFormat/>
    <w:uiPriority w:val="99"/>
    <w:rPr>
      <w:rFonts w:ascii="Times New Roman" w:hAnsi="Times New Roman" w:eastAsia="宋体" w:cs="Times New Roman"/>
      <w:sz w:val="28"/>
      <w:szCs w:val="24"/>
    </w:rPr>
  </w:style>
  <w:style w:type="character" w:customStyle="1" w:styleId="146">
    <w:name w:val="正文文本首行缩进 2 字符"/>
    <w:basedOn w:val="85"/>
    <w:link w:val="32"/>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9"/>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8"/>
    <w:qFormat/>
    <w:locked/>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3"/>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3"/>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9"/>
    <w:qFormat/>
    <w:uiPriority w:val="0"/>
    <w:rPr>
      <w:rFonts w:hint="eastAsia" w:ascii="等线" w:hAnsi="等线" w:eastAsia="等线" w:cs="等线"/>
      <w:color w:val="000000"/>
      <w:sz w:val="20"/>
      <w:szCs w:val="20"/>
      <w:u w:val="none"/>
    </w:rPr>
  </w:style>
  <w:style w:type="character" w:customStyle="1" w:styleId="160">
    <w:name w:val="font01"/>
    <w:basedOn w:val="39"/>
    <w:qFormat/>
    <w:uiPriority w:val="0"/>
    <w:rPr>
      <w:rFonts w:hint="eastAsia" w:ascii="等线" w:hAnsi="等线" w:eastAsia="等线" w:cs="等线"/>
      <w:color w:val="000000"/>
      <w:sz w:val="20"/>
      <w:szCs w:val="20"/>
      <w:u w:val="none"/>
      <w:vertAlign w:val="subscript"/>
    </w:rPr>
  </w:style>
  <w:style w:type="character" w:customStyle="1" w:styleId="161">
    <w:name w:val="font11"/>
    <w:basedOn w:val="39"/>
    <w:qFormat/>
    <w:uiPriority w:val="0"/>
    <w:rPr>
      <w:rFonts w:hint="eastAsia" w:ascii="等线" w:hAnsi="等线" w:eastAsia="等线" w:cs="等线"/>
      <w:color w:val="000000"/>
      <w:sz w:val="22"/>
      <w:szCs w:val="22"/>
      <w:u w:val="none"/>
    </w:rPr>
  </w:style>
  <w:style w:type="paragraph" w:customStyle="1" w:styleId="162">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3</TotalTime>
  <ScaleCrop>false</ScaleCrop>
  <LinksUpToDate>false</LinksUpToDate>
  <CharactersWithSpaces>18983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WPS_1591236775</cp:lastModifiedBy>
  <cp:lastPrinted>2019-09-21T09:22:00Z</cp:lastPrinted>
  <dcterms:modified xsi:type="dcterms:W3CDTF">2020-07-15T02:25:53Z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