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0" w:line="240" w:lineRule="auto"/>
        <w:ind w:left="0" w:leftChars="0" w:right="0" w:rightChars="0" w:firstLine="0" w:firstLineChars="0"/>
        <w:jc w:val="center"/>
        <w:rPr>
          <w:rFonts w:ascii="Calibri" w:hAnsi="Calibri" w:eastAsia="黑体" w:cs="Times New Roman"/>
          <w:b/>
          <w:sz w:val="72"/>
        </w:rPr>
      </w:pPr>
      <w:r>
        <w:rPr>
          <w:rFonts w:ascii="Calibri" w:hAnsi="Calibri" w:eastAsia="黑体" w:cs="Times New Roman"/>
          <w:b/>
          <w:sz w:val="72"/>
        </w:rPr>
        <w:t>建设项目环境影响报告表</w:t>
      </w:r>
    </w:p>
    <w:p>
      <w:pPr>
        <w:spacing w:line="240" w:lineRule="auto"/>
        <w:ind w:firstLine="0" w:firstLineChars="0"/>
        <w:rPr>
          <w:rFonts w:ascii="Calibri" w:hAnsi="Calibri" w:cs="Times New Roman"/>
          <w:sz w:val="48"/>
        </w:rPr>
      </w:pPr>
    </w:p>
    <w:p>
      <w:pPr>
        <w:spacing w:line="240" w:lineRule="auto"/>
        <w:ind w:firstLine="0" w:firstLineChars="0"/>
        <w:rPr>
          <w:rFonts w:ascii="Calibri" w:hAnsi="Calibri" w:cs="Times New Roman"/>
          <w:sz w:val="48"/>
        </w:rPr>
      </w:pPr>
    </w:p>
    <w:p>
      <w:pPr>
        <w:spacing w:line="240" w:lineRule="auto"/>
        <w:ind w:firstLine="0" w:firstLineChars="0"/>
        <w:rPr>
          <w:rFonts w:ascii="Calibri" w:hAnsi="Calibri" w:cs="Times New Roman"/>
          <w:sz w:val="48"/>
        </w:rPr>
      </w:pPr>
    </w:p>
    <w:p>
      <w:pPr>
        <w:spacing w:line="240" w:lineRule="auto"/>
        <w:ind w:firstLine="0" w:firstLineChars="0"/>
        <w:rPr>
          <w:rFonts w:ascii="Calibri" w:hAnsi="Calibri" w:cs="Times New Roman"/>
          <w:sz w:val="48"/>
        </w:rPr>
      </w:pPr>
    </w:p>
    <w:p>
      <w:pPr>
        <w:spacing w:line="240" w:lineRule="auto"/>
        <w:ind w:firstLine="0" w:firstLineChars="0"/>
        <w:rPr>
          <w:rFonts w:ascii="Calibri" w:hAnsi="Calibri" w:cs="Times New Roman"/>
          <w:sz w:val="48"/>
        </w:rPr>
      </w:pPr>
    </w:p>
    <w:p>
      <w:pPr>
        <w:spacing w:line="240" w:lineRule="auto"/>
        <w:ind w:firstLine="0" w:firstLineChars="0"/>
        <w:rPr>
          <w:rFonts w:ascii="Calibri" w:hAnsi="Calibri" w:cs="Times New Roman"/>
          <w:sz w:val="48"/>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both"/>
        <w:textAlignment w:val="auto"/>
        <w:rPr>
          <w:rFonts w:hint="eastAsia" w:ascii="Calibri" w:hAnsi="Calibri" w:eastAsia="黑体" w:cs="Times New Roman"/>
          <w:sz w:val="32"/>
          <w:szCs w:val="32"/>
          <w:u w:val="single"/>
          <w:lang w:val="en-US" w:eastAsia="zh-CN"/>
        </w:rPr>
      </w:pPr>
      <w:r>
        <w:rPr>
          <w:rFonts w:ascii="Calibri" w:hAnsi="Calibri" w:eastAsia="黑体" w:cs="Times New Roman"/>
          <w:sz w:val="32"/>
        </w:rPr>
        <w:t>项目名称</w:t>
      </w:r>
      <w:r>
        <w:rPr>
          <w:rFonts w:ascii="Calibri" w:hAnsi="Calibri" w:eastAsia="黑体" w:cs="Times New Roman"/>
          <w:sz w:val="32"/>
          <w:szCs w:val="32"/>
        </w:rPr>
        <w:t>：</w:t>
      </w:r>
      <w:r>
        <w:rPr>
          <w:rFonts w:hint="eastAsia" w:ascii="Calibri" w:hAnsi="Calibri" w:eastAsia="黑体" w:cs="Times New Roman"/>
          <w:sz w:val="32"/>
          <w:szCs w:val="32"/>
          <w:u w:val="single"/>
        </w:rPr>
        <w:t xml:space="preserve"> </w:t>
      </w:r>
      <w:r>
        <w:rPr>
          <w:rFonts w:hint="eastAsia" w:ascii="Calibri" w:hAnsi="Calibri" w:eastAsia="黑体" w:cs="Times New Roman"/>
          <w:sz w:val="32"/>
          <w:szCs w:val="32"/>
          <w:u w:val="single"/>
          <w:lang w:val="en-US" w:eastAsia="zh-CN"/>
        </w:rPr>
        <w:t xml:space="preserve">     </w:t>
      </w:r>
      <w:r>
        <w:rPr>
          <w:rFonts w:hint="eastAsia" w:ascii="Calibri" w:hAnsi="Calibri" w:eastAsia="黑体" w:cs="Times New Roman"/>
          <w:sz w:val="32"/>
          <w:szCs w:val="32"/>
          <w:u w:val="single"/>
        </w:rPr>
        <w:t>芜湖县和平河生态清洁小流域建设</w:t>
      </w:r>
      <w:r>
        <w:rPr>
          <w:rFonts w:hint="eastAsia" w:ascii="Calibri" w:hAnsi="Calibri" w:eastAsia="黑体" w:cs="Times New Roman"/>
          <w:sz w:val="32"/>
          <w:szCs w:val="32"/>
          <w:u w:val="single"/>
          <w:lang w:val="en-US" w:eastAsia="zh-CN"/>
        </w:rPr>
        <w:t xml:space="preserve">         </w:t>
      </w:r>
    </w:p>
    <w:p>
      <w:pPr>
        <w:pStyle w:val="2"/>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both"/>
        <w:textAlignment w:val="auto"/>
        <w:rPr>
          <w:rFonts w:hint="eastAsia" w:ascii="Calibri" w:hAnsi="Calibri" w:eastAsia="黑体" w:cs="Times New Roman"/>
          <w:sz w:val="32"/>
          <w:szCs w:val="32"/>
          <w:u w:val="single"/>
          <w:lang w:val="en-US" w:eastAsia="zh-CN"/>
        </w:rPr>
      </w:pPr>
      <w:r>
        <w:rPr>
          <w:rFonts w:ascii="Calibri" w:hAnsi="Calibri" w:eastAsia="黑体" w:cs="Times New Roman"/>
          <w:sz w:val="32"/>
        </w:rPr>
        <w:t>建设单位（盖章）：</w:t>
      </w:r>
      <w:r>
        <w:rPr>
          <w:rFonts w:hint="eastAsia" w:ascii="Calibri" w:hAnsi="Calibri" w:eastAsia="黑体" w:cs="Times New Roman"/>
          <w:sz w:val="32"/>
          <w:szCs w:val="32"/>
          <w:u w:val="single"/>
          <w:lang w:val="en-US" w:eastAsia="zh-CN"/>
        </w:rPr>
        <w:t xml:space="preserve">芜湖县和平河生态清洁小流域建设管理处 </w:t>
      </w:r>
    </w:p>
    <w:p>
      <w:pPr>
        <w:pStyle w:val="2"/>
        <w:rPr>
          <w:rFonts w:hint="default"/>
          <w:lang w:val="en-US"/>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both"/>
        <w:textAlignment w:val="auto"/>
        <w:rPr>
          <w:rFonts w:hint="default" w:ascii="Calibri" w:hAnsi="Calibri" w:eastAsia="黑体" w:cs="Times New Roman"/>
          <w:sz w:val="32"/>
          <w:szCs w:val="32"/>
          <w:u w:val="single"/>
          <w:lang w:val="en-US" w:eastAsia="zh-CN"/>
        </w:rPr>
      </w:pPr>
      <w:r>
        <w:rPr>
          <w:rFonts w:hint="eastAsia" w:ascii="Calibri" w:hAnsi="Calibri" w:eastAsia="黑体" w:cs="Times New Roman"/>
          <w:sz w:val="32"/>
          <w:lang w:val="en-US" w:eastAsia="zh-CN"/>
        </w:rPr>
        <w:t>委托单位（</w:t>
      </w:r>
      <w:r>
        <w:rPr>
          <w:rFonts w:ascii="Calibri" w:hAnsi="Calibri" w:eastAsia="黑体" w:cs="Times New Roman"/>
          <w:sz w:val="32"/>
        </w:rPr>
        <w:t>盖章</w:t>
      </w:r>
      <w:r>
        <w:rPr>
          <w:rFonts w:hint="eastAsia" w:ascii="Calibri" w:hAnsi="Calibri" w:eastAsia="黑体" w:cs="Times New Roman"/>
          <w:sz w:val="32"/>
          <w:lang w:val="en-US" w:eastAsia="zh-CN"/>
        </w:rPr>
        <w:t>）：</w:t>
      </w:r>
      <w:r>
        <w:rPr>
          <w:rFonts w:hint="eastAsia" w:ascii="Calibri" w:hAnsi="Calibri" w:eastAsia="黑体" w:cs="Times New Roman"/>
          <w:sz w:val="32"/>
          <w:szCs w:val="32"/>
          <w:u w:val="single"/>
          <w:lang w:val="en-US" w:eastAsia="zh-CN"/>
        </w:rPr>
        <w:t xml:space="preserve">              芜湖</w:t>
      </w:r>
      <w:r>
        <w:rPr>
          <w:rFonts w:hint="eastAsia" w:ascii="Calibri" w:hAnsi="Calibri" w:eastAsia="黑体" w:cs="Times New Roman"/>
          <w:sz w:val="32"/>
          <w:szCs w:val="32"/>
          <w:u w:val="single"/>
          <w:lang w:val="en-US" w:eastAsia="zh-CN"/>
        </w:rPr>
        <w:t xml:space="preserve">县水务局           </w:t>
      </w:r>
    </w:p>
    <w:p>
      <w:pPr>
        <w:spacing w:line="240" w:lineRule="auto"/>
        <w:ind w:firstLine="0" w:firstLineChars="0"/>
        <w:rPr>
          <w:rFonts w:ascii="Calibri" w:hAnsi="Calibri" w:cs="Times New Roman"/>
          <w:sz w:val="28"/>
        </w:rPr>
      </w:pPr>
    </w:p>
    <w:p>
      <w:pPr>
        <w:spacing w:line="240" w:lineRule="auto"/>
        <w:ind w:firstLine="0" w:firstLineChars="0"/>
        <w:rPr>
          <w:rFonts w:ascii="Calibri" w:hAnsi="Calibri" w:cs="Times New Roman"/>
          <w:sz w:val="28"/>
        </w:rPr>
      </w:pPr>
    </w:p>
    <w:p>
      <w:pPr>
        <w:spacing w:line="240" w:lineRule="auto"/>
        <w:ind w:firstLine="0" w:firstLineChars="0"/>
        <w:rPr>
          <w:rFonts w:ascii="Calibri" w:hAnsi="Calibri" w:cs="Times New Roman"/>
          <w:sz w:val="28"/>
        </w:rPr>
      </w:pPr>
    </w:p>
    <w:p>
      <w:pPr>
        <w:spacing w:line="240" w:lineRule="auto"/>
        <w:ind w:firstLine="0" w:firstLineChars="0"/>
        <w:rPr>
          <w:rFonts w:ascii="Calibri" w:hAnsi="Calibri" w:cs="Times New Roman"/>
          <w:sz w:val="28"/>
        </w:rPr>
      </w:pPr>
    </w:p>
    <w:p>
      <w:pPr>
        <w:ind w:firstLine="280"/>
        <w:rPr>
          <w:rFonts w:ascii="Calibri" w:hAnsi="Calibri" w:cs="Times New Roman"/>
          <w:sz w:val="28"/>
          <w:lang w:val="en-US"/>
        </w:rPr>
      </w:pPr>
    </w:p>
    <w:p>
      <w:pPr>
        <w:pStyle w:val="13"/>
        <w:bidi w:val="0"/>
        <w:ind w:left="0" w:leftChars="0" w:right="0" w:rightChars="0" w:firstLine="0" w:firstLineChars="0"/>
        <w:jc w:val="center"/>
        <w:rPr>
          <w:rFonts w:ascii="Calibri" w:hAnsi="Calibri" w:eastAsia="黑体" w:cs="Times New Roman"/>
          <w:sz w:val="32"/>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ascii="Calibri" w:hAnsi="Calibri" w:eastAsia="黑体" w:cs="Times New Roman"/>
          <w:sz w:val="32"/>
        </w:rPr>
        <w:t>编制日期：</w:t>
      </w:r>
      <w:r>
        <w:rPr>
          <w:rFonts w:hint="eastAsia" w:ascii="Calibri" w:hAnsi="Calibri" w:eastAsia="黑体" w:cs="Times New Roman"/>
          <w:sz w:val="32"/>
        </w:rPr>
        <w:t>二</w:t>
      </w:r>
      <w:r>
        <w:rPr>
          <w:rFonts w:ascii="Calibri" w:hAnsi="Calibri" w:eastAsia="黑体" w:cs="Times New Roman"/>
          <w:sz w:val="32"/>
        </w:rPr>
        <w:t>O</w:t>
      </w:r>
      <w:r>
        <w:rPr>
          <w:rFonts w:hint="eastAsia" w:ascii="Calibri" w:hAnsi="Calibri" w:eastAsia="黑体" w:cs="Times New Roman"/>
          <w:sz w:val="32"/>
        </w:rPr>
        <w:t>二O</w:t>
      </w:r>
      <w:r>
        <w:rPr>
          <w:rFonts w:ascii="Calibri" w:hAnsi="Calibri" w:eastAsia="黑体" w:cs="Times New Roman"/>
          <w:sz w:val="32"/>
        </w:rPr>
        <w:t>年</w:t>
      </w:r>
      <w:r>
        <w:rPr>
          <w:rFonts w:hint="eastAsia" w:ascii="Calibri" w:hAnsi="Calibri" w:eastAsia="黑体" w:cs="Times New Roman"/>
          <w:sz w:val="32"/>
          <w:lang w:eastAsia="zh-CN"/>
        </w:rPr>
        <w:t>四</w:t>
      </w:r>
      <w:r>
        <w:rPr>
          <w:rFonts w:ascii="Calibri" w:hAnsi="Calibri" w:eastAsia="黑体" w:cs="Times New Roman"/>
          <w:sz w:val="32"/>
        </w:rPr>
        <w:t>月</w:t>
      </w:r>
    </w:p>
    <w:p>
      <w:pPr>
        <w:ind w:left="0" w:leftChars="0" w:firstLine="0" w:firstLineChars="0"/>
        <w:jc w:val="center"/>
        <w:rPr>
          <w:rFonts w:hint="eastAsia" w:ascii="宋体" w:hAnsi="宋体" w:eastAsia="宋体" w:cs="宋体"/>
          <w:sz w:val="28"/>
          <w:szCs w:val="28"/>
        </w:rPr>
      </w:pPr>
      <w:r>
        <w:rPr>
          <w:rFonts w:hint="eastAsia" w:ascii="宋体" w:hAnsi="宋体" w:eastAsia="宋体" w:cs="宋体"/>
          <w:sz w:val="28"/>
          <w:szCs w:val="28"/>
        </w:rPr>
        <w:t>《建设项目环境影响报告表》编制说明</w:t>
      </w:r>
    </w:p>
    <w:p>
      <w:pPr>
        <w:keepNext w:val="0"/>
        <w:keepLines w:val="0"/>
        <w:pageBreakBefore w:val="0"/>
        <w:widowControl w:val="0"/>
        <w:kinsoku/>
        <w:wordWrap/>
        <w:overflowPunct/>
        <w:topLinePunct w:val="0"/>
        <w:autoSpaceDE/>
        <w:autoSpaceDN/>
        <w:bidi w:val="0"/>
        <w:adjustRightInd/>
        <w:snapToGrid/>
        <w:ind w:firstLine="1446"/>
        <w:textAlignment w:val="auto"/>
        <w:rPr>
          <w:rFonts w:hint="eastAsia" w:ascii="宋体" w:hAnsi="宋体" w:eastAsia="宋体" w:cs="宋体"/>
          <w:sz w:val="28"/>
          <w:szCs w:val="28"/>
        </w:rPr>
      </w:pPr>
      <w:r>
        <w:rPr>
          <w:rFonts w:hint="eastAsia" w:ascii="宋体" w:hAnsi="宋体" w:eastAsia="宋体" w:cs="宋体"/>
          <w:sz w:val="28"/>
          <w:szCs w:val="28"/>
        </w:rPr>
        <w:t>《建设项目环境影响报告表》由具有从事环境影响评价工作资质的单位编制。</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项目名称——指项目立项批复时的名称，应不超过30个字（两个英文字段作一个汉字）。</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建设地点——指项目所在地详细地址，公路、铁路应填写起止地点。</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行业类别——按国标填写。</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总投资——指项目投资总额。</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主要环境保护目标——指项目区周围一定范围内集中居民住宅区、学校、医院、保护文物、风景名胜区、水源地和生态敏感点等，应尽可能给出保护目标、性质、规模和距厂界距离等。</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结论与建议——给出本项目清洁生产、达标排放和总量控制的分析结论，确定污染防治措施的有效性，说明本项目对环境造成的影响，给出建设项目环境可行性的明确结论。同时提出减少环境影响的其他建议。</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预审意见——由行业主管部门填写答复意见，无主管部门项目，可不填。</w:t>
      </w:r>
    </w:p>
    <w:p>
      <w:pPr>
        <w:keepNext w:val="0"/>
        <w:keepLines w:val="0"/>
        <w:pageBreakBefore w:val="0"/>
        <w:widowControl w:val="0"/>
        <w:numPr>
          <w:ilvl w:val="0"/>
          <w:numId w:val="4"/>
        </w:numPr>
        <w:kinsoku/>
        <w:wordWrap/>
        <w:overflowPunct/>
        <w:topLinePunct w:val="0"/>
        <w:autoSpaceDE/>
        <w:autoSpaceDN/>
        <w:bidi w:val="0"/>
        <w:adjustRightInd/>
        <w:snapToGrid/>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审批意见——由负责审批该项目的环境保护行政主管部门批复。</w:t>
      </w:r>
    </w:p>
    <w:p>
      <w:pPr>
        <w:bidi w:val="0"/>
        <w:sectPr>
          <w:headerReference r:id="rId3" w:type="default"/>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p>
      <w:pPr>
        <w:pStyle w:val="3"/>
        <w:bidi w:val="0"/>
        <w:rPr>
          <w:rFonts w:hint="eastAsia"/>
          <w:sz w:val="32"/>
          <w:szCs w:val="32"/>
        </w:rPr>
      </w:pPr>
      <w:r>
        <w:rPr>
          <w:rFonts w:hint="eastAsia"/>
          <w:sz w:val="32"/>
          <w:szCs w:val="32"/>
        </w:rPr>
        <w:t>建设项目基本情况</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8"/>
        <w:gridCol w:w="424"/>
        <w:gridCol w:w="1880"/>
        <w:gridCol w:w="1064"/>
        <w:gridCol w:w="447"/>
        <w:gridCol w:w="1418"/>
        <w:gridCol w:w="1264"/>
        <w:gridCol w:w="281"/>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top w:val="single" w:color="auto" w:sz="4" w:space="0"/>
              <w:lef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项目名称</w:t>
            </w:r>
          </w:p>
        </w:tc>
        <w:tc>
          <w:tcPr>
            <w:tcW w:w="7910" w:type="dxa"/>
            <w:gridSpan w:val="8"/>
            <w:tcBorders>
              <w:top w:val="single" w:color="auto" w:sz="4" w:space="0"/>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Calibri" w:cs="Times New Roman"/>
                <w:sz w:val="24"/>
              </w:rPr>
            </w:pPr>
            <w:r>
              <w:rPr>
                <w:rFonts w:hint="eastAsia" w:ascii="Times New Roman" w:hAnsi="Calibri" w:cs="Times New Roman"/>
                <w:sz w:val="24"/>
              </w:rPr>
              <w:t>芜湖县和平河生态清洁小流域建设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lef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建设单位</w:t>
            </w:r>
          </w:p>
        </w:tc>
        <w:tc>
          <w:tcPr>
            <w:tcW w:w="7910" w:type="dxa"/>
            <w:gridSpan w:val="8"/>
            <w:tcBorders>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sz w:val="24"/>
                <w:lang w:val="en-US" w:eastAsia="zh-CN"/>
              </w:rPr>
            </w:pPr>
            <w:r>
              <w:rPr>
                <w:rFonts w:hint="eastAsia" w:ascii="Times New Roman" w:hAnsi="Calibri" w:cs="Times New Roman"/>
                <w:sz w:val="24"/>
              </w:rPr>
              <w:t>芜湖县水务局（芜湖县和平河生态清洁小流域建设管理处）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lef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法人代表</w:t>
            </w:r>
          </w:p>
        </w:tc>
        <w:tc>
          <w:tcPr>
            <w:tcW w:w="3815" w:type="dxa"/>
            <w:gridSpan w:val="4"/>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4"/>
                <w:lang w:val="en-US" w:eastAsia="zh-CN"/>
              </w:rPr>
            </w:pPr>
            <w:r>
              <w:rPr>
                <w:rFonts w:hint="eastAsia" w:cs="Times New Roman"/>
                <w:sz w:val="24"/>
                <w:lang w:val="en-US" w:eastAsia="zh-CN"/>
              </w:rPr>
              <w:t>童跃忠</w:t>
            </w:r>
          </w:p>
        </w:tc>
        <w:tc>
          <w:tcPr>
            <w:tcW w:w="1418" w:type="dxa"/>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联系人</w:t>
            </w:r>
          </w:p>
        </w:tc>
        <w:tc>
          <w:tcPr>
            <w:tcW w:w="2677" w:type="dxa"/>
            <w:gridSpan w:val="3"/>
            <w:tcBorders>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sz w:val="24"/>
                <w:lang w:eastAsia="zh-CN"/>
              </w:rPr>
            </w:pPr>
            <w:r>
              <w:rPr>
                <w:rFonts w:hint="eastAsia" w:cs="Times New Roman"/>
                <w:sz w:val="24"/>
                <w:lang w:val="en-US" w:eastAsia="zh-CN"/>
              </w:rPr>
              <w:t>陈建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lef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通讯地址</w:t>
            </w:r>
          </w:p>
        </w:tc>
        <w:tc>
          <w:tcPr>
            <w:tcW w:w="7910" w:type="dxa"/>
            <w:gridSpan w:val="8"/>
            <w:tcBorders>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Calibri" w:cs="Times New Roman"/>
                <w:b/>
                <w:bCs/>
                <w:sz w:val="24"/>
                <w:szCs w:val="20"/>
              </w:rPr>
            </w:pPr>
            <w:r>
              <w:rPr>
                <w:rFonts w:hint="eastAsia" w:ascii="Times New Roman" w:hAnsi="Times New Roman" w:cs="Times New Roman"/>
                <w:sz w:val="24"/>
              </w:rPr>
              <w:t>芜湖市芜湖县农林水大厦9楼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lef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联系电话</w:t>
            </w:r>
          </w:p>
        </w:tc>
        <w:tc>
          <w:tcPr>
            <w:tcW w:w="2304" w:type="dxa"/>
            <w:gridSpan w:val="2"/>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4"/>
                <w:lang w:val="en-US" w:eastAsia="zh-CN"/>
              </w:rPr>
            </w:pPr>
            <w:r>
              <w:rPr>
                <w:rFonts w:hint="eastAsia" w:cs="Times New Roman"/>
                <w:sz w:val="24"/>
                <w:lang w:val="en-US" w:eastAsia="zh-CN"/>
              </w:rPr>
              <w:t>18395378101</w:t>
            </w:r>
          </w:p>
        </w:tc>
        <w:tc>
          <w:tcPr>
            <w:tcW w:w="1064" w:type="dxa"/>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传真</w:t>
            </w:r>
          </w:p>
        </w:tc>
        <w:tc>
          <w:tcPr>
            <w:tcW w:w="1865" w:type="dxa"/>
            <w:gridSpan w:val="2"/>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Times New Roman" w:cs="Times New Roman"/>
                <w:sz w:val="24"/>
              </w:rPr>
              <w:t>/</w:t>
            </w:r>
          </w:p>
        </w:tc>
        <w:tc>
          <w:tcPr>
            <w:tcW w:w="1264" w:type="dxa"/>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邮政编码</w:t>
            </w:r>
          </w:p>
        </w:tc>
        <w:tc>
          <w:tcPr>
            <w:tcW w:w="1413" w:type="dxa"/>
            <w:gridSpan w:val="2"/>
            <w:tcBorders>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eastAsia" w:ascii="Times New Roman" w:hAnsi="Times New Roman" w:cs="Times New Roman"/>
                <w:sz w:val="24"/>
              </w:rPr>
            </w:pPr>
            <w:r>
              <w:rPr>
                <w:rFonts w:hint="eastAsia" w:ascii="Times New Roman" w:hAnsi="Times New Roman" w:cs="Times New Roman"/>
                <w:sz w:val="24"/>
              </w:rPr>
              <w:t>241007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lef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建设地点</w:t>
            </w:r>
          </w:p>
        </w:tc>
        <w:tc>
          <w:tcPr>
            <w:tcW w:w="7910" w:type="dxa"/>
            <w:gridSpan w:val="8"/>
            <w:tcBorders>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eastAsia" w:ascii="Times New Roman" w:hAnsi="Times New Roman" w:cs="Times New Roman"/>
                <w:sz w:val="24"/>
              </w:rPr>
              <w:t>芜湖市芜湖县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802" w:type="dxa"/>
            <w:gridSpan w:val="2"/>
            <w:tcBorders>
              <w:lef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立项审批部门</w:t>
            </w:r>
          </w:p>
        </w:tc>
        <w:tc>
          <w:tcPr>
            <w:tcW w:w="3391" w:type="dxa"/>
            <w:gridSpan w:val="3"/>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pacing w:val="-8"/>
                <w:sz w:val="24"/>
              </w:rPr>
            </w:pPr>
            <w:r>
              <w:rPr>
                <w:rFonts w:hint="eastAsia" w:ascii="Times New Roman" w:hAnsi="Calibri" w:cs="Times New Roman"/>
                <w:sz w:val="24"/>
              </w:rPr>
              <w:t>/</w:t>
            </w:r>
          </w:p>
        </w:tc>
        <w:tc>
          <w:tcPr>
            <w:tcW w:w="1418" w:type="dxa"/>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批准文号</w:t>
            </w:r>
          </w:p>
        </w:tc>
        <w:tc>
          <w:tcPr>
            <w:tcW w:w="2677" w:type="dxa"/>
            <w:gridSpan w:val="3"/>
            <w:tcBorders>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eastAsia" w:ascii="Times New Roman" w:hAnsi="Times New Roman"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lef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建设性质</w:t>
            </w:r>
          </w:p>
        </w:tc>
        <w:tc>
          <w:tcPr>
            <w:tcW w:w="3815" w:type="dxa"/>
            <w:gridSpan w:val="4"/>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宋体" w:cs="Times New Roman"/>
                <w:sz w:val="24"/>
              </w:rPr>
              <w:t>新建</w:t>
            </w:r>
            <w:r>
              <w:rPr>
                <w:rFonts w:hint="default" w:ascii="Times New Roman" w:hAnsi="Times New Roman" w:cs="Times New Roman"/>
                <w:sz w:val="24"/>
              </w:rPr>
              <w:t>■</w:t>
            </w:r>
            <w:r>
              <w:rPr>
                <w:rFonts w:hint="default" w:ascii="Times New Roman" w:hAnsi="宋体" w:cs="Times New Roman"/>
                <w:sz w:val="24"/>
              </w:rPr>
              <w:t>改扩建</w:t>
            </w:r>
            <w:r>
              <w:rPr>
                <w:rFonts w:hint="default" w:ascii="Times New Roman" w:hAnsi="Times New Roman" w:cs="Times New Roman"/>
                <w:sz w:val="24"/>
              </w:rPr>
              <w:t>□</w:t>
            </w:r>
            <w:r>
              <w:rPr>
                <w:rFonts w:hint="default" w:ascii="Times New Roman" w:hAnsi="宋体" w:cs="Times New Roman"/>
                <w:sz w:val="24"/>
              </w:rPr>
              <w:t>技改</w:t>
            </w:r>
            <w:r>
              <w:rPr>
                <w:rFonts w:hint="default" w:ascii="Times New Roman" w:hAnsi="Times New Roman" w:cs="Times New Roman"/>
                <w:sz w:val="24"/>
              </w:rPr>
              <w:t>□</w:t>
            </w:r>
          </w:p>
        </w:tc>
        <w:tc>
          <w:tcPr>
            <w:tcW w:w="1418" w:type="dxa"/>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eastAsia" w:ascii="Times New Roman" w:hAnsi="Times New Roman" w:cs="Times New Roman"/>
                <w:sz w:val="24"/>
              </w:rPr>
            </w:pPr>
            <w:r>
              <w:rPr>
                <w:rFonts w:hint="default" w:ascii="Times New Roman" w:hAnsi="Calibri" w:cs="Times New Roman"/>
                <w:sz w:val="24"/>
              </w:rPr>
              <w:t>行业类型</w:t>
            </w:r>
          </w:p>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及代码</w:t>
            </w:r>
          </w:p>
        </w:tc>
        <w:tc>
          <w:tcPr>
            <w:tcW w:w="2677" w:type="dxa"/>
            <w:gridSpan w:val="3"/>
            <w:tcBorders>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kern w:val="0"/>
                <w:sz w:val="24"/>
              </w:rPr>
            </w:pPr>
            <w:r>
              <w:rPr>
                <w:rFonts w:hint="default" w:ascii="Times New Roman" w:hAnsi="Calibri" w:cs="Times New Roman"/>
                <w:snapToGrid w:val="0"/>
                <w:sz w:val="24"/>
              </w:rPr>
              <w:t>河湖治理及防洪设施工程建筑</w:t>
            </w:r>
            <w:r>
              <w:rPr>
                <w:rFonts w:hint="eastAsia" w:hAnsi="Calibri" w:cs="Times New Roman"/>
                <w:snapToGrid w:val="0"/>
                <w:sz w:val="24"/>
                <w:lang w:val="en-US" w:eastAsia="zh-CN"/>
              </w:rPr>
              <w:t xml:space="preserve"> </w:t>
            </w:r>
            <w:r>
              <w:rPr>
                <w:rFonts w:hint="default" w:ascii="Times New Roman" w:hAnsi="Times New Roman" w:cs="Times New Roman"/>
                <w:snapToGrid w:val="0"/>
                <w:sz w:val="24"/>
              </w:rPr>
              <w:t>E4822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left w:val="single" w:color="auto" w:sz="4" w:space="0"/>
            </w:tcBorders>
            <w:noWrap w:val="0"/>
            <w:vAlign w:val="center"/>
          </w:tcPr>
          <w:p>
            <w:pPr>
              <w:keepNext w:val="0"/>
              <w:keepLines w:val="0"/>
              <w:pageBreakBefore w:val="0"/>
              <w:suppressLineNumbers w:val="0"/>
              <w:kinsoku/>
              <w:wordWrap/>
              <w:topLinePunct w:val="0"/>
              <w:autoSpaceDE/>
              <w:bidi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eastAsia" w:ascii="Times New Roman" w:hAnsi="Calibri" w:cs="Times New Roman"/>
                <w:sz w:val="24"/>
              </w:rPr>
              <w:t>占地</w:t>
            </w:r>
            <w:r>
              <w:rPr>
                <w:rFonts w:hint="default" w:ascii="Times New Roman" w:hAnsi="Calibri" w:cs="Times New Roman"/>
                <w:sz w:val="24"/>
              </w:rPr>
              <w:t>面积</w:t>
            </w:r>
          </w:p>
        </w:tc>
        <w:tc>
          <w:tcPr>
            <w:tcW w:w="3815" w:type="dxa"/>
            <w:gridSpan w:val="4"/>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sz w:val="24"/>
                <w:lang w:eastAsia="zh-CN"/>
              </w:rPr>
            </w:pPr>
            <w:r>
              <w:rPr>
                <w:rFonts w:hint="eastAsia" w:ascii="Times New Roman" w:hAnsi="Times New Roman" w:cs="Times New Roman"/>
                <w:kern w:val="24"/>
                <w:sz w:val="24"/>
              </w:rPr>
              <w:t>18.84km</w:t>
            </w:r>
            <w:r>
              <w:rPr>
                <w:rFonts w:hint="eastAsia" w:cs="Times New Roman"/>
                <w:kern w:val="24"/>
                <w:sz w:val="24"/>
                <w:vertAlign w:val="superscript"/>
                <w:lang w:val="en-US" w:eastAsia="zh-CN"/>
              </w:rPr>
              <w:t>2</w:t>
            </w:r>
          </w:p>
        </w:tc>
        <w:tc>
          <w:tcPr>
            <w:tcW w:w="1418" w:type="dxa"/>
            <w:noWrap w:val="0"/>
            <w:vAlign w:val="center"/>
          </w:tcPr>
          <w:p>
            <w:pPr>
              <w:keepNext w:val="0"/>
              <w:keepLines w:val="0"/>
              <w:pageBreakBefore w:val="0"/>
              <w:suppressLineNumbers w:val="0"/>
              <w:kinsoku/>
              <w:wordWrap/>
              <w:topLinePunct w:val="0"/>
              <w:autoSpaceDE/>
              <w:bidi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绿化面积</w:t>
            </w:r>
          </w:p>
        </w:tc>
        <w:tc>
          <w:tcPr>
            <w:tcW w:w="2677" w:type="dxa"/>
            <w:gridSpan w:val="3"/>
            <w:tcBorders>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eastAsia" w:ascii="Times New Roman" w:hAnsi="Times New Roman"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lef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总投资（万元）</w:t>
            </w:r>
          </w:p>
        </w:tc>
        <w:tc>
          <w:tcPr>
            <w:tcW w:w="2304" w:type="dxa"/>
            <w:gridSpan w:val="2"/>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eastAsia" w:ascii="Times New Roman" w:hAnsi="Times New Roman" w:cs="Times New Roman"/>
                <w:sz w:val="24"/>
              </w:rPr>
              <w:t>877.04</w:t>
            </w:r>
          </w:p>
        </w:tc>
        <w:tc>
          <w:tcPr>
            <w:tcW w:w="1511" w:type="dxa"/>
            <w:gridSpan w:val="2"/>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both"/>
              <w:rPr>
                <w:rFonts w:hint="default" w:ascii="Times New Roman" w:hAnsi="Times New Roman" w:cs="Times New Roman"/>
                <w:sz w:val="24"/>
              </w:rPr>
            </w:pPr>
            <w:r>
              <w:rPr>
                <w:rFonts w:hint="default" w:ascii="Times New Roman" w:hAnsi="Calibri" w:cs="Times New Roman"/>
                <w:sz w:val="24"/>
              </w:rPr>
              <w:t>其中：环保投资（万元）</w:t>
            </w:r>
          </w:p>
        </w:tc>
        <w:tc>
          <w:tcPr>
            <w:tcW w:w="1418" w:type="dxa"/>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38</w:t>
            </w:r>
          </w:p>
        </w:tc>
        <w:tc>
          <w:tcPr>
            <w:tcW w:w="1545" w:type="dxa"/>
            <w:gridSpan w:val="2"/>
            <w:noWrap w:val="0"/>
            <w:vAlign w:val="center"/>
          </w:tcPr>
          <w:p>
            <w:pPr>
              <w:keepNext w:val="0"/>
              <w:keepLines w:val="0"/>
              <w:pageBreakBefore w:val="0"/>
              <w:suppressLineNumbers w:val="0"/>
              <w:kinsoku/>
              <w:wordWrap/>
              <w:topLinePunct w:val="0"/>
              <w:autoSpaceDE/>
              <w:bidi w:val="0"/>
              <w:snapToGrid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环保投资占总投资比例</w:t>
            </w:r>
          </w:p>
        </w:tc>
        <w:tc>
          <w:tcPr>
            <w:tcW w:w="1132" w:type="dxa"/>
            <w:tcBorders>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sz w:val="24"/>
                <w:lang w:val="en-US" w:eastAsia="zh-CN"/>
              </w:rPr>
            </w:pPr>
            <w:r>
              <w:rPr>
                <w:rFonts w:hint="eastAsia" w:ascii="Times New Roman" w:hAnsi="Times New Roman" w:cs="Times New Roman"/>
                <w:sz w:val="24"/>
                <w:lang w:val="en-US" w:eastAsia="zh-CN"/>
              </w:rPr>
              <w:t>4.33%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8" w:type="dxa"/>
            <w:tcBorders>
              <w:lef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评价经费</w:t>
            </w:r>
          </w:p>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（万元）</w:t>
            </w:r>
          </w:p>
        </w:tc>
        <w:tc>
          <w:tcPr>
            <w:tcW w:w="2304" w:type="dxa"/>
            <w:gridSpan w:val="2"/>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Times New Roman" w:cs="Times New Roman"/>
                <w:sz w:val="24"/>
              </w:rPr>
              <w:t>/</w:t>
            </w:r>
          </w:p>
        </w:tc>
        <w:tc>
          <w:tcPr>
            <w:tcW w:w="1511" w:type="dxa"/>
            <w:gridSpan w:val="2"/>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default" w:ascii="Times New Roman" w:hAnsi="Times New Roman" w:cs="Times New Roman"/>
                <w:sz w:val="24"/>
              </w:rPr>
            </w:pPr>
            <w:r>
              <w:rPr>
                <w:rFonts w:hint="default" w:ascii="Times New Roman" w:hAnsi="Calibri" w:cs="Times New Roman"/>
                <w:sz w:val="24"/>
              </w:rPr>
              <w:t>投产日期</w:t>
            </w:r>
          </w:p>
        </w:tc>
        <w:tc>
          <w:tcPr>
            <w:tcW w:w="4095" w:type="dxa"/>
            <w:gridSpan w:val="4"/>
            <w:tcBorders>
              <w:right w:val="single" w:color="auto" w:sz="4" w:space="0"/>
            </w:tcBorders>
            <w:noWrap w:val="0"/>
            <w:vAlign w:val="center"/>
          </w:tcPr>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jc w:val="center"/>
              <w:rPr>
                <w:rFonts w:hint="eastAsia" w:ascii="Times New Roman" w:hAnsi="Times New Roman" w:cs="Times New Roman"/>
                <w:sz w:val="24"/>
              </w:rPr>
            </w:pPr>
            <w:r>
              <w:rPr>
                <w:rFonts w:hint="default" w:ascii="Times New Roman" w:hAnsi="Times New Roman" w:cs="Times New Roman"/>
                <w:sz w:val="24"/>
              </w:rPr>
              <w:t>20</w:t>
            </w:r>
            <w:r>
              <w:rPr>
                <w:rFonts w:hint="eastAsia" w:ascii="Times New Roman" w:hAnsi="Times New Roman" w:cs="Times New Roman"/>
                <w:sz w:val="24"/>
              </w:rPr>
              <w:t>20.6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9288" w:type="dxa"/>
            <w:gridSpan w:val="9"/>
            <w:tcBorders>
              <w:top w:val="single" w:color="auto" w:sz="8" w:space="0"/>
              <w:left w:val="single" w:color="auto" w:sz="4" w:space="0"/>
              <w:bottom w:val="single" w:color="auto" w:sz="8" w:space="0"/>
              <w:right w:val="single" w:color="auto" w:sz="4" w:space="0"/>
            </w:tcBorders>
            <w:noWrap w:val="0"/>
            <w:vAlign w:val="top"/>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textAlignment w:val="auto"/>
              <w:rPr>
                <w:rFonts w:hint="default"/>
              </w:rPr>
            </w:pPr>
            <w:r>
              <w:rPr>
                <w:rFonts w:hint="default"/>
              </w:rPr>
              <w:t>工程内容及规模：</w:t>
            </w:r>
          </w:p>
          <w:p>
            <w:pPr>
              <w:keepNext w:val="0"/>
              <w:keepLines w:val="0"/>
              <w:numPr>
                <w:ilvl w:val="0"/>
                <w:numId w:val="5"/>
              </w:numPr>
              <w:suppressLineNumbers w:val="0"/>
              <w:bidi w:val="0"/>
              <w:spacing w:before="0" w:beforeAutospacing="0" w:after="0" w:afterAutospacing="0"/>
              <w:ind w:right="0"/>
              <w:rPr>
                <w:rFonts w:hint="default"/>
                <w:b/>
                <w:bCs/>
              </w:rPr>
            </w:pPr>
            <w:r>
              <w:rPr>
                <w:rFonts w:hint="eastAsia"/>
                <w:b/>
                <w:bCs/>
              </w:rPr>
              <w:t>项目建设背景</w:t>
            </w:r>
          </w:p>
          <w:p>
            <w:pPr>
              <w:keepNext w:val="0"/>
              <w:keepLines w:val="0"/>
              <w:suppressLineNumbers w:val="0"/>
              <w:bidi w:val="0"/>
              <w:spacing w:before="0" w:beforeAutospacing="0" w:after="0" w:afterAutospacing="0"/>
              <w:ind w:left="0" w:right="0"/>
              <w:rPr>
                <w:rFonts w:hint="eastAsia"/>
              </w:rPr>
            </w:pPr>
            <w:r>
              <w:rPr>
                <w:rFonts w:hint="eastAsia"/>
              </w:rPr>
              <w:t>和平河小流域位于芜湖县东南部丘陵地，座落在芜湖县红杨镇境内，其主要功能是将山丘区来水高水高排进入青弋江，以减轻和平河下游圩区防洪压力。和平河小流域由汤泊河、岗山河及梅溪塘组成，在芜湖县境内流域面积18.84km</w:t>
            </w:r>
            <w:r>
              <w:rPr>
                <w:rFonts w:hint="eastAsia"/>
                <w:vertAlign w:val="superscript"/>
                <w:lang w:val="en-US" w:eastAsia="zh-CN"/>
              </w:rPr>
              <w:t>2</w:t>
            </w:r>
            <w:r>
              <w:rPr>
                <w:rFonts w:hint="eastAsia"/>
              </w:rPr>
              <w:t>。</w:t>
            </w:r>
          </w:p>
          <w:p>
            <w:pPr>
              <w:keepNext w:val="0"/>
              <w:keepLines w:val="0"/>
              <w:suppressLineNumbers w:val="0"/>
              <w:bidi w:val="0"/>
              <w:spacing w:before="0" w:beforeAutospacing="0" w:after="0" w:afterAutospacing="0"/>
              <w:ind w:left="0" w:right="0"/>
              <w:rPr>
                <w:rFonts w:hint="eastAsia"/>
              </w:rPr>
            </w:pPr>
            <w:r>
              <w:rPr>
                <w:rFonts w:hint="eastAsia"/>
              </w:rPr>
              <w:t>和平河小流域的水土流失类型以水力侵蚀为主，表现形式主要为面蚀、沟蚀，集中发生在丘岗区。流域内土壤侵蚀强度以轻度、中度为主。由于流域表土浅薄，土壤抗冲性、抗蚀性较差，易发生滑坡等地质灾害，且因大面积分布松林、竹林，地表腐殖质层良好，虽生态系统稳定，但一旦遭到破坏，难以恢复，水土流失潜在威胁较大。因此，为控制潜在侵蚀危险地区的水土流失强度，防止水土流失加剧，《芜湖市水土保持规划（2016-2030年）》将和平河小流域列入了芜湖市水土流失重点预防区范围。</w:t>
            </w:r>
          </w:p>
          <w:p>
            <w:pPr>
              <w:keepNext w:val="0"/>
              <w:keepLines w:val="0"/>
              <w:suppressLineNumbers w:val="0"/>
              <w:bidi w:val="0"/>
              <w:spacing w:before="0" w:beforeAutospacing="0" w:after="0" w:afterAutospacing="0"/>
              <w:ind w:left="0" w:right="0"/>
              <w:rPr>
                <w:rFonts w:hint="eastAsia"/>
              </w:rPr>
            </w:pPr>
            <w:r>
              <w:rPr>
                <w:rFonts w:hint="eastAsia"/>
                <w:lang w:eastAsia="zh-CN"/>
              </w:rPr>
              <w:t>项目计划对</w:t>
            </w:r>
            <w:r>
              <w:rPr>
                <w:rFonts w:hint="eastAsia"/>
              </w:rPr>
              <w:t>和平河小流域中梅溪塘</w:t>
            </w:r>
            <w:r>
              <w:rPr>
                <w:rFonts w:hint="eastAsia"/>
                <w:lang w:eastAsia="zh-CN"/>
              </w:rPr>
              <w:t>进行</w:t>
            </w:r>
            <w:r>
              <w:rPr>
                <w:rFonts w:hint="eastAsia"/>
              </w:rPr>
              <w:t>综合治理，规划治理范围从南起珩琅山北麓，北至周桥林场，东至与宣州接壤，西至汤泊河入青弋江口，本次建设规模为生态清洁小流域治理面积18.84km</w:t>
            </w:r>
            <w:r>
              <w:rPr>
                <w:rFonts w:hint="eastAsia"/>
                <w:vertAlign w:val="superscript"/>
                <w:lang w:val="en-US" w:eastAsia="zh-CN"/>
              </w:rPr>
              <w:t>2</w:t>
            </w:r>
            <w:r>
              <w:rPr>
                <w:rFonts w:hint="eastAsia"/>
              </w:rPr>
              <w:t>，占全流域面积的10.80%。地理位置图见附图</w:t>
            </w:r>
            <w:r>
              <w:rPr>
                <w:rFonts w:hint="default"/>
              </w:rPr>
              <w:t>1</w:t>
            </w:r>
            <w:r>
              <w:rPr>
                <w:rFonts w:hint="eastAsia"/>
              </w:rPr>
              <w:t>。</w:t>
            </w:r>
          </w:p>
          <w:p>
            <w:pPr>
              <w:keepNext w:val="0"/>
              <w:keepLines w:val="0"/>
              <w:suppressLineNumbers w:val="0"/>
              <w:bidi w:val="0"/>
              <w:spacing w:before="0" w:beforeAutospacing="0" w:after="0" w:afterAutospacing="0"/>
              <w:ind w:left="0" w:right="0"/>
              <w:rPr>
                <w:rFonts w:hint="default"/>
              </w:rPr>
            </w:pPr>
            <w:bookmarkStart w:id="0" w:name="_GoBack"/>
            <w:bookmarkEnd w:id="0"/>
            <w:r>
              <w:rPr>
                <w:rFonts w:hint="eastAsia"/>
              </w:rPr>
              <w:t>该项目初步设计已批复（附件</w:t>
            </w:r>
            <w:r>
              <w:rPr>
                <w:rFonts w:hint="eastAsia"/>
                <w:lang w:val="en-US" w:eastAsia="zh-CN"/>
              </w:rPr>
              <w:t>3</w:t>
            </w:r>
            <w:r>
              <w:rPr>
                <w:rFonts w:hint="eastAsia"/>
              </w:rPr>
              <w:t>）。依据《建设项目环境影响评价分类管理名录》</w:t>
            </w:r>
            <w:r>
              <w:rPr>
                <w:rFonts w:hint="default"/>
              </w:rPr>
              <w:t>（环保部令第</w:t>
            </w:r>
            <w:r>
              <w:rPr>
                <w:rFonts w:hint="eastAsia"/>
              </w:rPr>
              <w:t>44</w:t>
            </w:r>
            <w:r>
              <w:rPr>
                <w:rFonts w:hint="default"/>
              </w:rPr>
              <w:t>号</w:t>
            </w:r>
            <w:r>
              <w:rPr>
                <w:rFonts w:hint="eastAsia"/>
              </w:rPr>
              <w:t>（</w:t>
            </w:r>
            <w:r>
              <w:rPr>
                <w:rFonts w:hint="default"/>
              </w:rPr>
              <w:t>201</w:t>
            </w:r>
            <w:r>
              <w:rPr>
                <w:rFonts w:hint="eastAsia"/>
              </w:rPr>
              <w:t>7））</w:t>
            </w:r>
            <w:r>
              <w:rPr>
                <w:rFonts w:hint="default"/>
              </w:rPr>
              <w:t>及</w:t>
            </w:r>
            <w:r>
              <w:rPr>
                <w:rFonts w:hint="eastAsia"/>
              </w:rPr>
              <w:t>（生态环境部令第1号（2018））有关规定，本项目属于“四十六</w:t>
            </w:r>
            <w:r>
              <w:rPr>
                <w:rFonts w:hint="default"/>
              </w:rPr>
              <w:t>、</w:t>
            </w:r>
            <w:r>
              <w:rPr>
                <w:rFonts w:hint="eastAsia"/>
              </w:rPr>
              <w:t>水利”中“14</w:t>
            </w:r>
            <w:r>
              <w:rPr>
                <w:rFonts w:hint="eastAsia"/>
                <w:lang w:val="en-US" w:eastAsia="zh-CN"/>
              </w:rPr>
              <w:t>4</w:t>
            </w:r>
            <w:r>
              <w:rPr>
                <w:rFonts w:hint="eastAsia"/>
              </w:rPr>
              <w:t>防洪治涝工程--其他”及“145河湖整治--其他”类别，故编制环境影响报告表，为此芜湖县水务局委托</w:t>
            </w:r>
            <w:r>
              <w:rPr>
                <w:rFonts w:hint="eastAsia"/>
                <w:lang w:eastAsia="zh-CN"/>
              </w:rPr>
              <w:t>我</w:t>
            </w:r>
            <w:r>
              <w:rPr>
                <w:rFonts w:hint="eastAsia"/>
              </w:rPr>
              <w:t>公司承担本项目环境影响报告表的编制工作。我单位接受委托后，在查阅相关资料和现场勘查的基础上编制了本环境影响报告。</w:t>
            </w:r>
          </w:p>
          <w:p>
            <w:pPr>
              <w:keepNext w:val="0"/>
              <w:keepLines w:val="0"/>
              <w:numPr>
                <w:ilvl w:val="0"/>
                <w:numId w:val="5"/>
              </w:numPr>
              <w:suppressLineNumbers w:val="0"/>
              <w:bidi w:val="0"/>
              <w:spacing w:before="0" w:beforeAutospacing="0" w:after="0" w:afterAutospacing="0"/>
              <w:ind w:right="0"/>
              <w:rPr>
                <w:rFonts w:hint="default"/>
                <w:b/>
                <w:bCs/>
              </w:rPr>
            </w:pPr>
            <w:r>
              <w:rPr>
                <w:rFonts w:hint="eastAsia"/>
                <w:b/>
                <w:bCs/>
              </w:rPr>
              <w:t>项目概况</w:t>
            </w:r>
          </w:p>
          <w:p>
            <w:pPr>
              <w:keepNext w:val="0"/>
              <w:keepLines w:val="0"/>
              <w:suppressLineNumbers w:val="0"/>
              <w:bidi w:val="0"/>
              <w:spacing w:before="0" w:beforeAutospacing="0" w:after="0" w:afterAutospacing="0"/>
              <w:ind w:left="0" w:right="0"/>
              <w:rPr>
                <w:rFonts w:hint="default"/>
              </w:rPr>
            </w:pPr>
            <w:r>
              <w:rPr>
                <w:rFonts w:hint="default"/>
              </w:rPr>
              <w:t>项目名称：芜湖县和平河生态清洁小流域建设；</w:t>
            </w:r>
          </w:p>
          <w:p>
            <w:pPr>
              <w:keepNext w:val="0"/>
              <w:keepLines w:val="0"/>
              <w:suppressLineNumbers w:val="0"/>
              <w:bidi w:val="0"/>
              <w:spacing w:before="0" w:beforeAutospacing="0" w:after="0" w:afterAutospacing="0"/>
              <w:ind w:left="0" w:right="0"/>
              <w:rPr>
                <w:rFonts w:hint="default"/>
              </w:rPr>
            </w:pPr>
            <w:r>
              <w:rPr>
                <w:rFonts w:hint="default"/>
              </w:rPr>
              <w:t>行业类别：河湖治理及防洪设施工程建筑 E4822；</w:t>
            </w:r>
          </w:p>
          <w:p>
            <w:pPr>
              <w:keepNext w:val="0"/>
              <w:keepLines w:val="0"/>
              <w:suppressLineNumbers w:val="0"/>
              <w:bidi w:val="0"/>
              <w:spacing w:before="0" w:beforeAutospacing="0" w:after="0" w:afterAutospacing="0"/>
              <w:ind w:left="0" w:right="0"/>
              <w:rPr>
                <w:rFonts w:hint="default"/>
              </w:rPr>
            </w:pPr>
            <w:r>
              <w:rPr>
                <w:rFonts w:hint="default"/>
              </w:rPr>
              <w:t>项目性质：新建；</w:t>
            </w:r>
          </w:p>
          <w:p>
            <w:pPr>
              <w:keepNext w:val="0"/>
              <w:keepLines w:val="0"/>
              <w:suppressLineNumbers w:val="0"/>
              <w:bidi w:val="0"/>
              <w:spacing w:before="0" w:beforeAutospacing="0" w:after="0" w:afterAutospacing="0"/>
              <w:ind w:left="0" w:right="0"/>
              <w:rPr>
                <w:rFonts w:hint="default"/>
              </w:rPr>
            </w:pPr>
            <w:r>
              <w:rPr>
                <w:rFonts w:hint="default"/>
              </w:rPr>
              <w:t>建设地址：芜湖市芜湖县；</w:t>
            </w:r>
          </w:p>
          <w:p>
            <w:pPr>
              <w:keepNext w:val="0"/>
              <w:keepLines w:val="0"/>
              <w:suppressLineNumbers w:val="0"/>
              <w:bidi w:val="0"/>
              <w:spacing w:before="0" w:beforeAutospacing="0" w:after="0" w:afterAutospacing="0"/>
              <w:ind w:left="0" w:right="0"/>
              <w:rPr>
                <w:rFonts w:hint="default"/>
                <w:color w:val="auto"/>
              </w:rPr>
            </w:pPr>
            <w:r>
              <w:rPr>
                <w:rFonts w:hint="default"/>
              </w:rPr>
              <w:t>投资总额：</w:t>
            </w:r>
            <w:r>
              <w:rPr>
                <w:rFonts w:hint="default"/>
                <w:color w:val="auto"/>
              </w:rPr>
              <w:t>877.04万元，其中环保投资</w:t>
            </w:r>
            <w:r>
              <w:rPr>
                <w:rFonts w:hint="eastAsia"/>
                <w:color w:val="auto"/>
                <w:lang w:val="en-US" w:eastAsia="zh-CN"/>
              </w:rPr>
              <w:t>38</w:t>
            </w:r>
            <w:r>
              <w:rPr>
                <w:rFonts w:hint="default"/>
                <w:color w:val="auto"/>
              </w:rPr>
              <w:t>万元；</w:t>
            </w:r>
          </w:p>
          <w:p>
            <w:pPr>
              <w:keepNext w:val="0"/>
              <w:keepLines w:val="0"/>
              <w:numPr>
                <w:ilvl w:val="0"/>
                <w:numId w:val="5"/>
              </w:numPr>
              <w:suppressLineNumbers w:val="0"/>
              <w:bidi w:val="0"/>
              <w:spacing w:before="0" w:beforeAutospacing="0" w:after="0" w:afterAutospacing="0"/>
              <w:ind w:right="0"/>
              <w:rPr>
                <w:rFonts w:hint="default"/>
                <w:b/>
                <w:bCs/>
              </w:rPr>
            </w:pPr>
            <w:r>
              <w:rPr>
                <w:rFonts w:hint="eastAsia"/>
                <w:b/>
                <w:bCs/>
                <w:lang w:eastAsia="zh-CN"/>
              </w:rPr>
              <w:t>建设</w:t>
            </w:r>
            <w:r>
              <w:rPr>
                <w:rFonts w:hint="eastAsia"/>
                <w:b/>
                <w:bCs/>
              </w:rPr>
              <w:t>内容及规模</w:t>
            </w:r>
          </w:p>
          <w:p>
            <w:pPr>
              <w:keepNext w:val="0"/>
              <w:keepLines w:val="0"/>
              <w:suppressLineNumbers w:val="0"/>
              <w:bidi w:val="0"/>
              <w:spacing w:before="0" w:beforeAutospacing="0" w:after="0" w:afterAutospacing="0"/>
              <w:ind w:left="0" w:right="0"/>
              <w:rPr>
                <w:rFonts w:hint="eastAsia"/>
              </w:rPr>
            </w:pPr>
            <w:r>
              <w:rPr>
                <w:rFonts w:hint="eastAsia"/>
              </w:rPr>
              <w:t>根据和平河生态清洁小流域实施方案，为保证改善小流域水质、减少出口泥沙为主要目标，通过综合治理，使流域内水土流失得到控制和减轻，生态环境、人居环境得到较大改善，本次工程设计的主要内容包括：</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ind w:left="0" w:leftChars="0" w:right="0" w:firstLine="482" w:firstLineChars="200"/>
              <w:textAlignment w:val="auto"/>
              <w:rPr>
                <w:rFonts w:hint="default"/>
                <w:b/>
                <w:bCs/>
              </w:rPr>
            </w:pPr>
            <w:r>
              <w:rPr>
                <w:rFonts w:hint="eastAsia"/>
                <w:b/>
                <w:bCs/>
                <w:lang w:eastAsia="zh-CN"/>
              </w:rPr>
              <w:t>生态修复区</w:t>
            </w:r>
          </w:p>
          <w:p>
            <w:pPr>
              <w:keepNext w:val="0"/>
              <w:keepLines w:val="0"/>
              <w:suppressLineNumbers w:val="0"/>
              <w:spacing w:before="0" w:beforeAutospacing="0" w:after="0" w:afterAutospacing="0"/>
              <w:ind w:left="0" w:right="0"/>
              <w:rPr>
                <w:rFonts w:hint="default"/>
              </w:rPr>
            </w:pPr>
            <w:r>
              <w:rPr>
                <w:rFonts w:hint="default"/>
              </w:rPr>
              <w:t>在划定的生态自然修复区范围内，选择符合条件的地块进行封山育林，和平河小流域封禁治理面积1282hm</w:t>
            </w:r>
            <w:r>
              <w:rPr>
                <w:rFonts w:hint="eastAsia" w:ascii="Times New Roman" w:eastAsia="宋体"/>
                <w:vertAlign w:val="superscript"/>
                <w:lang w:val="en-US" w:eastAsia="zh-CN"/>
              </w:rPr>
              <w:t>2</w:t>
            </w:r>
            <w:r>
              <w:rPr>
                <w:rFonts w:hint="default"/>
              </w:rPr>
              <w:t>，共分4片，分别为珩琅山北麓、岗山林场、江家山林场、周桥林场。封禁范围内，共需设置小型封禁标志牌6块。标志牌为采用LF2-M型铝合金制作而成，设计尺寸为80×40cm，立柱采用8×8cm不锈方钢，高度110cm。</w:t>
            </w:r>
          </w:p>
          <w:p>
            <w:pPr>
              <w:keepNext w:val="0"/>
              <w:keepLines w:val="0"/>
              <w:numPr>
                <w:ilvl w:val="0"/>
                <w:numId w:val="6"/>
              </w:numPr>
              <w:suppressLineNumbers w:val="0"/>
              <w:bidi w:val="0"/>
              <w:spacing w:before="0" w:beforeAutospacing="0" w:after="0" w:afterAutospacing="0"/>
              <w:ind w:left="0" w:leftChars="0" w:right="0" w:firstLine="482" w:firstLineChars="200"/>
              <w:rPr>
                <w:rFonts w:hint="default"/>
                <w:b/>
                <w:bCs/>
              </w:rPr>
            </w:pPr>
            <w:r>
              <w:rPr>
                <w:rFonts w:hint="default"/>
                <w:b/>
                <w:bCs/>
              </w:rPr>
              <w:t>梅溪塘综合治理区</w:t>
            </w:r>
          </w:p>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塘坝整治</w:t>
            </w:r>
          </w:p>
          <w:p>
            <w:pPr>
              <w:keepNext w:val="0"/>
              <w:keepLines w:val="0"/>
              <w:suppressLineNumbers w:val="0"/>
              <w:bidi w:val="0"/>
              <w:spacing w:before="0" w:beforeAutospacing="0" w:after="0" w:afterAutospacing="0"/>
              <w:ind w:left="0" w:right="0"/>
              <w:rPr>
                <w:rFonts w:hint="default"/>
              </w:rPr>
            </w:pPr>
            <w:r>
              <w:rPr>
                <w:rFonts w:hint="default"/>
              </w:rPr>
              <w:t>梅溪冲共有两座塘坝，上、下游相距约160m，总塘容约20.4万m</w:t>
            </w:r>
            <w:r>
              <w:rPr>
                <w:rFonts w:hint="eastAsia" w:ascii="Times New Roman" w:eastAsia="宋体"/>
                <w:vertAlign w:val="superscript"/>
                <w:lang w:val="en-US" w:eastAsia="zh-CN"/>
              </w:rPr>
              <w:t>3</w:t>
            </w:r>
            <w:r>
              <w:rPr>
                <w:rFonts w:hint="default"/>
              </w:rPr>
              <w:t>，上游1#塘容约0.5万m</w:t>
            </w:r>
            <w:r>
              <w:rPr>
                <w:rFonts w:hint="default"/>
                <w:vertAlign w:val="superscript"/>
              </w:rPr>
              <w:t>3</w:t>
            </w:r>
            <w:r>
              <w:rPr>
                <w:rFonts w:hint="default"/>
              </w:rPr>
              <w:t>，下游2#塘容约19.9万m</w:t>
            </w:r>
            <w:r>
              <w:rPr>
                <w:rFonts w:hint="default"/>
                <w:vertAlign w:val="superscript"/>
              </w:rPr>
              <w:t>3</w:t>
            </w:r>
            <w:r>
              <w:rPr>
                <w:rFonts w:hint="default"/>
              </w:rPr>
              <w:t>，来水面积约1.09km</w:t>
            </w:r>
            <w:r>
              <w:rPr>
                <w:rFonts w:hint="eastAsia" w:ascii="Times New Roman" w:eastAsia="宋体"/>
                <w:vertAlign w:val="superscript"/>
                <w:lang w:val="en-US" w:eastAsia="zh-CN"/>
              </w:rPr>
              <w:t>2</w:t>
            </w:r>
            <w:r>
              <w:rPr>
                <w:rFonts w:hint="default"/>
              </w:rPr>
              <w:t>。两塘中间是冲田（非耕地）连接，四周塘埂处于自然状态，溢流堰破损，放水底涵漏水严重，塘坝蓄水量有限；塘埂在2016年汛期曾溃埂。本次拟扩挖、整治塘坝，将两塘之间的冲田挖至设计塘底，两塘之间设置溢流堰，改建2#塘溢流堰，挖除底涵，整修塘埂，对于塘四周进行生态砌护。</w:t>
            </w:r>
          </w:p>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沟渠整治</w:t>
            </w:r>
          </w:p>
          <w:p>
            <w:pPr>
              <w:keepNext w:val="0"/>
              <w:keepLines w:val="0"/>
              <w:suppressLineNumbers w:val="0"/>
              <w:bidi w:val="0"/>
              <w:spacing w:before="0" w:beforeAutospacing="0" w:after="0" w:afterAutospacing="0"/>
              <w:ind w:left="0" w:right="0"/>
              <w:rPr>
                <w:rFonts w:hint="default"/>
              </w:rPr>
            </w:pPr>
            <w:r>
              <w:rPr>
                <w:rFonts w:hint="default"/>
              </w:rPr>
              <w:t>项目拟对梅溪冲及村庄内8条长度1342m排水沟进行整治。</w:t>
            </w:r>
          </w:p>
          <w:p>
            <w:pPr>
              <w:keepNext w:val="0"/>
              <w:keepLines w:val="0"/>
              <w:numPr>
                <w:ilvl w:val="0"/>
                <w:numId w:val="8"/>
              </w:numPr>
              <w:suppressLineNumbers w:val="0"/>
              <w:bidi w:val="0"/>
              <w:spacing w:before="0" w:beforeAutospacing="0" w:after="0" w:afterAutospacing="0"/>
              <w:ind w:right="0"/>
              <w:rPr>
                <w:rFonts w:hint="default"/>
              </w:rPr>
            </w:pPr>
            <w:r>
              <w:rPr>
                <w:rFonts w:hint="default"/>
              </w:rPr>
              <w:t>南侧排水沟（G1）:位于冲田的南侧，上接2#塘溢流堰，下归于G3排水沟，全长330m，现状沟底落差2.8m，拟布置7道跌水，以形成跌水景观；经计算满足十年一遇的排水标准，堰顶水深0.35m，因此，本沟道采用宽浅式梯形断面，底部宽度与2#塘溢流堰等宽，底部宽度2.3m，两岸采用浆砌鹅卵石护坡，高度0.45m，上采用满铺百慕大草皮；沿冲田侧设置2m宽的游步道，游步道高于冲田0.5m。沿沟道两岸种植挺水水生植物，品种有：水生美人蕉、黄菖蒲、花叶芦竹、水葱、再力花、水生鸢尾，宽度30cm，底部间隔分布鹅卵石。</w:t>
            </w:r>
          </w:p>
          <w:p>
            <w:pPr>
              <w:keepNext w:val="0"/>
              <w:keepLines w:val="0"/>
              <w:numPr>
                <w:ilvl w:val="0"/>
                <w:numId w:val="8"/>
              </w:numPr>
              <w:suppressLineNumbers w:val="0"/>
              <w:bidi w:val="0"/>
              <w:spacing w:before="0" w:beforeAutospacing="0" w:after="0" w:afterAutospacing="0"/>
              <w:ind w:right="0"/>
              <w:rPr>
                <w:rFonts w:hint="default"/>
              </w:rPr>
            </w:pPr>
            <w:r>
              <w:rPr>
                <w:rFonts w:hint="default"/>
              </w:rPr>
              <w:t>北侧排水沟（G2）：位于冲田的北侧，主要承接丘陵地来水，其来水面积1.06km²，按照十年一遇标准设计，现状沟底高差2.60m，经试算，沟道底部宽度0.8m，正常水深0.62m，设计沟深0.70m，沿冲田侧布置2.0m宽度游步道。沟道两岸下部也采用浆砌鹅卵石护坡，上部草皮护坡。</w:t>
            </w:r>
          </w:p>
          <w:p>
            <w:pPr>
              <w:keepNext w:val="0"/>
              <w:keepLines w:val="0"/>
              <w:numPr>
                <w:ilvl w:val="0"/>
                <w:numId w:val="8"/>
              </w:numPr>
              <w:suppressLineNumbers w:val="0"/>
              <w:bidi w:val="0"/>
              <w:spacing w:before="0" w:beforeAutospacing="0" w:after="0" w:afterAutospacing="0"/>
              <w:ind w:right="0"/>
              <w:rPr>
                <w:rFonts w:hint="default"/>
              </w:rPr>
            </w:pPr>
            <w:r>
              <w:rPr>
                <w:rFonts w:hint="default"/>
              </w:rPr>
              <w:t>新开排水沟（XG1、XG2）：承接G1与G2的来水，顺直开连接下游沟塘，设计沟底宽度2.0m，正常水深1.0m，设计沟深1.3m，两侧采用草皮护坡。</w:t>
            </w:r>
          </w:p>
          <w:p>
            <w:pPr>
              <w:keepNext w:val="0"/>
              <w:keepLines w:val="0"/>
              <w:numPr>
                <w:ilvl w:val="0"/>
                <w:numId w:val="8"/>
              </w:numPr>
              <w:suppressLineNumbers w:val="0"/>
              <w:bidi w:val="0"/>
              <w:spacing w:before="0" w:beforeAutospacing="0" w:after="0" w:afterAutospacing="0"/>
              <w:ind w:right="0"/>
              <w:rPr>
                <w:rFonts w:hint="default"/>
              </w:rPr>
            </w:pPr>
            <w:r>
              <w:rPr>
                <w:rFonts w:hint="default"/>
              </w:rPr>
              <w:t>村庄内排水沟（G3、G4、G5、G6）：沿梅溪塘村庄南侧布置，现状有排水沟雏形，按照设计断面开挖后，比降随地形走势，采用浆砌鹅卵石护坡。</w:t>
            </w:r>
          </w:p>
          <w:p>
            <w:pPr>
              <w:keepNext w:val="0"/>
              <w:keepLines w:val="0"/>
              <w:numPr>
                <w:ilvl w:val="0"/>
                <w:numId w:val="8"/>
              </w:numPr>
              <w:suppressLineNumbers w:val="0"/>
              <w:bidi w:val="0"/>
              <w:spacing w:before="0" w:beforeAutospacing="0" w:after="0" w:afterAutospacing="0"/>
              <w:ind w:right="0"/>
              <w:rPr>
                <w:rFonts w:hint="default"/>
              </w:rPr>
            </w:pPr>
            <w:r>
              <w:rPr>
                <w:rFonts w:hint="default"/>
              </w:rPr>
              <w:t>黄金坝放水沟（G7）:位于梅溪塘冲东南侧，紧靠湾西公路，原接纳上部丘陵地来水，其南侧即为黄金坝撇洪沟；为了保证水流连续性，拟在与撇洪沟结合部新建控制闸，引水至沟内。现状沟底高差0.80m，考虑现状沟宽不一，沟底比降也有差异，拟分为两段设计，上段沟底宽度1.2m，下段沟底宽度1.5m，现状沟宽大于设计值时，维持原状，仅进行修坡，正常水深0.60m，设计够深0.70m，下部也采用浆砌鹅卵石护坡，上部草皮护坡。</w:t>
            </w:r>
          </w:p>
          <w:p>
            <w:pPr>
              <w:keepNext w:val="0"/>
              <w:keepLines w:val="0"/>
              <w:numPr>
                <w:ilvl w:val="0"/>
                <w:numId w:val="8"/>
              </w:numPr>
              <w:suppressLineNumbers w:val="0"/>
              <w:bidi w:val="0"/>
              <w:spacing w:before="0" w:beforeAutospacing="0" w:after="0" w:afterAutospacing="0"/>
              <w:ind w:right="0"/>
              <w:rPr>
                <w:rFonts w:hint="default"/>
              </w:rPr>
            </w:pPr>
            <w:r>
              <w:rPr>
                <w:rFonts w:hint="default"/>
              </w:rPr>
              <w:t>玫瑰区排水沟（G8）：位于玫瑰区进场入口北侧，水流冲涮，边坡坍塌。对于现状排水沟进行整治后，下部也采用浆砌鹅卵石护坡，上部草皮护坡。</w:t>
            </w:r>
          </w:p>
          <w:p>
            <w:pPr>
              <w:keepNext w:val="0"/>
              <w:keepLines w:val="0"/>
              <w:suppressLineNumbers w:val="0"/>
              <w:bidi w:val="0"/>
              <w:spacing w:before="0" w:beforeAutospacing="0" w:after="0" w:afterAutospacing="0"/>
              <w:ind w:left="0" w:right="0"/>
              <w:rPr>
                <w:rFonts w:hint="default"/>
              </w:rPr>
            </w:pPr>
            <w:r>
              <w:rPr>
                <w:rFonts w:hint="default"/>
              </w:rPr>
              <w:t>以上8条沟渠的总长度1342m。由于项目沟渠位于冲田之中，设计是按照十年一遇排水标准，出现超标准来水，将形成漫冲过水。</w:t>
            </w:r>
          </w:p>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村庄周边道路</w:t>
            </w:r>
          </w:p>
          <w:p>
            <w:pPr>
              <w:keepNext w:val="0"/>
              <w:keepLines w:val="0"/>
              <w:suppressLineNumbers w:val="0"/>
              <w:bidi w:val="0"/>
              <w:spacing w:before="0" w:beforeAutospacing="0" w:after="0" w:afterAutospacing="0"/>
              <w:ind w:left="0" w:right="0"/>
              <w:rPr>
                <w:rFonts w:hint="default"/>
              </w:rPr>
            </w:pPr>
            <w:r>
              <w:rPr>
                <w:rFonts w:hint="default"/>
              </w:rPr>
              <w:t>为改善村民出行条件，根据当地村镇建设规划，结合本次生态清洁小流域建设，对村周边路面不平、径流冲刷严重的农路实施硬化，并在道路两侧布设排水沟、栽植绿化植物。</w:t>
            </w:r>
          </w:p>
          <w:p>
            <w:pPr>
              <w:keepNext w:val="0"/>
              <w:keepLines w:val="0"/>
              <w:suppressLineNumbers w:val="0"/>
              <w:bidi w:val="0"/>
              <w:spacing w:before="0" w:beforeAutospacing="0" w:after="0" w:afterAutospacing="0"/>
              <w:ind w:left="0" w:right="0"/>
              <w:rPr>
                <w:rFonts w:hint="default"/>
              </w:rPr>
            </w:pPr>
            <w:r>
              <w:rPr>
                <w:rFonts w:hint="default"/>
              </w:rPr>
              <w:t>设计路面分为两类：一是砂石路面，主要是村庄附近丘陵地中林间道路，通往龟山林场的道路；二是沥青混凝土路面，主要是梅溪塘区域内现有砂石路面，改为沥青路面，其中玫瑰区一段道路采用彩色沥青。</w:t>
            </w:r>
          </w:p>
          <w:p>
            <w:pPr>
              <w:keepNext w:val="0"/>
              <w:keepLines w:val="0"/>
              <w:suppressLineNumbers w:val="0"/>
              <w:bidi w:val="0"/>
              <w:spacing w:before="0" w:beforeAutospacing="0" w:after="0" w:afterAutospacing="0"/>
              <w:ind w:left="0" w:right="0"/>
              <w:rPr>
                <w:rFonts w:hint="default"/>
              </w:rPr>
            </w:pPr>
            <w:r>
              <w:rPr>
                <w:rFonts w:hint="default"/>
              </w:rPr>
              <w:t>道路的结构型式：</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default"/>
              </w:rPr>
            </w:pPr>
            <w:r>
              <w:rPr>
                <w:rFonts w:hint="default"/>
              </w:rPr>
              <w:t>砂石路面：</w:t>
            </w:r>
          </w:p>
          <w:p>
            <w:pPr>
              <w:keepNext w:val="0"/>
              <w:keepLines w:val="0"/>
              <w:suppressLineNumbers w:val="0"/>
              <w:bidi w:val="0"/>
              <w:spacing w:before="0" w:beforeAutospacing="0" w:after="0" w:afterAutospacing="0"/>
              <w:ind w:left="0" w:right="0"/>
              <w:rPr>
                <w:rFonts w:hint="default"/>
              </w:rPr>
            </w:pPr>
            <w:r>
              <w:rPr>
                <w:rFonts w:hint="default"/>
              </w:rPr>
              <w:t>路面宽度2.5m，160mm手摆石基层+60mm碎石与粘土混合料+20mm碎屑与粘土混合料。</w:t>
            </w:r>
          </w:p>
          <w:p>
            <w:pPr>
              <w:keepNext w:val="0"/>
              <w:keepLines w:val="0"/>
              <w:pageBreakBefore w:val="0"/>
              <w:widowControl w:val="0"/>
              <w:numPr>
                <w:ilvl w:val="0"/>
                <w:numId w:val="9"/>
              </w:numPr>
              <w:suppressLineNumbers w:val="0"/>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default"/>
              </w:rPr>
            </w:pPr>
            <w:r>
              <w:rPr>
                <w:rFonts w:hint="default"/>
              </w:rPr>
              <w:t>沥青路面：</w:t>
            </w:r>
          </w:p>
          <w:p>
            <w:pPr>
              <w:keepNext w:val="0"/>
              <w:keepLines w:val="0"/>
              <w:suppressLineNumbers w:val="0"/>
              <w:bidi w:val="0"/>
              <w:spacing w:before="0" w:beforeAutospacing="0" w:after="0" w:afterAutospacing="0"/>
              <w:ind w:left="0" w:right="0"/>
              <w:rPr>
                <w:rFonts w:hint="default"/>
              </w:rPr>
            </w:pPr>
            <w:r>
              <w:rPr>
                <w:rFonts w:hint="default"/>
              </w:rPr>
              <w:t>路面宽2.50m，路面结构为15cm厚级配碎石+15cm厚水稳层+5cm厚中粒式沥青混凝土路面；两侧路肩采用草皮满铺。</w:t>
            </w:r>
          </w:p>
          <w:p>
            <w:pPr>
              <w:keepNext w:val="0"/>
              <w:keepLines w:val="0"/>
              <w:suppressLineNumbers w:val="0"/>
              <w:bidi w:val="0"/>
              <w:spacing w:before="0" w:beforeAutospacing="0" w:after="0" w:afterAutospacing="0"/>
              <w:ind w:left="0" w:right="0"/>
              <w:rPr>
                <w:rFonts w:hint="default"/>
              </w:rPr>
            </w:pPr>
            <w:r>
              <w:rPr>
                <w:rFonts w:hint="default"/>
              </w:rPr>
              <w:t>为了满足排除丘陵上部来水要求，分段设置d200钢管过路涵。本次共铺设林（田）间道路总长2739m，其中：砂石路面771m，沥青混凝土路面1968m（含彩色沥青122m）。</w:t>
            </w:r>
          </w:p>
          <w:p>
            <w:pPr>
              <w:pStyle w:val="15"/>
              <w:keepNext w:val="0"/>
              <w:keepLines w:val="0"/>
              <w:suppressLineNumbers w:val="0"/>
              <w:bidi w:val="0"/>
              <w:spacing w:before="0" w:beforeAutospacing="0" w:after="0" w:afterAutospacing="0"/>
              <w:ind w:left="0" w:right="0" w:firstLine="0"/>
              <w:rPr>
                <w:rFonts w:hint="default"/>
              </w:rPr>
            </w:pPr>
            <w:r>
              <w:rPr>
                <w:rFonts w:hint="default"/>
              </w:rPr>
              <w:t>道路工程内容表</w:t>
            </w:r>
          </w:p>
          <w:tbl>
            <w:tblPr>
              <w:tblStyle w:val="10"/>
              <w:tblW w:w="5000" w:type="pct"/>
              <w:jc w:val="center"/>
              <w:shd w:val="clear" w:color="auto" w:fill="auto"/>
              <w:tblLayout w:type="autofit"/>
              <w:tblCellMar>
                <w:top w:w="0" w:type="dxa"/>
                <w:left w:w="108" w:type="dxa"/>
                <w:bottom w:w="0" w:type="dxa"/>
                <w:right w:w="108" w:type="dxa"/>
              </w:tblCellMar>
            </w:tblPr>
            <w:tblGrid>
              <w:gridCol w:w="1770"/>
              <w:gridCol w:w="2034"/>
              <w:gridCol w:w="2237"/>
              <w:gridCol w:w="1404"/>
              <w:gridCol w:w="1627"/>
            </w:tblGrid>
            <w:tr>
              <w:tblPrEx>
                <w:shd w:val="clear" w:color="auto" w:fill="auto"/>
                <w:tblCellMar>
                  <w:top w:w="0" w:type="dxa"/>
                  <w:left w:w="108" w:type="dxa"/>
                  <w:bottom w:w="0" w:type="dxa"/>
                  <w:right w:w="108" w:type="dxa"/>
                </w:tblCellMar>
              </w:tblPrEx>
              <w:trPr>
                <w:trHeight w:val="312" w:hRule="atLeast"/>
                <w:jc w:val="center"/>
              </w:trPr>
              <w:tc>
                <w:tcPr>
                  <w:tcW w:w="17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工程名称</w:t>
                  </w:r>
                </w:p>
              </w:tc>
              <w:tc>
                <w:tcPr>
                  <w:tcW w:w="2000" w:type="dxa"/>
                  <w:vMerge w:val="restart"/>
                  <w:tcBorders>
                    <w:top w:val="single" w:color="auto" w:sz="4" w:space="0"/>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工程内容</w:t>
                  </w:r>
                </w:p>
              </w:tc>
              <w:tc>
                <w:tcPr>
                  <w:tcW w:w="2200" w:type="dxa"/>
                  <w:vMerge w:val="restart"/>
                  <w:tcBorders>
                    <w:top w:val="single" w:color="auto" w:sz="4" w:space="0"/>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备注</w:t>
                  </w:r>
                </w:p>
              </w:tc>
              <w:tc>
                <w:tcPr>
                  <w:tcW w:w="1380" w:type="dxa"/>
                  <w:vMerge w:val="restart"/>
                  <w:tcBorders>
                    <w:top w:val="single" w:color="auto" w:sz="4" w:space="0"/>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位置</w:t>
                  </w:r>
                </w:p>
              </w:tc>
              <w:tc>
                <w:tcPr>
                  <w:tcW w:w="1600" w:type="dxa"/>
                  <w:vMerge w:val="restart"/>
                  <w:tcBorders>
                    <w:top w:val="single" w:color="auto" w:sz="4" w:space="0"/>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长度（m）</w:t>
                  </w:r>
                </w:p>
              </w:tc>
            </w:tr>
            <w:tr>
              <w:tblPrEx>
                <w:shd w:val="clear" w:color="auto" w:fill="auto"/>
                <w:tblCellMar>
                  <w:top w:w="0" w:type="dxa"/>
                  <w:left w:w="108" w:type="dxa"/>
                  <w:bottom w:w="0" w:type="dxa"/>
                  <w:right w:w="108" w:type="dxa"/>
                </w:tblCellMar>
              </w:tblPrEx>
              <w:trPr>
                <w:trHeight w:val="312" w:hRule="atLeast"/>
                <w:jc w:val="center"/>
              </w:trPr>
              <w:tc>
                <w:tcPr>
                  <w:tcW w:w="1740" w:type="dxa"/>
                  <w:vMerge w:val="continue"/>
                  <w:tcBorders>
                    <w:top w:val="nil"/>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000" w:type="dxa"/>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200" w:type="dxa"/>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380" w:type="dxa"/>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600" w:type="dxa"/>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shd w:val="clear" w:color="auto" w:fill="auto"/>
                <w:tblCellMar>
                  <w:top w:w="0" w:type="dxa"/>
                  <w:left w:w="108" w:type="dxa"/>
                  <w:bottom w:w="0" w:type="dxa"/>
                  <w:right w:w="108" w:type="dxa"/>
                </w:tblCellMar>
              </w:tblPrEx>
              <w:trPr>
                <w:trHeight w:val="23" w:hRule="atLeast"/>
                <w:jc w:val="center"/>
              </w:trPr>
              <w:tc>
                <w:tcPr>
                  <w:tcW w:w="1740" w:type="dxa"/>
                  <w:vMerge w:val="restart"/>
                  <w:tcBorders>
                    <w:top w:val="nil"/>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道路工程</w:t>
                  </w:r>
                </w:p>
              </w:tc>
              <w:tc>
                <w:tcPr>
                  <w:tcW w:w="20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L1沥青</w:t>
                  </w:r>
                </w:p>
              </w:tc>
              <w:tc>
                <w:tcPr>
                  <w:tcW w:w="22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黑色沥青</w:t>
                  </w:r>
                </w:p>
              </w:tc>
              <w:tc>
                <w:tcPr>
                  <w:tcW w:w="138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撇洪沟埂</w:t>
                  </w:r>
                </w:p>
              </w:tc>
              <w:tc>
                <w:tcPr>
                  <w:tcW w:w="16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883.00</w:t>
                  </w:r>
                </w:p>
              </w:tc>
            </w:tr>
            <w:tr>
              <w:tblPrEx>
                <w:shd w:val="clear" w:color="auto" w:fill="auto"/>
                <w:tblCellMar>
                  <w:top w:w="0" w:type="dxa"/>
                  <w:left w:w="108" w:type="dxa"/>
                  <w:bottom w:w="0" w:type="dxa"/>
                  <w:right w:w="108" w:type="dxa"/>
                </w:tblCellMar>
              </w:tblPrEx>
              <w:trPr>
                <w:trHeight w:val="23" w:hRule="atLeast"/>
                <w:jc w:val="center"/>
              </w:trPr>
              <w:tc>
                <w:tcPr>
                  <w:tcW w:w="1740" w:type="dxa"/>
                  <w:vMerge w:val="continue"/>
                  <w:tcBorders>
                    <w:top w:val="nil"/>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0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L2沥青</w:t>
                  </w:r>
                </w:p>
              </w:tc>
              <w:tc>
                <w:tcPr>
                  <w:tcW w:w="22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黑色沥青</w:t>
                  </w:r>
                </w:p>
              </w:tc>
              <w:tc>
                <w:tcPr>
                  <w:tcW w:w="138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6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243.00</w:t>
                  </w:r>
                </w:p>
              </w:tc>
            </w:tr>
            <w:tr>
              <w:tblPrEx>
                <w:shd w:val="clear" w:color="auto" w:fill="auto"/>
                <w:tblCellMar>
                  <w:top w:w="0" w:type="dxa"/>
                  <w:left w:w="108" w:type="dxa"/>
                  <w:bottom w:w="0" w:type="dxa"/>
                  <w:right w:w="108" w:type="dxa"/>
                </w:tblCellMar>
              </w:tblPrEx>
              <w:trPr>
                <w:trHeight w:val="23" w:hRule="atLeast"/>
                <w:jc w:val="center"/>
              </w:trPr>
              <w:tc>
                <w:tcPr>
                  <w:tcW w:w="1740" w:type="dxa"/>
                  <w:vMerge w:val="continue"/>
                  <w:tcBorders>
                    <w:top w:val="nil"/>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0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L3彩沥青</w:t>
                  </w:r>
                </w:p>
              </w:tc>
              <w:tc>
                <w:tcPr>
                  <w:tcW w:w="22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彩色沥青</w:t>
                  </w:r>
                </w:p>
              </w:tc>
              <w:tc>
                <w:tcPr>
                  <w:tcW w:w="138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6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122.00</w:t>
                  </w:r>
                </w:p>
              </w:tc>
            </w:tr>
            <w:tr>
              <w:tblPrEx>
                <w:tblCellMar>
                  <w:top w:w="0" w:type="dxa"/>
                  <w:left w:w="108" w:type="dxa"/>
                  <w:bottom w:w="0" w:type="dxa"/>
                  <w:right w:w="108" w:type="dxa"/>
                </w:tblCellMar>
              </w:tblPrEx>
              <w:trPr>
                <w:trHeight w:val="23" w:hRule="atLeast"/>
                <w:jc w:val="center"/>
              </w:trPr>
              <w:tc>
                <w:tcPr>
                  <w:tcW w:w="1740" w:type="dxa"/>
                  <w:vMerge w:val="continue"/>
                  <w:tcBorders>
                    <w:top w:val="nil"/>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0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L4沥青</w:t>
                  </w:r>
                </w:p>
              </w:tc>
              <w:tc>
                <w:tcPr>
                  <w:tcW w:w="22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黑色沥青</w:t>
                  </w:r>
                </w:p>
              </w:tc>
              <w:tc>
                <w:tcPr>
                  <w:tcW w:w="138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沿丘陵地</w:t>
                  </w:r>
                </w:p>
              </w:tc>
              <w:tc>
                <w:tcPr>
                  <w:tcW w:w="16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720.00</w:t>
                  </w:r>
                </w:p>
              </w:tc>
            </w:tr>
            <w:tr>
              <w:tblPrEx>
                <w:shd w:val="clear" w:color="auto" w:fill="auto"/>
                <w:tblCellMar>
                  <w:top w:w="0" w:type="dxa"/>
                  <w:left w:w="108" w:type="dxa"/>
                  <w:bottom w:w="0" w:type="dxa"/>
                  <w:right w:w="108" w:type="dxa"/>
                </w:tblCellMar>
              </w:tblPrEx>
              <w:trPr>
                <w:trHeight w:val="23" w:hRule="atLeast"/>
                <w:jc w:val="center"/>
              </w:trPr>
              <w:tc>
                <w:tcPr>
                  <w:tcW w:w="1740" w:type="dxa"/>
                  <w:vMerge w:val="continue"/>
                  <w:tcBorders>
                    <w:top w:val="nil"/>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0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小计</w:t>
                  </w:r>
                </w:p>
              </w:tc>
              <w:tc>
                <w:tcPr>
                  <w:tcW w:w="22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38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6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1968.00</w:t>
                  </w:r>
                </w:p>
              </w:tc>
            </w:tr>
            <w:tr>
              <w:tblPrEx>
                <w:shd w:val="clear" w:color="auto" w:fill="auto"/>
                <w:tblCellMar>
                  <w:top w:w="0" w:type="dxa"/>
                  <w:left w:w="108" w:type="dxa"/>
                  <w:bottom w:w="0" w:type="dxa"/>
                  <w:right w:w="108" w:type="dxa"/>
                </w:tblCellMar>
              </w:tblPrEx>
              <w:trPr>
                <w:trHeight w:val="23" w:hRule="atLeast"/>
                <w:jc w:val="center"/>
              </w:trPr>
              <w:tc>
                <w:tcPr>
                  <w:tcW w:w="1740" w:type="dxa"/>
                  <w:vMerge w:val="continue"/>
                  <w:tcBorders>
                    <w:top w:val="nil"/>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0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L1砂石</w:t>
                  </w:r>
                </w:p>
              </w:tc>
              <w:tc>
                <w:tcPr>
                  <w:tcW w:w="22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砂石路</w:t>
                  </w:r>
                </w:p>
              </w:tc>
              <w:tc>
                <w:tcPr>
                  <w:tcW w:w="138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游客中心起</w:t>
                  </w:r>
                </w:p>
              </w:tc>
              <w:tc>
                <w:tcPr>
                  <w:tcW w:w="16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200.00</w:t>
                  </w:r>
                </w:p>
              </w:tc>
            </w:tr>
            <w:tr>
              <w:tblPrEx>
                <w:shd w:val="clear" w:color="auto" w:fill="auto"/>
                <w:tblCellMar>
                  <w:top w:w="0" w:type="dxa"/>
                  <w:left w:w="108" w:type="dxa"/>
                  <w:bottom w:w="0" w:type="dxa"/>
                  <w:right w:w="108" w:type="dxa"/>
                </w:tblCellMar>
              </w:tblPrEx>
              <w:trPr>
                <w:trHeight w:val="23" w:hRule="atLeast"/>
                <w:jc w:val="center"/>
              </w:trPr>
              <w:tc>
                <w:tcPr>
                  <w:tcW w:w="1740" w:type="dxa"/>
                  <w:vMerge w:val="continue"/>
                  <w:tcBorders>
                    <w:top w:val="nil"/>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0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L2砂石</w:t>
                  </w:r>
                </w:p>
              </w:tc>
              <w:tc>
                <w:tcPr>
                  <w:tcW w:w="22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砂石路</w:t>
                  </w:r>
                </w:p>
              </w:tc>
              <w:tc>
                <w:tcPr>
                  <w:tcW w:w="138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6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287.00</w:t>
                  </w:r>
                </w:p>
              </w:tc>
            </w:tr>
            <w:tr>
              <w:tblPrEx>
                <w:shd w:val="clear" w:color="auto" w:fill="auto"/>
                <w:tblCellMar>
                  <w:top w:w="0" w:type="dxa"/>
                  <w:left w:w="108" w:type="dxa"/>
                  <w:bottom w:w="0" w:type="dxa"/>
                  <w:right w:w="108" w:type="dxa"/>
                </w:tblCellMar>
              </w:tblPrEx>
              <w:trPr>
                <w:trHeight w:val="23" w:hRule="atLeast"/>
                <w:jc w:val="center"/>
              </w:trPr>
              <w:tc>
                <w:tcPr>
                  <w:tcW w:w="1740" w:type="dxa"/>
                  <w:vMerge w:val="continue"/>
                  <w:tcBorders>
                    <w:top w:val="nil"/>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0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L3砂石</w:t>
                  </w:r>
                </w:p>
              </w:tc>
              <w:tc>
                <w:tcPr>
                  <w:tcW w:w="22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砂石路</w:t>
                  </w:r>
                </w:p>
              </w:tc>
              <w:tc>
                <w:tcPr>
                  <w:tcW w:w="138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至龟山</w:t>
                  </w:r>
                </w:p>
              </w:tc>
              <w:tc>
                <w:tcPr>
                  <w:tcW w:w="16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284.00</w:t>
                  </w:r>
                </w:p>
              </w:tc>
            </w:tr>
            <w:tr>
              <w:tblPrEx>
                <w:shd w:val="clear" w:color="auto" w:fill="auto"/>
                <w:tblCellMar>
                  <w:top w:w="0" w:type="dxa"/>
                  <w:left w:w="108" w:type="dxa"/>
                  <w:bottom w:w="0" w:type="dxa"/>
                  <w:right w:w="108" w:type="dxa"/>
                </w:tblCellMar>
              </w:tblPrEx>
              <w:trPr>
                <w:trHeight w:val="23" w:hRule="atLeast"/>
                <w:jc w:val="center"/>
              </w:trPr>
              <w:tc>
                <w:tcPr>
                  <w:tcW w:w="1740" w:type="dxa"/>
                  <w:vMerge w:val="continue"/>
                  <w:tcBorders>
                    <w:top w:val="nil"/>
                    <w:left w:val="single" w:color="auto" w:sz="4" w:space="0"/>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0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小计</w:t>
                  </w:r>
                </w:p>
              </w:tc>
              <w:tc>
                <w:tcPr>
                  <w:tcW w:w="22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38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6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771.00</w:t>
                  </w:r>
                </w:p>
              </w:tc>
            </w:tr>
            <w:tr>
              <w:tblPrEx>
                <w:tblCellMar>
                  <w:top w:w="0" w:type="dxa"/>
                  <w:left w:w="108" w:type="dxa"/>
                  <w:bottom w:w="0" w:type="dxa"/>
                  <w:right w:w="108" w:type="dxa"/>
                </w:tblCellMar>
              </w:tblPrEx>
              <w:trPr>
                <w:trHeight w:val="23" w:hRule="atLeast"/>
                <w:jc w:val="center"/>
              </w:trPr>
              <w:tc>
                <w:tcPr>
                  <w:tcW w:w="1740"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20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合计</w:t>
                  </w:r>
                </w:p>
              </w:tc>
              <w:tc>
                <w:tcPr>
                  <w:tcW w:w="22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38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600"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2739.00</w:t>
                  </w:r>
                </w:p>
              </w:tc>
            </w:tr>
          </w:tbl>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游步道</w:t>
            </w:r>
          </w:p>
          <w:p>
            <w:pPr>
              <w:keepNext w:val="0"/>
              <w:keepLines w:val="0"/>
              <w:suppressLineNumbers w:val="0"/>
              <w:bidi w:val="0"/>
              <w:spacing w:before="0" w:beforeAutospacing="0" w:after="0" w:afterAutospacing="0"/>
              <w:ind w:left="0" w:right="0"/>
              <w:rPr>
                <w:rFonts w:hint="default"/>
              </w:rPr>
            </w:pPr>
            <w:r>
              <w:rPr>
                <w:rFonts w:hint="default"/>
              </w:rPr>
              <w:t>游步道布局：</w:t>
            </w:r>
          </w:p>
          <w:p>
            <w:pPr>
              <w:keepNext w:val="0"/>
              <w:keepLines w:val="0"/>
              <w:numPr>
                <w:ilvl w:val="0"/>
                <w:numId w:val="10"/>
              </w:numPr>
              <w:suppressLineNumbers w:val="0"/>
              <w:bidi w:val="0"/>
              <w:spacing w:before="0" w:beforeAutospacing="0" w:after="0" w:afterAutospacing="0"/>
              <w:ind w:right="0"/>
              <w:rPr>
                <w:rFonts w:hint="default"/>
              </w:rPr>
            </w:pPr>
            <w:r>
              <w:rPr>
                <w:rFonts w:hint="default"/>
              </w:rPr>
              <w:t>在梅溪滩北侧1#、2#塘两岸以及下游冲田排水沟傍；</w:t>
            </w:r>
          </w:p>
          <w:p>
            <w:pPr>
              <w:keepNext w:val="0"/>
              <w:keepLines w:val="0"/>
              <w:numPr>
                <w:ilvl w:val="0"/>
                <w:numId w:val="10"/>
              </w:numPr>
              <w:suppressLineNumbers w:val="0"/>
              <w:bidi w:val="0"/>
              <w:spacing w:before="0" w:beforeAutospacing="0" w:after="0" w:afterAutospacing="0"/>
              <w:ind w:right="0"/>
              <w:rPr>
                <w:rFonts w:hint="default"/>
              </w:rPr>
            </w:pPr>
            <w:r>
              <w:rPr>
                <w:rFonts w:hint="default"/>
              </w:rPr>
              <w:t>玫瑰区主排水沟两岸；</w:t>
            </w:r>
          </w:p>
          <w:p>
            <w:pPr>
              <w:keepNext w:val="0"/>
              <w:keepLines w:val="0"/>
              <w:numPr>
                <w:ilvl w:val="0"/>
                <w:numId w:val="10"/>
              </w:numPr>
              <w:suppressLineNumbers w:val="0"/>
              <w:bidi w:val="0"/>
              <w:spacing w:before="0" w:beforeAutospacing="0" w:after="0" w:afterAutospacing="0"/>
              <w:ind w:right="0"/>
              <w:rPr>
                <w:rFonts w:hint="default"/>
              </w:rPr>
            </w:pPr>
            <w:r>
              <w:rPr>
                <w:rFonts w:hint="default"/>
              </w:rPr>
              <w:t>黄金坝撇洪沟入岗山河的湿地低矮埂顶。游步道总长度10条3671m，</w:t>
            </w:r>
          </w:p>
          <w:p>
            <w:pPr>
              <w:keepNext w:val="0"/>
              <w:keepLines w:val="0"/>
              <w:suppressLineNumbers w:val="0"/>
              <w:bidi w:val="0"/>
              <w:spacing w:before="0" w:beforeAutospacing="0" w:after="0" w:afterAutospacing="0"/>
              <w:ind w:left="0" w:right="0"/>
              <w:rPr>
                <w:rFonts w:hint="default"/>
              </w:rPr>
            </w:pPr>
            <w:r>
              <w:rPr>
                <w:rFonts w:hint="default"/>
              </w:rPr>
              <w:t>其中：采用鹅卵石路面3条1158m，石板型路面3条2234m，海绵砖路面3条224m，拼花碎石板路面1条55m。路面宽度除拼花碎石板路面与长廊对接。其宽度为2.15m外，其它均为1.3~1.5m。同时，拼花碎石板路面处于湿地区，步道设计高程为▼11.20m（1985年黄海基准系，均同），而地面高程在▼10.8m左右，因此，在正常步道下部增设块石基础。</w:t>
            </w:r>
          </w:p>
          <w:p>
            <w:pPr>
              <w:pStyle w:val="15"/>
              <w:keepNext w:val="0"/>
              <w:keepLines w:val="0"/>
              <w:suppressLineNumbers w:val="0"/>
              <w:bidi w:val="0"/>
              <w:spacing w:before="0" w:beforeAutospacing="0" w:after="0" w:afterAutospacing="0"/>
              <w:ind w:left="0" w:right="0" w:firstLine="0"/>
              <w:rPr>
                <w:rFonts w:hint="default"/>
              </w:rPr>
            </w:pPr>
            <w:r>
              <w:rPr>
                <w:rFonts w:hint="default"/>
              </w:rPr>
              <w:t>游步道设计情况表</w:t>
            </w:r>
          </w:p>
          <w:tbl>
            <w:tblPr>
              <w:tblStyle w:val="10"/>
              <w:tblW w:w="5000"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autofit"/>
              <w:tblCellMar>
                <w:top w:w="0" w:type="dxa"/>
                <w:left w:w="108" w:type="dxa"/>
                <w:bottom w:w="0" w:type="dxa"/>
                <w:right w:w="108" w:type="dxa"/>
              </w:tblCellMar>
            </w:tblPr>
            <w:tblGrid>
              <w:gridCol w:w="902"/>
              <w:gridCol w:w="2196"/>
              <w:gridCol w:w="945"/>
              <w:gridCol w:w="885"/>
              <w:gridCol w:w="3244"/>
              <w:gridCol w:w="89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12" w:hRule="atLeast"/>
                <w:jc w:val="center"/>
              </w:trPr>
              <w:tc>
                <w:tcPr>
                  <w:tcW w:w="498" w:type="pct"/>
                  <w:vMerge w:val="restart"/>
                  <w:tcBorders>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游步道编号</w:t>
                  </w:r>
                </w:p>
              </w:tc>
              <w:tc>
                <w:tcPr>
                  <w:tcW w:w="1211"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所在位置</w:t>
                  </w:r>
                </w:p>
              </w:tc>
              <w:tc>
                <w:tcPr>
                  <w:tcW w:w="521"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长度（m）</w:t>
                  </w:r>
                </w:p>
              </w:tc>
              <w:tc>
                <w:tcPr>
                  <w:tcW w:w="488"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宽度（m）</w:t>
                  </w:r>
                </w:p>
              </w:tc>
              <w:tc>
                <w:tcPr>
                  <w:tcW w:w="1789"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结构型式</w:t>
                  </w:r>
                </w:p>
              </w:tc>
              <w:tc>
                <w:tcPr>
                  <w:tcW w:w="491" w:type="pct"/>
                  <w:vMerge w:val="restart"/>
                  <w:tcBorders>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12" w:hRule="atLeast"/>
                <w:jc w:val="center"/>
              </w:trPr>
              <w:tc>
                <w:tcPr>
                  <w:tcW w:w="498" w:type="pct"/>
                  <w:vMerge w:val="continue"/>
                  <w:tcBorders>
                    <w:top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211"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521"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488"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789"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491" w:type="pct"/>
                  <w:vMerge w:val="continue"/>
                  <w:tcBorders>
                    <w:top w:val="nil"/>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498"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BD1</w:t>
                  </w:r>
                </w:p>
              </w:tc>
              <w:tc>
                <w:tcPr>
                  <w:tcW w:w="121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1#、2#塘</w:t>
                  </w:r>
                </w:p>
              </w:tc>
              <w:tc>
                <w:tcPr>
                  <w:tcW w:w="52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519</w:t>
                  </w:r>
                </w:p>
              </w:tc>
              <w:tc>
                <w:tcPr>
                  <w:tcW w:w="4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1.5</w:t>
                  </w:r>
                </w:p>
              </w:tc>
              <w:tc>
                <w:tcPr>
                  <w:tcW w:w="178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碎石/混凝土垫层+鹅卵石面层</w:t>
                  </w:r>
                </w:p>
              </w:tc>
              <w:tc>
                <w:tcPr>
                  <w:tcW w:w="49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498"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BD2</w:t>
                  </w:r>
                </w:p>
              </w:tc>
              <w:tc>
                <w:tcPr>
                  <w:tcW w:w="121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排水沟G1</w:t>
                  </w:r>
                </w:p>
              </w:tc>
              <w:tc>
                <w:tcPr>
                  <w:tcW w:w="52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334</w:t>
                  </w:r>
                </w:p>
              </w:tc>
              <w:tc>
                <w:tcPr>
                  <w:tcW w:w="4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1.5</w:t>
                  </w:r>
                </w:p>
              </w:tc>
              <w:tc>
                <w:tcPr>
                  <w:tcW w:w="178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碎石/混凝土垫层+鹅卵石面层</w:t>
                  </w:r>
                </w:p>
              </w:tc>
              <w:tc>
                <w:tcPr>
                  <w:tcW w:w="49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498"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BD3</w:t>
                  </w:r>
                </w:p>
              </w:tc>
              <w:tc>
                <w:tcPr>
                  <w:tcW w:w="121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排水沟G2</w:t>
                  </w:r>
                </w:p>
              </w:tc>
              <w:tc>
                <w:tcPr>
                  <w:tcW w:w="52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305</w:t>
                  </w:r>
                </w:p>
              </w:tc>
              <w:tc>
                <w:tcPr>
                  <w:tcW w:w="4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1.5</w:t>
                  </w:r>
                </w:p>
              </w:tc>
              <w:tc>
                <w:tcPr>
                  <w:tcW w:w="178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碎石/混凝土垫层+鹅卵石面层</w:t>
                  </w:r>
                </w:p>
              </w:tc>
              <w:tc>
                <w:tcPr>
                  <w:tcW w:w="49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498"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BD4</w:t>
                  </w:r>
                </w:p>
              </w:tc>
              <w:tc>
                <w:tcPr>
                  <w:tcW w:w="121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沟（一）排水沟右岸</w:t>
                  </w:r>
                </w:p>
              </w:tc>
              <w:tc>
                <w:tcPr>
                  <w:tcW w:w="52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334</w:t>
                  </w:r>
                </w:p>
              </w:tc>
              <w:tc>
                <w:tcPr>
                  <w:tcW w:w="4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1.3</w:t>
                  </w:r>
                </w:p>
              </w:tc>
              <w:tc>
                <w:tcPr>
                  <w:tcW w:w="178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碎石/混凝土垫层+间隔石板型</w:t>
                  </w:r>
                </w:p>
              </w:tc>
              <w:tc>
                <w:tcPr>
                  <w:tcW w:w="49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498"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BD5</w:t>
                  </w:r>
                </w:p>
              </w:tc>
              <w:tc>
                <w:tcPr>
                  <w:tcW w:w="121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沟（一）排水沟左岸</w:t>
                  </w:r>
                </w:p>
              </w:tc>
              <w:tc>
                <w:tcPr>
                  <w:tcW w:w="52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240</w:t>
                  </w:r>
                </w:p>
              </w:tc>
              <w:tc>
                <w:tcPr>
                  <w:tcW w:w="4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1.3</w:t>
                  </w:r>
                </w:p>
              </w:tc>
              <w:tc>
                <w:tcPr>
                  <w:tcW w:w="178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碎石/混凝土垫层+间隔石板型</w:t>
                  </w:r>
                </w:p>
              </w:tc>
              <w:tc>
                <w:tcPr>
                  <w:tcW w:w="49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498"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BD6</w:t>
                  </w:r>
                </w:p>
              </w:tc>
              <w:tc>
                <w:tcPr>
                  <w:tcW w:w="121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沟（一）排水沟左岸</w:t>
                  </w:r>
                </w:p>
              </w:tc>
              <w:tc>
                <w:tcPr>
                  <w:tcW w:w="52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61</w:t>
                  </w:r>
                </w:p>
              </w:tc>
              <w:tc>
                <w:tcPr>
                  <w:tcW w:w="4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1.5</w:t>
                  </w:r>
                </w:p>
              </w:tc>
              <w:tc>
                <w:tcPr>
                  <w:tcW w:w="178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碎石/混凝土垫层+海绵砖</w:t>
                  </w:r>
                </w:p>
              </w:tc>
              <w:tc>
                <w:tcPr>
                  <w:tcW w:w="49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498"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BD7</w:t>
                  </w:r>
                </w:p>
              </w:tc>
              <w:tc>
                <w:tcPr>
                  <w:tcW w:w="121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风车区</w:t>
                  </w:r>
                </w:p>
              </w:tc>
              <w:tc>
                <w:tcPr>
                  <w:tcW w:w="52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83</w:t>
                  </w:r>
                </w:p>
              </w:tc>
              <w:tc>
                <w:tcPr>
                  <w:tcW w:w="4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1.5</w:t>
                  </w:r>
                </w:p>
              </w:tc>
              <w:tc>
                <w:tcPr>
                  <w:tcW w:w="178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碎石/混凝土垫层+海绵砖</w:t>
                  </w:r>
                </w:p>
              </w:tc>
              <w:tc>
                <w:tcPr>
                  <w:tcW w:w="49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498"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BD8</w:t>
                  </w:r>
                </w:p>
              </w:tc>
              <w:tc>
                <w:tcPr>
                  <w:tcW w:w="121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4#塘</w:t>
                  </w:r>
                </w:p>
              </w:tc>
              <w:tc>
                <w:tcPr>
                  <w:tcW w:w="52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80</w:t>
                  </w:r>
                </w:p>
              </w:tc>
              <w:tc>
                <w:tcPr>
                  <w:tcW w:w="4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1.5</w:t>
                  </w:r>
                </w:p>
              </w:tc>
              <w:tc>
                <w:tcPr>
                  <w:tcW w:w="178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碎石/混凝土垫层+海绵砖</w:t>
                  </w:r>
                </w:p>
              </w:tc>
              <w:tc>
                <w:tcPr>
                  <w:tcW w:w="49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498"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BD9</w:t>
                  </w:r>
                </w:p>
              </w:tc>
              <w:tc>
                <w:tcPr>
                  <w:tcW w:w="121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湿地区</w:t>
                  </w:r>
                </w:p>
              </w:tc>
              <w:tc>
                <w:tcPr>
                  <w:tcW w:w="52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1660</w:t>
                  </w:r>
                </w:p>
              </w:tc>
              <w:tc>
                <w:tcPr>
                  <w:tcW w:w="4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1.3</w:t>
                  </w:r>
                </w:p>
              </w:tc>
              <w:tc>
                <w:tcPr>
                  <w:tcW w:w="178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碎石/混凝土垫层+间隔石板路型</w:t>
                  </w:r>
                </w:p>
              </w:tc>
              <w:tc>
                <w:tcPr>
                  <w:tcW w:w="49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498"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BD10</w:t>
                  </w:r>
                </w:p>
              </w:tc>
              <w:tc>
                <w:tcPr>
                  <w:tcW w:w="121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湿地区</w:t>
                  </w:r>
                </w:p>
              </w:tc>
              <w:tc>
                <w:tcPr>
                  <w:tcW w:w="52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55</w:t>
                  </w:r>
                </w:p>
              </w:tc>
              <w:tc>
                <w:tcPr>
                  <w:tcW w:w="4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2.15</w:t>
                  </w:r>
                </w:p>
              </w:tc>
              <w:tc>
                <w:tcPr>
                  <w:tcW w:w="178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块石基础+混凝土垫层+花岗岩碎石板</w:t>
                  </w:r>
                </w:p>
              </w:tc>
              <w:tc>
                <w:tcPr>
                  <w:tcW w:w="49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与长廊对接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498" w:type="pct"/>
                  <w:tcBorders>
                    <w:top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211"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小计</w:t>
                  </w:r>
                </w:p>
              </w:tc>
              <w:tc>
                <w:tcPr>
                  <w:tcW w:w="521"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3671</w:t>
                  </w:r>
                </w:p>
              </w:tc>
              <w:tc>
                <w:tcPr>
                  <w:tcW w:w="488"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789"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491" w:type="pct"/>
                  <w:tcBorders>
                    <w:top w:val="nil"/>
                    <w:left w:val="nil"/>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bl>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跌水</w:t>
            </w:r>
          </w:p>
          <w:p>
            <w:pPr>
              <w:keepNext w:val="0"/>
              <w:keepLines w:val="0"/>
              <w:suppressLineNumbers w:val="0"/>
              <w:bidi w:val="0"/>
              <w:spacing w:before="0" w:beforeAutospacing="0" w:after="0" w:afterAutospacing="0"/>
              <w:ind w:left="0" w:right="0"/>
              <w:rPr>
                <w:rFonts w:hint="default"/>
              </w:rPr>
            </w:pPr>
            <w:r>
              <w:rPr>
                <w:rFonts w:hint="default"/>
              </w:rPr>
              <w:t>跌水共有13处，其中：</w:t>
            </w:r>
          </w:p>
          <w:p>
            <w:pPr>
              <w:keepNext w:val="0"/>
              <w:keepLines w:val="0"/>
              <w:numPr>
                <w:ilvl w:val="0"/>
                <w:numId w:val="11"/>
              </w:numPr>
              <w:suppressLineNumbers w:val="0"/>
              <w:bidi w:val="0"/>
              <w:spacing w:before="0" w:beforeAutospacing="0" w:after="0" w:afterAutospacing="0"/>
              <w:ind w:right="0"/>
              <w:rPr>
                <w:rFonts w:hint="default"/>
              </w:rPr>
            </w:pPr>
            <w:r>
              <w:rPr>
                <w:rFonts w:hint="default"/>
              </w:rPr>
              <w:t>7处位于梅溪塘北侧冲沟中，全长330m冲沟地面高差2.80m，利用地势设置；跌水宽度2.1m，结构型式采用宽顶堰，面层镶嵌鹅卵石。</w:t>
            </w:r>
          </w:p>
          <w:p>
            <w:pPr>
              <w:keepNext w:val="0"/>
              <w:keepLines w:val="0"/>
              <w:numPr>
                <w:ilvl w:val="0"/>
                <w:numId w:val="11"/>
              </w:numPr>
              <w:suppressLineNumbers w:val="0"/>
              <w:bidi w:val="0"/>
              <w:spacing w:before="0" w:beforeAutospacing="0" w:after="0" w:afterAutospacing="0"/>
              <w:ind w:right="0"/>
              <w:rPr>
                <w:rFonts w:hint="default"/>
              </w:rPr>
            </w:pPr>
            <w:r>
              <w:rPr>
                <w:rFonts w:hint="default"/>
              </w:rPr>
              <w:t>沿梅溪塘村庄内排水沟设置3座跌水；结合村庄排水沟实施，宽度0.3m，堰高0.3m。</w:t>
            </w:r>
          </w:p>
          <w:p>
            <w:pPr>
              <w:keepNext w:val="0"/>
              <w:keepLines w:val="0"/>
              <w:numPr>
                <w:ilvl w:val="0"/>
                <w:numId w:val="11"/>
              </w:numPr>
              <w:suppressLineNumbers w:val="0"/>
              <w:bidi w:val="0"/>
              <w:spacing w:before="0" w:beforeAutospacing="0" w:after="0" w:afterAutospacing="0"/>
              <w:ind w:right="0"/>
              <w:rPr>
                <w:rFonts w:hint="default"/>
              </w:rPr>
            </w:pPr>
            <w:r>
              <w:rPr>
                <w:rFonts w:hint="default"/>
              </w:rPr>
              <w:t>2处位于玫瑰区排水沟，现状存有跌水。该排水沟是园区主要排水通道，在满足排水需求要求下，分别设置宽度5.7m和8.8m跌水，高度1.20m；</w:t>
            </w:r>
          </w:p>
          <w:p>
            <w:pPr>
              <w:keepNext w:val="0"/>
              <w:keepLines w:val="0"/>
              <w:numPr>
                <w:ilvl w:val="0"/>
                <w:numId w:val="11"/>
              </w:numPr>
              <w:suppressLineNumbers w:val="0"/>
              <w:bidi w:val="0"/>
              <w:spacing w:before="0" w:beforeAutospacing="0" w:after="0" w:afterAutospacing="0"/>
              <w:ind w:right="0"/>
              <w:rPr>
                <w:rFonts w:hint="default"/>
              </w:rPr>
            </w:pPr>
            <w:r>
              <w:rPr>
                <w:rFonts w:hint="default"/>
              </w:rPr>
              <w:t>1处位于梅溪塘湿地上坝埂处；结合地形，采用涵洞式跌水，宽度1.5m。</w:t>
            </w:r>
          </w:p>
          <w:p>
            <w:pPr>
              <w:keepNext w:val="0"/>
              <w:keepLines w:val="0"/>
              <w:suppressLineNumbers w:val="0"/>
              <w:bidi w:val="0"/>
              <w:spacing w:before="0" w:beforeAutospacing="0" w:after="0" w:afterAutospacing="0"/>
              <w:ind w:left="0" w:right="0"/>
              <w:rPr>
                <w:rFonts w:hint="default"/>
              </w:rPr>
            </w:pPr>
            <w:r>
              <w:rPr>
                <w:rFonts w:hint="default"/>
              </w:rPr>
              <w:t>所有跌水在其下游均设置了消能防冲设施。</w:t>
            </w:r>
          </w:p>
          <w:p>
            <w:pPr>
              <w:pStyle w:val="15"/>
              <w:keepNext w:val="0"/>
              <w:keepLines w:val="0"/>
              <w:suppressLineNumbers w:val="0"/>
              <w:bidi w:val="0"/>
              <w:spacing w:before="0" w:beforeAutospacing="0" w:after="0" w:afterAutospacing="0"/>
              <w:ind w:left="0" w:right="0" w:firstLine="0"/>
              <w:rPr>
                <w:rFonts w:hint="default"/>
              </w:rPr>
            </w:pPr>
            <w:r>
              <w:rPr>
                <w:rFonts w:hint="default"/>
              </w:rPr>
              <w:t>跌水情况表</w:t>
            </w:r>
          </w:p>
          <w:tbl>
            <w:tblPr>
              <w:tblStyle w:val="10"/>
              <w:tblW w:w="5000"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autofit"/>
              <w:tblCellMar>
                <w:top w:w="0" w:type="dxa"/>
                <w:left w:w="108" w:type="dxa"/>
                <w:bottom w:w="0" w:type="dxa"/>
                <w:right w:w="108" w:type="dxa"/>
              </w:tblCellMar>
            </w:tblPr>
            <w:tblGrid>
              <w:gridCol w:w="1299"/>
              <w:gridCol w:w="1032"/>
              <w:gridCol w:w="1778"/>
              <w:gridCol w:w="1264"/>
              <w:gridCol w:w="1378"/>
              <w:gridCol w:w="1378"/>
              <w:gridCol w:w="933"/>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12" w:hRule="atLeast"/>
                <w:jc w:val="center"/>
              </w:trPr>
              <w:tc>
                <w:tcPr>
                  <w:tcW w:w="716" w:type="pct"/>
                  <w:vMerge w:val="restart"/>
                  <w:tcBorders>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跌水编号</w:t>
                  </w:r>
                </w:p>
              </w:tc>
              <w:tc>
                <w:tcPr>
                  <w:tcW w:w="569"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座数</w:t>
                  </w:r>
                </w:p>
              </w:tc>
              <w:tc>
                <w:tcPr>
                  <w:tcW w:w="980"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所在位置</w:t>
                  </w:r>
                </w:p>
              </w:tc>
              <w:tc>
                <w:tcPr>
                  <w:tcW w:w="697"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宽度（m）</w:t>
                  </w:r>
                </w:p>
              </w:tc>
              <w:tc>
                <w:tcPr>
                  <w:tcW w:w="760"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高度（m）</w:t>
                  </w:r>
                </w:p>
              </w:tc>
              <w:tc>
                <w:tcPr>
                  <w:tcW w:w="760"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型式</w:t>
                  </w:r>
                </w:p>
              </w:tc>
              <w:tc>
                <w:tcPr>
                  <w:tcW w:w="514" w:type="pct"/>
                  <w:vMerge w:val="restart"/>
                  <w:tcBorders>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备注</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12" w:hRule="atLeast"/>
                <w:jc w:val="center"/>
              </w:trPr>
              <w:tc>
                <w:tcPr>
                  <w:tcW w:w="716" w:type="pct"/>
                  <w:vMerge w:val="continue"/>
                  <w:tcBorders>
                    <w:top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569"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980"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697"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760"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760"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514" w:type="pct"/>
                  <w:vMerge w:val="continue"/>
                  <w:tcBorders>
                    <w:top w:val="nil"/>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716"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DS1～DS7</w:t>
                  </w:r>
                </w:p>
              </w:tc>
              <w:tc>
                <w:tcPr>
                  <w:tcW w:w="56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7</w:t>
                  </w:r>
                </w:p>
              </w:tc>
              <w:tc>
                <w:tcPr>
                  <w:tcW w:w="98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G1</w:t>
                  </w:r>
                </w:p>
              </w:tc>
              <w:tc>
                <w:tcPr>
                  <w:tcW w:w="697"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2.1</w:t>
                  </w:r>
                </w:p>
              </w:tc>
              <w:tc>
                <w:tcPr>
                  <w:tcW w:w="76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0.4</w:t>
                  </w:r>
                </w:p>
              </w:tc>
              <w:tc>
                <w:tcPr>
                  <w:tcW w:w="76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宽顶堰</w:t>
                  </w:r>
                </w:p>
              </w:tc>
              <w:tc>
                <w:tcPr>
                  <w:tcW w:w="514"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716"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DS8～DS10</w:t>
                  </w:r>
                </w:p>
              </w:tc>
              <w:tc>
                <w:tcPr>
                  <w:tcW w:w="56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w:t>
                  </w:r>
                </w:p>
              </w:tc>
              <w:tc>
                <w:tcPr>
                  <w:tcW w:w="98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村庄水沟</w:t>
                  </w:r>
                </w:p>
              </w:tc>
              <w:tc>
                <w:tcPr>
                  <w:tcW w:w="697"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0.7</w:t>
                  </w:r>
                </w:p>
              </w:tc>
              <w:tc>
                <w:tcPr>
                  <w:tcW w:w="76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0.3</w:t>
                  </w:r>
                </w:p>
              </w:tc>
              <w:tc>
                <w:tcPr>
                  <w:tcW w:w="76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宽顶堰</w:t>
                  </w:r>
                </w:p>
              </w:tc>
              <w:tc>
                <w:tcPr>
                  <w:tcW w:w="514"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716"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DS11</w:t>
                  </w:r>
                </w:p>
              </w:tc>
              <w:tc>
                <w:tcPr>
                  <w:tcW w:w="56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98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玫瑰区</w:t>
                  </w:r>
                </w:p>
              </w:tc>
              <w:tc>
                <w:tcPr>
                  <w:tcW w:w="697"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5.7</w:t>
                  </w:r>
                </w:p>
              </w:tc>
              <w:tc>
                <w:tcPr>
                  <w:tcW w:w="76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1.2</w:t>
                  </w:r>
                </w:p>
              </w:tc>
              <w:tc>
                <w:tcPr>
                  <w:tcW w:w="76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宽顶堰</w:t>
                  </w:r>
                </w:p>
              </w:tc>
              <w:tc>
                <w:tcPr>
                  <w:tcW w:w="514"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716"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DS12</w:t>
                  </w:r>
                </w:p>
              </w:tc>
              <w:tc>
                <w:tcPr>
                  <w:tcW w:w="56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98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玫瑰区</w:t>
                  </w:r>
                </w:p>
              </w:tc>
              <w:tc>
                <w:tcPr>
                  <w:tcW w:w="697"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8.8</w:t>
                  </w:r>
                </w:p>
              </w:tc>
              <w:tc>
                <w:tcPr>
                  <w:tcW w:w="76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1.2</w:t>
                  </w:r>
                </w:p>
              </w:tc>
              <w:tc>
                <w:tcPr>
                  <w:tcW w:w="76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宽顶堰</w:t>
                  </w:r>
                </w:p>
              </w:tc>
              <w:tc>
                <w:tcPr>
                  <w:tcW w:w="514"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716"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DS13</w:t>
                  </w:r>
                </w:p>
              </w:tc>
              <w:tc>
                <w:tcPr>
                  <w:tcW w:w="569"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98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坝埂上堤处</w:t>
                  </w:r>
                </w:p>
              </w:tc>
              <w:tc>
                <w:tcPr>
                  <w:tcW w:w="697"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1.5</w:t>
                  </w:r>
                </w:p>
              </w:tc>
              <w:tc>
                <w:tcPr>
                  <w:tcW w:w="76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1.5</w:t>
                  </w:r>
                </w:p>
              </w:tc>
              <w:tc>
                <w:tcPr>
                  <w:tcW w:w="76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涵洞式</w:t>
                  </w:r>
                </w:p>
              </w:tc>
              <w:tc>
                <w:tcPr>
                  <w:tcW w:w="514"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716" w:type="pct"/>
                  <w:tcBorders>
                    <w:top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小计</w:t>
                  </w:r>
                </w:p>
              </w:tc>
              <w:tc>
                <w:tcPr>
                  <w:tcW w:w="569"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13</w:t>
                  </w:r>
                </w:p>
              </w:tc>
              <w:tc>
                <w:tcPr>
                  <w:tcW w:w="980"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697"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760"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760"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514" w:type="pct"/>
                  <w:tcBorders>
                    <w:top w:val="nil"/>
                    <w:left w:val="nil"/>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bl>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人行及景观桥</w:t>
            </w:r>
          </w:p>
          <w:p>
            <w:pPr>
              <w:keepNext w:val="0"/>
              <w:keepLines w:val="0"/>
              <w:suppressLineNumbers w:val="0"/>
              <w:bidi w:val="0"/>
              <w:spacing w:before="0" w:beforeAutospacing="0" w:after="0" w:afterAutospacing="0"/>
              <w:ind w:left="0" w:right="0"/>
              <w:rPr>
                <w:rFonts w:hint="default"/>
              </w:rPr>
            </w:pPr>
            <w:r>
              <w:rPr>
                <w:rFonts w:hint="default"/>
              </w:rPr>
              <w:t>本项目4座桥梁，分别位于玫瑰区排水沟、蛇岛、湿地和南门桥。</w:t>
            </w:r>
          </w:p>
          <w:p>
            <w:pPr>
              <w:keepNext w:val="0"/>
              <w:keepLines w:val="0"/>
              <w:suppressLineNumbers w:val="0"/>
              <w:bidi w:val="0"/>
              <w:spacing w:before="0" w:beforeAutospacing="0" w:after="0" w:afterAutospacing="0"/>
              <w:ind w:left="0" w:right="0"/>
              <w:rPr>
                <w:rFonts w:hint="default"/>
              </w:rPr>
            </w:pPr>
            <w:r>
              <w:rPr>
                <w:rFonts w:hint="default"/>
              </w:rPr>
              <w:t>主要满足人行需要，结合湿地旅游需求，满足过流流量的前提下，分别采用梁板式、单拱桥、三拱桥等型式，外立面贴装饰板材，其中：南门桥采用单跨度15m的板拱。</w:t>
            </w:r>
          </w:p>
          <w:p>
            <w:pPr>
              <w:pStyle w:val="15"/>
              <w:keepNext w:val="0"/>
              <w:keepLines w:val="0"/>
              <w:suppressLineNumbers w:val="0"/>
              <w:bidi w:val="0"/>
              <w:spacing w:before="0" w:beforeAutospacing="0" w:after="0" w:afterAutospacing="0"/>
              <w:ind w:left="0" w:right="0" w:firstLine="0"/>
              <w:rPr>
                <w:rFonts w:hint="default"/>
              </w:rPr>
            </w:pPr>
            <w:r>
              <w:rPr>
                <w:rFonts w:hint="default"/>
              </w:rPr>
              <w:t>人行桥设计情况表</w:t>
            </w:r>
          </w:p>
          <w:tbl>
            <w:tblPr>
              <w:tblStyle w:val="10"/>
              <w:tblW w:w="5000"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autofit"/>
              <w:tblCellMar>
                <w:top w:w="0" w:type="dxa"/>
                <w:left w:w="108" w:type="dxa"/>
                <w:bottom w:w="0" w:type="dxa"/>
                <w:right w:w="108" w:type="dxa"/>
              </w:tblCellMar>
            </w:tblPr>
            <w:tblGrid>
              <w:gridCol w:w="1286"/>
              <w:gridCol w:w="1248"/>
              <w:gridCol w:w="1806"/>
              <w:gridCol w:w="1416"/>
              <w:gridCol w:w="1824"/>
              <w:gridCol w:w="1482"/>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12" w:hRule="atLeast"/>
                <w:jc w:val="center"/>
              </w:trPr>
              <w:tc>
                <w:tcPr>
                  <w:tcW w:w="709" w:type="pct"/>
                  <w:vMerge w:val="restart"/>
                  <w:tcBorders>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人行桥编号</w:t>
                  </w:r>
                </w:p>
              </w:tc>
              <w:tc>
                <w:tcPr>
                  <w:tcW w:w="688"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座数</w:t>
                  </w:r>
                </w:p>
              </w:tc>
              <w:tc>
                <w:tcPr>
                  <w:tcW w:w="996"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所在位置</w:t>
                  </w:r>
                </w:p>
              </w:tc>
              <w:tc>
                <w:tcPr>
                  <w:tcW w:w="781"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总跨度（m）</w:t>
                  </w:r>
                </w:p>
              </w:tc>
              <w:tc>
                <w:tcPr>
                  <w:tcW w:w="1006"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宽度（m）</w:t>
                  </w:r>
                </w:p>
              </w:tc>
              <w:tc>
                <w:tcPr>
                  <w:tcW w:w="817" w:type="pct"/>
                  <w:vMerge w:val="restart"/>
                  <w:tcBorders>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型式</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12" w:hRule="atLeast"/>
                <w:jc w:val="center"/>
              </w:trPr>
              <w:tc>
                <w:tcPr>
                  <w:tcW w:w="709" w:type="pct"/>
                  <w:vMerge w:val="continue"/>
                  <w:tcBorders>
                    <w:top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688"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996"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781"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06"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817" w:type="pct"/>
                  <w:vMerge w:val="continue"/>
                  <w:tcBorders>
                    <w:top w:val="nil"/>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709"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Q1</w:t>
                  </w:r>
                </w:p>
              </w:tc>
              <w:tc>
                <w:tcPr>
                  <w:tcW w:w="6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99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沟（一）支</w:t>
                  </w:r>
                </w:p>
              </w:tc>
              <w:tc>
                <w:tcPr>
                  <w:tcW w:w="78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15</w:t>
                  </w:r>
                </w:p>
              </w:tc>
              <w:tc>
                <w:tcPr>
                  <w:tcW w:w="100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2.25</w:t>
                  </w:r>
                </w:p>
              </w:tc>
              <w:tc>
                <w:tcPr>
                  <w:tcW w:w="817"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人行平板桥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709"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Q2</w:t>
                  </w:r>
                </w:p>
              </w:tc>
              <w:tc>
                <w:tcPr>
                  <w:tcW w:w="6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99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沟（十）</w:t>
                  </w:r>
                </w:p>
              </w:tc>
              <w:tc>
                <w:tcPr>
                  <w:tcW w:w="78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16.08</w:t>
                  </w:r>
                </w:p>
              </w:tc>
              <w:tc>
                <w:tcPr>
                  <w:tcW w:w="100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3.8</w:t>
                  </w:r>
                </w:p>
              </w:tc>
              <w:tc>
                <w:tcPr>
                  <w:tcW w:w="817"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人行平板桥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709"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Q3</w:t>
                  </w:r>
                </w:p>
              </w:tc>
              <w:tc>
                <w:tcPr>
                  <w:tcW w:w="6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99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跨域撇洪沟道</w:t>
                  </w:r>
                </w:p>
              </w:tc>
              <w:tc>
                <w:tcPr>
                  <w:tcW w:w="78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22</w:t>
                  </w:r>
                </w:p>
              </w:tc>
              <w:tc>
                <w:tcPr>
                  <w:tcW w:w="100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3.8</w:t>
                  </w:r>
                </w:p>
              </w:tc>
              <w:tc>
                <w:tcPr>
                  <w:tcW w:w="817"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人行拱桥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709"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Q4</w:t>
                  </w:r>
                </w:p>
              </w:tc>
              <w:tc>
                <w:tcPr>
                  <w:tcW w:w="68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99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南门桥</w:t>
                  </w:r>
                </w:p>
              </w:tc>
              <w:tc>
                <w:tcPr>
                  <w:tcW w:w="781"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15</w:t>
                  </w:r>
                </w:p>
              </w:tc>
              <w:tc>
                <w:tcPr>
                  <w:tcW w:w="100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6</w:t>
                  </w:r>
                </w:p>
              </w:tc>
              <w:tc>
                <w:tcPr>
                  <w:tcW w:w="817"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景观拱桥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PrEx>
              <w:trPr>
                <w:trHeight w:val="23" w:hRule="atLeast"/>
                <w:jc w:val="center"/>
              </w:trPr>
              <w:tc>
                <w:tcPr>
                  <w:tcW w:w="709" w:type="pct"/>
                  <w:tcBorders>
                    <w:top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小计</w:t>
                  </w:r>
                </w:p>
              </w:tc>
              <w:tc>
                <w:tcPr>
                  <w:tcW w:w="688"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4</w:t>
                  </w:r>
                </w:p>
              </w:tc>
              <w:tc>
                <w:tcPr>
                  <w:tcW w:w="996"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781"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006"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817" w:type="pct"/>
                  <w:tcBorders>
                    <w:top w:val="nil"/>
                    <w:left w:val="nil"/>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bl>
          <w:p>
            <w:pPr>
              <w:pStyle w:val="17"/>
              <w:keepNext w:val="0"/>
              <w:keepLines w:val="0"/>
              <w:suppressLineNumbers w:val="0"/>
              <w:bidi w:val="0"/>
              <w:spacing w:before="0" w:beforeAutospacing="0" w:after="0" w:afterAutospacing="0"/>
              <w:ind w:left="0" w:right="0"/>
              <w:rPr>
                <w:rFonts w:hint="default"/>
              </w:rPr>
            </w:pPr>
            <w:r>
              <w:rPr>
                <w:rFonts w:hint="default"/>
                <w:szCs w:val="24"/>
              </w:rPr>
              <w:drawing>
                <wp:inline distT="0" distB="0" distL="114300" distR="114300">
                  <wp:extent cx="5615940" cy="2166620"/>
                  <wp:effectExtent l="12700" t="12700" r="29210" b="304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615940" cy="2166620"/>
                          </a:xfrm>
                          <a:prstGeom prst="rect">
                            <a:avLst/>
                          </a:prstGeom>
                          <a:ln w="12700">
                            <a:solidFill>
                              <a:srgbClr val="00B0F0"/>
                            </a:solidFill>
                          </a:ln>
                        </pic:spPr>
                      </pic:pic>
                    </a:graphicData>
                  </a:graphic>
                </wp:inline>
              </w:drawing>
            </w:r>
          </w:p>
          <w:p>
            <w:pPr>
              <w:pStyle w:val="19"/>
              <w:keepNext w:val="0"/>
              <w:keepLines w:val="0"/>
              <w:suppressLineNumbers w:val="0"/>
              <w:bidi w:val="0"/>
              <w:spacing w:before="0" w:beforeAutospacing="0" w:after="0" w:afterAutospacing="0"/>
              <w:ind w:left="0" w:right="0" w:firstLine="0"/>
              <w:rPr>
                <w:rFonts w:hint="default"/>
              </w:rPr>
            </w:pPr>
            <w:r>
              <w:rPr>
                <w:rFonts w:hint="default"/>
              </w:rPr>
              <w:t>Q1/Q2桥立面图</w:t>
            </w:r>
          </w:p>
          <w:p>
            <w:pPr>
              <w:pStyle w:val="19"/>
              <w:keepNext w:val="0"/>
              <w:keepLines w:val="0"/>
              <w:widowControl w:val="0"/>
              <w:numPr>
                <w:ilvl w:val="0"/>
                <w:numId w:val="0"/>
              </w:numPr>
              <w:suppressLineNumbers w:val="0"/>
              <w:bidi w:val="0"/>
              <w:spacing w:before="0" w:beforeAutospacing="0" w:after="0" w:afterAutospacing="0" w:line="360" w:lineRule="auto"/>
              <w:ind w:left="0" w:right="0"/>
              <w:jc w:val="center"/>
              <w:rPr>
                <w:rFonts w:hint="default"/>
              </w:rPr>
            </w:pPr>
            <w:r>
              <w:rPr>
                <w:rFonts w:hint="eastAsia"/>
                <w:szCs w:val="24"/>
              </w:rPr>
              <w:drawing>
                <wp:inline distT="0" distB="0" distL="114300" distR="114300">
                  <wp:extent cx="5615940" cy="1617980"/>
                  <wp:effectExtent l="12700" t="12700" r="29210" b="266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15940" cy="1617980"/>
                          </a:xfrm>
                          <a:prstGeom prst="rect">
                            <a:avLst/>
                          </a:prstGeom>
                          <a:ln w="12700">
                            <a:solidFill>
                              <a:srgbClr val="00B0F0"/>
                            </a:solidFill>
                          </a:ln>
                        </pic:spPr>
                      </pic:pic>
                    </a:graphicData>
                  </a:graphic>
                </wp:inline>
              </w:drawing>
            </w:r>
          </w:p>
          <w:p>
            <w:pPr>
              <w:pStyle w:val="19"/>
              <w:keepNext w:val="0"/>
              <w:keepLines w:val="0"/>
              <w:suppressLineNumbers w:val="0"/>
              <w:bidi w:val="0"/>
              <w:spacing w:before="0" w:beforeAutospacing="0" w:after="0" w:afterAutospacing="0"/>
              <w:ind w:left="0" w:right="0" w:firstLine="0"/>
              <w:rPr>
                <w:rFonts w:hint="default"/>
              </w:rPr>
            </w:pPr>
            <w:r>
              <w:rPr>
                <w:rFonts w:hint="default"/>
              </w:rPr>
              <w:t>Q3/桥立面图</w:t>
            </w:r>
          </w:p>
          <w:p>
            <w:pPr>
              <w:pStyle w:val="19"/>
              <w:keepNext w:val="0"/>
              <w:keepLines w:val="0"/>
              <w:widowControl w:val="0"/>
              <w:numPr>
                <w:ilvl w:val="0"/>
                <w:numId w:val="0"/>
              </w:numPr>
              <w:suppressLineNumbers w:val="0"/>
              <w:bidi w:val="0"/>
              <w:spacing w:before="0" w:beforeAutospacing="0" w:after="0" w:afterAutospacing="0" w:line="360" w:lineRule="auto"/>
              <w:ind w:left="0" w:right="0"/>
              <w:jc w:val="center"/>
              <w:rPr>
                <w:rFonts w:hint="default"/>
              </w:rPr>
            </w:pPr>
            <w:r>
              <w:rPr>
                <w:rFonts w:hint="default"/>
                <w:szCs w:val="24"/>
              </w:rPr>
              <w:drawing>
                <wp:inline distT="0" distB="0" distL="114300" distR="114300">
                  <wp:extent cx="5615940" cy="1312545"/>
                  <wp:effectExtent l="12700" t="12700" r="29210" b="273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15940" cy="1312545"/>
                          </a:xfrm>
                          <a:prstGeom prst="rect">
                            <a:avLst/>
                          </a:prstGeom>
                          <a:ln w="12700">
                            <a:solidFill>
                              <a:srgbClr val="00B0F0"/>
                            </a:solidFill>
                          </a:ln>
                        </pic:spPr>
                      </pic:pic>
                    </a:graphicData>
                  </a:graphic>
                </wp:inline>
              </w:drawing>
            </w:r>
          </w:p>
          <w:p>
            <w:pPr>
              <w:pStyle w:val="19"/>
              <w:keepNext w:val="0"/>
              <w:keepLines w:val="0"/>
              <w:suppressLineNumbers w:val="0"/>
              <w:bidi w:val="0"/>
              <w:spacing w:before="0" w:beforeAutospacing="0" w:after="0" w:afterAutospacing="0"/>
              <w:ind w:left="0" w:right="0" w:firstLine="0"/>
              <w:rPr>
                <w:rFonts w:hint="default"/>
              </w:rPr>
            </w:pPr>
            <w:r>
              <w:rPr>
                <w:rFonts w:hint="default"/>
              </w:rPr>
              <w:t>Q4桥立面图</w:t>
            </w:r>
          </w:p>
          <w:p>
            <w:pPr>
              <w:pStyle w:val="19"/>
              <w:keepNext w:val="0"/>
              <w:keepLines w:val="0"/>
              <w:widowControl w:val="0"/>
              <w:numPr>
                <w:ilvl w:val="0"/>
                <w:numId w:val="0"/>
              </w:numPr>
              <w:suppressLineNumbers w:val="0"/>
              <w:bidi w:val="0"/>
              <w:spacing w:before="0" w:beforeAutospacing="0" w:after="0" w:afterAutospacing="0" w:line="360" w:lineRule="auto"/>
              <w:ind w:left="0" w:right="0"/>
              <w:jc w:val="center"/>
              <w:rPr>
                <w:rFonts w:hint="default"/>
              </w:rPr>
            </w:pPr>
            <w:r>
              <w:rPr>
                <w:rFonts w:hint="default"/>
                <w:b/>
                <w:szCs w:val="24"/>
              </w:rPr>
              <w:drawing>
                <wp:inline distT="0" distB="0" distL="114300" distR="114300">
                  <wp:extent cx="5617210" cy="3519170"/>
                  <wp:effectExtent l="0" t="0" r="2540" b="5080"/>
                  <wp:docPr id="4" name="图片 4" descr="C:\Users\PC\Desktop\茅草亭图片\人行防腐木桥.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PC\Desktop\茅草亭图片\人行防腐木桥.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617210" cy="3519170"/>
                          </a:xfrm>
                          <a:prstGeom prst="rect">
                            <a:avLst/>
                          </a:prstGeom>
                          <a:noFill/>
                          <a:ln>
                            <a:noFill/>
                          </a:ln>
                        </pic:spPr>
                      </pic:pic>
                    </a:graphicData>
                  </a:graphic>
                </wp:inline>
              </w:drawing>
            </w:r>
          </w:p>
          <w:p>
            <w:pPr>
              <w:pStyle w:val="19"/>
              <w:keepNext w:val="0"/>
              <w:keepLines w:val="0"/>
              <w:suppressLineNumbers w:val="0"/>
              <w:bidi w:val="0"/>
              <w:spacing w:before="0" w:beforeAutospacing="0" w:after="0" w:afterAutospacing="0"/>
              <w:ind w:left="0" w:right="0" w:firstLine="0"/>
              <w:rPr>
                <w:rFonts w:hint="default"/>
              </w:rPr>
            </w:pPr>
            <w:r>
              <w:rPr>
                <w:rFonts w:hint="default"/>
              </w:rPr>
              <w:t>Q1桥效果图</w:t>
            </w:r>
          </w:p>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台阶</w:t>
            </w:r>
          </w:p>
          <w:p>
            <w:pPr>
              <w:keepNext w:val="0"/>
              <w:keepLines w:val="0"/>
              <w:suppressLineNumbers w:val="0"/>
              <w:bidi w:val="0"/>
              <w:spacing w:before="0" w:beforeAutospacing="0" w:after="0" w:afterAutospacing="0"/>
              <w:ind w:left="0" w:right="0"/>
              <w:rPr>
                <w:rFonts w:hint="default"/>
              </w:rPr>
            </w:pPr>
            <w:r>
              <w:rPr>
                <w:rFonts w:hint="default"/>
              </w:rPr>
              <w:t>本项目6处台阶工程分别位于北侧冲沟下坡道路4处，湿地坝埂上堤2处；结构型式在混凝土垫层上，贴花岗岩板材。</w:t>
            </w:r>
          </w:p>
          <w:p>
            <w:pPr>
              <w:pStyle w:val="15"/>
              <w:keepNext w:val="0"/>
              <w:keepLines w:val="0"/>
              <w:suppressLineNumbers w:val="0"/>
              <w:bidi w:val="0"/>
              <w:spacing w:before="0" w:beforeAutospacing="0" w:after="0" w:afterAutospacing="0"/>
              <w:ind w:left="0" w:right="0"/>
              <w:rPr>
                <w:rFonts w:hint="default"/>
              </w:rPr>
            </w:pPr>
            <w:r>
              <w:rPr>
                <w:rFonts w:hint="eastAsia"/>
                <w:lang w:eastAsia="zh-CN"/>
              </w:rPr>
              <w:t>台阶</w:t>
            </w:r>
            <w:r>
              <w:rPr>
                <w:rFonts w:hint="default"/>
              </w:rPr>
              <w:t>设计情况表</w:t>
            </w:r>
          </w:p>
          <w:tbl>
            <w:tblPr>
              <w:tblStyle w:val="10"/>
              <w:tblW w:w="5000"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autofit"/>
              <w:tblCellMar>
                <w:top w:w="0" w:type="dxa"/>
                <w:left w:w="108" w:type="dxa"/>
                <w:bottom w:w="0" w:type="dxa"/>
                <w:right w:w="108" w:type="dxa"/>
              </w:tblCellMar>
            </w:tblPr>
            <w:tblGrid>
              <w:gridCol w:w="2453"/>
              <w:gridCol w:w="1798"/>
              <w:gridCol w:w="2766"/>
              <w:gridCol w:w="2045"/>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12" w:hRule="atLeast"/>
                <w:jc w:val="center"/>
              </w:trPr>
              <w:tc>
                <w:tcPr>
                  <w:tcW w:w="1353" w:type="pct"/>
                  <w:tcBorders>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台阶编号</w:t>
                  </w:r>
                </w:p>
              </w:tc>
              <w:tc>
                <w:tcPr>
                  <w:tcW w:w="992" w:type="pc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座数</w:t>
                  </w:r>
                </w:p>
              </w:tc>
              <w:tc>
                <w:tcPr>
                  <w:tcW w:w="1526" w:type="pc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所在位置</w:t>
                  </w:r>
                </w:p>
              </w:tc>
              <w:tc>
                <w:tcPr>
                  <w:tcW w:w="1128" w:type="pct"/>
                  <w:tcBorders>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宽度（m）</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1353"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TJ1～TJ4</w:t>
                  </w:r>
                </w:p>
              </w:tc>
              <w:tc>
                <w:tcPr>
                  <w:tcW w:w="992"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4</w:t>
                  </w:r>
                </w:p>
              </w:tc>
              <w:tc>
                <w:tcPr>
                  <w:tcW w:w="152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G1沟</w:t>
                  </w:r>
                </w:p>
              </w:tc>
              <w:tc>
                <w:tcPr>
                  <w:tcW w:w="1128"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1353"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TJ5</w:t>
                  </w:r>
                </w:p>
              </w:tc>
              <w:tc>
                <w:tcPr>
                  <w:tcW w:w="992"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152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坝埂上堤处</w:t>
                  </w:r>
                </w:p>
              </w:tc>
              <w:tc>
                <w:tcPr>
                  <w:tcW w:w="1128"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1353"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TJ6</w:t>
                  </w:r>
                </w:p>
              </w:tc>
              <w:tc>
                <w:tcPr>
                  <w:tcW w:w="992"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1526"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南门桥下游</w:t>
                  </w:r>
                </w:p>
              </w:tc>
              <w:tc>
                <w:tcPr>
                  <w:tcW w:w="1128"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1353" w:type="pct"/>
                  <w:tcBorders>
                    <w:top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小计</w:t>
                  </w:r>
                </w:p>
              </w:tc>
              <w:tc>
                <w:tcPr>
                  <w:tcW w:w="992"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6</w:t>
                  </w:r>
                </w:p>
              </w:tc>
              <w:tc>
                <w:tcPr>
                  <w:tcW w:w="1526"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128" w:type="pct"/>
                  <w:tcBorders>
                    <w:top w:val="nil"/>
                    <w:left w:val="nil"/>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bl>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亲水平台</w:t>
            </w:r>
          </w:p>
          <w:p>
            <w:pPr>
              <w:keepNext w:val="0"/>
              <w:keepLines w:val="0"/>
              <w:suppressLineNumbers w:val="0"/>
              <w:bidi w:val="0"/>
              <w:spacing w:before="0" w:beforeAutospacing="0" w:after="0" w:afterAutospacing="0"/>
              <w:ind w:left="0" w:right="0"/>
              <w:rPr>
                <w:rFonts w:hint="default"/>
              </w:rPr>
            </w:pPr>
            <w:r>
              <w:rPr>
                <w:rFonts w:hint="default"/>
              </w:rPr>
              <w:t>亲水平台共设置3座，其中：2座作为钓鱼台，位于湿地区；1座位于玫瑰区4#塘内。平台高程在正常水位以上0.7m，结构型式为钢筋混凝土梁板型，采用独立柱基础。</w:t>
            </w:r>
          </w:p>
          <w:p>
            <w:pPr>
              <w:pStyle w:val="15"/>
              <w:keepNext w:val="0"/>
              <w:keepLines w:val="0"/>
              <w:suppressLineNumbers w:val="0"/>
              <w:bidi w:val="0"/>
              <w:spacing w:before="0" w:beforeAutospacing="0" w:after="0" w:afterAutospacing="0"/>
              <w:ind w:left="0" w:right="0"/>
              <w:rPr>
                <w:rFonts w:hint="default"/>
              </w:rPr>
            </w:pPr>
            <w:r>
              <w:rPr>
                <w:rFonts w:hint="default"/>
              </w:rPr>
              <w:t>清水平台设计情况表</w:t>
            </w:r>
          </w:p>
          <w:tbl>
            <w:tblPr>
              <w:tblStyle w:val="10"/>
              <w:tblW w:w="5000"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autofit"/>
              <w:tblCellMar>
                <w:top w:w="0" w:type="dxa"/>
                <w:left w:w="108" w:type="dxa"/>
                <w:bottom w:w="0" w:type="dxa"/>
                <w:right w:w="108" w:type="dxa"/>
              </w:tblCellMar>
            </w:tblPr>
            <w:tblGrid>
              <w:gridCol w:w="1532"/>
              <w:gridCol w:w="1247"/>
              <w:gridCol w:w="1726"/>
              <w:gridCol w:w="1744"/>
              <w:gridCol w:w="1391"/>
              <w:gridCol w:w="1422"/>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12" w:hRule="atLeast"/>
                <w:jc w:val="center"/>
              </w:trPr>
              <w:tc>
                <w:tcPr>
                  <w:tcW w:w="845" w:type="pct"/>
                  <w:vMerge w:val="restart"/>
                  <w:tcBorders>
                    <w:bottom w:val="single" w:color="000000"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清水平台编号</w:t>
                  </w:r>
                </w:p>
              </w:tc>
              <w:tc>
                <w:tcPr>
                  <w:tcW w:w="688" w:type="pct"/>
                  <w:vMerge w:val="restart"/>
                  <w:tcBorders>
                    <w:left w:val="nil"/>
                    <w:bottom w:val="single" w:color="000000"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座数</w:t>
                  </w:r>
                </w:p>
              </w:tc>
              <w:tc>
                <w:tcPr>
                  <w:tcW w:w="952" w:type="pct"/>
                  <w:vMerge w:val="restart"/>
                  <w:tcBorders>
                    <w:left w:val="nil"/>
                    <w:bottom w:val="single" w:color="000000"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所在位置</w:t>
                  </w:r>
                </w:p>
              </w:tc>
              <w:tc>
                <w:tcPr>
                  <w:tcW w:w="1729" w:type="pct"/>
                  <w:gridSpan w:val="2"/>
                  <w:tcBorders>
                    <w:left w:val="nil"/>
                    <w:bottom w:val="single" w:color="000000" w:sz="4" w:space="0"/>
                    <w:right w:val="single" w:color="000000"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rPr>
                    <w:t>规格（m）</w:t>
                  </w:r>
                </w:p>
              </w:tc>
              <w:tc>
                <w:tcPr>
                  <w:tcW w:w="784" w:type="pct"/>
                  <w:vMerge w:val="restart"/>
                  <w:tcBorders>
                    <w:left w:val="nil"/>
                    <w:bottom w:val="single" w:color="000000"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结构型式</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845" w:type="pct"/>
                  <w:vMerge w:val="continue"/>
                  <w:tcBorders>
                    <w:top w:val="nil"/>
                    <w:bottom w:val="single" w:color="000000"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rPr>
                  </w:pPr>
                </w:p>
              </w:tc>
              <w:tc>
                <w:tcPr>
                  <w:tcW w:w="688"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rPr>
                  </w:pPr>
                </w:p>
              </w:tc>
              <w:tc>
                <w:tcPr>
                  <w:tcW w:w="952"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rPr>
                  </w:pPr>
                </w:p>
              </w:tc>
              <w:tc>
                <w:tcPr>
                  <w:tcW w:w="962" w:type="pct"/>
                  <w:tcBorders>
                    <w:top w:val="nil"/>
                    <w:left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宽度</w:t>
                  </w:r>
                </w:p>
              </w:tc>
              <w:tc>
                <w:tcPr>
                  <w:tcW w:w="767" w:type="pct"/>
                  <w:tcBorders>
                    <w:top w:val="nil"/>
                    <w:left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长度</w:t>
                  </w:r>
                </w:p>
              </w:tc>
              <w:tc>
                <w:tcPr>
                  <w:tcW w:w="784" w:type="pct"/>
                  <w:vMerge w:val="continue"/>
                  <w:tcBorders>
                    <w:top w:val="nil"/>
                    <w:left w:val="nil"/>
                    <w:bottom w:val="single" w:color="000000"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845" w:type="pct"/>
                  <w:tcBorders>
                    <w:top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PT1</w:t>
                  </w:r>
                </w:p>
              </w:tc>
              <w:tc>
                <w:tcPr>
                  <w:tcW w:w="688" w:type="pct"/>
                  <w:tcBorders>
                    <w:top w:val="nil"/>
                    <w:left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1</w:t>
                  </w:r>
                </w:p>
              </w:tc>
              <w:tc>
                <w:tcPr>
                  <w:tcW w:w="952" w:type="pct"/>
                  <w:tcBorders>
                    <w:top w:val="nil"/>
                    <w:left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4#塘</w:t>
                  </w:r>
                </w:p>
              </w:tc>
              <w:tc>
                <w:tcPr>
                  <w:tcW w:w="962" w:type="pct"/>
                  <w:tcBorders>
                    <w:top w:val="nil"/>
                    <w:left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3</w:t>
                  </w:r>
                </w:p>
              </w:tc>
              <w:tc>
                <w:tcPr>
                  <w:tcW w:w="767" w:type="pct"/>
                  <w:tcBorders>
                    <w:top w:val="nil"/>
                    <w:left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8.4</w:t>
                  </w:r>
                </w:p>
              </w:tc>
              <w:tc>
                <w:tcPr>
                  <w:tcW w:w="784" w:type="pct"/>
                  <w:tcBorders>
                    <w:top w:val="nil"/>
                    <w:left w:val="nil"/>
                    <w:bottom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钢筋混凝土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845" w:type="pct"/>
                  <w:tcBorders>
                    <w:top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DYT1、DYT2</w:t>
                  </w:r>
                </w:p>
              </w:tc>
              <w:tc>
                <w:tcPr>
                  <w:tcW w:w="688" w:type="pct"/>
                  <w:tcBorders>
                    <w:top w:val="nil"/>
                    <w:left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2</w:t>
                  </w:r>
                </w:p>
              </w:tc>
              <w:tc>
                <w:tcPr>
                  <w:tcW w:w="952" w:type="pct"/>
                  <w:tcBorders>
                    <w:top w:val="nil"/>
                    <w:left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湿地区</w:t>
                  </w:r>
                </w:p>
              </w:tc>
              <w:tc>
                <w:tcPr>
                  <w:tcW w:w="962" w:type="pct"/>
                  <w:tcBorders>
                    <w:top w:val="nil"/>
                    <w:left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4</w:t>
                  </w:r>
                </w:p>
              </w:tc>
              <w:tc>
                <w:tcPr>
                  <w:tcW w:w="767" w:type="pct"/>
                  <w:tcBorders>
                    <w:top w:val="nil"/>
                    <w:left w:val="nil"/>
                    <w:bottom w:val="single" w:color="auto" w:sz="4" w:space="0"/>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6.6</w:t>
                  </w:r>
                </w:p>
              </w:tc>
              <w:tc>
                <w:tcPr>
                  <w:tcW w:w="784" w:type="pct"/>
                  <w:tcBorders>
                    <w:top w:val="nil"/>
                    <w:left w:val="nil"/>
                    <w:bottom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钢筋混凝土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845" w:type="pct"/>
                  <w:tcBorders>
                    <w:top w:val="nil"/>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小计</w:t>
                  </w:r>
                </w:p>
              </w:tc>
              <w:tc>
                <w:tcPr>
                  <w:tcW w:w="688" w:type="pct"/>
                  <w:tcBorders>
                    <w:top w:val="nil"/>
                    <w:left w:val="nil"/>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3</w:t>
                  </w:r>
                </w:p>
              </w:tc>
              <w:tc>
                <w:tcPr>
                  <w:tcW w:w="952" w:type="pct"/>
                  <w:tcBorders>
                    <w:top w:val="nil"/>
                    <w:left w:val="nil"/>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　</w:t>
                  </w:r>
                </w:p>
              </w:tc>
              <w:tc>
                <w:tcPr>
                  <w:tcW w:w="962" w:type="pct"/>
                  <w:tcBorders>
                    <w:top w:val="nil"/>
                    <w:left w:val="nil"/>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　</w:t>
                  </w:r>
                </w:p>
              </w:tc>
              <w:tc>
                <w:tcPr>
                  <w:tcW w:w="767" w:type="pct"/>
                  <w:tcBorders>
                    <w:top w:val="nil"/>
                    <w:left w:val="nil"/>
                    <w:right w:val="single" w:color="auto" w:sz="4" w:space="0"/>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　</w:t>
                  </w:r>
                </w:p>
              </w:tc>
              <w:tc>
                <w:tcPr>
                  <w:tcW w:w="784" w:type="pct"/>
                  <w:tcBorders>
                    <w:top w:val="nil"/>
                    <w:left w:val="nil"/>
                  </w:tcBorders>
                  <w:shd w:val="clear" w:color="auto" w:fill="auto"/>
                  <w:vAlign w:val="center"/>
                </w:tcPr>
                <w:p>
                  <w:pPr>
                    <w:pStyle w:val="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lang w:val="en-US" w:eastAsia="zh-CN"/>
                    </w:rPr>
                    <w:t>　</w:t>
                  </w:r>
                </w:p>
              </w:tc>
            </w:tr>
          </w:tbl>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景观亭</w:t>
            </w:r>
          </w:p>
          <w:p>
            <w:pPr>
              <w:keepNext w:val="0"/>
              <w:keepLines w:val="0"/>
              <w:suppressLineNumbers w:val="0"/>
              <w:bidi w:val="0"/>
              <w:spacing w:before="0" w:beforeAutospacing="0" w:after="0" w:afterAutospacing="0"/>
              <w:ind w:left="0" w:right="0"/>
              <w:rPr>
                <w:rFonts w:hint="default"/>
              </w:rPr>
            </w:pPr>
            <w:r>
              <w:rPr>
                <w:rFonts w:hint="default"/>
              </w:rPr>
              <w:t>景观亭共有3座，其中：2座位于湿地区，1座位于玫瑰区蛇岛。湿地区的景观亭下部结构是钢筋混凝土梁柱框架型，上部是茅草亭（仿真），一座是单圆顶型，一座是双圆顶型；玫瑰区的草亭是四方亭，位于蛇岛的陆地上。</w:t>
            </w:r>
          </w:p>
          <w:p>
            <w:pPr>
              <w:pStyle w:val="15"/>
              <w:keepNext w:val="0"/>
              <w:keepLines w:val="0"/>
              <w:suppressLineNumbers w:val="0"/>
              <w:bidi w:val="0"/>
              <w:spacing w:before="0" w:beforeAutospacing="0" w:after="0" w:afterAutospacing="0"/>
              <w:ind w:left="0" w:right="0"/>
              <w:rPr>
                <w:rFonts w:hint="default"/>
              </w:rPr>
            </w:pPr>
            <w:r>
              <w:rPr>
                <w:rFonts w:hint="default"/>
              </w:rPr>
              <w:t>景观亭设计情况表</w:t>
            </w:r>
          </w:p>
          <w:tbl>
            <w:tblPr>
              <w:tblStyle w:val="10"/>
              <w:tblW w:w="5000"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autofit"/>
              <w:tblCellMar>
                <w:top w:w="0" w:type="dxa"/>
                <w:left w:w="108" w:type="dxa"/>
                <w:bottom w:w="0" w:type="dxa"/>
                <w:right w:w="108" w:type="dxa"/>
              </w:tblCellMar>
            </w:tblPr>
            <w:tblGrid>
              <w:gridCol w:w="1570"/>
              <w:gridCol w:w="1133"/>
              <w:gridCol w:w="1542"/>
              <w:gridCol w:w="1479"/>
              <w:gridCol w:w="1669"/>
              <w:gridCol w:w="1669"/>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12" w:hRule="atLeast"/>
                <w:jc w:val="center"/>
              </w:trPr>
              <w:tc>
                <w:tcPr>
                  <w:tcW w:w="1570" w:type="dxa"/>
                  <w:vMerge w:val="restart"/>
                  <w:tcBorders>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清水平台编号</w:t>
                  </w:r>
                </w:p>
              </w:tc>
              <w:tc>
                <w:tcPr>
                  <w:tcW w:w="1133" w:type="dxa"/>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座数</w:t>
                  </w:r>
                </w:p>
              </w:tc>
              <w:tc>
                <w:tcPr>
                  <w:tcW w:w="1542" w:type="dxa"/>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所在位置</w:t>
                  </w:r>
                </w:p>
              </w:tc>
              <w:tc>
                <w:tcPr>
                  <w:tcW w:w="3148" w:type="dxa"/>
                  <w:gridSpan w:val="2"/>
                  <w:tcBorders>
                    <w:left w:val="nil"/>
                    <w:bottom w:val="single" w:color="000000" w:sz="4" w:space="0"/>
                    <w:right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规格（m）</w:t>
                  </w:r>
                </w:p>
              </w:tc>
              <w:tc>
                <w:tcPr>
                  <w:tcW w:w="1669" w:type="dxa"/>
                  <w:vMerge w:val="restart"/>
                  <w:tcBorders>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结构型式</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1570" w:type="dxa"/>
                  <w:vMerge w:val="continue"/>
                  <w:tcBorders>
                    <w:top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133" w:type="dxa"/>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542" w:type="dxa"/>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479"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宽度</w:t>
                  </w:r>
                </w:p>
              </w:tc>
              <w:tc>
                <w:tcPr>
                  <w:tcW w:w="1669"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长度</w:t>
                  </w:r>
                </w:p>
              </w:tc>
              <w:tc>
                <w:tcPr>
                  <w:tcW w:w="1669" w:type="dxa"/>
                  <w:vMerge w:val="continue"/>
                  <w:tcBorders>
                    <w:top w:val="nil"/>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1570" w:type="dxa"/>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T1</w:t>
                  </w:r>
                </w:p>
              </w:tc>
              <w:tc>
                <w:tcPr>
                  <w:tcW w:w="1133"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1542"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沟（十）</w:t>
                  </w:r>
                </w:p>
              </w:tc>
              <w:tc>
                <w:tcPr>
                  <w:tcW w:w="3148" w:type="dxa"/>
                  <w:gridSpan w:val="2"/>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六角亭</w:t>
                  </w:r>
                </w:p>
              </w:tc>
              <w:tc>
                <w:tcPr>
                  <w:tcW w:w="1669" w:type="dxa"/>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钢筋混凝土</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1570" w:type="dxa"/>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T2</w:t>
                  </w:r>
                </w:p>
              </w:tc>
              <w:tc>
                <w:tcPr>
                  <w:tcW w:w="1133"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1542"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湿地区</w:t>
                  </w:r>
                </w:p>
              </w:tc>
              <w:tc>
                <w:tcPr>
                  <w:tcW w:w="3148" w:type="dxa"/>
                  <w:gridSpan w:val="2"/>
                  <w:tcBorders>
                    <w:top w:val="single" w:color="auto" w:sz="4" w:space="0"/>
                    <w:left w:val="nil"/>
                    <w:bottom w:val="single" w:color="auto" w:sz="4" w:space="0"/>
                    <w:right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草亭1个组合</w:t>
                  </w:r>
                </w:p>
              </w:tc>
              <w:tc>
                <w:tcPr>
                  <w:tcW w:w="1669" w:type="dxa"/>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制成品</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1570" w:type="dxa"/>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T3</w:t>
                  </w:r>
                </w:p>
              </w:tc>
              <w:tc>
                <w:tcPr>
                  <w:tcW w:w="1133"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w:t>
                  </w:r>
                </w:p>
              </w:tc>
              <w:tc>
                <w:tcPr>
                  <w:tcW w:w="1542" w:type="dxa"/>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湿地区</w:t>
                  </w:r>
                </w:p>
              </w:tc>
              <w:tc>
                <w:tcPr>
                  <w:tcW w:w="3148" w:type="dxa"/>
                  <w:gridSpan w:val="2"/>
                  <w:tcBorders>
                    <w:top w:val="single" w:color="auto" w:sz="4" w:space="0"/>
                    <w:left w:val="nil"/>
                    <w:bottom w:val="single" w:color="auto" w:sz="4" w:space="0"/>
                    <w:right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草亭2个组合</w:t>
                  </w:r>
                </w:p>
              </w:tc>
              <w:tc>
                <w:tcPr>
                  <w:tcW w:w="1669" w:type="dxa"/>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制成品</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1570" w:type="dxa"/>
                  <w:tcBorders>
                    <w:top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小计</w:t>
                  </w:r>
                </w:p>
              </w:tc>
              <w:tc>
                <w:tcPr>
                  <w:tcW w:w="1133" w:type="dxa"/>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w:t>
                  </w:r>
                </w:p>
              </w:tc>
              <w:tc>
                <w:tcPr>
                  <w:tcW w:w="1542" w:type="dxa"/>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479" w:type="dxa"/>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669" w:type="dxa"/>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669" w:type="dxa"/>
                  <w:tcBorders>
                    <w:top w:val="nil"/>
                    <w:left w:val="nil"/>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bl>
          <w:p>
            <w:pPr>
              <w:pStyle w:val="19"/>
              <w:keepNext w:val="0"/>
              <w:keepLines w:val="0"/>
              <w:widowControl w:val="0"/>
              <w:numPr>
                <w:ilvl w:val="0"/>
                <w:numId w:val="0"/>
              </w:numPr>
              <w:suppressLineNumbers w:val="0"/>
              <w:bidi w:val="0"/>
              <w:spacing w:before="0" w:beforeAutospacing="0" w:after="0" w:afterAutospacing="0" w:line="360" w:lineRule="auto"/>
              <w:ind w:left="0" w:right="0"/>
              <w:jc w:val="center"/>
              <w:rPr>
                <w:rFonts w:hint="default"/>
              </w:rPr>
            </w:pPr>
            <w:r>
              <w:rPr>
                <w:rFonts w:hint="default"/>
              </w:rPr>
              <w:drawing>
                <wp:inline distT="0" distB="0" distL="114300" distR="114300">
                  <wp:extent cx="4918075" cy="3296285"/>
                  <wp:effectExtent l="0" t="0" r="15875" b="18415"/>
                  <wp:docPr id="31" name="图片 31" descr="C:\Users\PC\Desktop\茅草亭图片\双茅草亭组合.jf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C:\Users\PC\Desktop\茅草亭图片\双茅草亭组合.jf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918075" cy="3296285"/>
                          </a:xfrm>
                          <a:prstGeom prst="rect">
                            <a:avLst/>
                          </a:prstGeom>
                          <a:noFill/>
                          <a:ln>
                            <a:noFill/>
                          </a:ln>
                        </pic:spPr>
                      </pic:pic>
                    </a:graphicData>
                  </a:graphic>
                </wp:inline>
              </w:drawing>
            </w:r>
          </w:p>
          <w:p>
            <w:pPr>
              <w:pStyle w:val="19"/>
              <w:keepNext w:val="0"/>
              <w:keepLines w:val="0"/>
              <w:suppressLineNumbers w:val="0"/>
              <w:bidi w:val="0"/>
              <w:spacing w:before="0" w:beforeAutospacing="0" w:after="0" w:afterAutospacing="0"/>
              <w:ind w:left="0" w:right="0"/>
              <w:rPr>
                <w:rFonts w:hint="default"/>
              </w:rPr>
            </w:pPr>
            <w:r>
              <w:rPr>
                <w:rFonts w:hint="default"/>
              </w:rPr>
              <w:t>双草亭效果图</w:t>
            </w:r>
          </w:p>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长廊</w:t>
            </w:r>
          </w:p>
          <w:p>
            <w:pPr>
              <w:keepNext w:val="0"/>
              <w:keepLines w:val="0"/>
              <w:suppressLineNumbers w:val="0"/>
              <w:bidi w:val="0"/>
              <w:spacing w:before="0" w:beforeAutospacing="0" w:after="0" w:afterAutospacing="0"/>
              <w:ind w:left="0" w:right="0"/>
              <w:rPr>
                <w:rFonts w:hint="default"/>
              </w:rPr>
            </w:pPr>
            <w:r>
              <w:rPr>
                <w:rFonts w:hint="default"/>
              </w:rPr>
              <w:t>在湿地区设置长廊2处，均位于湿地区，长廊长度25.60m，宽度3.0m，分为7间，开间3.60m，一层钢筋混凝土框架结构，明清风格，灰色筒瓦屋面。长廊的地面高于岗山河正常蓄水位以上0.7m，即地面高程▼11.20m。</w:t>
            </w:r>
          </w:p>
          <w:p>
            <w:pPr>
              <w:pStyle w:val="15"/>
              <w:keepNext w:val="0"/>
              <w:keepLines w:val="0"/>
              <w:suppressLineNumbers w:val="0"/>
              <w:bidi w:val="0"/>
              <w:spacing w:before="0" w:beforeAutospacing="0" w:after="0" w:afterAutospacing="0"/>
              <w:ind w:left="0" w:right="0"/>
              <w:rPr>
                <w:rFonts w:hint="default"/>
              </w:rPr>
            </w:pPr>
            <w:r>
              <w:rPr>
                <w:rFonts w:hint="default"/>
              </w:rPr>
              <w:t>长廊设计情况表</w:t>
            </w:r>
          </w:p>
          <w:tbl>
            <w:tblPr>
              <w:tblStyle w:val="10"/>
              <w:tblW w:w="5000"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autofit"/>
              <w:tblCellMar>
                <w:top w:w="0" w:type="dxa"/>
                <w:left w:w="108" w:type="dxa"/>
                <w:bottom w:w="0" w:type="dxa"/>
                <w:right w:w="108" w:type="dxa"/>
              </w:tblCellMar>
            </w:tblPr>
            <w:tblGrid>
              <w:gridCol w:w="1860"/>
              <w:gridCol w:w="952"/>
              <w:gridCol w:w="1755"/>
              <w:gridCol w:w="1193"/>
              <w:gridCol w:w="1168"/>
              <w:gridCol w:w="2134"/>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1026" w:type="pct"/>
                  <w:vMerge w:val="restart"/>
                  <w:tcBorders>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长廊编号</w:t>
                  </w:r>
                </w:p>
              </w:tc>
              <w:tc>
                <w:tcPr>
                  <w:tcW w:w="525"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座数</w:t>
                  </w:r>
                </w:p>
              </w:tc>
              <w:tc>
                <w:tcPr>
                  <w:tcW w:w="968" w:type="pct"/>
                  <w:vMerge w:val="restar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所在位置</w:t>
                  </w:r>
                </w:p>
              </w:tc>
              <w:tc>
                <w:tcPr>
                  <w:tcW w:w="1302" w:type="pct"/>
                  <w:gridSpan w:val="2"/>
                  <w:tcBorders>
                    <w:left w:val="nil"/>
                    <w:bottom w:val="single" w:color="000000" w:sz="4" w:space="0"/>
                    <w:right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规格（m）</w:t>
                  </w:r>
                </w:p>
              </w:tc>
              <w:tc>
                <w:tcPr>
                  <w:tcW w:w="1177" w:type="pct"/>
                  <w:vMerge w:val="restart"/>
                  <w:tcBorders>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结构型式</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1026" w:type="pct"/>
                  <w:vMerge w:val="continue"/>
                  <w:tcBorders>
                    <w:top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525"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968" w:type="pct"/>
                  <w:vMerge w:val="continue"/>
                  <w:tcBorders>
                    <w:top w:val="nil"/>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658"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宽度</w:t>
                  </w:r>
                </w:p>
              </w:tc>
              <w:tc>
                <w:tcPr>
                  <w:tcW w:w="644"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长度</w:t>
                  </w:r>
                </w:p>
              </w:tc>
              <w:tc>
                <w:tcPr>
                  <w:tcW w:w="1177" w:type="pct"/>
                  <w:vMerge w:val="continue"/>
                  <w:tcBorders>
                    <w:top w:val="nil"/>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1026" w:type="pct"/>
                  <w:tcBorders>
                    <w:top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CL1、CL2</w:t>
                  </w:r>
                </w:p>
              </w:tc>
              <w:tc>
                <w:tcPr>
                  <w:tcW w:w="525"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w:t>
                  </w:r>
                </w:p>
              </w:tc>
              <w:tc>
                <w:tcPr>
                  <w:tcW w:w="968"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湿地区</w:t>
                  </w:r>
                </w:p>
              </w:tc>
              <w:tc>
                <w:tcPr>
                  <w:tcW w:w="658"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w:t>
                  </w:r>
                </w:p>
              </w:tc>
              <w:tc>
                <w:tcPr>
                  <w:tcW w:w="644"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25.2</w:t>
                  </w:r>
                </w:p>
              </w:tc>
              <w:tc>
                <w:tcPr>
                  <w:tcW w:w="1177" w:type="pct"/>
                  <w:tcBorders>
                    <w:top w:val="nil"/>
                    <w:left w:val="nil"/>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钢筋混凝土</w:t>
                  </w:r>
                </w:p>
              </w:tc>
            </w:tr>
          </w:tbl>
          <w:p>
            <w:pPr>
              <w:pStyle w:val="17"/>
              <w:keepNext w:val="0"/>
              <w:keepLines w:val="0"/>
              <w:suppressLineNumbers w:val="0"/>
              <w:bidi w:val="0"/>
              <w:spacing w:before="0" w:beforeAutospacing="0" w:after="0" w:afterAutospacing="0"/>
              <w:ind w:left="0" w:right="0"/>
              <w:rPr>
                <w:rFonts w:hint="default"/>
              </w:rPr>
            </w:pPr>
            <w:r>
              <w:rPr>
                <w:rFonts w:hint="eastAsia"/>
              </w:rPr>
              <w:drawing>
                <wp:inline distT="0" distB="0" distL="114300" distR="114300">
                  <wp:extent cx="5615940" cy="1508125"/>
                  <wp:effectExtent l="12700" t="12700" r="29210" b="2222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615940" cy="1508125"/>
                          </a:xfrm>
                          <a:prstGeom prst="rect">
                            <a:avLst/>
                          </a:prstGeom>
                          <a:ln w="12700">
                            <a:solidFill>
                              <a:srgbClr val="00B0F0"/>
                            </a:solidFill>
                          </a:ln>
                        </pic:spPr>
                      </pic:pic>
                    </a:graphicData>
                  </a:graphic>
                </wp:inline>
              </w:drawing>
            </w:r>
          </w:p>
          <w:p>
            <w:pPr>
              <w:pStyle w:val="19"/>
              <w:keepNext w:val="0"/>
              <w:keepLines w:val="0"/>
              <w:suppressLineNumbers w:val="0"/>
              <w:bidi w:val="0"/>
              <w:spacing w:before="0" w:beforeAutospacing="0" w:after="0" w:afterAutospacing="0"/>
              <w:ind w:left="0" w:right="0"/>
              <w:rPr>
                <w:rFonts w:hint="default"/>
              </w:rPr>
            </w:pPr>
            <w:r>
              <w:rPr>
                <w:rFonts w:hint="default"/>
              </w:rPr>
              <w:t>长廊立面图</w:t>
            </w:r>
          </w:p>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水上栈桥</w:t>
            </w:r>
          </w:p>
          <w:p>
            <w:pPr>
              <w:keepNext w:val="0"/>
              <w:keepLines w:val="0"/>
              <w:suppressLineNumbers w:val="0"/>
              <w:bidi w:val="0"/>
              <w:spacing w:before="0" w:beforeAutospacing="0" w:after="0" w:afterAutospacing="0"/>
              <w:ind w:left="0" w:right="0"/>
              <w:rPr>
                <w:rFonts w:hint="default"/>
              </w:rPr>
            </w:pPr>
            <w:r>
              <w:rPr>
                <w:rFonts w:hint="default"/>
              </w:rPr>
              <w:t>为了满足湿地区游人交通需要，结合地形条件分段设置栈桥，栈桥型式为钢筋混凝土框架型式，桥面高程高于正常蓄水位以上0.7m，即▼11.20m。桥面宽度2.25m，桥面铺设防腐木板，采用防腐木栏杆。栈桥采用每15.0m为一个单元。</w:t>
            </w:r>
          </w:p>
          <w:p>
            <w:pPr>
              <w:pStyle w:val="15"/>
              <w:keepNext w:val="0"/>
              <w:keepLines w:val="0"/>
              <w:suppressLineNumbers w:val="0"/>
              <w:bidi w:val="0"/>
              <w:spacing w:before="0" w:beforeAutospacing="0" w:after="0" w:afterAutospacing="0"/>
              <w:ind w:left="0" w:right="0"/>
              <w:rPr>
                <w:rFonts w:hint="default"/>
              </w:rPr>
            </w:pPr>
            <w:r>
              <w:rPr>
                <w:rFonts w:hint="default"/>
              </w:rPr>
              <w:t>水上栈桥情况表</w:t>
            </w:r>
          </w:p>
          <w:tbl>
            <w:tblPr>
              <w:tblStyle w:val="10"/>
              <w:tblW w:w="5000"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autofit"/>
              <w:tblCellMar>
                <w:top w:w="0" w:type="dxa"/>
                <w:left w:w="108" w:type="dxa"/>
                <w:bottom w:w="0" w:type="dxa"/>
                <w:right w:w="108" w:type="dxa"/>
              </w:tblCellMar>
            </w:tblPr>
            <w:tblGrid>
              <w:gridCol w:w="1512"/>
              <w:gridCol w:w="2784"/>
              <w:gridCol w:w="1487"/>
              <w:gridCol w:w="1621"/>
              <w:gridCol w:w="1658"/>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834" w:type="pct"/>
                  <w:tcBorders>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水上栈桥编号</w:t>
                  </w:r>
                </w:p>
              </w:tc>
              <w:tc>
                <w:tcPr>
                  <w:tcW w:w="1535" w:type="pc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所在位置</w:t>
                  </w:r>
                </w:p>
              </w:tc>
              <w:tc>
                <w:tcPr>
                  <w:tcW w:w="820" w:type="pc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宽度（m）</w:t>
                  </w:r>
                </w:p>
              </w:tc>
              <w:tc>
                <w:tcPr>
                  <w:tcW w:w="894" w:type="pc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长度（m）</w:t>
                  </w:r>
                </w:p>
              </w:tc>
              <w:tc>
                <w:tcPr>
                  <w:tcW w:w="914" w:type="pct"/>
                  <w:tcBorders>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型式</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834"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ZQ1</w:t>
                  </w:r>
                </w:p>
              </w:tc>
              <w:tc>
                <w:tcPr>
                  <w:tcW w:w="1535"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湿地区</w:t>
                  </w:r>
                </w:p>
              </w:tc>
              <w:tc>
                <w:tcPr>
                  <w:tcW w:w="82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2.25</w:t>
                  </w:r>
                </w:p>
              </w:tc>
              <w:tc>
                <w:tcPr>
                  <w:tcW w:w="894"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177.9</w:t>
                  </w:r>
                </w:p>
              </w:tc>
              <w:tc>
                <w:tcPr>
                  <w:tcW w:w="914"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钢筋砼</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834" w:type="pct"/>
                  <w:tcBorders>
                    <w:top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小计</w:t>
                  </w:r>
                </w:p>
              </w:tc>
              <w:tc>
                <w:tcPr>
                  <w:tcW w:w="1535"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820"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894"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177.9</w:t>
                  </w:r>
                </w:p>
              </w:tc>
              <w:tc>
                <w:tcPr>
                  <w:tcW w:w="914" w:type="pct"/>
                  <w:tcBorders>
                    <w:top w:val="nil"/>
                    <w:left w:val="nil"/>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bl>
          <w:p>
            <w:pPr>
              <w:pStyle w:val="17"/>
              <w:keepNext w:val="0"/>
              <w:keepLines w:val="0"/>
              <w:suppressLineNumbers w:val="0"/>
              <w:bidi w:val="0"/>
              <w:spacing w:before="0" w:beforeAutospacing="0" w:after="0" w:afterAutospacing="0"/>
              <w:ind w:left="0" w:right="0"/>
              <w:rPr>
                <w:rFonts w:hint="default"/>
              </w:rPr>
            </w:pPr>
            <w:r>
              <w:rPr>
                <w:rFonts w:hint="default"/>
              </w:rPr>
              <w:drawing>
                <wp:inline distT="0" distB="0" distL="114300" distR="114300">
                  <wp:extent cx="5624830" cy="1867535"/>
                  <wp:effectExtent l="12700" t="12700" r="20320" b="2476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5624830" cy="1867535"/>
                          </a:xfrm>
                          <a:prstGeom prst="rect">
                            <a:avLst/>
                          </a:prstGeom>
                          <a:ln w="12700">
                            <a:solidFill>
                              <a:srgbClr val="00B0F0"/>
                            </a:solidFill>
                          </a:ln>
                        </pic:spPr>
                      </pic:pic>
                    </a:graphicData>
                  </a:graphic>
                </wp:inline>
              </w:drawing>
            </w:r>
          </w:p>
          <w:p>
            <w:pPr>
              <w:pStyle w:val="19"/>
              <w:keepNext w:val="0"/>
              <w:keepLines w:val="0"/>
              <w:suppressLineNumbers w:val="0"/>
              <w:bidi w:val="0"/>
              <w:spacing w:before="0" w:beforeAutospacing="0" w:after="0" w:afterAutospacing="0"/>
              <w:ind w:left="0" w:right="0"/>
              <w:rPr>
                <w:rFonts w:hint="default"/>
              </w:rPr>
            </w:pPr>
            <w:r>
              <w:rPr>
                <w:rFonts w:hint="default"/>
              </w:rPr>
              <w:t>水上栈桥立面图</w:t>
            </w:r>
          </w:p>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水系连通涵</w:t>
            </w:r>
          </w:p>
          <w:p>
            <w:pPr>
              <w:keepNext w:val="0"/>
              <w:keepLines w:val="0"/>
              <w:suppressLineNumbers w:val="0"/>
              <w:bidi w:val="0"/>
              <w:spacing w:before="0" w:beforeAutospacing="0" w:after="0" w:afterAutospacing="0"/>
              <w:ind w:left="0" w:right="0"/>
              <w:rPr>
                <w:rFonts w:hint="default"/>
              </w:rPr>
            </w:pPr>
            <w:r>
              <w:rPr>
                <w:rFonts w:hint="default"/>
              </w:rPr>
              <w:t>为了保证沟道水系畅通，拟建道5道过水涵，其中：钢筋混凝土圆涵3座，钢筋混凝土方涵2座。</w:t>
            </w:r>
          </w:p>
          <w:p>
            <w:pPr>
              <w:keepNext w:val="0"/>
              <w:keepLines w:val="0"/>
              <w:numPr>
                <w:ilvl w:val="0"/>
                <w:numId w:val="12"/>
              </w:numPr>
              <w:suppressLineNumbers w:val="0"/>
              <w:bidi w:val="0"/>
              <w:spacing w:before="0" w:beforeAutospacing="0" w:after="0" w:afterAutospacing="0"/>
              <w:ind w:right="0"/>
              <w:rPr>
                <w:rFonts w:hint="default"/>
              </w:rPr>
            </w:pPr>
            <w:r>
              <w:rPr>
                <w:rFonts w:hint="default"/>
              </w:rPr>
              <w:t>过涵流量</w:t>
            </w:r>
          </w:p>
          <w:p>
            <w:pPr>
              <w:keepNext w:val="0"/>
              <w:keepLines w:val="0"/>
              <w:suppressLineNumbers w:val="0"/>
              <w:bidi w:val="0"/>
              <w:spacing w:before="0" w:beforeAutospacing="0" w:after="0" w:afterAutospacing="0"/>
              <w:ind w:left="0" w:right="0"/>
              <w:rPr>
                <w:rFonts w:hint="default"/>
              </w:rPr>
            </w:pPr>
            <w:r>
              <w:rPr>
                <w:rFonts w:hint="default"/>
              </w:rPr>
              <w:t>过路涵的孔径尺寸是依据设计排水流量、设计水位差等因素确定的。</w:t>
            </w:r>
          </w:p>
          <w:p>
            <w:pPr>
              <w:keepNext w:val="0"/>
              <w:keepLines w:val="0"/>
              <w:numPr>
                <w:ilvl w:val="0"/>
                <w:numId w:val="12"/>
              </w:numPr>
              <w:suppressLineNumbers w:val="0"/>
              <w:bidi w:val="0"/>
              <w:spacing w:before="0" w:beforeAutospacing="0" w:after="0" w:afterAutospacing="0"/>
              <w:ind w:right="0"/>
              <w:rPr>
                <w:rFonts w:hint="default"/>
              </w:rPr>
            </w:pPr>
            <w:r>
              <w:rPr>
                <w:rFonts w:hint="default"/>
              </w:rPr>
              <w:t>流态选择</w:t>
            </w:r>
          </w:p>
          <w:p>
            <w:pPr>
              <w:keepNext w:val="0"/>
              <w:keepLines w:val="0"/>
              <w:suppressLineNumbers w:val="0"/>
              <w:bidi w:val="0"/>
              <w:spacing w:before="0" w:beforeAutospacing="0" w:after="0" w:afterAutospacing="0"/>
              <w:ind w:left="0" w:right="0"/>
              <w:rPr>
                <w:rFonts w:hint="default"/>
              </w:rPr>
            </w:pPr>
            <w:r>
              <w:rPr>
                <w:rFonts w:hint="default"/>
              </w:rPr>
              <w:t>考虑到现状沟渠穿越道路是田间道和生产道，为不淹没田面，涵前不应有过高积水，且土壤抗冲性能不高，因此按无压流设计。</w:t>
            </w:r>
          </w:p>
          <w:p>
            <w:pPr>
              <w:keepNext w:val="0"/>
              <w:keepLines w:val="0"/>
              <w:numPr>
                <w:ilvl w:val="0"/>
                <w:numId w:val="12"/>
              </w:numPr>
              <w:suppressLineNumbers w:val="0"/>
              <w:bidi w:val="0"/>
              <w:spacing w:before="0" w:beforeAutospacing="0" w:after="0" w:afterAutospacing="0"/>
              <w:ind w:right="0"/>
              <w:rPr>
                <w:rFonts w:hint="default"/>
              </w:rPr>
            </w:pPr>
            <w:r>
              <w:rPr>
                <w:rFonts w:hint="default"/>
              </w:rPr>
              <w:t>洞型选择</w:t>
            </w:r>
          </w:p>
          <w:p>
            <w:pPr>
              <w:keepNext w:val="0"/>
              <w:keepLines w:val="0"/>
              <w:suppressLineNumbers w:val="0"/>
              <w:bidi w:val="0"/>
              <w:spacing w:before="0" w:beforeAutospacing="0" w:after="0" w:afterAutospacing="0"/>
              <w:ind w:left="0" w:right="0"/>
              <w:rPr>
                <w:rFonts w:hint="default"/>
              </w:rPr>
            </w:pPr>
            <w:r>
              <w:rPr>
                <w:rFonts w:hint="default"/>
              </w:rPr>
              <w:t>由于项目区的排水沟深度在0.7m～1.0m之间，既满足排水过流能力需要，又满足机动车行驶要求，采用圆涵，涵顶土埋深不足，涵身易被压损，比选采用钢筋混凝土方涵，</w:t>
            </w:r>
          </w:p>
          <w:p>
            <w:pPr>
              <w:keepNext w:val="0"/>
              <w:keepLines w:val="0"/>
              <w:numPr>
                <w:ilvl w:val="0"/>
                <w:numId w:val="12"/>
              </w:numPr>
              <w:suppressLineNumbers w:val="0"/>
              <w:bidi w:val="0"/>
              <w:spacing w:before="0" w:beforeAutospacing="0" w:after="0" w:afterAutospacing="0"/>
              <w:ind w:right="0"/>
              <w:rPr>
                <w:rFonts w:hint="default"/>
              </w:rPr>
            </w:pPr>
            <w:r>
              <w:rPr>
                <w:rFonts w:hint="default"/>
              </w:rPr>
              <w:t>翼墙形式确定</w:t>
            </w:r>
          </w:p>
          <w:p>
            <w:pPr>
              <w:keepNext w:val="0"/>
              <w:keepLines w:val="0"/>
              <w:suppressLineNumbers w:val="0"/>
              <w:bidi w:val="0"/>
              <w:spacing w:before="0" w:beforeAutospacing="0" w:after="0" w:afterAutospacing="0"/>
              <w:ind w:left="0" w:right="0"/>
              <w:rPr>
                <w:rFonts w:hint="default"/>
              </w:rPr>
            </w:pPr>
            <w:r>
              <w:rPr>
                <w:rFonts w:hint="default"/>
              </w:rPr>
              <w:t>涵洞进出口形式采用潜入式八字型钢筋混凝土翼墙，与涵身共底板。</w:t>
            </w:r>
          </w:p>
          <w:p>
            <w:pPr>
              <w:keepNext w:val="0"/>
              <w:keepLines w:val="0"/>
              <w:numPr>
                <w:ilvl w:val="0"/>
                <w:numId w:val="12"/>
              </w:numPr>
              <w:suppressLineNumbers w:val="0"/>
              <w:bidi w:val="0"/>
              <w:spacing w:before="0" w:beforeAutospacing="0" w:after="0" w:afterAutospacing="0"/>
              <w:ind w:right="0"/>
              <w:rPr>
                <w:rFonts w:hint="default"/>
              </w:rPr>
            </w:pPr>
            <w:r>
              <w:rPr>
                <w:rFonts w:hint="default"/>
              </w:rPr>
              <w:t>涵洞进出口高程和底坡的拟定</w:t>
            </w:r>
          </w:p>
          <w:p>
            <w:pPr>
              <w:keepNext w:val="0"/>
              <w:keepLines w:val="0"/>
              <w:suppressLineNumbers w:val="0"/>
              <w:bidi w:val="0"/>
              <w:spacing w:before="0" w:beforeAutospacing="0" w:after="0" w:afterAutospacing="0"/>
              <w:ind w:left="0" w:right="0"/>
              <w:rPr>
                <w:rFonts w:hint="default"/>
              </w:rPr>
            </w:pPr>
            <w:r>
              <w:rPr>
                <w:rFonts w:hint="default"/>
              </w:rPr>
              <w:t>为减少工程开挖量和进出口水流平顺，涵洞进出口高程和底坡按自然进出口处的高程和底坡确定。</w:t>
            </w:r>
          </w:p>
          <w:p>
            <w:pPr>
              <w:pStyle w:val="15"/>
              <w:keepNext w:val="0"/>
              <w:keepLines w:val="0"/>
              <w:suppressLineNumbers w:val="0"/>
              <w:bidi w:val="0"/>
              <w:spacing w:before="0" w:beforeAutospacing="0" w:after="0" w:afterAutospacing="0"/>
              <w:ind w:left="0" w:right="0"/>
              <w:rPr>
                <w:rFonts w:hint="default"/>
              </w:rPr>
            </w:pPr>
            <w:r>
              <w:rPr>
                <w:rFonts w:hint="default"/>
              </w:rPr>
              <w:t>过路涵情况表</w:t>
            </w:r>
          </w:p>
          <w:tbl>
            <w:tblPr>
              <w:tblStyle w:val="10"/>
              <w:tblW w:w="5000" w:type="pct"/>
              <w:jc w:val="center"/>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autofit"/>
              <w:tblCellMar>
                <w:top w:w="0" w:type="dxa"/>
                <w:left w:w="108" w:type="dxa"/>
                <w:bottom w:w="0" w:type="dxa"/>
                <w:right w:w="108" w:type="dxa"/>
              </w:tblCellMar>
            </w:tblPr>
            <w:tblGrid>
              <w:gridCol w:w="1315"/>
              <w:gridCol w:w="751"/>
              <w:gridCol w:w="1874"/>
              <w:gridCol w:w="1215"/>
              <w:gridCol w:w="1052"/>
              <w:gridCol w:w="1438"/>
              <w:gridCol w:w="1417"/>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312" w:hRule="atLeast"/>
                <w:jc w:val="center"/>
              </w:trPr>
              <w:tc>
                <w:tcPr>
                  <w:tcW w:w="725" w:type="pct"/>
                  <w:tcBorders>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过路涵编号</w:t>
                  </w:r>
                </w:p>
              </w:tc>
              <w:tc>
                <w:tcPr>
                  <w:tcW w:w="414" w:type="pc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座数</w:t>
                  </w:r>
                </w:p>
              </w:tc>
              <w:tc>
                <w:tcPr>
                  <w:tcW w:w="1033" w:type="pc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所在位置</w:t>
                  </w:r>
                </w:p>
              </w:tc>
              <w:tc>
                <w:tcPr>
                  <w:tcW w:w="670" w:type="pc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宽度（m）</w:t>
                  </w:r>
                </w:p>
              </w:tc>
              <w:tc>
                <w:tcPr>
                  <w:tcW w:w="580" w:type="pc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高度（m）</w:t>
                  </w:r>
                </w:p>
              </w:tc>
              <w:tc>
                <w:tcPr>
                  <w:tcW w:w="793" w:type="pct"/>
                  <w:tcBorders>
                    <w:left w:val="nil"/>
                    <w:bottom w:val="single" w:color="000000"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涵身长度（m）</w:t>
                  </w:r>
                </w:p>
              </w:tc>
              <w:tc>
                <w:tcPr>
                  <w:tcW w:w="781" w:type="pct"/>
                  <w:tcBorders>
                    <w:left w:val="nil"/>
                    <w:bottom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型式</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725"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H1</w:t>
                  </w:r>
                </w:p>
              </w:tc>
              <w:tc>
                <w:tcPr>
                  <w:tcW w:w="414"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1033"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排水沟G2</w:t>
                  </w:r>
                </w:p>
              </w:tc>
              <w:tc>
                <w:tcPr>
                  <w:tcW w:w="1250" w:type="pct"/>
                  <w:gridSpan w:val="2"/>
                  <w:tcBorders>
                    <w:top w:val="single" w:color="auto" w:sz="4" w:space="0"/>
                    <w:left w:val="nil"/>
                    <w:bottom w:val="single" w:color="auto" w:sz="4" w:space="0"/>
                    <w:right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￠800</w:t>
                  </w:r>
                </w:p>
              </w:tc>
              <w:tc>
                <w:tcPr>
                  <w:tcW w:w="793"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w:t>
                  </w:r>
                </w:p>
              </w:tc>
              <w:tc>
                <w:tcPr>
                  <w:tcW w:w="78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钢筋砼涵管</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23" w:hRule="atLeast"/>
                <w:jc w:val="center"/>
              </w:trPr>
              <w:tc>
                <w:tcPr>
                  <w:tcW w:w="725"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H2</w:t>
                  </w:r>
                </w:p>
              </w:tc>
              <w:tc>
                <w:tcPr>
                  <w:tcW w:w="414"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1033"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排水沟G2</w:t>
                  </w:r>
                </w:p>
              </w:tc>
              <w:tc>
                <w:tcPr>
                  <w:tcW w:w="1250" w:type="pct"/>
                  <w:gridSpan w:val="2"/>
                  <w:tcBorders>
                    <w:top w:val="single" w:color="auto" w:sz="4" w:space="0"/>
                    <w:left w:val="nil"/>
                    <w:bottom w:val="single" w:color="auto" w:sz="4" w:space="0"/>
                    <w:right w:val="single" w:color="000000"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￠800</w:t>
                  </w:r>
                </w:p>
              </w:tc>
              <w:tc>
                <w:tcPr>
                  <w:tcW w:w="793"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w:t>
                  </w:r>
                </w:p>
              </w:tc>
              <w:tc>
                <w:tcPr>
                  <w:tcW w:w="78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钢筋砼涵管</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PrEx>
              <w:trPr>
                <w:trHeight w:val="23" w:hRule="atLeast"/>
                <w:jc w:val="center"/>
              </w:trPr>
              <w:tc>
                <w:tcPr>
                  <w:tcW w:w="725"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FH1</w:t>
                  </w:r>
                </w:p>
              </w:tc>
              <w:tc>
                <w:tcPr>
                  <w:tcW w:w="414"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1033"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排水沟G1</w:t>
                  </w:r>
                </w:p>
              </w:tc>
              <w:tc>
                <w:tcPr>
                  <w:tcW w:w="67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58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793"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w:t>
                  </w:r>
                </w:p>
              </w:tc>
              <w:tc>
                <w:tcPr>
                  <w:tcW w:w="78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钢筋砼</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725"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FH2</w:t>
                  </w:r>
                </w:p>
              </w:tc>
              <w:tc>
                <w:tcPr>
                  <w:tcW w:w="414"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1033"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湿地区</w:t>
                  </w:r>
                </w:p>
              </w:tc>
              <w:tc>
                <w:tcPr>
                  <w:tcW w:w="67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580"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793"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w:t>
                  </w:r>
                </w:p>
              </w:tc>
              <w:tc>
                <w:tcPr>
                  <w:tcW w:w="78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钢筋砼涵管</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725" w:type="pct"/>
                  <w:tcBorders>
                    <w:top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FH3</w:t>
                  </w:r>
                </w:p>
              </w:tc>
              <w:tc>
                <w:tcPr>
                  <w:tcW w:w="414"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p>
              </w:tc>
              <w:tc>
                <w:tcPr>
                  <w:tcW w:w="1033"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黄金坝排水沟</w:t>
                  </w:r>
                </w:p>
              </w:tc>
              <w:tc>
                <w:tcPr>
                  <w:tcW w:w="1250" w:type="pct"/>
                  <w:gridSpan w:val="2"/>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￠1000</w:t>
                  </w:r>
                </w:p>
              </w:tc>
              <w:tc>
                <w:tcPr>
                  <w:tcW w:w="793" w:type="pc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w:t>
                  </w:r>
                </w:p>
              </w:tc>
              <w:tc>
                <w:tcPr>
                  <w:tcW w:w="781" w:type="pct"/>
                  <w:tcBorders>
                    <w:top w:val="nil"/>
                    <w:left w:val="nil"/>
                    <w:bottom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钢筋砼涵管</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CellMar>
                  <w:top w:w="0" w:type="dxa"/>
                  <w:left w:w="108" w:type="dxa"/>
                  <w:bottom w:w="0" w:type="dxa"/>
                  <w:right w:w="108" w:type="dxa"/>
                </w:tblCellMar>
              </w:tblPrEx>
              <w:trPr>
                <w:trHeight w:val="23" w:hRule="atLeast"/>
                <w:jc w:val="center"/>
              </w:trPr>
              <w:tc>
                <w:tcPr>
                  <w:tcW w:w="725" w:type="pct"/>
                  <w:tcBorders>
                    <w:top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小计</w:t>
                  </w:r>
                </w:p>
              </w:tc>
              <w:tc>
                <w:tcPr>
                  <w:tcW w:w="414"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w:t>
                  </w:r>
                </w:p>
              </w:tc>
              <w:tc>
                <w:tcPr>
                  <w:tcW w:w="1033"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w:t>
                  </w:r>
                </w:p>
              </w:tc>
              <w:tc>
                <w:tcPr>
                  <w:tcW w:w="670"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w:t>
                  </w:r>
                </w:p>
              </w:tc>
              <w:tc>
                <w:tcPr>
                  <w:tcW w:w="580"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w:t>
                  </w:r>
                </w:p>
              </w:tc>
              <w:tc>
                <w:tcPr>
                  <w:tcW w:w="793" w:type="pct"/>
                  <w:tcBorders>
                    <w:top w:val="nil"/>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w:t>
                  </w:r>
                </w:p>
              </w:tc>
              <w:tc>
                <w:tcPr>
                  <w:tcW w:w="781" w:type="pct"/>
                  <w:tcBorders>
                    <w:top w:val="nil"/>
                    <w:left w:val="nil"/>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　</w:t>
                  </w:r>
                </w:p>
              </w:tc>
            </w:tr>
          </w:tbl>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林草措施</w:t>
            </w:r>
          </w:p>
          <w:p>
            <w:pPr>
              <w:keepNext w:val="0"/>
              <w:keepLines w:val="0"/>
              <w:suppressLineNumbers w:val="0"/>
              <w:bidi w:val="0"/>
              <w:spacing w:before="0" w:beforeAutospacing="0" w:after="0" w:afterAutospacing="0"/>
              <w:ind w:left="0" w:right="0"/>
              <w:rPr>
                <w:rFonts w:hint="default"/>
              </w:rPr>
            </w:pPr>
            <w:r>
              <w:rPr>
                <w:rFonts w:hint="default"/>
              </w:rPr>
              <w:t>沿梅溪塘区域种植乔灌木785株，草皮18185m</w:t>
            </w:r>
            <w:r>
              <w:rPr>
                <w:rFonts w:hint="eastAsia"/>
                <w:vertAlign w:val="superscript"/>
                <w:lang w:val="en-US" w:eastAsia="zh-CN"/>
              </w:rPr>
              <w:t>2</w:t>
            </w:r>
            <w:r>
              <w:rPr>
                <w:rFonts w:hint="eastAsia"/>
                <w:vertAlign w:val="baseline"/>
                <w:lang w:val="en-US" w:eastAsia="zh-CN"/>
              </w:rPr>
              <w:t>，</w:t>
            </w:r>
            <w:r>
              <w:rPr>
                <w:rFonts w:hint="default"/>
              </w:rPr>
              <w:t>水生植物2389m</w:t>
            </w:r>
            <w:r>
              <w:rPr>
                <w:rFonts w:hint="eastAsia"/>
                <w:vertAlign w:val="superscript"/>
                <w:lang w:val="en-US" w:eastAsia="zh-CN"/>
              </w:rPr>
              <w:t>2</w:t>
            </w:r>
            <w:r>
              <w:rPr>
                <w:rFonts w:hint="default"/>
              </w:rPr>
              <w:t>。</w:t>
            </w:r>
          </w:p>
          <w:p>
            <w:pPr>
              <w:pStyle w:val="15"/>
              <w:keepNext w:val="0"/>
              <w:keepLines w:val="0"/>
              <w:suppressLineNumbers w:val="0"/>
              <w:bidi w:val="0"/>
              <w:spacing w:before="0" w:beforeAutospacing="0" w:after="0" w:afterAutospacing="0"/>
              <w:ind w:left="0" w:right="0"/>
              <w:rPr>
                <w:rFonts w:hint="default"/>
              </w:rPr>
            </w:pPr>
            <w:r>
              <w:rPr>
                <w:rFonts w:hint="default"/>
              </w:rPr>
              <w:t>林草措施设计情况表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95"/>
              <w:gridCol w:w="1907"/>
              <w:gridCol w:w="2865"/>
              <w:gridCol w:w="1318"/>
              <w:gridCol w:w="1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林草措施编号</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林草种类</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规格</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棵（株/m</w:t>
                  </w:r>
                  <w:r>
                    <w:rPr>
                      <w:rFonts w:hint="eastAsia"/>
                      <w:vertAlign w:val="superscript"/>
                      <w:lang w:val="en-US" w:eastAsia="zh-CN"/>
                    </w:rPr>
                    <w:t>2</w:t>
                  </w:r>
                  <w:r>
                    <w:rPr>
                      <w:rFonts w:hint="eastAsia"/>
                      <w:lang w:val="en-US" w:eastAsia="zh-CN"/>
                    </w:rPr>
                    <w:t>）</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S1</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瓶状垂丝海棠</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D6，H200～300，P180～200，枝下高60～80</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30</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玫瑰区进场道路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S2</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高杆樱花</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D8～9，H320～350，P250～280，枝下高120～150</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325</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撇洪沟埂两侧堤肩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S3</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红叶碧桃</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直径8-10cm，1.5~1.8以上</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50</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沟（十）东埂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S4</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红玉兰</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￠12，H500-600，P400-500</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90</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沟（十）西埂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垂丝海棠</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D7，H200～300，P180～200，枝下高60～80。</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55</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S5</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红梅</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多分枝、嫁接苗，H200～300，P180～200，枝下高60～80。</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60</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S6</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垂柳</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￠10，H250-300，P180-250</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100</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S7</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垂柳</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￠10，H250-300，P180-250</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65</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S8</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朴树</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￠20，H700-800，P400-450</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5</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香樟</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￠20，H650-800，P400-450，枝下高度270-300</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5</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S9</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草籽护坡（百慕大）</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11020</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撇洪沟埂两侧坡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草皮</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7166</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沟塘四周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1052"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水生植物</w:t>
                  </w:r>
                </w:p>
              </w:tc>
              <w:tc>
                <w:tcPr>
                  <w:tcW w:w="1581"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　</w:t>
                  </w:r>
                </w:p>
              </w:tc>
              <w:tc>
                <w:tcPr>
                  <w:tcW w:w="727"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2389</w:t>
                  </w:r>
                </w:p>
              </w:tc>
              <w:tc>
                <w:tcPr>
                  <w:tcW w:w="108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沟塘水面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49" w:type="pc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合计</w:t>
                  </w:r>
                </w:p>
              </w:tc>
              <w:tc>
                <w:tcPr>
                  <w:tcW w:w="4450" w:type="pct"/>
                  <w:gridSpan w:val="4"/>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瓶状垂丝海棠30株、垂丝海棠55株、高杆樱花325株、红叶碧桃50株、红玉兰90株、红梅60株、垂柳100株、朴树5株、香樟5株、草籽护坡（百慕大）11020m</w:t>
                  </w:r>
                  <w:r>
                    <w:rPr>
                      <w:rFonts w:hint="eastAsia"/>
                      <w:vertAlign w:val="superscript"/>
                      <w:lang w:val="en-US" w:eastAsia="zh-CN"/>
                    </w:rPr>
                    <w:t>2</w:t>
                  </w:r>
                  <w:r>
                    <w:rPr>
                      <w:rFonts w:hint="eastAsia"/>
                      <w:lang w:val="en-US" w:eastAsia="zh-CN"/>
                    </w:rPr>
                    <w:t>，草皮7166m</w:t>
                  </w:r>
                  <w:r>
                    <w:rPr>
                      <w:rFonts w:hint="eastAsia"/>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000" w:type="pct"/>
                  <w:gridSpan w:val="5"/>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说明：表中￠是指胸径（指乔木主干离地表面高1.2m处的直径），H为高度，D为地径，P为冠幅。</w:t>
                  </w:r>
                </w:p>
              </w:tc>
            </w:tr>
          </w:tbl>
          <w:p>
            <w:pPr>
              <w:keepNext w:val="0"/>
              <w:keepLines w:val="0"/>
              <w:numPr>
                <w:ilvl w:val="0"/>
                <w:numId w:val="7"/>
              </w:numPr>
              <w:suppressLineNumbers w:val="0"/>
              <w:bidi w:val="0"/>
              <w:spacing w:before="0" w:beforeAutospacing="0" w:after="0" w:afterAutospacing="0"/>
              <w:ind w:left="0" w:leftChars="0" w:right="0" w:firstLine="480" w:firstLineChars="200"/>
              <w:rPr>
                <w:rFonts w:hint="default"/>
              </w:rPr>
            </w:pPr>
            <w:r>
              <w:rPr>
                <w:rFonts w:hint="default"/>
              </w:rPr>
              <w:t>其它景观措施</w:t>
            </w:r>
          </w:p>
          <w:p>
            <w:pPr>
              <w:keepNext w:val="0"/>
              <w:keepLines w:val="0"/>
              <w:suppressLineNumbers w:val="0"/>
              <w:bidi w:val="0"/>
              <w:spacing w:before="0" w:beforeAutospacing="0" w:after="0" w:afterAutospacing="0"/>
              <w:ind w:left="0" w:right="0"/>
              <w:rPr>
                <w:rFonts w:hint="default"/>
              </w:rPr>
            </w:pPr>
            <w:r>
              <w:rPr>
                <w:rFonts w:hint="default"/>
              </w:rPr>
              <w:t>在湿地区布置大、小景观石各一组，风车、水车各一组，并建造相应的基础。</w:t>
            </w:r>
          </w:p>
          <w:p>
            <w:pPr>
              <w:pStyle w:val="17"/>
              <w:keepNext w:val="0"/>
              <w:keepLines w:val="0"/>
              <w:suppressLineNumbers w:val="0"/>
              <w:bidi w:val="0"/>
              <w:spacing w:before="0" w:beforeAutospacing="0" w:after="0" w:afterAutospacing="0"/>
              <w:ind w:left="0" w:right="0"/>
              <w:rPr>
                <w:rFonts w:hint="default"/>
              </w:rPr>
            </w:pPr>
            <w:r>
              <w:rPr>
                <w:rFonts w:hint="default"/>
              </w:rPr>
              <w:drawing>
                <wp:inline distT="0" distB="0" distL="114300" distR="114300">
                  <wp:extent cx="4404995" cy="2082165"/>
                  <wp:effectExtent l="0" t="0" r="14605" b="1333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04995" cy="2082165"/>
                          </a:xfrm>
                          <a:prstGeom prst="rect">
                            <a:avLst/>
                          </a:prstGeom>
                        </pic:spPr>
                      </pic:pic>
                    </a:graphicData>
                  </a:graphic>
                </wp:inline>
              </w:drawing>
            </w:r>
          </w:p>
          <w:p>
            <w:pPr>
              <w:pStyle w:val="19"/>
              <w:keepNext w:val="0"/>
              <w:keepLines w:val="0"/>
              <w:suppressLineNumbers w:val="0"/>
              <w:bidi w:val="0"/>
              <w:spacing w:before="0" w:beforeAutospacing="0" w:after="0" w:afterAutospacing="0"/>
              <w:ind w:left="0" w:right="0"/>
              <w:rPr>
                <w:rFonts w:hint="default"/>
              </w:rPr>
            </w:pPr>
            <w:r>
              <w:rPr>
                <w:rFonts w:hint="default"/>
              </w:rPr>
              <w:t>大景观石效果示意图</w:t>
            </w:r>
          </w:p>
          <w:p>
            <w:pPr>
              <w:pStyle w:val="17"/>
              <w:keepNext w:val="0"/>
              <w:keepLines w:val="0"/>
              <w:suppressLineNumbers w:val="0"/>
              <w:bidi w:val="0"/>
              <w:spacing w:before="0" w:beforeAutospacing="0" w:after="0" w:afterAutospacing="0"/>
              <w:ind w:left="0" w:right="0"/>
              <w:rPr>
                <w:rFonts w:hint="default"/>
                <w:szCs w:val="24"/>
              </w:rPr>
            </w:pPr>
            <w:r>
              <w:rPr>
                <w:rFonts w:hint="default"/>
                <w:szCs w:val="24"/>
              </w:rPr>
              <w:drawing>
                <wp:inline distT="0" distB="0" distL="114300" distR="114300">
                  <wp:extent cx="4433570" cy="2451100"/>
                  <wp:effectExtent l="0" t="0" r="5080" b="635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433570" cy="2451100"/>
                          </a:xfrm>
                          <a:prstGeom prst="rect">
                            <a:avLst/>
                          </a:prstGeom>
                        </pic:spPr>
                      </pic:pic>
                    </a:graphicData>
                  </a:graphic>
                </wp:inline>
              </w:drawing>
            </w:r>
          </w:p>
          <w:p>
            <w:pPr>
              <w:pStyle w:val="19"/>
              <w:keepNext w:val="0"/>
              <w:keepLines w:val="0"/>
              <w:suppressLineNumbers w:val="0"/>
              <w:bidi w:val="0"/>
              <w:spacing w:before="0" w:beforeAutospacing="0" w:after="0" w:afterAutospacing="0"/>
              <w:ind w:left="0" w:right="0"/>
              <w:rPr>
                <w:rFonts w:hint="default"/>
              </w:rPr>
            </w:pPr>
            <w:r>
              <w:rPr>
                <w:rFonts w:hint="default"/>
              </w:rPr>
              <w:t>小景观石效果示意图</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ind w:left="0" w:leftChars="0" w:right="0" w:firstLine="482" w:firstLineChars="200"/>
              <w:textAlignment w:val="auto"/>
              <w:rPr>
                <w:rFonts w:hint="default"/>
                <w:b/>
                <w:bCs/>
                <w:lang w:eastAsia="zh-CN"/>
              </w:rPr>
            </w:pPr>
            <w:r>
              <w:rPr>
                <w:rFonts w:hint="default"/>
                <w:b/>
                <w:bCs/>
                <w:lang w:eastAsia="zh-CN"/>
              </w:rPr>
              <w:t>河道治理区</w:t>
            </w:r>
          </w:p>
          <w:p>
            <w:pPr>
              <w:keepNext w:val="0"/>
              <w:keepLines w:val="0"/>
              <w:suppressLineNumbers w:val="0"/>
              <w:bidi w:val="0"/>
              <w:spacing w:before="0" w:beforeAutospacing="0" w:after="0" w:afterAutospacing="0"/>
              <w:ind w:left="0" w:right="0"/>
              <w:rPr>
                <w:rFonts w:hint="default"/>
              </w:rPr>
            </w:pPr>
            <w:r>
              <w:rPr>
                <w:rFonts w:hint="default"/>
              </w:rPr>
              <w:t>张冲桥防护工程</w:t>
            </w:r>
          </w:p>
          <w:p>
            <w:pPr>
              <w:keepNext w:val="0"/>
              <w:keepLines w:val="0"/>
              <w:suppressLineNumbers w:val="0"/>
              <w:bidi w:val="0"/>
              <w:spacing w:before="0" w:beforeAutospacing="0" w:after="0" w:afterAutospacing="0"/>
              <w:ind w:left="0" w:right="0"/>
              <w:rPr>
                <w:rFonts w:hint="default"/>
              </w:rPr>
            </w:pPr>
            <w:r>
              <w:rPr>
                <w:rFonts w:hint="default"/>
              </w:rPr>
              <w:t>张冲桥跨总长80m，共布置5跨，跨径布置为2×15m+20m＋2×15m；桥梁宽度为：净7.5+2×0.5，桥梁总宽8.5m。张冲桥下设计河床高程8.2m，桥梁现状河床高程7.0m左右，河床底部宽度变为30～40m，游两岸岸坡垮塌。</w:t>
            </w:r>
          </w:p>
          <w:p>
            <w:pPr>
              <w:pStyle w:val="17"/>
              <w:keepNext w:val="0"/>
              <w:keepLines w:val="0"/>
              <w:suppressLineNumbers w:val="0"/>
              <w:bidi w:val="0"/>
              <w:spacing w:before="0" w:beforeAutospacing="0" w:after="0" w:afterAutospacing="0"/>
              <w:ind w:left="0" w:right="0"/>
              <w:rPr>
                <w:rFonts w:hint="default"/>
                <w:szCs w:val="24"/>
              </w:rPr>
            </w:pPr>
            <w:r>
              <w:rPr>
                <w:rFonts w:hint="default"/>
              </w:rPr>
              <w:drawing>
                <wp:inline distT="0" distB="0" distL="114300" distR="114300">
                  <wp:extent cx="1546860" cy="2062480"/>
                  <wp:effectExtent l="0" t="0" r="15240" b="139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46860" cy="2062480"/>
                          </a:xfrm>
                          <a:prstGeom prst="rect">
                            <a:avLst/>
                          </a:prstGeom>
                        </pic:spPr>
                      </pic:pic>
                    </a:graphicData>
                  </a:graphic>
                </wp:inline>
              </w:drawing>
            </w:r>
            <w:r>
              <w:rPr>
                <w:rFonts w:hint="eastAsia"/>
                <w:lang w:val="en-US" w:eastAsia="zh-CN"/>
              </w:rPr>
              <w:t xml:space="preserve"> </w:t>
            </w:r>
            <w:r>
              <w:rPr>
                <w:rFonts w:hint="default"/>
                <w:szCs w:val="24"/>
              </w:rPr>
              <w:drawing>
                <wp:inline distT="0" distB="0" distL="114300" distR="114300">
                  <wp:extent cx="1920240" cy="2047240"/>
                  <wp:effectExtent l="0" t="0" r="3810" b="1016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920240" cy="2047240"/>
                          </a:xfrm>
                          <a:prstGeom prst="rect">
                            <a:avLst/>
                          </a:prstGeom>
                        </pic:spPr>
                      </pic:pic>
                    </a:graphicData>
                  </a:graphic>
                </wp:inline>
              </w:drawing>
            </w:r>
            <w:r>
              <w:rPr>
                <w:rFonts w:hint="eastAsia"/>
                <w:szCs w:val="24"/>
                <w:lang w:val="en-US" w:eastAsia="zh-CN"/>
              </w:rPr>
              <w:t xml:space="preserve"> </w:t>
            </w:r>
            <w:r>
              <w:rPr>
                <w:rFonts w:hint="default"/>
                <w:szCs w:val="24"/>
              </w:rPr>
              <w:drawing>
                <wp:inline distT="0" distB="0" distL="114300" distR="114300">
                  <wp:extent cx="2049780" cy="2049780"/>
                  <wp:effectExtent l="0" t="0" r="7620" b="762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049780" cy="2049780"/>
                          </a:xfrm>
                          <a:prstGeom prst="rect">
                            <a:avLst/>
                          </a:prstGeom>
                        </pic:spPr>
                      </pic:pic>
                    </a:graphicData>
                  </a:graphic>
                </wp:inline>
              </w:drawing>
            </w:r>
          </w:p>
          <w:p>
            <w:pPr>
              <w:pStyle w:val="19"/>
              <w:keepNext w:val="0"/>
              <w:keepLines w:val="0"/>
              <w:suppressLineNumbers w:val="0"/>
              <w:bidi w:val="0"/>
              <w:spacing w:before="0" w:beforeAutospacing="0" w:after="0" w:afterAutospacing="0"/>
              <w:ind w:left="0" w:right="0"/>
              <w:rPr>
                <w:rFonts w:hint="default"/>
              </w:rPr>
            </w:pPr>
            <w:r>
              <w:rPr>
                <w:rFonts w:hint="default"/>
              </w:rPr>
              <w:t>汤泊河及张冲桥下游冲刷状况图</w:t>
            </w:r>
          </w:p>
          <w:p>
            <w:pPr>
              <w:keepNext w:val="0"/>
              <w:keepLines w:val="0"/>
              <w:suppressLineNumbers w:val="0"/>
              <w:bidi w:val="0"/>
              <w:spacing w:before="0" w:beforeAutospacing="0" w:after="0" w:afterAutospacing="0"/>
              <w:ind w:left="0" w:right="0"/>
              <w:rPr>
                <w:rFonts w:hint="default"/>
              </w:rPr>
            </w:pPr>
            <w:r>
              <w:rPr>
                <w:rFonts w:hint="default"/>
              </w:rPr>
              <w:t>按照恢复原有河道的设计断面，设置一级平台，高程12.20m，宽度2.0m。采用黏土夯实恢复断面后，平台以下采用混凝土预制六角块护坡，上部采用草皮护坡。六角块护坡基础采用混凝土重力式挡土墙型式，墙高度1.20m，墙顶与现状桥下河床高程8.2m持平。上游护坡长度30m，下游护坡长度59m。</w:t>
            </w:r>
          </w:p>
          <w:p>
            <w:pPr>
              <w:keepNext w:val="0"/>
              <w:keepLines w:val="0"/>
              <w:suppressLineNumbers w:val="0"/>
              <w:bidi w:val="0"/>
              <w:spacing w:before="0" w:beforeAutospacing="0" w:after="0" w:afterAutospacing="0"/>
              <w:ind w:left="0" w:right="0"/>
              <w:rPr>
                <w:rFonts w:hint="eastAsia"/>
                <w:lang w:eastAsia="zh-CN"/>
              </w:rPr>
            </w:pPr>
            <w:r>
              <w:rPr>
                <w:rFonts w:hint="eastAsia"/>
              </w:rPr>
              <w:t>项目</w:t>
            </w:r>
            <w:r>
              <w:rPr>
                <w:rFonts w:hint="eastAsia"/>
                <w:lang w:eastAsia="zh-CN"/>
              </w:rPr>
              <w:t>建设内容见下表：</w:t>
            </w:r>
          </w:p>
          <w:p>
            <w:pPr>
              <w:pStyle w:val="15"/>
              <w:keepNext w:val="0"/>
              <w:keepLines w:val="0"/>
              <w:suppressLineNumbers w:val="0"/>
              <w:bidi w:val="0"/>
              <w:spacing w:before="0" w:beforeAutospacing="0" w:after="0" w:afterAutospacing="0"/>
              <w:ind w:left="0" w:right="0"/>
              <w:rPr>
                <w:rFonts w:hint="default"/>
              </w:rPr>
            </w:pPr>
            <w:r>
              <w:rPr>
                <w:rFonts w:hint="eastAsia"/>
              </w:rPr>
              <w:t>建设内容一览表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79"/>
              <w:gridCol w:w="1090"/>
              <w:gridCol w:w="1910"/>
              <w:gridCol w:w="1622"/>
              <w:gridCol w:w="669"/>
              <w:gridCol w:w="859"/>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eastAsia="zh-CN"/>
                    </w:rPr>
                  </w:pPr>
                  <w:r>
                    <w:rPr>
                      <w:rFonts w:hint="eastAsia"/>
                      <w:lang w:eastAsia="zh-CN"/>
                    </w:rPr>
                    <w:t>分区</w:t>
                  </w:r>
                </w:p>
              </w:tc>
              <w:tc>
                <w:tcPr>
                  <w:tcW w:w="1090"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类型</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名称</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种类</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单位</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工程量</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生态修复区</w:t>
                  </w:r>
                </w:p>
              </w:tc>
              <w:tc>
                <w:tcPr>
                  <w:tcW w:w="1090"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沟渠整治工程</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禁示牌</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块</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eastAsia="zh-CN"/>
                    </w:rPr>
                  </w:pPr>
                  <w:r>
                    <w:rPr>
                      <w:rFonts w:hint="eastAsia"/>
                      <w:lang w:val="en-US" w:eastAsia="zh-CN"/>
                    </w:rPr>
                    <w:t>6</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梅溪塘综合治理区</w:t>
                  </w: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1#、2#塘坝整治</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eastAsia"/>
                    </w:rPr>
                    <w:t>1#塘溢流堰</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eastAsia"/>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eastAsia"/>
                    </w:rPr>
                    <w:t>2#塘溢流堰</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eastAsia"/>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西侧冲沟治理</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整治沟渠4条(G1</w:t>
                  </w:r>
                  <w:r>
                    <w:rPr>
                      <w:rFonts w:hint="eastAsia"/>
                      <w:lang w:eastAsia="zh-CN"/>
                    </w:rPr>
                    <w:t>、</w:t>
                  </w:r>
                  <w:r>
                    <w:rPr>
                      <w:rFonts w:hint="eastAsia"/>
                    </w:rPr>
                    <w:t>G2</w:t>
                  </w:r>
                  <w:r>
                    <w:rPr>
                      <w:rFonts w:hint="eastAsia"/>
                      <w:lang w:eastAsia="zh-CN"/>
                    </w:rPr>
                    <w:t>、</w:t>
                  </w:r>
                  <w:r>
                    <w:rPr>
                      <w:rFonts w:hint="eastAsia"/>
                    </w:rPr>
                    <w:t>XG1</w:t>
                  </w:r>
                  <w:r>
                    <w:rPr>
                      <w:rFonts w:hint="eastAsia"/>
                      <w:lang w:eastAsia="zh-CN"/>
                    </w:rPr>
                    <w:t>、</w:t>
                  </w:r>
                  <w:r>
                    <w:rPr>
                      <w:rFonts w:hint="eastAsia"/>
                    </w:rPr>
                    <w:t>XG2）</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eastAsia="zh-CN"/>
                    </w:rPr>
                  </w:pPr>
                  <w:r>
                    <w:rPr>
                      <w:rFonts w:hint="eastAsia"/>
                      <w:lang w:val="en-US" w:eastAsia="zh-CN"/>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789</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包括：跌水DS1～DS7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种植水生植物</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m2</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175</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村庄排水沟</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eastAsia="zh-CN"/>
                    </w:rPr>
                  </w:pPr>
                  <w:r>
                    <w:rPr>
                      <w:rFonts w:hint="eastAsia"/>
                    </w:rPr>
                    <w:t>整治沟渠4条</w:t>
                  </w:r>
                  <w:r>
                    <w:rPr>
                      <w:rFonts w:hint="eastAsia"/>
                      <w:lang w:eastAsia="zh-CN"/>
                    </w:rPr>
                    <w:t>（G3～G6）</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307</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包括：跌水DS8～DS10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黄金坝放水沟</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整治沟渠（G7）</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rPr>
                    <w:t>194</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玫瑰谷排水沟砌护</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沟渠砌护</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rPr>
                    <w:t>52</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道路工程</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L1沥青</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黑色沥青</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883</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撇洪沟埂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L2沥青</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黑色沥青</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243</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L3彩沥青</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彩色沥青</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122</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L4沥青</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黑色沥青</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720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沿丘陵地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L1砂石</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砂石路</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200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游客中心起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L2砂石</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砂石路</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287</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L3砂石</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砂石路</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284</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至龟山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游步道</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游步道BD1</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鹅卵石路面</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519</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1#、2#塘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游步道BD2</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鹅卵石路面</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334</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排水沟G1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游步道BD3</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鹅卵石路面</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305</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排水沟G2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玫瑰区游步道BD4</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间隔石板型</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334</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玫瑰区排水沟右岸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玫瑰区游步道BD5</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间隔石板型</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240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玫瑰区排水沟左岸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玫瑰区游步道BD6</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混凝土垫层+海绵砖</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61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玫瑰区游步道BD7</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混凝土垫层+海绵砖</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83</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风车区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玫瑰区游步道BD8</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混凝土垫层+海绵砖</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80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4#塘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湿地区游步道BD9</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间隔石板型</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1660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湿地区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湿地区游步道BD10</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混凝土垫层+拼花碎石板地面</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55</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与长廊对接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跌水</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DS1～DS7</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7</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G1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DS8～DS10</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3</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村庄水沟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DS11～DS12</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玫瑰区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DS13</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坝埂上堤处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桥</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Q1</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人行梁板桥</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沟（一）支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Q2</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人行梁板桥</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沟（十）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Q3</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人行双拱桥</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跨域撇洪沟道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Q4</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景观车拱桥</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南门桥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台阶</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TJ1～TJ4</w:t>
                  </w:r>
                </w:p>
              </w:tc>
              <w:tc>
                <w:tcPr>
                  <w:tcW w:w="1622"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混凝土+花岗岩贴面</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4</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G1沟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TJ5</w:t>
                  </w:r>
                </w:p>
              </w:tc>
              <w:tc>
                <w:tcPr>
                  <w:tcW w:w="1622"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坝埂上堤处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TJ6</w:t>
                  </w:r>
                </w:p>
              </w:tc>
              <w:tc>
                <w:tcPr>
                  <w:tcW w:w="1622"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南门桥下游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亲水平台</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PT1</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4#塘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DYT1～DYT2</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2</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湿地区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亭</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T1</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沟（十）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T2</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湿地区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T3</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湿地区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长廊</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CL1</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湿地区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CL2</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湿地区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水上栈桥</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ZQ1</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178</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玫瑰区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过路涵</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H1</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H2</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FH1</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FH2</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H3</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座</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黄金坝撇洪沟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林草</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S1</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瓶状垂丝海棠</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株</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30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S2</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高杆樱花</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株</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325</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S3</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红叶碧桃</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株</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50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S4</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红玉兰</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株</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90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垂丝海棠</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株</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55</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S5</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红梅</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株</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60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S6</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垂柳</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株</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70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S7</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垂柳</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株</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30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S8</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朴树</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株</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5</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S9</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草籽护坡</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m</w:t>
                  </w:r>
                  <w:r>
                    <w:rPr>
                      <w:rFonts w:hint="eastAsia"/>
                      <w:vertAlign w:val="superscript"/>
                      <w:lang w:val="en-US" w:eastAsia="zh-CN"/>
                    </w:rPr>
                    <w:t>2</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11020</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百慕大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沟渠草皮护坡及水生植物种植表</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草皮护坡</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m</w:t>
                  </w:r>
                  <w:r>
                    <w:rPr>
                      <w:rFonts w:hint="eastAsia"/>
                      <w:vertAlign w:val="superscript"/>
                      <w:lang w:val="en-US" w:eastAsia="zh-CN"/>
                    </w:rPr>
                    <w:t>2</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7166</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水生植物</w:t>
                  </w: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m</w:t>
                  </w:r>
                  <w:r>
                    <w:rPr>
                      <w:rFonts w:hint="eastAsia"/>
                      <w:vertAlign w:val="superscript"/>
                      <w:lang w:val="en-US" w:eastAsia="zh-CN"/>
                    </w:rPr>
                    <w:t>2</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2389</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restart"/>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其它项目</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大景观石</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块</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小景观石</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块</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子母水车</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组</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090" w:type="dxa"/>
                  <w:vMerge w:val="continue"/>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风车</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个</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1</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979" w:type="dxa"/>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河道治理区</w:t>
                  </w:r>
                </w:p>
              </w:tc>
              <w:tc>
                <w:tcPr>
                  <w:tcW w:w="109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张冲桥防护工程</w:t>
                  </w:r>
                </w:p>
              </w:tc>
              <w:tc>
                <w:tcPr>
                  <w:tcW w:w="1910"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上、下游两岸挡土墙及护坡</w:t>
                  </w:r>
                </w:p>
              </w:tc>
              <w:tc>
                <w:tcPr>
                  <w:tcW w:w="1622"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c>
                <w:tcPr>
                  <w:tcW w:w="66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m</w:t>
                  </w:r>
                </w:p>
              </w:tc>
              <w:tc>
                <w:tcPr>
                  <w:tcW w:w="859"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89</w:t>
                  </w:r>
                </w:p>
              </w:tc>
              <w:tc>
                <w:tcPr>
                  <w:tcW w:w="1933" w:type="dxa"/>
                  <w:shd w:val="clear" w:color="auto" w:fill="auto"/>
                  <w:vAlign w:val="center"/>
                </w:tcPr>
                <w:p>
                  <w:pPr>
                    <w:pStyle w:val="17"/>
                    <w:keepNext w:val="0"/>
                    <w:keepLines w:val="0"/>
                    <w:suppressLineNumbers w:val="0"/>
                    <w:bidi w:val="0"/>
                    <w:spacing w:before="0" w:beforeAutospacing="0" w:after="0" w:afterAutospacing="0"/>
                    <w:ind w:left="0" w:right="0"/>
                    <w:rPr>
                      <w:rFonts w:hint="eastAsia"/>
                      <w:lang w:val="en-US" w:eastAsia="zh-CN"/>
                    </w:rPr>
                  </w:pPr>
                </w:p>
              </w:tc>
            </w:tr>
          </w:tbl>
          <w:p>
            <w:pPr>
              <w:keepNext w:val="0"/>
              <w:keepLines w:val="0"/>
              <w:numPr>
                <w:ilvl w:val="0"/>
                <w:numId w:val="5"/>
              </w:numPr>
              <w:suppressLineNumbers w:val="0"/>
              <w:bidi w:val="0"/>
              <w:spacing w:before="0" w:beforeAutospacing="0" w:after="0" w:afterAutospacing="0"/>
              <w:ind w:right="0"/>
              <w:rPr>
                <w:rFonts w:hint="default"/>
                <w:b/>
                <w:bCs/>
              </w:rPr>
            </w:pPr>
            <w:r>
              <w:rPr>
                <w:rFonts w:hint="default"/>
                <w:b/>
                <w:bCs/>
              </w:rPr>
              <w:t>土石方平衡</w:t>
            </w:r>
          </w:p>
          <w:p>
            <w:pPr>
              <w:keepNext w:val="0"/>
              <w:keepLines w:val="0"/>
              <w:suppressLineNumbers w:val="0"/>
              <w:bidi w:val="0"/>
              <w:spacing w:before="0" w:beforeAutospacing="0" w:after="0" w:afterAutospacing="0"/>
              <w:ind w:left="0" w:right="0"/>
              <w:rPr>
                <w:rFonts w:hint="default"/>
              </w:rPr>
            </w:pPr>
            <w:r>
              <w:rPr>
                <w:rFonts w:hint="default"/>
              </w:rPr>
              <w:t>本项目工程土方开挖总量</w:t>
            </w:r>
            <w:r>
              <w:rPr>
                <w:rFonts w:hint="eastAsia"/>
                <w:lang w:val="en-US" w:eastAsia="zh-CN"/>
              </w:rPr>
              <w:t>15364.43</w:t>
            </w:r>
            <w:r>
              <w:rPr>
                <w:rFonts w:hint="default"/>
              </w:rPr>
              <w:t>m</w:t>
            </w:r>
            <w:r>
              <w:rPr>
                <w:rFonts w:hint="default"/>
                <w:vertAlign w:val="superscript"/>
              </w:rPr>
              <w:t>3</w:t>
            </w:r>
            <w:r>
              <w:rPr>
                <w:rFonts w:hint="default"/>
              </w:rPr>
              <w:t>，外购土方</w:t>
            </w:r>
            <w:r>
              <w:rPr>
                <w:rFonts w:hint="eastAsia"/>
                <w:lang w:val="en-US" w:eastAsia="zh-CN"/>
              </w:rPr>
              <w:t>1447.41</w:t>
            </w:r>
            <w:r>
              <w:rPr>
                <w:rFonts w:hint="default"/>
              </w:rPr>
              <w:t>m</w:t>
            </w:r>
            <w:r>
              <w:rPr>
                <w:rFonts w:hint="default"/>
                <w:vertAlign w:val="superscript"/>
              </w:rPr>
              <w:t>3</w:t>
            </w:r>
            <w:r>
              <w:rPr>
                <w:rFonts w:hint="eastAsia"/>
                <w:vertAlign w:val="baseline"/>
                <w:lang w:eastAsia="zh-CN"/>
              </w:rPr>
              <w:t>（</w:t>
            </w:r>
            <w:r>
              <w:rPr>
                <w:rFonts w:hint="eastAsia"/>
                <w:vertAlign w:val="baseline"/>
                <w:lang w:val="en-US" w:eastAsia="zh-CN"/>
              </w:rPr>
              <w:t>来源于红杨镇防汛仓库</w:t>
            </w:r>
            <w:r>
              <w:rPr>
                <w:rFonts w:hint="eastAsia"/>
                <w:vertAlign w:val="baseline"/>
                <w:lang w:eastAsia="zh-CN"/>
              </w:rPr>
              <w:t>）</w:t>
            </w:r>
            <w:r>
              <w:rPr>
                <w:rFonts w:hint="default"/>
              </w:rPr>
              <w:t>，总弃土量</w:t>
            </w:r>
            <w:r>
              <w:rPr>
                <w:rFonts w:hint="eastAsia"/>
                <w:lang w:val="en-US" w:eastAsia="zh-CN"/>
              </w:rPr>
              <w:t>6123.06</w:t>
            </w:r>
            <w:r>
              <w:rPr>
                <w:rFonts w:hint="default"/>
              </w:rPr>
              <w:t>m</w:t>
            </w:r>
            <w:r>
              <w:rPr>
                <w:rFonts w:hint="default"/>
                <w:vertAlign w:val="superscript"/>
              </w:rPr>
              <w:t>3</w:t>
            </w:r>
            <w:r>
              <w:rPr>
                <w:rFonts w:hint="default"/>
              </w:rPr>
              <w:t>，土方回填</w:t>
            </w:r>
            <w:r>
              <w:rPr>
                <w:rFonts w:hint="eastAsia"/>
                <w:lang w:val="en-US" w:eastAsia="zh-CN"/>
              </w:rPr>
              <w:t>10688.78</w:t>
            </w:r>
            <w:r>
              <w:rPr>
                <w:rFonts w:hint="default"/>
              </w:rPr>
              <w:t>m</w:t>
            </w:r>
            <w:r>
              <w:rPr>
                <w:rFonts w:hint="default"/>
                <w:vertAlign w:val="superscript"/>
              </w:rPr>
              <w:t>3</w:t>
            </w:r>
            <w:r>
              <w:rPr>
                <w:rFonts w:hint="default"/>
              </w:rPr>
              <w:t>。弃土由芜湖县城市管理部门统一调配，运至指定的弃土场。</w:t>
            </w:r>
          </w:p>
          <w:p>
            <w:pPr>
              <w:keepNext w:val="0"/>
              <w:keepLines w:val="0"/>
              <w:numPr>
                <w:ilvl w:val="0"/>
                <w:numId w:val="5"/>
              </w:numPr>
              <w:suppressLineNumbers w:val="0"/>
              <w:bidi w:val="0"/>
              <w:spacing w:before="0" w:beforeAutospacing="0" w:after="0" w:afterAutospacing="0"/>
              <w:ind w:right="0"/>
              <w:rPr>
                <w:rFonts w:hint="default"/>
                <w:b/>
                <w:bCs/>
              </w:rPr>
            </w:pPr>
            <w:r>
              <w:rPr>
                <w:rFonts w:hint="default"/>
                <w:b/>
                <w:bCs/>
              </w:rPr>
              <w:t>施工安排</w:t>
            </w:r>
          </w:p>
          <w:p>
            <w:pPr>
              <w:keepNext w:val="0"/>
              <w:keepLines w:val="0"/>
              <w:suppressLineNumbers w:val="0"/>
              <w:bidi w:val="0"/>
              <w:spacing w:before="0" w:beforeAutospacing="0" w:after="0" w:afterAutospacing="0"/>
              <w:ind w:left="0" w:right="0"/>
              <w:rPr>
                <w:rFonts w:hint="default"/>
                <w:b/>
                <w:bCs/>
                <w:color w:val="auto"/>
              </w:rPr>
            </w:pPr>
            <w:r>
              <w:rPr>
                <w:rFonts w:hint="default"/>
                <w:color w:val="auto"/>
              </w:rPr>
              <w:t>本工程主体工程施工总工期8个月，平均上工人数</w:t>
            </w:r>
            <w:r>
              <w:rPr>
                <w:rFonts w:hint="eastAsia"/>
                <w:color w:val="auto"/>
                <w:lang w:val="en-US" w:eastAsia="zh-CN"/>
              </w:rPr>
              <w:t>30</w:t>
            </w:r>
            <w:r>
              <w:rPr>
                <w:rFonts w:hint="default"/>
                <w:color w:val="auto"/>
              </w:rPr>
              <w:t>人，高峰期上工人数</w:t>
            </w:r>
            <w:r>
              <w:rPr>
                <w:rFonts w:hint="eastAsia"/>
                <w:color w:val="auto"/>
                <w:lang w:val="en-US" w:eastAsia="zh-CN"/>
              </w:rPr>
              <w:t>40</w:t>
            </w:r>
            <w:r>
              <w:rPr>
                <w:rFonts w:hint="default"/>
                <w:color w:val="auto"/>
              </w:rPr>
              <w:t>人。</w:t>
            </w:r>
          </w:p>
          <w:p>
            <w:pPr>
              <w:keepNext w:val="0"/>
              <w:keepLines w:val="0"/>
              <w:numPr>
                <w:ilvl w:val="0"/>
                <w:numId w:val="5"/>
              </w:numPr>
              <w:suppressLineNumbers w:val="0"/>
              <w:bidi w:val="0"/>
              <w:spacing w:before="0" w:beforeAutospacing="0" w:after="0" w:afterAutospacing="0"/>
              <w:ind w:right="0"/>
              <w:rPr>
                <w:rFonts w:hint="default"/>
                <w:b/>
                <w:bCs/>
              </w:rPr>
            </w:pPr>
            <w:r>
              <w:rPr>
                <w:rFonts w:hint="default"/>
                <w:b/>
                <w:bCs/>
              </w:rPr>
              <w:t>产业政策符合性</w:t>
            </w:r>
          </w:p>
          <w:p>
            <w:pPr>
              <w:keepNext w:val="0"/>
              <w:keepLines w:val="0"/>
              <w:suppressLineNumbers w:val="0"/>
              <w:bidi w:val="0"/>
              <w:spacing w:before="0" w:beforeAutospacing="0" w:after="0" w:afterAutospacing="0"/>
              <w:ind w:left="0" w:right="0"/>
              <w:rPr>
                <w:rFonts w:hint="default"/>
              </w:rPr>
            </w:pPr>
            <w:r>
              <w:rPr>
                <w:rFonts w:hint="default"/>
              </w:rPr>
              <w:t>对照《产业结构调整指导目录（20</w:t>
            </w:r>
            <w:r>
              <w:rPr>
                <w:rFonts w:hint="eastAsia"/>
                <w:lang w:val="en-US" w:eastAsia="zh-CN"/>
              </w:rPr>
              <w:t>19</w:t>
            </w:r>
            <w:r>
              <w:rPr>
                <w:rFonts w:hint="default"/>
              </w:rPr>
              <w:t>年本）》可知，本项目属于鼓励类中第二类“水利”中的“江河堤防建设及河道、水库治理工程”。本项目建设符合国家产业政策要求。</w:t>
            </w:r>
          </w:p>
          <w:p>
            <w:pPr>
              <w:keepNext w:val="0"/>
              <w:keepLines w:val="0"/>
              <w:numPr>
                <w:ilvl w:val="0"/>
                <w:numId w:val="5"/>
              </w:numPr>
              <w:suppressLineNumbers w:val="0"/>
              <w:bidi w:val="0"/>
              <w:spacing w:before="0" w:beforeAutospacing="0" w:after="0" w:afterAutospacing="0"/>
              <w:ind w:right="0"/>
              <w:rPr>
                <w:rFonts w:hint="default"/>
                <w:b/>
                <w:bCs/>
              </w:rPr>
            </w:pPr>
            <w:r>
              <w:rPr>
                <w:rFonts w:hint="default"/>
                <w:b/>
                <w:bCs/>
              </w:rPr>
              <w:t>与“三线一单”符合性分析</w:t>
            </w:r>
          </w:p>
          <w:p>
            <w:pPr>
              <w:keepNext w:val="0"/>
              <w:keepLines w:val="0"/>
              <w:suppressLineNumbers w:val="0"/>
              <w:bidi w:val="0"/>
              <w:spacing w:before="0" w:beforeAutospacing="0" w:after="0" w:afterAutospacing="0"/>
              <w:ind w:left="0" w:right="0"/>
              <w:rPr>
                <w:rFonts w:hint="default"/>
              </w:rPr>
            </w:pPr>
            <w:r>
              <w:rPr>
                <w:rFonts w:hint="default"/>
              </w:rPr>
              <w:t>根据中华人民共和国环境保护部《关于以改善环境质量为核心加强环境影响评价管理的通知》（环环评【2016】150号）要求：为适应以改善环境质量为核心的环境管理要求，切实加强环境影响评价管理，落实“生态保护红线、环境质量底线、资源利用上线和环境准入负面清单”约束，建立项目环评审批与规划环评、现有项目环境管理、区域环境质量联动机制，更好地发挥环评制度从源头防范环境污染和生态破坏的作用，加快推进改善环境质量。</w:t>
            </w:r>
          </w:p>
          <w:p>
            <w:pPr>
              <w:keepNext w:val="0"/>
              <w:keepLines w:val="0"/>
              <w:suppressLineNumbers w:val="0"/>
              <w:bidi w:val="0"/>
              <w:spacing w:before="0" w:beforeAutospacing="0" w:after="0" w:afterAutospacing="0"/>
              <w:ind w:left="0" w:right="0"/>
              <w:rPr>
                <w:rFonts w:hint="default"/>
              </w:rPr>
            </w:pPr>
            <w:r>
              <w:rPr>
                <w:rFonts w:hint="default"/>
              </w:rPr>
              <w:t>对照《关于以改善环境质量为核心加强环境影响评价管理的通知》（环环评【2016】150号），本项目符合“三线一单”要求。</w:t>
            </w:r>
          </w:p>
          <w:p>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rPr>
            </w:pPr>
            <w:r>
              <w:rPr>
                <w:rFonts w:hint="default"/>
              </w:rPr>
              <w:t>生态保护红线是生态空间范围内具有特殊重要生态功能必须实行强制性严格保护的区域。</w:t>
            </w:r>
          </w:p>
          <w:p>
            <w:pPr>
              <w:keepNext w:val="0"/>
              <w:keepLines w:val="0"/>
              <w:suppressLineNumbers w:val="0"/>
              <w:bidi w:val="0"/>
              <w:spacing w:before="0" w:beforeAutospacing="0" w:after="0" w:afterAutospacing="0"/>
              <w:ind w:left="0" w:right="0"/>
              <w:rPr>
                <w:rFonts w:hint="default"/>
              </w:rPr>
            </w:pPr>
            <w:r>
              <w:rPr>
                <w:rFonts w:hint="default"/>
              </w:rPr>
              <w:t>《安徽省生态保护红线》（安徽省人民政府，2018年06月，皖政秘【2018】120号）指出：“划定并严守生态保护红线，是认真学习贯彻党的十九大精神、全面贯彻落实习近平新时代中国特色社会主义思想的重要举措，是落实主体功能区制度、实施生态空间用途管制的根本要求，是打造生态文明建设安徽样板，建设现代化五大发展美好安徽的重要保障。安徽省生态保护红线总面积为21233.32km</w:t>
            </w:r>
            <w:r>
              <w:rPr>
                <w:rFonts w:hint="default"/>
                <w:vertAlign w:val="superscript"/>
              </w:rPr>
              <w:t>2</w:t>
            </w:r>
            <w:r>
              <w:rPr>
                <w:rFonts w:hint="default"/>
              </w:rPr>
              <w:t>，约占全省国土总面积的15.15%，包含3大类16个片区，主要分布在皖西山地和皖南山地丘陵区等水源涵养、水土保持及生物多样性维护重要区域，长江干流及沿江湿地、淮河干流及沿淮湿地等生物多样性维护重要区域。</w:t>
            </w:r>
          </w:p>
          <w:p>
            <w:pPr>
              <w:keepNext w:val="0"/>
              <w:keepLines w:val="0"/>
              <w:suppressLineNumbers w:val="0"/>
              <w:bidi w:val="0"/>
              <w:spacing w:before="0" w:beforeAutospacing="0" w:after="0" w:afterAutospacing="0"/>
              <w:ind w:left="0" w:right="0"/>
              <w:rPr>
                <w:rFonts w:hint="default"/>
              </w:rPr>
            </w:pPr>
            <w:r>
              <w:rPr>
                <w:rFonts w:hint="default"/>
              </w:rPr>
              <w:t>本项目选址位于芜湖县红杨镇，对照《安徽省生态保护红线分布图》可知，本项目选址不在其生态保护红线范围内。</w:t>
            </w:r>
          </w:p>
          <w:p>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default"/>
              </w:rPr>
            </w:pPr>
            <w:r>
              <w:rPr>
                <w:rFonts w:hint="default"/>
              </w:rPr>
              <w:t>环境质量底线是国家和地方设置的大气、水和土壤环境质量目标，也是改善环境质量的基准线。</w:t>
            </w:r>
          </w:p>
          <w:p>
            <w:pPr>
              <w:keepNext w:val="0"/>
              <w:keepLines w:val="0"/>
              <w:suppressLineNumbers w:val="0"/>
              <w:bidi w:val="0"/>
              <w:spacing w:before="0" w:beforeAutospacing="0" w:after="0" w:afterAutospacing="0"/>
              <w:ind w:left="0" w:right="0"/>
              <w:rPr>
                <w:rFonts w:hint="default"/>
              </w:rPr>
            </w:pPr>
            <w:r>
              <w:rPr>
                <w:rFonts w:hint="default"/>
              </w:rPr>
              <w:t>本项目评价区域内大气环境质量现状能够满足《环境空气质量标准》(GB3095-2012)中二级标准及修改单；地表水满足《地表水环境质量标准》（GB3838-2002）中Ⅲ类标准要求；声环境达到《声环境质量标准》（GB3096-2008）</w:t>
            </w:r>
            <w:r>
              <w:rPr>
                <w:rFonts w:hint="eastAsia"/>
                <w:lang w:val="en-US" w:eastAsia="zh-CN"/>
              </w:rPr>
              <w:t>2</w:t>
            </w:r>
            <w:r>
              <w:rPr>
                <w:rFonts w:hint="default"/>
              </w:rPr>
              <w:t>类区标准。</w:t>
            </w:r>
          </w:p>
          <w:p>
            <w:pPr>
              <w:keepNext w:val="0"/>
              <w:keepLines w:val="0"/>
              <w:suppressLineNumbers w:val="0"/>
              <w:bidi w:val="0"/>
              <w:spacing w:before="0" w:beforeAutospacing="0" w:after="0" w:afterAutospacing="0"/>
              <w:ind w:left="0" w:right="0"/>
              <w:rPr>
                <w:rFonts w:hint="default"/>
              </w:rPr>
            </w:pPr>
            <w:r>
              <w:rPr>
                <w:rFonts w:hint="default"/>
              </w:rPr>
              <w:t>本项目废水、废气、固废均得到合理处置，噪声对周边影响较小，不会突破项目所在地的环境质量底线。因此，项目的建设符合环境质量底线标准。</w:t>
            </w:r>
          </w:p>
          <w:p>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rPr>
            </w:pPr>
            <w:r>
              <w:rPr>
                <w:rFonts w:hint="default"/>
              </w:rPr>
              <w:t>资源是环境的载体，资源利用上线是各地区能源、水、土地等资源消耗不得突破的“天花板”。</w:t>
            </w:r>
          </w:p>
          <w:p>
            <w:pPr>
              <w:keepNext w:val="0"/>
              <w:keepLines w:val="0"/>
              <w:suppressLineNumbers w:val="0"/>
              <w:bidi w:val="0"/>
              <w:spacing w:before="0" w:beforeAutospacing="0" w:after="0" w:afterAutospacing="0"/>
              <w:ind w:left="0" w:right="0"/>
              <w:rPr>
                <w:rFonts w:hint="default"/>
              </w:rPr>
            </w:pPr>
            <w:r>
              <w:rPr>
                <w:rFonts w:hint="default"/>
              </w:rPr>
              <w:t>本项目占地符合当地规划要求。项目对当地资源利用的影响较小。</w:t>
            </w:r>
          </w:p>
          <w:p>
            <w:pPr>
              <w:keepNext w:val="0"/>
              <w:keepLines w:val="0"/>
              <w:pageBreakBefore w:val="0"/>
              <w:widowControl w:val="0"/>
              <w:numPr>
                <w:ilvl w:val="0"/>
                <w:numId w:val="13"/>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rPr>
            </w:pPr>
            <w:r>
              <w:rPr>
                <w:rFonts w:hint="default"/>
              </w:rPr>
              <w:t>环境准入负面清单是基于生态保护红线、环境质量底线和资源利用上限，以清单方式列出的禁止、限制等差别化环境准入条件和要求。</w:t>
            </w:r>
          </w:p>
          <w:p>
            <w:pPr>
              <w:keepNext w:val="0"/>
              <w:keepLines w:val="0"/>
              <w:suppressLineNumbers w:val="0"/>
              <w:bidi w:val="0"/>
              <w:spacing w:before="0" w:beforeAutospacing="0" w:after="0" w:afterAutospacing="0"/>
              <w:ind w:left="0" w:right="0"/>
              <w:rPr>
                <w:rFonts w:hint="default"/>
              </w:rPr>
            </w:pPr>
            <w:r>
              <w:rPr>
                <w:rFonts w:hint="default"/>
              </w:rPr>
              <w:t>对照《产业结构调整指导目录（201</w:t>
            </w:r>
            <w:r>
              <w:rPr>
                <w:rFonts w:hint="eastAsia"/>
                <w:lang w:val="en-US" w:eastAsia="zh-CN"/>
              </w:rPr>
              <w:t>9</w:t>
            </w:r>
            <w:r>
              <w:rPr>
                <w:rFonts w:hint="default"/>
              </w:rPr>
              <w:t>年本）》可知，本项目属于鼓励类中第二类</w:t>
            </w:r>
            <w:r>
              <w:rPr>
                <w:rFonts w:hint="eastAsia"/>
                <w:lang w:eastAsia="zh-CN"/>
              </w:rPr>
              <w:t>“</w:t>
            </w:r>
            <w:r>
              <w:rPr>
                <w:rFonts w:hint="default"/>
              </w:rPr>
              <w:t>水利</w:t>
            </w:r>
            <w:r>
              <w:rPr>
                <w:rFonts w:hint="eastAsia"/>
                <w:lang w:eastAsia="zh-CN"/>
              </w:rPr>
              <w:t>”</w:t>
            </w:r>
            <w:r>
              <w:rPr>
                <w:rFonts w:hint="default"/>
              </w:rPr>
              <w:t>中的</w:t>
            </w:r>
            <w:r>
              <w:rPr>
                <w:rFonts w:hint="eastAsia"/>
                <w:lang w:eastAsia="zh-CN"/>
              </w:rPr>
              <w:t>“江河湖海堤防建设及河道治理工程”</w:t>
            </w:r>
            <w:r>
              <w:rPr>
                <w:rFonts w:hint="default"/>
              </w:rPr>
              <w:t>，项目不属于环境准入负面清单项目。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2" w:hRule="atLeast"/>
          <w:jc w:val="center"/>
        </w:trPr>
        <w:tc>
          <w:tcPr>
            <w:tcW w:w="9288" w:type="dxa"/>
            <w:gridSpan w:val="9"/>
            <w:tcBorders>
              <w:top w:val="single" w:color="auto" w:sz="8" w:space="0"/>
              <w:left w:val="single" w:color="auto" w:sz="4" w:space="0"/>
              <w:bottom w:val="single" w:color="auto" w:sz="8" w:space="0"/>
              <w:right w:val="single" w:color="auto" w:sz="4" w:space="0"/>
            </w:tcBorders>
            <w:noWrap w:val="0"/>
            <w:vAlign w:val="top"/>
          </w:tcPr>
          <w:p>
            <w:pPr>
              <w:keepNext w:val="0"/>
              <w:keepLines w:val="0"/>
              <w:suppressLineNumbers w:val="0"/>
              <w:bidi w:val="0"/>
              <w:spacing w:before="0" w:beforeAutospacing="0" w:after="0" w:afterAutospacing="0"/>
              <w:ind w:left="0" w:leftChars="0" w:right="0" w:firstLine="0" w:firstLineChars="0"/>
              <w:rPr>
                <w:rFonts w:hint="eastAsia"/>
                <w:b/>
                <w:bCs/>
              </w:rPr>
            </w:pPr>
            <w:r>
              <w:rPr>
                <w:rFonts w:hint="eastAsia"/>
                <w:b/>
                <w:bCs/>
              </w:rPr>
              <w:t>与本项目有关的原有污染情况及主要环境问题</w:t>
            </w:r>
          </w:p>
          <w:p>
            <w:pPr>
              <w:keepNext w:val="0"/>
              <w:keepLines w:val="0"/>
              <w:suppressLineNumbers w:val="0"/>
              <w:bidi w:val="0"/>
              <w:spacing w:before="0" w:beforeAutospacing="0" w:after="0" w:afterAutospacing="0"/>
              <w:ind w:left="0" w:right="0"/>
              <w:rPr>
                <w:rFonts w:hint="default"/>
              </w:rPr>
            </w:pPr>
            <w:r>
              <w:rPr>
                <w:rFonts w:hint="default"/>
              </w:rPr>
              <w:t>本项目为新建项目，不存在与本项目有关的原有污染情况及主要环境问题。</w:t>
            </w: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eastAsia"/>
              </w:rPr>
            </w:pPr>
          </w:p>
          <w:p>
            <w:pPr>
              <w:keepNext w:val="0"/>
              <w:keepLines w:val="0"/>
              <w:pageBreakBefore w:val="0"/>
              <w:suppressLineNumbers w:val="0"/>
              <w:kinsoku/>
              <w:wordWrap/>
              <w:topLinePunct w:val="0"/>
              <w:autoSpaceDE/>
              <w:bidi w:val="0"/>
              <w:spacing w:before="0" w:beforeAutospacing="0" w:after="0" w:afterAutospacing="0" w:line="240" w:lineRule="auto"/>
              <w:ind w:left="0" w:leftChars="0" w:right="0" w:rightChars="0" w:firstLine="0" w:firstLineChars="0"/>
              <w:rPr>
                <w:rFonts w:hint="eastAsia" w:ascii="Calibri" w:hAnsi="Calibri" w:cs="Times New Roman"/>
                <w:lang w:val="en-US" w:eastAsia="zh-CN"/>
              </w:rPr>
            </w:pPr>
          </w:p>
        </w:tc>
      </w:tr>
    </w:tbl>
    <w:p>
      <w:p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p>
      <w:pPr>
        <w:pStyle w:val="3"/>
        <w:bidi w:val="0"/>
        <w:rPr>
          <w:rFonts w:hint="eastAsia"/>
        </w:rPr>
      </w:pPr>
      <w:r>
        <w:rPr>
          <w:rFonts w:hint="eastAsia"/>
        </w:rPr>
        <w:t>建设项目所在地自然环境简况</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8" w:type="dxa"/>
          </w:tcPr>
          <w:p>
            <w:pPr>
              <w:keepNext w:val="0"/>
              <w:keepLines w:val="0"/>
              <w:suppressLineNumbers w:val="0"/>
              <w:bidi w:val="0"/>
              <w:spacing w:before="0" w:beforeAutospacing="0" w:after="0" w:afterAutospacing="0"/>
              <w:ind w:left="0" w:leftChars="0" w:right="0" w:firstLine="0" w:firstLineChars="0"/>
              <w:rPr>
                <w:rFonts w:hint="eastAsia"/>
                <w:b/>
                <w:bCs/>
              </w:rPr>
            </w:pPr>
            <w:r>
              <w:rPr>
                <w:rFonts w:hint="eastAsia"/>
                <w:b/>
                <w:bCs/>
              </w:rPr>
              <w:t>自然环境简况(地形、地貌、地质、气候、气象、水文、植被、生物多样性等)：</w:t>
            </w:r>
          </w:p>
          <w:p>
            <w:pPr>
              <w:keepNext w:val="0"/>
              <w:keepLines w:val="0"/>
              <w:numPr>
                <w:ilvl w:val="0"/>
                <w:numId w:val="14"/>
              </w:numPr>
              <w:suppressLineNumbers w:val="0"/>
              <w:bidi w:val="0"/>
              <w:spacing w:before="0" w:beforeAutospacing="0" w:after="0" w:afterAutospacing="0"/>
              <w:ind w:right="0"/>
              <w:rPr>
                <w:rFonts w:hint="eastAsia"/>
                <w:b/>
                <w:bCs/>
              </w:rPr>
            </w:pPr>
            <w:r>
              <w:rPr>
                <w:rFonts w:hint="eastAsia"/>
                <w:b/>
                <w:bCs/>
              </w:rPr>
              <w:t>地理位置</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rPr>
            </w:pPr>
            <w:r>
              <w:rPr>
                <w:rFonts w:hint="default" w:ascii="Times New Roman" w:hAnsi="Times New Roman" w:eastAsia="宋体" w:cs="Times New Roman"/>
              </w:rPr>
              <w:t>芜湖县位于安徽省东南部，长江下游南岸。东南邻宣城市，西南接南陵县，东北与当涂县交界，西北毗邻芜湖市区。现辖湾沚、六郎、陶辛、红杨、花桥5个镇，总面积670平方公里。芜湖县是芜湖市下辖的四区（镜湖区、三山区、鸠江区和弋江区）四县（芜湖县、南陵县和繁昌县、无为县）之一，位于华东地区中部和安徽省东南部，地理坐标为东经118º17’~118º43’，北纬30º56’~31º34’。</w:t>
            </w:r>
          </w:p>
          <w:p>
            <w:pPr>
              <w:keepNext w:val="0"/>
              <w:keepLines w:val="0"/>
              <w:numPr>
                <w:ilvl w:val="0"/>
                <w:numId w:val="14"/>
              </w:numPr>
              <w:suppressLineNumbers w:val="0"/>
              <w:bidi w:val="0"/>
              <w:spacing w:before="0" w:beforeAutospacing="0" w:after="0" w:afterAutospacing="0"/>
              <w:ind w:right="0"/>
              <w:rPr>
                <w:rFonts w:hint="eastAsia"/>
                <w:b/>
                <w:bCs/>
              </w:rPr>
            </w:pPr>
            <w:r>
              <w:rPr>
                <w:rFonts w:hint="eastAsia"/>
                <w:b/>
                <w:bCs/>
              </w:rPr>
              <w:t>地形、地貌</w:t>
            </w:r>
          </w:p>
          <w:p>
            <w:pPr>
              <w:keepNext w:val="0"/>
              <w:keepLines w:val="0"/>
              <w:suppressLineNumbers w:val="0"/>
              <w:bidi w:val="0"/>
              <w:spacing w:before="0" w:beforeAutospacing="0" w:after="0" w:afterAutospacing="0"/>
              <w:ind w:left="0" w:right="0"/>
              <w:rPr>
                <w:rFonts w:hint="eastAsia"/>
              </w:rPr>
            </w:pPr>
            <w:r>
              <w:rPr>
                <w:rFonts w:hint="eastAsia"/>
              </w:rPr>
              <w:t>芜湖县境内地势东南高、西北低，地面高程（黄海高程）7~1m，东南部是皖南山地向北延伸的岗丘，西北部是长江中下游冲积型平原区，已经形成“三分岗丘七分圩”的自然格局。全县地形地貌总体以平原岗地地貌为主，大部分地段地质条件较好，地处低丘残破积地带，土层分布简单（自上而下为：耕植土，层厚0.5m；红粘土，可见厚度4.3m），土性较好，主要持力层为粉质粘土，允许承载力标准FK=230Kpa（约23t/m</w:t>
            </w:r>
            <w:r>
              <w:rPr>
                <w:rFonts w:hint="eastAsia"/>
                <w:vertAlign w:val="superscript"/>
              </w:rPr>
              <w:t>3</w:t>
            </w:r>
            <w:r>
              <w:rPr>
                <w:rFonts w:hint="eastAsia"/>
              </w:rPr>
              <w:t>）。</w:t>
            </w:r>
          </w:p>
          <w:p>
            <w:pPr>
              <w:keepNext w:val="0"/>
              <w:keepLines w:val="0"/>
              <w:numPr>
                <w:ilvl w:val="0"/>
                <w:numId w:val="14"/>
              </w:numPr>
              <w:suppressLineNumbers w:val="0"/>
              <w:bidi w:val="0"/>
              <w:spacing w:before="0" w:beforeAutospacing="0" w:after="0" w:afterAutospacing="0"/>
              <w:ind w:right="0"/>
              <w:rPr>
                <w:rFonts w:hint="eastAsia"/>
                <w:b/>
                <w:bCs/>
              </w:rPr>
            </w:pPr>
            <w:r>
              <w:rPr>
                <w:rFonts w:hint="eastAsia"/>
                <w:b/>
                <w:bCs/>
              </w:rPr>
              <w:t>气候特征</w:t>
            </w:r>
          </w:p>
          <w:p>
            <w:pPr>
              <w:keepNext w:val="0"/>
              <w:keepLines w:val="0"/>
              <w:suppressLineNumbers w:val="0"/>
              <w:bidi w:val="0"/>
              <w:spacing w:before="0" w:beforeAutospacing="0" w:after="0" w:afterAutospacing="0"/>
              <w:ind w:left="0" w:right="0"/>
              <w:rPr>
                <w:rFonts w:hint="eastAsia"/>
              </w:rPr>
            </w:pPr>
            <w:r>
              <w:rPr>
                <w:rFonts w:hint="eastAsia"/>
              </w:rPr>
              <w:t>芜湖县属北亚热带湿润型季风气候区，有四季分明、气候温和湿润、雨量适中、光照充足、无霜期长的特点，气候条件优越，气候资源丰富，适宜农作物生长。年平均气温15.8℃。最热月为7月，月平均28.1℃；最冷月为1月，月平均温度2.6℃。历年极端最低气温为-13.2℃，历年极端最高气温为40.0℃，南北各地温度差异不大，但春秋两季温度升降快，冬夏温度变化小。日平均气温稳定通过10℃以上农作物生长期为230天、活动积温5021℃、全年无霜期259天、全年日照时数2126小时、年平均日照百分率49%、太阳辐射总量为119千卡/平方厘米。常年平均降水量为1067mm，南部多于北部，年无雨日250天左右，雨日多集中在6-7两月，初夏有梅雨，七、八两月多暴雨，夏季降水量占年降水量44%。降水年际变化大，据统计：大涝年（1991）年雨量达1990mm，枯水年（1978）年雨量只有406mm年蒸发量1488mm，7月份最大，达204mm；元月份最小，仅52mm。年平均相对湿度78%，各月相对湿度差异不大，且有自南向北减小的特点。本区风向有明显的季节性变化，全年多吹东到东北风，冬季以偏北风为主，夏季以偏南风为主，春季以偏东风为主，秋季以东北风为主，年平均风速3.2m/h。</w:t>
            </w:r>
          </w:p>
          <w:p>
            <w:pPr>
              <w:keepNext w:val="0"/>
              <w:keepLines w:val="0"/>
              <w:numPr>
                <w:ilvl w:val="0"/>
                <w:numId w:val="14"/>
              </w:numPr>
              <w:suppressLineNumbers w:val="0"/>
              <w:bidi w:val="0"/>
              <w:spacing w:before="0" w:beforeAutospacing="0" w:after="0" w:afterAutospacing="0"/>
              <w:ind w:right="0"/>
              <w:rPr>
                <w:rFonts w:hint="eastAsia"/>
                <w:b/>
                <w:bCs/>
              </w:rPr>
            </w:pPr>
            <w:r>
              <w:rPr>
                <w:rFonts w:hint="eastAsia"/>
                <w:b/>
                <w:bCs/>
              </w:rPr>
              <w:t>地表水系</w:t>
            </w:r>
          </w:p>
          <w:p>
            <w:pPr>
              <w:keepNext w:val="0"/>
              <w:keepLines w:val="0"/>
              <w:suppressLineNumbers w:val="0"/>
              <w:bidi w:val="0"/>
              <w:spacing w:before="0" w:beforeAutospacing="0" w:after="0" w:afterAutospacing="0"/>
              <w:ind w:left="0" w:right="0"/>
              <w:rPr>
                <w:rFonts w:hint="eastAsia"/>
              </w:rPr>
            </w:pPr>
            <w:r>
              <w:rPr>
                <w:rFonts w:hint="eastAsia"/>
              </w:rPr>
              <w:t>芜湖县境内河沟纵横，塘泊棋布，水系发达，总水域面积172.7km</w:t>
            </w:r>
            <w:r>
              <w:rPr>
                <w:rFonts w:hint="eastAsia"/>
                <w:vertAlign w:val="superscript"/>
              </w:rPr>
              <w:t>2</w:t>
            </w:r>
            <w:r>
              <w:rPr>
                <w:rFonts w:hint="eastAsia"/>
              </w:rPr>
              <w:t>，共有大小河流25条，河道总长359.6km，其主要河流为青弋江和水阳江。两大河流水系在芜湖县境内纵横交叉，均有支流相互串通。</w:t>
            </w:r>
          </w:p>
          <w:p>
            <w:pPr>
              <w:keepNext w:val="0"/>
              <w:keepLines w:val="0"/>
              <w:suppressLineNumbers w:val="0"/>
              <w:bidi w:val="0"/>
              <w:spacing w:before="0" w:beforeAutospacing="0" w:after="0" w:afterAutospacing="0"/>
              <w:ind w:left="0" w:right="0"/>
              <w:rPr>
                <w:rFonts w:hint="eastAsia"/>
              </w:rPr>
            </w:pPr>
            <w:r>
              <w:rPr>
                <w:rFonts w:hint="eastAsia"/>
              </w:rPr>
              <w:t>青弋江从芜湖县西河十甲坝上游1.5km处入境，由六郎镇至芜湖入长江，县境内长63km，西河水文站测得的最低水位6.85m，最高水位17.23m，最大流量6000m</w:t>
            </w:r>
            <w:r>
              <w:rPr>
                <w:rFonts w:hint="eastAsia"/>
                <w:vertAlign w:val="superscript"/>
              </w:rPr>
              <w:t>3</w:t>
            </w:r>
            <w:r>
              <w:rPr>
                <w:rFonts w:hint="eastAsia"/>
              </w:rPr>
              <w:t>/s，年平均径流量50.7亿m</w:t>
            </w:r>
            <w:r>
              <w:rPr>
                <w:rFonts w:hint="eastAsia"/>
                <w:vertAlign w:val="superscript"/>
              </w:rPr>
              <w:t>3</w:t>
            </w:r>
            <w:r>
              <w:rPr>
                <w:rFonts w:hint="eastAsia"/>
              </w:rPr>
              <w:t>。</w:t>
            </w:r>
          </w:p>
          <w:p>
            <w:pPr>
              <w:keepNext w:val="0"/>
              <w:keepLines w:val="0"/>
              <w:suppressLineNumbers w:val="0"/>
              <w:bidi w:val="0"/>
              <w:spacing w:before="0" w:beforeAutospacing="0" w:after="0" w:afterAutospacing="0"/>
              <w:ind w:left="0" w:right="0"/>
              <w:rPr>
                <w:rFonts w:hint="eastAsia"/>
              </w:rPr>
            </w:pPr>
            <w:r>
              <w:rPr>
                <w:rFonts w:hint="eastAsia"/>
              </w:rPr>
              <w:t>水阳江全长254千米，流域面积1.03万平方千米，发源于浙江天目山西麓、流经皖南旌德、绩溪等县山区，跨宁国、宣城、高淳、当涂、芜湖县，串连南漪、石臼、丹阳等诸河，纳裘公、青山河等数十条小河，主干经由当涂县金大村入长江，水阳江下游有部分水流由黄池镇通往芜湖市清水镇北，汇入长江。</w:t>
            </w:r>
          </w:p>
          <w:p>
            <w:pPr>
              <w:keepNext w:val="0"/>
              <w:keepLines w:val="0"/>
              <w:suppressLineNumbers w:val="0"/>
              <w:bidi w:val="0"/>
              <w:spacing w:before="0" w:beforeAutospacing="0" w:after="0" w:afterAutospacing="0"/>
              <w:ind w:left="0" w:right="0"/>
              <w:rPr>
                <w:rFonts w:hint="eastAsia"/>
              </w:rPr>
            </w:pPr>
            <w:r>
              <w:rPr>
                <w:rFonts w:hint="eastAsia"/>
              </w:rPr>
              <w:t>赵家河（又称“倒逆河”）是连接青弋江和水阳江的重要过水通道，流域面积228.28km</w:t>
            </w:r>
            <w:r>
              <w:rPr>
                <w:rFonts w:hint="eastAsia"/>
                <w:vertAlign w:val="superscript"/>
              </w:rPr>
              <w:t>2</w:t>
            </w:r>
            <w:r>
              <w:rPr>
                <w:rFonts w:hint="eastAsia"/>
              </w:rPr>
              <w:t>，汇水面积157.5km</w:t>
            </w:r>
            <w:r>
              <w:rPr>
                <w:rFonts w:hint="eastAsia"/>
                <w:vertAlign w:val="superscript"/>
              </w:rPr>
              <w:t>2</w:t>
            </w:r>
            <w:r>
              <w:rPr>
                <w:rFonts w:hint="eastAsia"/>
              </w:rPr>
              <w:t>。水力流向由南阳村至三里埂，即水流方向由青弋江至水阳江，特殊情况下如长江水位高，水阳江上游来水过大，赵家河入水阳江河口处会出现倒灌，但不会倒流至青弋江。有关资料显示，赵家河平均河宽75m，枯水期蓄水量652万m</w:t>
            </w:r>
            <w:r>
              <w:rPr>
                <w:rFonts w:hint="eastAsia"/>
                <w:vertAlign w:val="superscript"/>
              </w:rPr>
              <w:t>3</w:t>
            </w:r>
            <w:r>
              <w:rPr>
                <w:rFonts w:hint="eastAsia"/>
              </w:rPr>
              <w:t>，丰水期蓄水量为1847万m</w:t>
            </w:r>
            <w:r>
              <w:rPr>
                <w:rFonts w:hint="eastAsia"/>
                <w:vertAlign w:val="superscript"/>
              </w:rPr>
              <w:t>3</w:t>
            </w:r>
            <w:r>
              <w:rPr>
                <w:rFonts w:hint="eastAsia"/>
              </w:rPr>
              <w:t>，主要功能为排涝和灌溉，也是芜湖县城的主要纳污水体。</w:t>
            </w:r>
          </w:p>
          <w:p>
            <w:pPr>
              <w:keepNext w:val="0"/>
              <w:keepLines w:val="0"/>
              <w:suppressLineNumbers w:val="0"/>
              <w:bidi w:val="0"/>
              <w:spacing w:before="0" w:beforeAutospacing="0" w:after="0" w:afterAutospacing="0"/>
              <w:ind w:left="0" w:right="0"/>
              <w:rPr>
                <w:rFonts w:hint="eastAsia"/>
              </w:rPr>
            </w:pPr>
            <w:r>
              <w:rPr>
                <w:rFonts w:hint="eastAsia"/>
              </w:rPr>
              <w:t>汪溪坝河属于赵家河支流，新丰乡余林桥至汪溪坝入赵家河，全长9.8千米，大部分属人工河。</w:t>
            </w:r>
          </w:p>
          <w:p>
            <w:pPr>
              <w:keepNext w:val="0"/>
              <w:keepLines w:val="0"/>
              <w:numPr>
                <w:ilvl w:val="0"/>
                <w:numId w:val="14"/>
              </w:numPr>
              <w:suppressLineNumbers w:val="0"/>
              <w:bidi w:val="0"/>
              <w:spacing w:before="0" w:beforeAutospacing="0" w:after="0" w:afterAutospacing="0"/>
              <w:ind w:right="0"/>
              <w:rPr>
                <w:rFonts w:hint="eastAsia"/>
                <w:b/>
                <w:bCs/>
              </w:rPr>
            </w:pPr>
            <w:r>
              <w:rPr>
                <w:rFonts w:hint="eastAsia"/>
                <w:b/>
                <w:bCs/>
              </w:rPr>
              <w:t>土壤、植被</w:t>
            </w:r>
          </w:p>
          <w:p>
            <w:pPr>
              <w:keepNext w:val="0"/>
              <w:keepLines w:val="0"/>
              <w:suppressLineNumbers w:val="0"/>
              <w:bidi w:val="0"/>
              <w:spacing w:before="0" w:beforeAutospacing="0" w:after="0" w:afterAutospacing="0"/>
              <w:ind w:left="0" w:right="0"/>
              <w:rPr>
                <w:rFonts w:hint="eastAsia"/>
              </w:rPr>
            </w:pPr>
            <w:r>
              <w:rPr>
                <w:rFonts w:hint="eastAsia"/>
              </w:rPr>
              <w:t>芜湖县地带性土壤类型以红壤和黄棕壤为主，西北部属长江冲击平原，成土母质主要是河流冲积物，圩区系水稻田土，局部突出丘岗地为黄棕壤、红壤和石灰岩发育的钙质土，土层深浅不一；东南部丘岗区成土母质主要是第四纪红土和下蜀系黄土，其土壤类型为红壤和黄棕壤，土壤厚度一般在30cm～50cm，pH值在5.0～7.0之间。</w:t>
            </w:r>
          </w:p>
          <w:p>
            <w:pPr>
              <w:keepNext w:val="0"/>
              <w:keepLines w:val="0"/>
              <w:suppressLineNumbers w:val="0"/>
              <w:bidi w:val="0"/>
              <w:spacing w:before="0" w:beforeAutospacing="0" w:after="0" w:afterAutospacing="0"/>
              <w:ind w:left="0" w:right="0"/>
              <w:rPr>
                <w:rFonts w:hint="eastAsia"/>
              </w:rPr>
            </w:pPr>
            <w:r>
              <w:rPr>
                <w:rFonts w:hint="eastAsia"/>
              </w:rPr>
              <w:t>芜湖县属北亚热带落叶阔叶林与中亚热带常绿阔叶林混交地带。赵家河以北以落叶阔树种为主，针叶树和常绿阔叶树较少，仅有女贞、桂花、樟树、黄杨、柏类等品种；赵家河以南是中亚热带常绿阔叶林带，属皖南丘陵植被区，乔木树种主要有松树、杉木、柏树、樟树、银杏、冬青、枫香、化香、君迁子等，灌木树种主要有蔷薇、六月雪、黄杨、山胡椒等，草本植物主要有白茅、野菊、夏枯草、草莓、蒿类等。</w:t>
            </w:r>
          </w:p>
        </w:tc>
      </w:tr>
    </w:tbl>
    <w:p>
      <w:p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p>
      <w:pPr>
        <w:pStyle w:val="3"/>
        <w:bidi w:val="0"/>
        <w:rPr>
          <w:rFonts w:hint="eastAsia"/>
        </w:rPr>
      </w:pPr>
      <w:r>
        <w:rPr>
          <w:rFonts w:hint="eastAsia"/>
        </w:rPr>
        <w:t>环境质量状况</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9" w:hRule="atLeast"/>
        </w:trPr>
        <w:tc>
          <w:tcPr>
            <w:tcW w:w="9288" w:type="dxa"/>
          </w:tcPr>
          <w:p>
            <w:pPr>
              <w:keepNext w:val="0"/>
              <w:keepLines w:val="0"/>
              <w:suppressLineNumbers w:val="0"/>
              <w:bidi w:val="0"/>
              <w:spacing w:before="0" w:beforeAutospacing="0" w:after="0" w:afterAutospacing="0"/>
              <w:ind w:left="0" w:leftChars="0" w:right="0" w:firstLine="0" w:firstLineChars="0"/>
              <w:rPr>
                <w:rFonts w:hint="eastAsia"/>
                <w:b/>
                <w:bCs/>
              </w:rPr>
            </w:pPr>
            <w:r>
              <w:rPr>
                <w:rFonts w:hint="eastAsia"/>
                <w:b/>
                <w:bCs/>
              </w:rPr>
              <w:t>建设项目所在地区域环境质量现状及主要环境问题（环境空气、地面水、声环境、生态环境）：</w:t>
            </w:r>
          </w:p>
          <w:p>
            <w:pPr>
              <w:keepNext w:val="0"/>
              <w:keepLines w:val="0"/>
              <w:numPr>
                <w:ilvl w:val="0"/>
                <w:numId w:val="15"/>
              </w:numPr>
              <w:suppressLineNumbers w:val="0"/>
              <w:bidi w:val="0"/>
              <w:spacing w:before="0" w:beforeAutospacing="0" w:after="0" w:afterAutospacing="0"/>
              <w:ind w:right="0"/>
              <w:rPr>
                <w:rFonts w:hint="eastAsia"/>
                <w:b/>
                <w:bCs/>
              </w:rPr>
            </w:pPr>
            <w:r>
              <w:rPr>
                <w:rFonts w:hint="eastAsia"/>
                <w:b/>
                <w:bCs/>
              </w:rPr>
              <w:t>环境空气质量现状评价</w:t>
            </w:r>
          </w:p>
          <w:p>
            <w:pPr>
              <w:keepNext w:val="0"/>
              <w:keepLines w:val="0"/>
              <w:suppressLineNumbers w:val="0"/>
              <w:bidi w:val="0"/>
              <w:spacing w:before="0" w:beforeAutospacing="0" w:after="0" w:afterAutospacing="0"/>
              <w:ind w:left="0" w:right="0"/>
              <w:rPr>
                <w:rFonts w:hint="eastAsia"/>
              </w:rPr>
            </w:pPr>
            <w:r>
              <w:rPr>
                <w:rFonts w:hint="eastAsia"/>
              </w:rPr>
              <w:t>本次环境影响评价引用《芜湖市201</w:t>
            </w:r>
            <w:r>
              <w:rPr>
                <w:rFonts w:hint="eastAsia"/>
                <w:lang w:val="en-US" w:eastAsia="zh-CN"/>
              </w:rPr>
              <w:t>8</w:t>
            </w:r>
            <w:r>
              <w:rPr>
                <w:rFonts w:hint="eastAsia"/>
              </w:rPr>
              <w:t>年城市大气环境质量状况公报》有关数据，项目所在区域环境质量现状评价如下：</w:t>
            </w:r>
          </w:p>
          <w:p>
            <w:pPr>
              <w:keepNext w:val="0"/>
              <w:keepLines w:val="0"/>
              <w:suppressLineNumbers w:val="0"/>
              <w:bidi w:val="0"/>
              <w:spacing w:before="0" w:beforeAutospacing="0" w:after="0" w:afterAutospacing="0"/>
              <w:ind w:left="0" w:right="0"/>
              <w:rPr>
                <w:rFonts w:hint="eastAsia"/>
              </w:rPr>
            </w:pPr>
            <w:r>
              <w:rPr>
                <w:rFonts w:hint="eastAsia"/>
              </w:rPr>
              <w:t>四县：无为县、芜湖县、繁昌县、南陵县的SO</w:t>
            </w:r>
            <w:r>
              <w:rPr>
                <w:rFonts w:hint="eastAsia"/>
                <w:vertAlign w:val="subscript"/>
                <w:lang w:val="en-US" w:eastAsia="zh-CN"/>
              </w:rPr>
              <w:t>2</w:t>
            </w:r>
            <w:r>
              <w:rPr>
                <w:rFonts w:hint="eastAsia"/>
              </w:rPr>
              <w:t>年均浓度在11-18微克/立方米之间，NO</w:t>
            </w:r>
            <w:r>
              <w:rPr>
                <w:rFonts w:hint="eastAsia"/>
                <w:vertAlign w:val="subscript"/>
                <w:lang w:val="en-US" w:eastAsia="zh-CN"/>
              </w:rPr>
              <w:t>2</w:t>
            </w:r>
            <w:r>
              <w:rPr>
                <w:rFonts w:hint="eastAsia"/>
              </w:rPr>
              <w:t>年均浓度在19-28微克/立方米之间，O</w:t>
            </w:r>
            <w:r>
              <w:rPr>
                <w:rFonts w:hint="eastAsia"/>
                <w:vertAlign w:val="subscript"/>
              </w:rPr>
              <w:t>3</w:t>
            </w:r>
            <w:r>
              <w:rPr>
                <w:rFonts w:hint="eastAsia"/>
              </w:rPr>
              <w:t>日最大8h平均浓度在110-123微克/立方米之间，CO平均浓度在0.6-1微克/立方米之间，PM</w:t>
            </w:r>
            <w:r>
              <w:rPr>
                <w:rFonts w:hint="eastAsia"/>
                <w:vertAlign w:val="subscript"/>
              </w:rPr>
              <w:t>10</w:t>
            </w:r>
            <w:r>
              <w:rPr>
                <w:rFonts w:hint="eastAsia"/>
              </w:rPr>
              <w:t>年均浓度范围在67-87微克/立方米之间，PM</w:t>
            </w:r>
            <w:r>
              <w:rPr>
                <w:rFonts w:hint="eastAsia"/>
                <w:vertAlign w:val="subscript"/>
              </w:rPr>
              <w:t>2.5</w:t>
            </w:r>
            <w:r>
              <w:rPr>
                <w:rFonts w:hint="eastAsia"/>
              </w:rPr>
              <w:t>年均浓度范围在37-45微克/立方米之间。</w:t>
            </w:r>
          </w:p>
          <w:p>
            <w:pPr>
              <w:keepNext w:val="0"/>
              <w:keepLines w:val="0"/>
              <w:numPr>
                <w:ilvl w:val="0"/>
                <w:numId w:val="15"/>
              </w:numPr>
              <w:suppressLineNumbers w:val="0"/>
              <w:bidi w:val="0"/>
              <w:spacing w:before="0" w:beforeAutospacing="0" w:after="0" w:afterAutospacing="0"/>
              <w:ind w:right="0"/>
              <w:rPr>
                <w:rFonts w:hint="eastAsia"/>
                <w:b/>
                <w:bCs/>
              </w:rPr>
            </w:pPr>
            <w:r>
              <w:rPr>
                <w:rFonts w:hint="eastAsia"/>
                <w:b/>
                <w:bCs/>
              </w:rPr>
              <w:t>地表水水环境质量现状评价</w:t>
            </w:r>
          </w:p>
          <w:p>
            <w:pPr>
              <w:keepNext w:val="0"/>
              <w:keepLines w:val="0"/>
              <w:suppressLineNumbers w:val="0"/>
              <w:bidi w:val="0"/>
              <w:spacing w:before="0" w:beforeAutospacing="0" w:after="0" w:afterAutospacing="0"/>
              <w:ind w:left="0" w:right="0"/>
              <w:rPr>
                <w:rFonts w:hint="eastAsia"/>
              </w:rPr>
            </w:pPr>
            <w:r>
              <w:rPr>
                <w:rFonts w:hint="eastAsia"/>
              </w:rPr>
              <w:t>本次环境影响评价引用《芜湖市201</w:t>
            </w:r>
            <w:r>
              <w:rPr>
                <w:rFonts w:hint="eastAsia"/>
                <w:lang w:val="en-US" w:eastAsia="zh-CN"/>
              </w:rPr>
              <w:t>8</w:t>
            </w:r>
            <w:r>
              <w:rPr>
                <w:rFonts w:hint="eastAsia"/>
              </w:rPr>
              <w:t>年城市水环境质量状况公报》有关数据，项目所在区域环境质量现状评价如下：</w:t>
            </w:r>
          </w:p>
          <w:p>
            <w:pPr>
              <w:keepNext w:val="0"/>
              <w:keepLines w:val="0"/>
              <w:suppressLineNumbers w:val="0"/>
              <w:bidi w:val="0"/>
              <w:spacing w:before="0" w:beforeAutospacing="0" w:after="0" w:afterAutospacing="0"/>
              <w:ind w:left="0" w:right="0"/>
              <w:rPr>
                <w:rFonts w:hint="eastAsia"/>
              </w:rPr>
            </w:pPr>
            <w:r>
              <w:rPr>
                <w:rFonts w:hint="eastAsia"/>
              </w:rPr>
              <w:t>2018年，长江芜湖段桂花桥、弋矶山、四褐山、东西梁山，漳河澛港桥、南陵繁昌交界，青弋江宝塔根、黄浒河荻港、裕溪河裕溪口等国、省控监测断面水质符合《地表水环境质量标准》（GB3838-2002）Ⅱ类标准；青弋江海南渡、西河入裕溪河口、杨柳村等省控监测断面水质符合Ⅲ类标准。</w:t>
            </w:r>
          </w:p>
          <w:p>
            <w:pPr>
              <w:keepNext w:val="0"/>
              <w:keepLines w:val="0"/>
              <w:numPr>
                <w:ilvl w:val="0"/>
                <w:numId w:val="15"/>
              </w:numPr>
              <w:suppressLineNumbers w:val="0"/>
              <w:bidi w:val="0"/>
              <w:spacing w:before="0" w:beforeAutospacing="0" w:after="0" w:afterAutospacing="0"/>
              <w:ind w:right="0"/>
              <w:rPr>
                <w:rFonts w:hint="eastAsia"/>
                <w:b/>
                <w:bCs/>
              </w:rPr>
            </w:pPr>
            <w:r>
              <w:rPr>
                <w:rFonts w:hint="eastAsia"/>
                <w:b/>
                <w:bCs/>
              </w:rPr>
              <w:t>声环境质量现状评价</w:t>
            </w:r>
          </w:p>
          <w:p>
            <w:pPr>
              <w:keepNext w:val="0"/>
              <w:keepLines w:val="0"/>
              <w:suppressLineNumbers w:val="0"/>
              <w:bidi w:val="0"/>
              <w:spacing w:before="0" w:beforeAutospacing="0" w:after="0" w:afterAutospacing="0"/>
              <w:ind w:left="0" w:right="0"/>
              <w:rPr>
                <w:rFonts w:hint="eastAsia"/>
              </w:rPr>
            </w:pPr>
            <w:r>
              <w:rPr>
                <w:rFonts w:hint="eastAsia"/>
              </w:rPr>
              <w:t>2018年，声功能区共设监测点10个，其中：1类标准适用区设监测点1个，2类标准适用区设监测点5个，3类标准适用区设监测点2个，4类标准适用区设监测点2个，各监测点每季度监测一次，全年监测四次，功能区噪声等效声级达标率93.90%。</w:t>
            </w:r>
          </w:p>
          <w:p>
            <w:pPr>
              <w:keepNext w:val="0"/>
              <w:keepLines w:val="0"/>
              <w:suppressLineNumbers w:val="0"/>
              <w:bidi w:val="0"/>
              <w:spacing w:before="0" w:beforeAutospacing="0" w:after="0" w:afterAutospacing="0"/>
              <w:ind w:left="0" w:right="0"/>
              <w:rPr>
                <w:rFonts w:hint="eastAsia"/>
              </w:rPr>
            </w:pPr>
            <w:r>
              <w:rPr>
                <w:rFonts w:hint="eastAsia"/>
              </w:rPr>
              <w:t>噪声监测结果显示：全市四类功能区昼、夜噪声等效声级年均值完全符合功能区标准要求，各功能区噪声声级随着1类区到4类区依次递增，与功能区的区域功能划分完全一致。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9" w:hRule="atLeast"/>
        </w:trPr>
        <w:tc>
          <w:tcPr>
            <w:tcW w:w="9288" w:type="dxa"/>
          </w:tcPr>
          <w:p>
            <w:pPr>
              <w:keepNext w:val="0"/>
              <w:keepLines w:val="0"/>
              <w:suppressLineNumbers w:val="0"/>
              <w:bidi w:val="0"/>
              <w:spacing w:before="0" w:beforeAutospacing="0" w:after="0" w:afterAutospacing="0"/>
              <w:ind w:left="0" w:leftChars="0" w:right="0" w:firstLine="0" w:firstLineChars="0"/>
              <w:rPr>
                <w:rFonts w:hint="eastAsia"/>
                <w:b/>
                <w:bCs/>
              </w:rPr>
            </w:pPr>
            <w:r>
              <w:rPr>
                <w:rFonts w:hint="eastAsia"/>
                <w:b/>
                <w:bCs/>
              </w:rPr>
              <w:t>主要环境保护目标及与项目相对位置关系：</w:t>
            </w:r>
          </w:p>
          <w:p>
            <w:pPr>
              <w:keepNext w:val="0"/>
              <w:keepLines w:val="0"/>
              <w:suppressLineNumbers w:val="0"/>
              <w:bidi w:val="0"/>
              <w:spacing w:before="0" w:beforeAutospacing="0" w:after="0" w:afterAutospacing="0"/>
              <w:ind w:left="0" w:right="0"/>
              <w:rPr>
                <w:rFonts w:hint="eastAsia"/>
              </w:rPr>
            </w:pPr>
            <w:r>
              <w:rPr>
                <w:rFonts w:hint="eastAsia"/>
              </w:rPr>
              <w:t>本项目位于芜湖县，根据现场勘查，评价范围内无自然保护区、风景旅游点和文物古迹等需要特殊保护的环境敏感对象。总体上不因本项目的实施而改变区域环境现有功能，项目敏感目标的影响主要在施工期：</w:t>
            </w:r>
          </w:p>
          <w:p>
            <w:pPr>
              <w:keepNext w:val="0"/>
              <w:keepLines w:val="0"/>
              <w:pageBreakBefore w:val="0"/>
              <w:widowControl w:val="0"/>
              <w:numPr>
                <w:ilvl w:val="0"/>
                <w:numId w:val="16"/>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rPr>
              <w:t>环境空气：不改变区域环境空气质量功能区类别，不影响周边环境空气质量，满足《环境空气质量标准》（GB3095-2012）二级标准要求；</w:t>
            </w:r>
          </w:p>
          <w:p>
            <w:pPr>
              <w:keepNext w:val="0"/>
              <w:keepLines w:val="0"/>
              <w:pageBreakBefore w:val="0"/>
              <w:widowControl w:val="0"/>
              <w:numPr>
                <w:ilvl w:val="0"/>
                <w:numId w:val="16"/>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rPr>
              <w:t>水环境：汤泊河、青弋江水质满足《地表水环境质量标准》（GB3838-2002）III类水域标准要求；</w:t>
            </w:r>
          </w:p>
          <w:p>
            <w:pPr>
              <w:keepNext w:val="0"/>
              <w:keepLines w:val="0"/>
              <w:pageBreakBefore w:val="0"/>
              <w:widowControl w:val="0"/>
              <w:numPr>
                <w:ilvl w:val="0"/>
                <w:numId w:val="16"/>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rPr>
            </w:pPr>
            <w:r>
              <w:rPr>
                <w:rFonts w:hint="eastAsia"/>
              </w:rPr>
              <w:t>声环境：项目生产期的噪声不影响周边声环境质量，区域声环境质量达标，满足《声环境质量标准》（GB3096-2008）2类标准要求。</w:t>
            </w:r>
          </w:p>
          <w:p>
            <w:pPr>
              <w:keepNext w:val="0"/>
              <w:keepLines w:val="0"/>
              <w:suppressLineNumbers w:val="0"/>
              <w:bidi w:val="0"/>
              <w:spacing w:before="0" w:beforeAutospacing="0" w:after="0" w:afterAutospacing="0"/>
              <w:ind w:left="0" w:right="0"/>
              <w:rPr>
                <w:rFonts w:hint="eastAsia"/>
              </w:rPr>
            </w:pPr>
            <w:r>
              <w:rPr>
                <w:rFonts w:hint="eastAsia"/>
              </w:rPr>
              <w:t>本项目环境保护目标如下表。</w:t>
            </w:r>
          </w:p>
          <w:p>
            <w:pPr>
              <w:pStyle w:val="15"/>
              <w:keepNext w:val="0"/>
              <w:keepLines w:val="0"/>
              <w:suppressLineNumbers w:val="0"/>
              <w:bidi w:val="0"/>
              <w:spacing w:before="0" w:beforeAutospacing="0" w:after="0" w:afterAutospacing="0"/>
              <w:ind w:left="0" w:right="0"/>
              <w:rPr>
                <w:rFonts w:hint="eastAsia"/>
              </w:rPr>
            </w:pPr>
            <w:r>
              <w:rPr>
                <w:rFonts w:hint="default"/>
              </w:rPr>
              <w:t>主要环境保护目标一览表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169"/>
              <w:gridCol w:w="1382"/>
              <w:gridCol w:w="671"/>
              <w:gridCol w:w="1120"/>
              <w:gridCol w:w="1487"/>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6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环境要素</w:t>
                  </w:r>
                </w:p>
              </w:tc>
              <w:tc>
                <w:tcPr>
                  <w:tcW w:w="1382"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环境保护目标名称</w:t>
                  </w:r>
                </w:p>
              </w:tc>
              <w:tc>
                <w:tcPr>
                  <w:tcW w:w="671"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方位</w:t>
                  </w:r>
                </w:p>
              </w:tc>
              <w:tc>
                <w:tcPr>
                  <w:tcW w:w="112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与本项目距离（m</w:t>
                  </w:r>
                  <w:r>
                    <w:rPr>
                      <w:rFonts w:hint="eastAsia"/>
                      <w:lang w:val="en-US" w:eastAsia="zh-CN"/>
                    </w:rPr>
                    <w:t>）</w:t>
                  </w:r>
                </w:p>
              </w:tc>
              <w:tc>
                <w:tcPr>
                  <w:tcW w:w="1487"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功能及规模</w:t>
                  </w:r>
                </w:p>
              </w:tc>
              <w:tc>
                <w:tcPr>
                  <w:tcW w:w="3233"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环境功能区划级别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6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环境空气</w:t>
                  </w:r>
                </w:p>
              </w:tc>
              <w:tc>
                <w:tcPr>
                  <w:tcW w:w="1382"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流域内居民</w:t>
                  </w:r>
                </w:p>
              </w:tc>
              <w:tc>
                <w:tcPr>
                  <w:tcW w:w="671"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周围</w:t>
                  </w:r>
                </w:p>
              </w:tc>
              <w:tc>
                <w:tcPr>
                  <w:tcW w:w="112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w:t>
                  </w:r>
                  <w:r>
                    <w:rPr>
                      <w:rFonts w:hint="default"/>
                      <w:lang w:val="en-US" w:eastAsia="zh-CN"/>
                    </w:rPr>
                    <w:t>200</w:t>
                  </w:r>
                </w:p>
              </w:tc>
              <w:tc>
                <w:tcPr>
                  <w:tcW w:w="1487"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w:t>
                  </w:r>
                </w:p>
              </w:tc>
              <w:tc>
                <w:tcPr>
                  <w:tcW w:w="3233"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《环境空气质量标准》（GB3095-2012</w:t>
                  </w:r>
                  <w:r>
                    <w:rPr>
                      <w:rFonts w:hint="eastAsia"/>
                      <w:lang w:val="en-US" w:eastAsia="zh-CN"/>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69" w:type="dxa"/>
                  <w:vMerge w:val="restart"/>
                  <w:tcBorders>
                    <w:top w:val="single" w:color="auto" w:sz="4" w:space="0"/>
                    <w:left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地表水</w:t>
                  </w:r>
                </w:p>
              </w:tc>
              <w:tc>
                <w:tcPr>
                  <w:tcW w:w="1382" w:type="dxa"/>
                  <w:tcBorders>
                    <w:top w:val="single" w:color="auto" w:sz="4" w:space="0"/>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eastAsia="宋体"/>
                      <w:lang w:val="en-US" w:eastAsia="zh-CN"/>
                    </w:rPr>
                  </w:pPr>
                  <w:r>
                    <w:rPr>
                      <w:rFonts w:hint="eastAsia"/>
                      <w:lang w:val="en-US" w:eastAsia="zh-CN"/>
                    </w:rPr>
                    <w:t>青弋江</w:t>
                  </w:r>
                </w:p>
              </w:tc>
              <w:tc>
                <w:tcPr>
                  <w:tcW w:w="671"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w:t>
                  </w:r>
                </w:p>
              </w:tc>
              <w:tc>
                <w:tcPr>
                  <w:tcW w:w="112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w:t>
                  </w:r>
                </w:p>
              </w:tc>
              <w:tc>
                <w:tcPr>
                  <w:tcW w:w="1487"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大型</w:t>
                  </w:r>
                </w:p>
              </w:tc>
              <w:tc>
                <w:tcPr>
                  <w:tcW w:w="3233" w:type="dxa"/>
                  <w:vMerge w:val="restart"/>
                  <w:tcBorders>
                    <w:top w:val="single" w:color="auto" w:sz="4" w:space="0"/>
                    <w:left w:val="nil"/>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《地表水环境质量标准》（GB3838-2002</w:t>
                  </w:r>
                  <w:r>
                    <w:rPr>
                      <w:rFonts w:hint="eastAsia"/>
                      <w:lang w:val="en-US" w:eastAsia="zh-CN"/>
                    </w:rPr>
                    <w:t>）</w:t>
                  </w:r>
                  <w:r>
                    <w:rPr>
                      <w:rFonts w:hint="default"/>
                      <w:lang w:val="en-US" w:eastAsia="zh-CN"/>
                    </w:rPr>
                    <w:t>中</w:t>
                  </w:r>
                  <w:r>
                    <w:rPr>
                      <w:rFonts w:hint="eastAsia"/>
                      <w:lang w:val="en-US" w:eastAsia="zh-CN"/>
                    </w:rPr>
                    <w:t>Ⅲ</w:t>
                  </w:r>
                  <w:r>
                    <w:rPr>
                      <w:rFonts w:hint="default"/>
                      <w:lang w:val="en-US" w:eastAsia="zh-CN"/>
                    </w:rPr>
                    <w:t>类水质标准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169" w:type="dxa"/>
                  <w:vMerge w:val="continue"/>
                  <w:tcBorders>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382" w:type="dxa"/>
                  <w:tcBorders>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eastAsia="宋体"/>
                      <w:lang w:val="en-US" w:eastAsia="zh-CN"/>
                    </w:rPr>
                  </w:pPr>
                  <w:r>
                    <w:rPr>
                      <w:rFonts w:hint="eastAsia"/>
                      <w:lang w:val="en-US" w:eastAsia="zh-CN"/>
                    </w:rPr>
                    <w:t>汤泊河</w:t>
                  </w:r>
                </w:p>
              </w:tc>
              <w:tc>
                <w:tcPr>
                  <w:tcW w:w="671"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12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w:t>
                  </w:r>
                </w:p>
              </w:tc>
              <w:tc>
                <w:tcPr>
                  <w:tcW w:w="1487"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eastAsia"/>
                      <w:lang w:val="en-US" w:eastAsia="zh-CN"/>
                    </w:rPr>
                    <w:t>小型</w:t>
                  </w:r>
                </w:p>
              </w:tc>
              <w:tc>
                <w:tcPr>
                  <w:tcW w:w="3233" w:type="dxa"/>
                  <w:vMerge w:val="continue"/>
                  <w:tcBorders>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6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声环境</w:t>
                  </w:r>
                </w:p>
              </w:tc>
              <w:tc>
                <w:tcPr>
                  <w:tcW w:w="1382"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流域内居民</w:t>
                  </w:r>
                </w:p>
              </w:tc>
              <w:tc>
                <w:tcPr>
                  <w:tcW w:w="671"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周围</w:t>
                  </w:r>
                </w:p>
              </w:tc>
              <w:tc>
                <w:tcPr>
                  <w:tcW w:w="112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w:t>
                  </w:r>
                  <w:r>
                    <w:rPr>
                      <w:rFonts w:hint="default"/>
                      <w:lang w:val="en-US" w:eastAsia="zh-CN"/>
                    </w:rPr>
                    <w:t>200</w:t>
                  </w:r>
                </w:p>
              </w:tc>
              <w:tc>
                <w:tcPr>
                  <w:tcW w:w="1487"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w:t>
                  </w:r>
                </w:p>
              </w:tc>
              <w:tc>
                <w:tcPr>
                  <w:tcW w:w="3233"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《声环境质量标准》（</w:t>
                  </w:r>
                  <w:r>
                    <w:rPr>
                      <w:rFonts w:hint="default"/>
                      <w:lang w:val="en-US" w:eastAsia="zh-CN"/>
                    </w:rPr>
                    <w:t>GB3096-2008</w:t>
                  </w:r>
                  <w:r>
                    <w:rPr>
                      <w:rFonts w:hint="eastAsia"/>
                      <w:lang w:val="en-US" w:eastAsia="zh-CN"/>
                    </w:rPr>
                    <w:t>）中2类标准</w:t>
                  </w:r>
                </w:p>
              </w:tc>
            </w:tr>
          </w:tbl>
          <w:p>
            <w:pPr>
              <w:pStyle w:val="17"/>
              <w:keepNext w:val="0"/>
              <w:keepLines w:val="0"/>
              <w:suppressLineNumbers w:val="0"/>
              <w:bidi w:val="0"/>
              <w:spacing w:before="0" w:beforeAutospacing="0" w:after="0" w:afterAutospacing="0"/>
              <w:ind w:left="0" w:right="0"/>
              <w:rPr>
                <w:rFonts w:hint="eastAsia"/>
              </w:rPr>
            </w:pPr>
          </w:p>
        </w:tc>
      </w:tr>
    </w:tbl>
    <w:p>
      <w:p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p>
      <w:pPr>
        <w:pStyle w:val="3"/>
        <w:bidi w:val="0"/>
      </w:pPr>
      <w:r>
        <w:rPr>
          <w:rFonts w:hint="eastAsia"/>
        </w:rPr>
        <w:t>评价适用标准</w:t>
      </w:r>
    </w:p>
    <w:tbl>
      <w:tblPr>
        <w:tblStyle w:val="10"/>
        <w:tblW w:w="5000" w:type="pct"/>
        <w:jc w:val="center"/>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Layout w:type="autofit"/>
        <w:tblCellMar>
          <w:top w:w="0" w:type="dxa"/>
          <w:left w:w="108" w:type="dxa"/>
          <w:bottom w:w="0" w:type="dxa"/>
          <w:right w:w="108" w:type="dxa"/>
        </w:tblCellMar>
      </w:tblPr>
      <w:tblGrid>
        <w:gridCol w:w="457"/>
        <w:gridCol w:w="8831"/>
      </w:tblGrid>
      <w:tr>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CellMar>
            <w:top w:w="0" w:type="dxa"/>
            <w:left w:w="108" w:type="dxa"/>
            <w:bottom w:w="0" w:type="dxa"/>
            <w:right w:w="108" w:type="dxa"/>
          </w:tblCellMar>
        </w:tblPrEx>
        <w:trPr>
          <w:trHeight w:val="20" w:hRule="atLeast"/>
          <w:jc w:val="center"/>
        </w:trPr>
        <w:tc>
          <w:tcPr>
            <w:tcW w:w="457" w:type="dxa"/>
            <w:tcBorders>
              <w:bottom w:val="single" w:color="auto" w:sz="8" w:space="0"/>
              <w:right w:val="single" w:color="auto" w:sz="4" w:space="0"/>
            </w:tcBorders>
            <w:noWrap w:val="0"/>
            <w:vAlign w:val="center"/>
          </w:tcPr>
          <w:p>
            <w:pPr>
              <w:keepNext w:val="0"/>
              <w:keepLines w:val="0"/>
              <w:suppressLineNumbers w:val="0"/>
              <w:spacing w:before="0" w:beforeAutospacing="0" w:after="0" w:afterAutospacing="0" w:line="400" w:lineRule="exact"/>
              <w:ind w:left="0" w:right="0" w:firstLine="0" w:firstLineChars="0"/>
              <w:jc w:val="center"/>
              <w:rPr>
                <w:rFonts w:hint="default" w:ascii="Times New Roman" w:hAnsi="Times New Roman" w:eastAsia="黑体" w:cs="Times New Roman"/>
                <w:sz w:val="24"/>
              </w:rPr>
            </w:pPr>
            <w:r>
              <w:rPr>
                <w:rFonts w:hint="eastAsia" w:ascii="宋体" w:hAnsi="宋体" w:eastAsia="宋体" w:cs="宋体"/>
                <w:sz w:val="24"/>
              </w:rPr>
              <w:t>环境质量标准</w:t>
            </w:r>
          </w:p>
        </w:tc>
        <w:tc>
          <w:tcPr>
            <w:tcW w:w="8831" w:type="dxa"/>
            <w:tcBorders>
              <w:left w:val="single" w:color="auto" w:sz="4" w:space="0"/>
            </w:tcBorders>
            <w:noWrap w:val="0"/>
            <w:vAlign w:val="center"/>
          </w:tcPr>
          <w:p>
            <w:pPr>
              <w:keepNext w:val="0"/>
              <w:keepLines w:val="0"/>
              <w:numPr>
                <w:ilvl w:val="0"/>
                <w:numId w:val="17"/>
              </w:numPr>
              <w:suppressLineNumbers w:val="0"/>
              <w:bidi w:val="0"/>
              <w:spacing w:before="0" w:beforeAutospacing="0" w:after="0" w:afterAutospacing="0"/>
              <w:ind w:right="0"/>
              <w:rPr>
                <w:rFonts w:hint="default"/>
                <w:b/>
                <w:bCs/>
              </w:rPr>
            </w:pPr>
            <w:r>
              <w:rPr>
                <w:rFonts w:hint="default"/>
                <w:b/>
                <w:bCs/>
              </w:rPr>
              <w:t>环境空气</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rPr>
            </w:pPr>
            <w:r>
              <w:rPr>
                <w:rFonts w:hint="default" w:ascii="Times New Roman" w:hAnsi="Times New Roman" w:eastAsia="宋体" w:cs="Times New Roman"/>
                <w:sz w:val="24"/>
              </w:rPr>
              <w:t>环境空气质量执行《环境空气质量标准》（GB3095－2012）中的二级标准</w:t>
            </w:r>
            <w:r>
              <w:rPr>
                <w:rFonts w:hint="eastAsia" w:ascii="Times New Roman" w:hAnsi="Times New Roman" w:eastAsia="宋体" w:cs="Times New Roman"/>
                <w:sz w:val="24"/>
              </w:rPr>
              <w:t>限值。</w:t>
            </w:r>
          </w:p>
          <w:p>
            <w:pPr>
              <w:pStyle w:val="15"/>
              <w:keepNext w:val="0"/>
              <w:keepLines w:val="0"/>
              <w:suppressLineNumbers w:val="0"/>
              <w:bidi w:val="0"/>
              <w:spacing w:before="0" w:beforeAutospacing="0" w:after="0" w:afterAutospacing="0"/>
              <w:ind w:left="0" w:right="0"/>
              <w:rPr>
                <w:rFonts w:hint="default"/>
              </w:rPr>
            </w:pPr>
            <w:r>
              <w:rPr>
                <w:rFonts w:hint="default"/>
              </w:rPr>
              <w:t>环境空气质量标准</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307"/>
              <w:gridCol w:w="1333"/>
              <w:gridCol w:w="1148"/>
              <w:gridCol w:w="4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jc w:val="center"/>
              </w:trPr>
              <w:tc>
                <w:tcPr>
                  <w:tcW w:w="13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污染物名称</w:t>
                  </w: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取值时间</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浓度限值</w:t>
                  </w:r>
                </w:p>
              </w:tc>
              <w:tc>
                <w:tcPr>
                  <w:tcW w:w="4923"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restart"/>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SO</w:t>
                  </w:r>
                  <w:r>
                    <w:rPr>
                      <w:rFonts w:hint="default"/>
                      <w:vertAlign w:val="subscript"/>
                    </w:rPr>
                    <w:t>2</w:t>
                  </w: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24</w:t>
                  </w:r>
                  <w:r>
                    <w:rPr>
                      <w:rFonts w:hint="eastAsia"/>
                    </w:rPr>
                    <w:t>小时平均</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150</w:t>
                  </w:r>
                </w:p>
              </w:tc>
              <w:tc>
                <w:tcPr>
                  <w:tcW w:w="4923" w:type="dxa"/>
                  <w:vMerge w:val="restar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《环境空气质量标准》（GB3095-2012</w:t>
                  </w:r>
                  <w:r>
                    <w:rPr>
                      <w:rFonts w:hint="eastAsia"/>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1</w:t>
                  </w:r>
                  <w:r>
                    <w:rPr>
                      <w:rFonts w:hint="eastAsia"/>
                    </w:rPr>
                    <w:t>小时平均</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500</w:t>
                  </w:r>
                </w:p>
              </w:tc>
              <w:tc>
                <w:tcPr>
                  <w:tcW w:w="4923"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restart"/>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NO</w:t>
                  </w:r>
                  <w:r>
                    <w:rPr>
                      <w:rFonts w:hint="default"/>
                      <w:vertAlign w:val="subscript"/>
                    </w:rPr>
                    <w:t>2</w:t>
                  </w: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24</w:t>
                  </w:r>
                  <w:r>
                    <w:rPr>
                      <w:rFonts w:hint="eastAsia"/>
                    </w:rPr>
                    <w:t>小时平均</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80</w:t>
                  </w:r>
                </w:p>
              </w:tc>
              <w:tc>
                <w:tcPr>
                  <w:tcW w:w="4923"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329"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1</w:t>
                  </w:r>
                  <w:r>
                    <w:rPr>
                      <w:rFonts w:hint="eastAsia"/>
                    </w:rPr>
                    <w:t>小时平均</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200</w:t>
                  </w:r>
                </w:p>
              </w:tc>
              <w:tc>
                <w:tcPr>
                  <w:tcW w:w="4923"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329" w:type="dxa"/>
                  <w:vMerge w:val="restart"/>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PM</w:t>
                  </w:r>
                  <w:r>
                    <w:rPr>
                      <w:rFonts w:hint="default"/>
                      <w:vertAlign w:val="subscript"/>
                    </w:rPr>
                    <w:t>10</w:t>
                  </w: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24</w:t>
                  </w:r>
                  <w:r>
                    <w:rPr>
                      <w:rFonts w:hint="eastAsia"/>
                    </w:rPr>
                    <w:t>小时平均</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150</w:t>
                  </w:r>
                </w:p>
              </w:tc>
              <w:tc>
                <w:tcPr>
                  <w:tcW w:w="4923"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年平均</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70</w:t>
                  </w:r>
                </w:p>
              </w:tc>
              <w:tc>
                <w:tcPr>
                  <w:tcW w:w="4923"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29" w:type="dxa"/>
                  <w:vMerge w:val="restart"/>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TSP</w:t>
                  </w: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24</w:t>
                  </w:r>
                  <w:r>
                    <w:rPr>
                      <w:rFonts w:hint="eastAsia"/>
                    </w:rPr>
                    <w:t>小时平均</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300</w:t>
                  </w:r>
                </w:p>
              </w:tc>
              <w:tc>
                <w:tcPr>
                  <w:tcW w:w="4923"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29"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年平均</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200</w:t>
                  </w:r>
                </w:p>
              </w:tc>
              <w:tc>
                <w:tcPr>
                  <w:tcW w:w="4923"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29" w:type="dxa"/>
                  <w:vMerge w:val="restart"/>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eastAsia="宋体"/>
                      <w:lang w:val="en-US" w:eastAsia="zh-CN"/>
                    </w:rPr>
                  </w:pPr>
                  <w:r>
                    <w:rPr>
                      <w:rFonts w:hint="default"/>
                    </w:rPr>
                    <w:t>PM</w:t>
                  </w:r>
                  <w:r>
                    <w:rPr>
                      <w:rFonts w:hint="eastAsia"/>
                      <w:vertAlign w:val="subscript"/>
                      <w:lang w:val="en-US" w:eastAsia="zh-CN"/>
                    </w:rPr>
                    <w:t>2.5</w:t>
                  </w: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24</w:t>
                  </w:r>
                  <w:r>
                    <w:rPr>
                      <w:rFonts w:hint="eastAsia"/>
                    </w:rPr>
                    <w:t>小时平均</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75</w:t>
                  </w:r>
                </w:p>
              </w:tc>
              <w:tc>
                <w:tcPr>
                  <w:tcW w:w="4923"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329"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年平均</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35</w:t>
                  </w:r>
                </w:p>
              </w:tc>
              <w:tc>
                <w:tcPr>
                  <w:tcW w:w="4923"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jc w:val="center"/>
              </w:trPr>
              <w:tc>
                <w:tcPr>
                  <w:tcW w:w="13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H</w:t>
                  </w:r>
                  <w:r>
                    <w:rPr>
                      <w:rFonts w:hint="default"/>
                      <w:vertAlign w:val="subscript"/>
                    </w:rPr>
                    <w:t>2</w:t>
                  </w:r>
                  <w:r>
                    <w:rPr>
                      <w:rFonts w:hint="default"/>
                    </w:rPr>
                    <w:t>S</w:t>
                  </w: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rPr>
                    <w:t>一次值</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1</w:t>
                  </w:r>
                  <w:r>
                    <w:rPr>
                      <w:rFonts w:hint="default"/>
                    </w:rPr>
                    <w:t>0</w:t>
                  </w:r>
                </w:p>
              </w:tc>
              <w:tc>
                <w:tcPr>
                  <w:tcW w:w="4923" w:type="dxa"/>
                  <w:vMerge w:val="restar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《工业企业设计卫生标准（</w:t>
                  </w:r>
                  <w:r>
                    <w:rPr>
                      <w:rFonts w:hint="default"/>
                    </w:rPr>
                    <w:t>TJ36-79</w:t>
                  </w:r>
                  <w:r>
                    <w:rPr>
                      <w:rFonts w:hint="eastAsia"/>
                    </w:rPr>
                    <w:t>）》中居住区大气中有害物质的最高容许浓度限值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32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NH</w:t>
                  </w:r>
                  <w:r>
                    <w:rPr>
                      <w:rFonts w:hint="default"/>
                      <w:vertAlign w:val="subscript"/>
                    </w:rPr>
                    <w:t>3</w:t>
                  </w:r>
                </w:p>
              </w:tc>
              <w:tc>
                <w:tcPr>
                  <w:tcW w:w="136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一次值</w:t>
                  </w:r>
                </w:p>
              </w:tc>
              <w:tc>
                <w:tcPr>
                  <w:tcW w:w="117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200</w:t>
                  </w:r>
                </w:p>
              </w:tc>
              <w:tc>
                <w:tcPr>
                  <w:tcW w:w="4923"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bl>
          <w:p>
            <w:pPr>
              <w:pStyle w:val="17"/>
              <w:keepNext w:val="0"/>
              <w:keepLines w:val="0"/>
              <w:suppressLineNumbers w:val="0"/>
              <w:bidi w:val="0"/>
              <w:spacing w:before="0" w:beforeAutospacing="0" w:after="0" w:afterAutospacing="0"/>
              <w:ind w:left="0" w:right="0"/>
              <w:rPr>
                <w:rFonts w:hint="eastAsia"/>
              </w:rPr>
            </w:pPr>
          </w:p>
          <w:p>
            <w:pPr>
              <w:keepNext w:val="0"/>
              <w:keepLines w:val="0"/>
              <w:numPr>
                <w:ilvl w:val="0"/>
                <w:numId w:val="17"/>
              </w:numPr>
              <w:suppressLineNumbers w:val="0"/>
              <w:bidi w:val="0"/>
              <w:spacing w:before="0" w:beforeAutospacing="0" w:after="0" w:afterAutospacing="0"/>
              <w:ind w:right="0"/>
              <w:rPr>
                <w:rFonts w:hint="default"/>
                <w:b/>
                <w:bCs/>
              </w:rPr>
            </w:pPr>
            <w:r>
              <w:rPr>
                <w:rFonts w:hint="default"/>
                <w:b/>
                <w:bCs/>
              </w:rPr>
              <w:t>地表水</w:t>
            </w:r>
          </w:p>
          <w:p>
            <w:pPr>
              <w:keepNext w:val="0"/>
              <w:keepLines w:val="0"/>
              <w:suppressLineNumbers w:val="0"/>
              <w:bidi w:val="0"/>
              <w:spacing w:before="0" w:beforeAutospacing="0" w:after="0" w:afterAutospacing="0"/>
              <w:ind w:left="0" w:right="0"/>
              <w:rPr>
                <w:rFonts w:hint="eastAsia" w:ascii="Times New Roman" w:hAnsi="Times New Roman" w:eastAsia="宋体" w:cs="Times New Roman"/>
              </w:rPr>
            </w:pPr>
            <w:r>
              <w:rPr>
                <w:rFonts w:hint="default"/>
              </w:rPr>
              <w:t>项目所在地附近地表水水体为</w:t>
            </w:r>
            <w:r>
              <w:rPr>
                <w:rFonts w:hint="eastAsia"/>
              </w:rPr>
              <w:t>青弋江、汤泊河</w:t>
            </w:r>
            <w:r>
              <w:rPr>
                <w:rFonts w:hint="default"/>
              </w:rPr>
              <w:t>，水质执行《地表水环境质量标准》（GB3838-2002）中</w:t>
            </w:r>
            <w:r>
              <w:rPr>
                <w:rFonts w:hint="default"/>
              </w:rPr>
              <w:fldChar w:fldCharType="begin"/>
            </w:r>
            <w:r>
              <w:rPr>
                <w:rFonts w:hint="default"/>
              </w:rPr>
              <w:instrText xml:space="preserve"> </w:instrText>
            </w:r>
            <w:r>
              <w:rPr>
                <w:rFonts w:hint="eastAsia"/>
              </w:rPr>
              <w:instrText xml:space="preserve">= 3 \* ROMAN</w:instrText>
            </w:r>
            <w:r>
              <w:rPr>
                <w:rFonts w:hint="default"/>
              </w:rPr>
              <w:instrText xml:space="preserve"> </w:instrText>
            </w:r>
            <w:r>
              <w:rPr>
                <w:rFonts w:hint="default"/>
              </w:rPr>
              <w:fldChar w:fldCharType="separate"/>
            </w:r>
            <w:r>
              <w:rPr>
                <w:rFonts w:hint="default"/>
              </w:rPr>
              <w:t>III</w:t>
            </w:r>
            <w:r>
              <w:rPr>
                <w:rFonts w:hint="default"/>
              </w:rPr>
              <w:fldChar w:fldCharType="end"/>
            </w:r>
            <w:r>
              <w:rPr>
                <w:rFonts w:hint="default"/>
              </w:rPr>
              <w:t>类标准。</w:t>
            </w:r>
          </w:p>
          <w:p>
            <w:pPr>
              <w:pStyle w:val="15"/>
              <w:keepNext w:val="0"/>
              <w:keepLines w:val="0"/>
              <w:suppressLineNumbers w:val="0"/>
              <w:bidi w:val="0"/>
              <w:spacing w:before="0" w:beforeAutospacing="0" w:after="0" w:afterAutospacing="0"/>
              <w:ind w:left="0" w:right="0"/>
              <w:rPr>
                <w:rFonts w:hint="default"/>
              </w:rPr>
            </w:pPr>
            <w:r>
              <w:rPr>
                <w:rFonts w:hint="default"/>
              </w:rPr>
              <w:t>地表水环境质量标准  单位：mg/L</w:t>
            </w:r>
            <w:r>
              <w:rPr>
                <w:rFonts w:hint="eastAsia"/>
              </w:rPr>
              <w:t>（</w:t>
            </w:r>
            <w:r>
              <w:rPr>
                <w:rFonts w:hint="default"/>
              </w:rPr>
              <w:t>pH值除外</w:t>
            </w:r>
            <w:r>
              <w:rPr>
                <w:rFonts w:hint="eastAsia"/>
              </w:rPr>
              <w:t>）</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6"/>
              <w:gridCol w:w="1311"/>
              <w:gridCol w:w="1474"/>
              <w:gridCol w:w="1647"/>
              <w:gridCol w:w="1358"/>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65"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rPr>
                    <w:t>项目</w:t>
                  </w:r>
                </w:p>
              </w:tc>
              <w:tc>
                <w:tcPr>
                  <w:tcW w:w="1317"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rPr>
                    <w:t>pH</w:t>
                  </w:r>
                </w:p>
              </w:tc>
              <w:tc>
                <w:tcPr>
                  <w:tcW w:w="1480"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rPr>
                    <w:t>COD</w:t>
                  </w:r>
                </w:p>
              </w:tc>
              <w:tc>
                <w:tcPr>
                  <w:tcW w:w="1654"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rPr>
                    <w:t>BOD</w:t>
                  </w:r>
                  <w:r>
                    <w:rPr>
                      <w:rFonts w:hint="default"/>
                      <w:vertAlign w:val="subscript"/>
                    </w:rPr>
                    <w:t>5</w:t>
                  </w:r>
                </w:p>
              </w:tc>
              <w:tc>
                <w:tcPr>
                  <w:tcW w:w="1364"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rPr>
                    <w:t>氨氮</w:t>
                  </w:r>
                </w:p>
              </w:tc>
              <w:tc>
                <w:tcPr>
                  <w:tcW w:w="1364"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eastAsia"/>
                    </w:rPr>
                    <w:t>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465"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rPr>
                    <w:fldChar w:fldCharType="begin"/>
                  </w:r>
                  <w:r>
                    <w:rPr>
                      <w:rFonts w:hint="default"/>
                    </w:rPr>
                    <w:instrText xml:space="preserve"> = 3 \* ROMAN </w:instrText>
                  </w:r>
                  <w:r>
                    <w:rPr>
                      <w:rFonts w:hint="default"/>
                    </w:rPr>
                    <w:fldChar w:fldCharType="separate"/>
                  </w:r>
                  <w:r>
                    <w:rPr>
                      <w:rFonts w:hint="default"/>
                    </w:rPr>
                    <w:t>III</w:t>
                  </w:r>
                  <w:r>
                    <w:rPr>
                      <w:rFonts w:hint="default"/>
                    </w:rPr>
                    <w:fldChar w:fldCharType="end"/>
                  </w:r>
                  <w:r>
                    <w:rPr>
                      <w:rFonts w:hint="default"/>
                    </w:rPr>
                    <w:t>类标准</w:t>
                  </w:r>
                </w:p>
              </w:tc>
              <w:tc>
                <w:tcPr>
                  <w:tcW w:w="1317"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rPr>
                    <w:t>6~9</w:t>
                  </w:r>
                </w:p>
              </w:tc>
              <w:tc>
                <w:tcPr>
                  <w:tcW w:w="1480"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rPr>
                    <w:t>≤20</w:t>
                  </w:r>
                </w:p>
              </w:tc>
              <w:tc>
                <w:tcPr>
                  <w:tcW w:w="1654"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GB"/>
                    </w:rPr>
                    <w:t>≤</w:t>
                  </w:r>
                  <w:r>
                    <w:rPr>
                      <w:rFonts w:hint="default"/>
                    </w:rPr>
                    <w:t>4</w:t>
                  </w:r>
                </w:p>
              </w:tc>
              <w:tc>
                <w:tcPr>
                  <w:tcW w:w="1364"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rPr>
                    <w:t>≤1.0</w:t>
                  </w:r>
                </w:p>
              </w:tc>
              <w:tc>
                <w:tcPr>
                  <w:tcW w:w="1364" w:type="dxa"/>
                  <w:noWrap w:val="0"/>
                  <w:vAlign w:val="center"/>
                </w:tcPr>
                <w:p>
                  <w:pPr>
                    <w:pStyle w:val="17"/>
                    <w:keepNext w:val="0"/>
                    <w:keepLines w:val="0"/>
                    <w:suppressLineNumbers w:val="0"/>
                    <w:bidi w:val="0"/>
                    <w:spacing w:before="0" w:beforeAutospacing="0" w:after="0" w:afterAutospacing="0"/>
                    <w:ind w:left="0" w:right="0"/>
                    <w:rPr>
                      <w:rFonts w:hint="default"/>
                    </w:rPr>
                  </w:pPr>
                  <w:r>
                    <w:rPr>
                      <w:rFonts w:hint="default"/>
                    </w:rPr>
                    <w:t>≤</w:t>
                  </w:r>
                  <w:r>
                    <w:rPr>
                      <w:rFonts w:hint="eastAsia"/>
                    </w:rPr>
                    <w:t>0.05</w:t>
                  </w:r>
                </w:p>
              </w:tc>
            </w:tr>
          </w:tbl>
          <w:p>
            <w:pPr>
              <w:keepNext w:val="0"/>
              <w:keepLines w:val="0"/>
              <w:suppressLineNumbers w:val="0"/>
              <w:spacing w:before="0" w:beforeAutospacing="0" w:after="0" w:afterAutospacing="0" w:line="360" w:lineRule="auto"/>
              <w:ind w:left="0" w:right="0" w:firstLine="482" w:firstLineChars="200"/>
              <w:rPr>
                <w:rFonts w:hint="eastAsia" w:ascii="Times New Roman" w:hAnsi="Times New Roman" w:eastAsia="宋体" w:cs="Times New Roman"/>
                <w:b/>
                <w:sz w:val="24"/>
              </w:rPr>
            </w:pPr>
          </w:p>
          <w:p>
            <w:pPr>
              <w:keepNext w:val="0"/>
              <w:keepLines w:val="0"/>
              <w:numPr>
                <w:ilvl w:val="0"/>
                <w:numId w:val="17"/>
              </w:numPr>
              <w:suppressLineNumbers w:val="0"/>
              <w:bidi w:val="0"/>
              <w:spacing w:before="0" w:beforeAutospacing="0" w:after="0" w:afterAutospacing="0"/>
              <w:ind w:right="0"/>
              <w:rPr>
                <w:rFonts w:hint="default"/>
                <w:b/>
                <w:bCs/>
              </w:rPr>
            </w:pPr>
            <w:r>
              <w:rPr>
                <w:rFonts w:hint="default"/>
                <w:b/>
                <w:bCs/>
              </w:rPr>
              <w:t>声环境</w:t>
            </w:r>
          </w:p>
          <w:p>
            <w:pPr>
              <w:keepNext w:val="0"/>
              <w:keepLines w:val="0"/>
              <w:suppressLineNumbers w:val="0"/>
              <w:bidi w:val="0"/>
              <w:spacing w:before="0" w:beforeAutospacing="0" w:after="0" w:afterAutospacing="0"/>
              <w:ind w:left="0" w:right="0"/>
              <w:rPr>
                <w:rFonts w:hint="eastAsia" w:ascii="Times New Roman" w:hAnsi="Times New Roman" w:eastAsia="宋体" w:cs="Times New Roman"/>
              </w:rPr>
            </w:pPr>
            <w:r>
              <w:rPr>
                <w:rFonts w:hint="default"/>
              </w:rPr>
              <w:t>项目所在区域声环境执行《声环境质量标准》</w:t>
            </w:r>
            <w:r>
              <w:rPr>
                <w:rFonts w:hint="eastAsia"/>
              </w:rPr>
              <w:t>（</w:t>
            </w:r>
            <w:r>
              <w:rPr>
                <w:rFonts w:hint="default"/>
              </w:rPr>
              <w:t>GB3096-2008</w:t>
            </w:r>
            <w:r>
              <w:rPr>
                <w:rFonts w:hint="eastAsia"/>
              </w:rPr>
              <w:t>）</w:t>
            </w:r>
            <w:r>
              <w:rPr>
                <w:rFonts w:hint="default"/>
              </w:rPr>
              <w:t>中</w:t>
            </w:r>
            <w:r>
              <w:rPr>
                <w:rFonts w:hint="eastAsia"/>
              </w:rPr>
              <w:t>2</w:t>
            </w:r>
            <w:r>
              <w:rPr>
                <w:rFonts w:hint="default"/>
              </w:rPr>
              <w:t>类标准要求</w:t>
            </w:r>
            <w:r>
              <w:rPr>
                <w:rFonts w:hint="eastAsia"/>
              </w:rPr>
              <w:t>。</w:t>
            </w:r>
          </w:p>
          <w:p>
            <w:pPr>
              <w:pStyle w:val="15"/>
              <w:keepNext w:val="0"/>
              <w:keepLines w:val="0"/>
              <w:suppressLineNumbers w:val="0"/>
              <w:bidi w:val="0"/>
              <w:spacing w:before="0" w:beforeAutospacing="0" w:after="0" w:afterAutospacing="0"/>
              <w:ind w:left="0" w:right="0"/>
              <w:rPr>
                <w:rFonts w:hint="default"/>
              </w:rPr>
            </w:pPr>
            <w:r>
              <w:rPr>
                <w:rFonts w:hint="eastAsia"/>
              </w:rPr>
              <w:t>声环境质量标准</w:t>
            </w:r>
            <w:r>
              <w:rPr>
                <w:rFonts w:hint="default"/>
              </w:rPr>
              <w:t xml:space="preserve">   </w:t>
            </w:r>
            <w:r>
              <w:rPr>
                <w:rFonts w:hint="eastAsia"/>
              </w:rPr>
              <w:t>等效声级</w:t>
            </w:r>
            <w:r>
              <w:rPr>
                <w:rFonts w:hint="default"/>
              </w:rPr>
              <w:t>Leq[dB(A)]</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9"/>
              <w:gridCol w:w="2868"/>
              <w:gridCol w:w="2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80" w:type="dxa"/>
                  <w:noWrap w:val="0"/>
                  <w:vAlign w:val="center"/>
                </w:tcPr>
                <w:p>
                  <w:pPr>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标准</w:t>
                  </w:r>
                </w:p>
              </w:tc>
              <w:tc>
                <w:tcPr>
                  <w:tcW w:w="2879" w:type="dxa"/>
                  <w:noWrap w:val="0"/>
                  <w:vAlign w:val="center"/>
                </w:tcPr>
                <w:p>
                  <w:pPr>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昼间</w:t>
                  </w:r>
                </w:p>
              </w:tc>
              <w:tc>
                <w:tcPr>
                  <w:tcW w:w="2879" w:type="dxa"/>
                  <w:noWrap w:val="0"/>
                  <w:vAlign w:val="center"/>
                </w:tcPr>
                <w:p>
                  <w:pPr>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2880" w:type="dxa"/>
                  <w:noWrap w:val="0"/>
                  <w:vAlign w:val="center"/>
                </w:tcPr>
                <w:p>
                  <w:pPr>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eastAsia="宋体" w:cs="Times New Roman"/>
                      <w:sz w:val="21"/>
                      <w:szCs w:val="21"/>
                    </w:rPr>
                  </w:pPr>
                  <w:r>
                    <w:rPr>
                      <w:rFonts w:hint="eastAsia" w:ascii="Times New Roman" w:hAnsi="Times New Roman" w:eastAsia="宋体" w:cs="Times New Roman"/>
                      <w:sz w:val="21"/>
                      <w:szCs w:val="21"/>
                    </w:rPr>
                    <w:t>2</w:t>
                  </w:r>
                  <w:r>
                    <w:rPr>
                      <w:rFonts w:hint="default" w:ascii="Times New Roman" w:hAnsi="Times New Roman" w:eastAsia="宋体" w:cs="Times New Roman"/>
                      <w:sz w:val="21"/>
                      <w:szCs w:val="21"/>
                    </w:rPr>
                    <w:t>类</w:t>
                  </w:r>
                </w:p>
              </w:tc>
              <w:tc>
                <w:tcPr>
                  <w:tcW w:w="2879" w:type="dxa"/>
                  <w:noWrap w:val="0"/>
                  <w:vAlign w:val="center"/>
                </w:tcPr>
                <w:p>
                  <w:pPr>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6</w:t>
                  </w:r>
                  <w:r>
                    <w:rPr>
                      <w:rFonts w:hint="eastAsia" w:ascii="Times New Roman" w:hAnsi="Times New Roman" w:eastAsia="宋体" w:cs="Times New Roman"/>
                      <w:bCs/>
                      <w:sz w:val="21"/>
                      <w:szCs w:val="21"/>
                    </w:rPr>
                    <w:t>0</w:t>
                  </w:r>
                </w:p>
              </w:tc>
              <w:tc>
                <w:tcPr>
                  <w:tcW w:w="2879" w:type="dxa"/>
                  <w:noWrap w:val="0"/>
                  <w:vAlign w:val="center"/>
                </w:tcPr>
                <w:p>
                  <w:pPr>
                    <w:keepNext w:val="0"/>
                    <w:keepLines w:val="0"/>
                    <w:suppressLineNumbers w:val="0"/>
                    <w:spacing w:before="0" w:beforeAutospacing="0" w:after="0" w:afterAutospacing="0" w:line="300" w:lineRule="exact"/>
                    <w:ind w:left="0" w:right="0" w:firstLine="0" w:firstLineChars="0"/>
                    <w:jc w:val="center"/>
                    <w:rPr>
                      <w:rFonts w:hint="default" w:ascii="Times New Roman" w:hAnsi="Times New Roman" w:eastAsia="宋体" w:cs="Times New Roman"/>
                      <w:bCs/>
                      <w:sz w:val="21"/>
                      <w:szCs w:val="21"/>
                    </w:rPr>
                  </w:pPr>
                  <w:r>
                    <w:rPr>
                      <w:rFonts w:hint="eastAsia" w:ascii="Times New Roman" w:hAnsi="Times New Roman" w:eastAsia="宋体" w:cs="Times New Roman"/>
                      <w:bCs/>
                      <w:sz w:val="21"/>
                      <w:szCs w:val="21"/>
                    </w:rPr>
                    <w:t>50</w:t>
                  </w:r>
                </w:p>
              </w:tc>
            </w:tr>
          </w:tbl>
          <w:p>
            <w:pPr>
              <w:keepNext w:val="0"/>
              <w:keepLines w:val="0"/>
              <w:suppressLineNumbers w:val="0"/>
              <w:spacing w:before="0" w:beforeAutospacing="0" w:after="0" w:afterAutospacing="0"/>
              <w:ind w:left="0" w:right="0" w:firstLine="0" w:firstLineChars="0"/>
              <w:rPr>
                <w:rFonts w:hint="eastAsia" w:ascii="Calibri" w:hAnsi="Calibri" w:eastAsia="宋体" w:cs="Times New Roman"/>
                <w:b/>
                <w:bCs/>
                <w:sz w:val="28"/>
                <w:szCs w:val="20"/>
                <w:lang w:val="en-US" w:eastAsia="zh-CN"/>
              </w:rPr>
            </w:pPr>
          </w:p>
          <w:p>
            <w:pPr>
              <w:keepNext w:val="0"/>
              <w:keepLines w:val="0"/>
              <w:suppressLineNumbers w:val="0"/>
              <w:spacing w:before="0" w:beforeAutospacing="0" w:after="0" w:afterAutospacing="0"/>
              <w:ind w:left="0" w:right="0" w:firstLine="0" w:firstLineChars="0"/>
              <w:rPr>
                <w:rFonts w:hint="default" w:ascii="Calibri" w:hAnsi="Calibri" w:eastAsia="宋体" w:cs="Times New Roman"/>
                <w:b/>
                <w:bCs/>
                <w:sz w:val="28"/>
                <w:szCs w:val="20"/>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CellMar>
            <w:top w:w="0" w:type="dxa"/>
            <w:left w:w="108" w:type="dxa"/>
            <w:bottom w:w="0" w:type="dxa"/>
            <w:right w:w="108" w:type="dxa"/>
          </w:tblCellMar>
        </w:tblPrEx>
        <w:trPr>
          <w:trHeight w:val="90" w:hRule="atLeast"/>
          <w:jc w:val="center"/>
        </w:trPr>
        <w:tc>
          <w:tcPr>
            <w:tcW w:w="457" w:type="dxa"/>
            <w:tcBorders>
              <w:bottom w:val="single" w:color="auto" w:sz="8" w:space="0"/>
              <w:right w:val="single" w:color="auto" w:sz="8" w:space="0"/>
            </w:tcBorders>
            <w:noWrap w:val="0"/>
            <w:vAlign w:val="center"/>
          </w:tcPr>
          <w:p>
            <w:pPr>
              <w:keepNext w:val="0"/>
              <w:keepLines w:val="0"/>
              <w:suppressLineNumbers w:val="0"/>
              <w:spacing w:before="0" w:beforeAutospacing="0" w:after="0" w:afterAutospacing="0" w:line="400" w:lineRule="exact"/>
              <w:ind w:left="0" w:right="0" w:firstLine="0" w:firstLineChars="0"/>
              <w:rPr>
                <w:rFonts w:hint="eastAsia" w:ascii="宋体" w:hAnsi="宋体" w:eastAsia="宋体" w:cs="宋体"/>
                <w:sz w:val="24"/>
              </w:rPr>
            </w:pPr>
            <w:r>
              <w:rPr>
                <w:rFonts w:hint="eastAsia" w:ascii="宋体" w:hAnsi="宋体" w:eastAsia="宋体" w:cs="宋体"/>
                <w:sz w:val="24"/>
              </w:rPr>
              <w:t>污染物综合排放标准</w:t>
            </w:r>
          </w:p>
        </w:tc>
        <w:tc>
          <w:tcPr>
            <w:tcW w:w="8831" w:type="dxa"/>
            <w:tcBorders>
              <w:left w:val="single" w:color="auto" w:sz="8" w:space="0"/>
              <w:bottom w:val="single" w:color="auto" w:sz="8" w:space="0"/>
            </w:tcBorders>
            <w:noWrap w:val="0"/>
            <w:vAlign w:val="center"/>
          </w:tcPr>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rPr>
            </w:pPr>
            <w:r>
              <w:rPr>
                <w:rFonts w:hint="eastAsia" w:ascii="Times New Roman" w:hAnsi="Times New Roman" w:eastAsia="宋体" w:cs="Times New Roman"/>
                <w:b/>
                <w:sz w:val="24"/>
              </w:rPr>
              <w:t>1、</w:t>
            </w:r>
            <w:r>
              <w:rPr>
                <w:rFonts w:hint="default" w:ascii="Times New Roman" w:hAnsi="Times New Roman" w:eastAsia="宋体" w:cs="Times New Roman"/>
                <w:b/>
                <w:sz w:val="24"/>
              </w:rPr>
              <w:t>废气</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建设项目施工期废气排放标准见表12。</w:t>
            </w:r>
          </w:p>
          <w:p>
            <w:pPr>
              <w:pStyle w:val="15"/>
              <w:keepNext w:val="0"/>
              <w:keepLines w:val="0"/>
              <w:suppressLineNumbers w:val="0"/>
              <w:bidi w:val="0"/>
              <w:spacing w:before="0" w:beforeAutospacing="0" w:after="0" w:afterAutospacing="0"/>
              <w:ind w:left="0" w:right="0"/>
              <w:rPr>
                <w:rFonts w:hint="eastAsia"/>
              </w:rPr>
            </w:pPr>
            <w:r>
              <w:rPr>
                <w:rFonts w:hint="eastAsia"/>
              </w:rPr>
              <w:t>废气排放标准限值</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1439"/>
              <w:gridCol w:w="1205"/>
              <w:gridCol w:w="4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pct"/>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污染物</w:t>
                  </w:r>
                </w:p>
              </w:tc>
              <w:tc>
                <w:tcPr>
                  <w:tcW w:w="1536" w:type="pct"/>
                  <w:gridSpan w:val="2"/>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无组织排放监控浓度限值</w:t>
                  </w:r>
                </w:p>
              </w:tc>
              <w:tc>
                <w:tcPr>
                  <w:tcW w:w="2886" w:type="pct"/>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pct"/>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p>
              </w:tc>
              <w:tc>
                <w:tcPr>
                  <w:tcW w:w="83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监控点</w:t>
                  </w:r>
                </w:p>
              </w:tc>
              <w:tc>
                <w:tcPr>
                  <w:tcW w:w="7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浓度</w:t>
                  </w:r>
                  <w:r>
                    <w:rPr>
                      <w:rFonts w:hint="default" w:ascii="Times New Roman" w:hAnsi="Times New Roman" w:eastAsia="宋体" w:cs="Times New Roman"/>
                      <w:sz w:val="21"/>
                    </w:rPr>
                    <w:t>mg/m</w:t>
                  </w:r>
                  <w:r>
                    <w:rPr>
                      <w:rFonts w:hint="default" w:ascii="Times New Roman" w:hAnsi="Times New Roman" w:eastAsia="宋体" w:cs="Times New Roman"/>
                      <w:sz w:val="21"/>
                      <w:vertAlign w:val="superscript"/>
                    </w:rPr>
                    <w:t>3</w:t>
                  </w:r>
                </w:p>
              </w:tc>
              <w:tc>
                <w:tcPr>
                  <w:tcW w:w="2886" w:type="pct"/>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颗粒物</w:t>
                  </w:r>
                </w:p>
              </w:tc>
              <w:tc>
                <w:tcPr>
                  <w:tcW w:w="836" w:type="pct"/>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周界外浓度最高点</w:t>
                  </w:r>
                </w:p>
              </w:tc>
              <w:tc>
                <w:tcPr>
                  <w:tcW w:w="7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Times New Roman" w:eastAsia="宋体" w:cs="Times New Roman"/>
                      <w:sz w:val="21"/>
                    </w:rPr>
                    <w:t>1.0</w:t>
                  </w:r>
                </w:p>
              </w:tc>
              <w:tc>
                <w:tcPr>
                  <w:tcW w:w="288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《大气污染物综合排放标准》（</w:t>
                  </w:r>
                  <w:r>
                    <w:rPr>
                      <w:rFonts w:hint="default" w:ascii="Times New Roman" w:hAnsi="Times New Roman" w:eastAsia="宋体" w:cs="Times New Roman"/>
                      <w:sz w:val="21"/>
                    </w:rPr>
                    <w:t>GB16297-1996</w:t>
                  </w:r>
                  <w:r>
                    <w:rPr>
                      <w:rFonts w:hint="default" w:ascii="Times New Roman" w:hAnsi="Calibri" w:eastAsia="宋体" w:cs="Times New Roman"/>
                      <w:sz w:val="21"/>
                    </w:rPr>
                    <w:t>）表</w:t>
                  </w:r>
                  <w:r>
                    <w:rPr>
                      <w:rFonts w:hint="eastAsia" w:ascii="Times New Roman" w:hAnsi="Calibri" w:eastAsia="宋体" w:cs="Times New Roman"/>
                      <w:sz w:val="21"/>
                    </w:rPr>
                    <w:t>2</w:t>
                  </w:r>
                  <w:r>
                    <w:rPr>
                      <w:rFonts w:hint="default" w:ascii="Times New Roman" w:hAnsi="Calibri" w:eastAsia="宋体" w:cs="Times New Roman"/>
                      <w:sz w:val="21"/>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氨</w:t>
                  </w:r>
                </w:p>
              </w:tc>
              <w:tc>
                <w:tcPr>
                  <w:tcW w:w="836" w:type="pct"/>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p>
              </w:tc>
              <w:tc>
                <w:tcPr>
                  <w:tcW w:w="7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Times New Roman" w:eastAsia="宋体" w:cs="Times New Roman"/>
                      <w:sz w:val="21"/>
                    </w:rPr>
                    <w:t>1.5</w:t>
                  </w:r>
                </w:p>
              </w:tc>
              <w:tc>
                <w:tcPr>
                  <w:tcW w:w="2886" w:type="pct"/>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《恶臭污染物排放标准》（</w:t>
                  </w:r>
                  <w:r>
                    <w:rPr>
                      <w:rFonts w:hint="default" w:ascii="Times New Roman" w:hAnsi="Times New Roman" w:eastAsia="宋体" w:cs="Times New Roman"/>
                      <w:sz w:val="21"/>
                    </w:rPr>
                    <w:t>GB14554-93</w:t>
                  </w:r>
                  <w:r>
                    <w:rPr>
                      <w:rFonts w:hint="default" w:ascii="Times New Roman" w:hAnsi="Calibri" w:eastAsia="宋体" w:cs="Times New Roman"/>
                      <w:sz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6"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Calibri" w:eastAsia="宋体" w:cs="Times New Roman"/>
                      <w:sz w:val="21"/>
                    </w:rPr>
                    <w:t>硫化氢</w:t>
                  </w:r>
                </w:p>
              </w:tc>
              <w:tc>
                <w:tcPr>
                  <w:tcW w:w="836" w:type="pct"/>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p>
              </w:tc>
              <w:tc>
                <w:tcPr>
                  <w:tcW w:w="700" w:type="pc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r>
                    <w:rPr>
                      <w:rFonts w:hint="default" w:ascii="Times New Roman" w:hAnsi="Times New Roman" w:eastAsia="宋体" w:cs="Times New Roman"/>
                      <w:sz w:val="21"/>
                    </w:rPr>
                    <w:t>0.06</w:t>
                  </w:r>
                </w:p>
              </w:tc>
              <w:tc>
                <w:tcPr>
                  <w:tcW w:w="2886" w:type="pct"/>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sz w:val="21"/>
                    </w:rPr>
                  </w:pPr>
                </w:p>
              </w:tc>
            </w:tr>
          </w:tbl>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rPr>
            </w:pPr>
            <w:r>
              <w:rPr>
                <w:rFonts w:hint="eastAsia" w:ascii="Times New Roman" w:hAnsi="Times New Roman" w:eastAsia="宋体" w:cs="Times New Roman"/>
                <w:b/>
                <w:sz w:val="24"/>
              </w:rPr>
              <w:t>2、废水</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sz w:val="24"/>
                <w:szCs w:val="24"/>
              </w:rPr>
            </w:pPr>
            <w:r>
              <w:rPr>
                <w:rFonts w:hint="eastAsia" w:ascii="Times New Roman" w:hAnsi="Times New Roman" w:eastAsia="宋体" w:cs="Times New Roman"/>
                <w:sz w:val="24"/>
                <w:szCs w:val="24"/>
              </w:rPr>
              <w:t>本项目施工期施工废水经沉淀处理后回用，不外排。施工期生活污水依托租用民房的化粪池处理后，用于周边农田施肥，不外排。</w:t>
            </w:r>
          </w:p>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rPr>
            </w:pPr>
            <w:r>
              <w:rPr>
                <w:rFonts w:hint="eastAsia" w:ascii="Times New Roman" w:hAnsi="Times New Roman" w:eastAsia="宋体" w:cs="Times New Roman"/>
                <w:b/>
                <w:sz w:val="24"/>
              </w:rPr>
              <w:t>3、</w:t>
            </w:r>
            <w:r>
              <w:rPr>
                <w:rFonts w:hint="default" w:ascii="Times New Roman" w:hAnsi="Times New Roman" w:eastAsia="宋体" w:cs="Times New Roman"/>
                <w:b/>
                <w:sz w:val="24"/>
              </w:rPr>
              <w:t>噪声</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建设项目施工期建筑施工场界噪声执行《建筑施工场界环境噪声排放标准》（GB12523-2011）中标准；运营期厂界噪声排放执行《工业企业厂界环境噪声排放标准》（</w:t>
            </w:r>
            <w:r>
              <w:rPr>
                <w:rFonts w:hint="default" w:ascii="Times New Roman" w:hAnsi="Times New Roman" w:eastAsia="宋体" w:cs="Times New Roman"/>
                <w:sz w:val="24"/>
              </w:rPr>
              <w:t>GB12348—2008</w:t>
            </w:r>
            <w:r>
              <w:rPr>
                <w:rFonts w:hint="eastAsia" w:ascii="Times New Roman" w:hAnsi="Times New Roman" w:eastAsia="宋体" w:cs="Times New Roman"/>
                <w:sz w:val="24"/>
              </w:rPr>
              <w:t>）2类标准。</w:t>
            </w:r>
          </w:p>
          <w:p>
            <w:pPr>
              <w:pStyle w:val="15"/>
              <w:keepNext w:val="0"/>
              <w:keepLines w:val="0"/>
              <w:suppressLineNumbers w:val="0"/>
              <w:bidi w:val="0"/>
              <w:spacing w:before="0" w:beforeAutospacing="0" w:after="0" w:afterAutospacing="0"/>
              <w:ind w:left="0" w:right="0"/>
              <w:rPr>
                <w:rFonts w:hint="eastAsia"/>
              </w:rPr>
            </w:pPr>
            <w:r>
              <w:rPr>
                <w:rFonts w:hint="default"/>
              </w:rPr>
              <w:t xml:space="preserve">噪声排放标准   </w:t>
            </w:r>
            <w:r>
              <w:rPr>
                <w:rFonts w:hint="eastAsia"/>
              </w:rPr>
              <w:t>等效声级</w:t>
            </w:r>
            <w:r>
              <w:rPr>
                <w:rFonts w:hint="default"/>
              </w:rPr>
              <w:t>Leq[dB(A)]</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3"/>
              <w:gridCol w:w="6090"/>
              <w:gridCol w:w="741"/>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gridSpan w:val="2"/>
                  <w:noWrap w:val="0"/>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default"/>
                    </w:rPr>
                    <w:t>标准</w:t>
                  </w:r>
                </w:p>
              </w:tc>
              <w:tc>
                <w:tcPr>
                  <w:tcW w:w="0" w:type="auto"/>
                  <w:noWrap w:val="0"/>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default"/>
                    </w:rPr>
                    <w:t>昼间</w:t>
                  </w:r>
                </w:p>
              </w:tc>
              <w:tc>
                <w:tcPr>
                  <w:tcW w:w="0" w:type="auto"/>
                  <w:noWrap w:val="0"/>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default"/>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3" w:type="dxa"/>
                  <w:noWrap w:val="0"/>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default"/>
                    </w:rPr>
                    <w:t>施工期</w:t>
                  </w:r>
                </w:p>
              </w:tc>
              <w:tc>
                <w:tcPr>
                  <w:tcW w:w="6090" w:type="dxa"/>
                  <w:noWrap w:val="0"/>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default"/>
                    </w:rPr>
                    <w:t>《建筑施工场界环境噪声排放标准》（GB12523-2011）</w:t>
                  </w:r>
                </w:p>
              </w:tc>
              <w:tc>
                <w:tcPr>
                  <w:tcW w:w="0" w:type="auto"/>
                  <w:noWrap w:val="0"/>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70</w:t>
                  </w:r>
                </w:p>
              </w:tc>
              <w:tc>
                <w:tcPr>
                  <w:tcW w:w="0" w:type="auto"/>
                  <w:noWrap w:val="0"/>
                  <w:vAlign w:val="center"/>
                </w:tcPr>
                <w:p>
                  <w:pPr>
                    <w:pStyle w:val="17"/>
                    <w:keepNext w:val="0"/>
                    <w:keepLines w:val="0"/>
                    <w:suppressLineNumbers w:val="0"/>
                    <w:bidi w:val="0"/>
                    <w:spacing w:before="0" w:beforeAutospacing="0" w:after="0" w:afterAutospacing="0"/>
                    <w:ind w:left="0" w:right="0"/>
                    <w:rPr>
                      <w:rFonts w:hint="default"/>
                      <w:lang w:val="en-US" w:eastAsia="zh-CN"/>
                    </w:rPr>
                  </w:pPr>
                  <w:r>
                    <w:rPr>
                      <w:rFonts w:hint="default"/>
                      <w:lang w:val="en-US" w:eastAsia="zh-CN"/>
                    </w:rPr>
                    <w:t>55</w:t>
                  </w:r>
                </w:p>
              </w:tc>
            </w:tr>
          </w:tbl>
          <w:p>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sz w:val="24"/>
              </w:rPr>
            </w:pPr>
            <w:r>
              <w:rPr>
                <w:rFonts w:hint="eastAsia" w:ascii="Times New Roman" w:hAnsi="Times New Roman" w:eastAsia="宋体" w:cs="Times New Roman"/>
                <w:b/>
                <w:sz w:val="24"/>
              </w:rPr>
              <w:t>4、</w:t>
            </w:r>
            <w:r>
              <w:rPr>
                <w:rFonts w:hint="default" w:ascii="Times New Roman" w:hAnsi="Times New Roman" w:eastAsia="宋体" w:cs="Times New Roman"/>
                <w:b/>
                <w:sz w:val="24"/>
              </w:rPr>
              <w:t>固废</w:t>
            </w:r>
          </w:p>
          <w:p>
            <w:pPr>
              <w:keepNext w:val="0"/>
              <w:keepLines w:val="0"/>
              <w:suppressLineNumbers w:val="0"/>
              <w:spacing w:before="0" w:beforeAutospacing="0" w:after="0" w:afterAutospacing="0" w:line="360" w:lineRule="auto"/>
              <w:ind w:left="0" w:right="0" w:firstLine="480" w:firstLineChars="200"/>
              <w:rPr>
                <w:rFonts w:hint="default" w:ascii="Calibri" w:hAnsi="Calibri" w:eastAsia="宋体" w:cs="Times New Roman"/>
                <w:b/>
                <w:bCs/>
                <w:sz w:val="28"/>
                <w:szCs w:val="20"/>
                <w:lang w:val="en-US" w:eastAsia="zh-CN"/>
              </w:rPr>
            </w:pPr>
            <w:r>
              <w:rPr>
                <w:rFonts w:hint="eastAsia" w:ascii="Times New Roman" w:hAnsi="Times New Roman" w:eastAsia="宋体" w:cs="Times New Roman"/>
                <w:sz w:val="24"/>
              </w:rPr>
              <w:t>一般固废执行《一般工业固体废物贮存、处置场污染控制标准》（</w:t>
            </w:r>
            <w:r>
              <w:rPr>
                <w:rFonts w:hint="default" w:ascii="Times New Roman" w:hAnsi="Times New Roman" w:eastAsia="宋体" w:cs="Times New Roman"/>
                <w:sz w:val="24"/>
              </w:rPr>
              <w:t>GB18599-2001</w:t>
            </w:r>
            <w:r>
              <w:rPr>
                <w:rFonts w:hint="eastAsia" w:ascii="Times New Roman" w:hAnsi="Times New Roman" w:eastAsia="宋体" w:cs="Times New Roman"/>
                <w:sz w:val="24"/>
              </w:rPr>
              <w:t>）及修改单</w:t>
            </w:r>
            <w:r>
              <w:rPr>
                <w:rFonts w:hint="eastAsia" w:ascii="Calibri" w:hAnsi="Calibri" w:eastAsia="宋体" w:cs="Times New Roman"/>
                <w:sz w:val="24"/>
              </w:rPr>
              <w:t>中有关规定</w:t>
            </w:r>
            <w:r>
              <w:rPr>
                <w:rFonts w:hint="eastAsia" w:ascii="Times New Roman" w:hAnsi="Times New Roman" w:eastAsia="宋体" w:cs="Times New Roman"/>
                <w:sz w:val="24"/>
              </w:rPr>
              <w:t>。</w:t>
            </w:r>
          </w:p>
        </w:tc>
      </w:tr>
      <w:tr>
        <w:tblPrEx>
          <w:tblBorders>
            <w:top w:val="single" w:color="auto" w:sz="8" w:space="0"/>
            <w:left w:val="single" w:color="auto" w:sz="8" w:space="0"/>
            <w:bottom w:val="single" w:color="auto" w:sz="8" w:space="0"/>
            <w:right w:val="single" w:color="auto" w:sz="8" w:space="0"/>
            <w:insideH w:val="single" w:color="auto" w:sz="8" w:space="0"/>
            <w:insideV w:val="none" w:color="auto" w:sz="0" w:space="0"/>
          </w:tblBorders>
          <w:tblCellMar>
            <w:top w:w="0" w:type="dxa"/>
            <w:left w:w="108" w:type="dxa"/>
            <w:bottom w:w="0" w:type="dxa"/>
            <w:right w:w="108" w:type="dxa"/>
          </w:tblCellMar>
        </w:tblPrEx>
        <w:trPr>
          <w:trHeight w:val="4011" w:hRule="atLeast"/>
          <w:jc w:val="center"/>
        </w:trPr>
        <w:tc>
          <w:tcPr>
            <w:tcW w:w="457" w:type="dxa"/>
            <w:tcBorders>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firstLine="0" w:firstLineChars="0"/>
              <w:jc w:val="center"/>
              <w:rPr>
                <w:rFonts w:hint="eastAsia" w:ascii="宋体" w:hAnsi="宋体" w:eastAsia="宋体" w:cs="宋体"/>
                <w:color w:val="C00000"/>
                <w:sz w:val="24"/>
              </w:rPr>
            </w:pPr>
            <w:r>
              <w:rPr>
                <w:rFonts w:hint="eastAsia" w:ascii="宋体" w:hAnsi="宋体" w:eastAsia="宋体" w:cs="宋体"/>
                <w:sz w:val="24"/>
              </w:rPr>
              <w:t>总量控制指标</w:t>
            </w:r>
          </w:p>
        </w:tc>
        <w:tc>
          <w:tcPr>
            <w:tcW w:w="8831" w:type="dxa"/>
            <w:tcBorders>
              <w:left w:val="single" w:color="auto" w:sz="4" w:space="0"/>
              <w:bottom w:val="single" w:color="auto" w:sz="4" w:space="0"/>
            </w:tcBorders>
            <w:noWrap w:val="0"/>
            <w:vAlign w:val="center"/>
          </w:tcPr>
          <w:p>
            <w:pPr>
              <w:keepNext w:val="0"/>
              <w:keepLines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sz w:val="24"/>
                <w:lang w:val="en-US" w:eastAsia="zh-CN"/>
              </w:rPr>
            </w:pPr>
            <w:r>
              <w:rPr>
                <w:rFonts w:hint="eastAsia" w:ascii="Times New Roman" w:hAnsi="Times New Roman" w:eastAsia="宋体" w:cs="Times New Roman"/>
                <w:sz w:val="24"/>
              </w:rPr>
              <w:t>根据本项目的特点，项目为非污染类项目，营运期无废气、废水产生，故本项目不单独申请总量。</w:t>
            </w:r>
          </w:p>
        </w:tc>
      </w:tr>
    </w:tbl>
    <w:p>
      <w:p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p>
      <w:pPr>
        <w:pStyle w:val="3"/>
        <w:bidi w:val="0"/>
        <w:rPr>
          <w:rFonts w:hint="eastAsia"/>
        </w:rPr>
      </w:pPr>
      <w:r>
        <w:rPr>
          <w:rFonts w:hint="eastAsia"/>
        </w:rPr>
        <w:t>建设项目工程分析</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1" w:hRule="atLeast"/>
        </w:trPr>
        <w:tc>
          <w:tcPr>
            <w:tcW w:w="9288" w:type="dxa"/>
          </w:tcPr>
          <w:p>
            <w:pPr>
              <w:keepNext w:val="0"/>
              <w:keepLines w:val="0"/>
              <w:pageBreakBefore w:val="0"/>
              <w:widowControl w:val="0"/>
              <w:numPr>
                <w:ilvl w:val="0"/>
                <w:numId w:val="18"/>
              </w:numPr>
              <w:suppressLineNumbers w:val="0"/>
              <w:kinsoku/>
              <w:wordWrap/>
              <w:overflowPunct/>
              <w:topLinePunct w:val="0"/>
              <w:autoSpaceDE/>
              <w:autoSpaceDN/>
              <w:bidi w:val="0"/>
              <w:adjustRightInd/>
              <w:snapToGrid/>
              <w:spacing w:before="0" w:beforeAutospacing="0" w:after="0" w:afterAutospacing="0"/>
              <w:ind w:right="0" w:firstLine="0" w:firstLineChars="0"/>
              <w:textAlignment w:val="auto"/>
              <w:rPr>
                <w:rFonts w:hint="default"/>
              </w:rPr>
            </w:pPr>
            <w:r>
              <w:rPr>
                <w:rFonts w:hint="eastAsia"/>
              </w:rPr>
              <w:t>施工期工程分析</w:t>
            </w:r>
          </w:p>
          <w:p>
            <w:pPr>
              <w:keepNext w:val="0"/>
              <w:keepLines w:val="0"/>
              <w:numPr>
                <w:ilvl w:val="0"/>
                <w:numId w:val="19"/>
              </w:numPr>
              <w:suppressLineNumbers w:val="0"/>
              <w:bidi w:val="0"/>
              <w:spacing w:before="0" w:beforeAutospacing="0" w:after="0" w:afterAutospacing="0"/>
              <w:ind w:right="0"/>
              <w:rPr>
                <w:rFonts w:hint="eastAsia"/>
                <w:b/>
                <w:bCs/>
              </w:rPr>
            </w:pPr>
            <w:r>
              <w:rPr>
                <w:rFonts w:hint="eastAsia"/>
                <w:b/>
                <w:bCs/>
              </w:rPr>
              <w:t>施工期</w:t>
            </w:r>
            <w:r>
              <w:rPr>
                <w:rFonts w:hint="eastAsia"/>
                <w:b/>
                <w:bCs/>
                <w:lang w:eastAsia="zh-CN"/>
              </w:rPr>
              <w:t>施工</w:t>
            </w:r>
            <w:r>
              <w:rPr>
                <w:rFonts w:hint="eastAsia"/>
                <w:b/>
                <w:bCs/>
              </w:rPr>
              <w:t>工艺</w:t>
            </w:r>
            <w:r>
              <w:rPr>
                <w:rFonts w:hint="eastAsia"/>
                <w:b/>
                <w:bCs/>
                <w:lang w:eastAsia="zh-CN"/>
              </w:rPr>
              <w:t>和方法</w:t>
            </w:r>
          </w:p>
          <w:p>
            <w:pPr>
              <w:keepNext w:val="0"/>
              <w:keepLines w:val="0"/>
              <w:numPr>
                <w:ilvl w:val="0"/>
                <w:numId w:val="20"/>
              </w:numPr>
              <w:suppressLineNumbers w:val="0"/>
              <w:bidi w:val="0"/>
              <w:spacing w:before="0" w:beforeAutospacing="0" w:after="0" w:afterAutospacing="0"/>
              <w:ind w:left="0" w:leftChars="0" w:right="0" w:firstLine="480" w:firstLineChars="200"/>
              <w:rPr>
                <w:rFonts w:hint="eastAsia"/>
              </w:rPr>
            </w:pPr>
            <w:r>
              <w:rPr>
                <w:rFonts w:hint="eastAsia"/>
              </w:rPr>
              <w:t>表土剥离及回填</w:t>
            </w:r>
          </w:p>
          <w:p>
            <w:pPr>
              <w:keepNext w:val="0"/>
              <w:keepLines w:val="0"/>
              <w:suppressLineNumbers w:val="0"/>
              <w:bidi w:val="0"/>
              <w:spacing w:before="0" w:beforeAutospacing="0" w:after="0" w:afterAutospacing="0"/>
              <w:ind w:left="0" w:right="0"/>
              <w:rPr>
                <w:rFonts w:hint="eastAsia"/>
              </w:rPr>
            </w:pPr>
            <w:r>
              <w:rPr>
                <w:rFonts w:hint="eastAsia"/>
              </w:rPr>
              <w:t>机械施工为主，辅以人工。机械采用推土机推土，集中堆放，剥离厚度10~20cm。先清理土壤层上部植被，对根系较深的林木应清至新鲜土层下。工后绿化前将剥离的表土摊平，为绿化创造条件。</w:t>
            </w:r>
          </w:p>
          <w:p>
            <w:pPr>
              <w:keepNext w:val="0"/>
              <w:keepLines w:val="0"/>
              <w:numPr>
                <w:ilvl w:val="0"/>
                <w:numId w:val="20"/>
              </w:numPr>
              <w:suppressLineNumbers w:val="0"/>
              <w:bidi w:val="0"/>
              <w:spacing w:before="0" w:beforeAutospacing="0" w:after="0" w:afterAutospacing="0"/>
              <w:ind w:left="0" w:leftChars="0" w:right="0" w:firstLine="480" w:firstLineChars="200"/>
              <w:rPr>
                <w:rFonts w:hint="eastAsia"/>
              </w:rPr>
            </w:pPr>
            <w:r>
              <w:rPr>
                <w:rFonts w:hint="eastAsia"/>
              </w:rPr>
              <w:t>沟渠开挖、清淤</w:t>
            </w:r>
          </w:p>
          <w:p>
            <w:pPr>
              <w:keepNext w:val="0"/>
              <w:keepLines w:val="0"/>
              <w:suppressLineNumbers w:val="0"/>
              <w:bidi w:val="0"/>
              <w:spacing w:before="0" w:beforeAutospacing="0" w:after="0" w:afterAutospacing="0"/>
              <w:ind w:left="0" w:right="0"/>
              <w:rPr>
                <w:rFonts w:hint="eastAsia"/>
              </w:rPr>
            </w:pPr>
            <w:r>
              <w:rPr>
                <w:rFonts w:hint="eastAsia"/>
              </w:rPr>
              <w:t>施工前，首先进行放线，确定沟渠走向和建筑物位置，对沟渠预期的占地范围进行划定，包括沟渠底坡脚线和开挖线，对控制高程点进行预设和检查。沟渠测量放线分纵向放线和横向放线，纵向放线的任务是确定沟渠中心线的平面位置和设置高程控制点，横向放线的任务是确定沟渠横断面的空间位置，找出挖填起点，并钉置边桩。对于小的沟渠采用人工开挖，采用台阶式分层开挖，层高0.5~2.0m，开挖序是先挖台阶后削坡。为避免超挖，初挖断面应略小于设计断面，经校核无误后再进行修整。对于较大的沟渠工程，为节省劳力和加快工程进度，采用机械进行施工。</w:t>
            </w:r>
          </w:p>
          <w:p>
            <w:pPr>
              <w:keepNext w:val="0"/>
              <w:keepLines w:val="0"/>
              <w:suppressLineNumbers w:val="0"/>
              <w:bidi w:val="0"/>
              <w:spacing w:before="0" w:beforeAutospacing="0" w:after="0" w:afterAutospacing="0"/>
              <w:ind w:left="0" w:right="0"/>
              <w:rPr>
                <w:rFonts w:hint="eastAsia"/>
              </w:rPr>
            </w:pPr>
            <w:r>
              <w:rPr>
                <w:rFonts w:hint="eastAsia"/>
              </w:rPr>
              <w:t>沟渠清淤是本次项目的主要内容，清淤采用两种方式，对于清淤沟渠较长且作业面窄的沟渠，淤泥可采用高压水泵冲、泥浆泵吸并用排泥管排出350m远，如沟渠远离村庄，淤泥无生活垃圾等杂质，在地作物已收割，下一季作物未安种，淤泥可直接上田，是较好的肥料，如上述条件不满足，应考虑淤泥的堆放晾晒后降低含水率，运出或作为土源留作他用；二是沟渠清淤距离短，且作业面情况较好，可采用挖掘机在沟内水排干后直接挖去，挖去后可采用前一种的处理方式。</w:t>
            </w:r>
          </w:p>
          <w:p>
            <w:pPr>
              <w:keepNext w:val="0"/>
              <w:keepLines w:val="0"/>
              <w:numPr>
                <w:ilvl w:val="0"/>
                <w:numId w:val="20"/>
              </w:numPr>
              <w:suppressLineNumbers w:val="0"/>
              <w:bidi w:val="0"/>
              <w:spacing w:before="0" w:beforeAutospacing="0" w:after="0" w:afterAutospacing="0"/>
              <w:ind w:left="0" w:leftChars="0" w:right="0" w:firstLine="480" w:firstLineChars="200"/>
              <w:rPr>
                <w:rFonts w:hint="eastAsia"/>
              </w:rPr>
            </w:pPr>
            <w:r>
              <w:rPr>
                <w:rFonts w:hint="eastAsia"/>
              </w:rPr>
              <w:t>混凝土工程</w:t>
            </w:r>
          </w:p>
          <w:p>
            <w:pPr>
              <w:keepNext w:val="0"/>
              <w:keepLines w:val="0"/>
              <w:suppressLineNumbers w:val="0"/>
              <w:bidi w:val="0"/>
              <w:spacing w:before="0" w:beforeAutospacing="0" w:after="0" w:afterAutospacing="0"/>
              <w:ind w:left="0" w:right="0"/>
              <w:rPr>
                <w:rFonts w:hint="eastAsia"/>
              </w:rPr>
            </w:pPr>
            <w:r>
              <w:rPr>
                <w:rFonts w:hint="eastAsia"/>
                <w:lang w:val="en-US" w:eastAsia="zh-CN"/>
              </w:rPr>
              <w:t>项目所用混凝土均为商品混凝土，</w:t>
            </w:r>
            <w:r>
              <w:rPr>
                <w:rFonts w:hint="eastAsia"/>
              </w:rPr>
              <w:t>混凝土施工一般要经过选料、拌和、运输、浇注、养护等。水泥品质应符合现行的国家标准及有关部颁发标准的规定，砂料质地应坚硬、清洁、级配良好、砂的细度模数宜在2.4~3.0范围内，砂料其它质量技术要求应符合规范规定。粗骨料最大粒径不应超过钢筋净间距的2/3及构件断面最小边长的1/4、素混凝土板厚的1/2。选择混凝土的配合比和水灰比时，应根据其所处部位的工作条件，分别满足抗压、抗渗、抗冻、抗风化等设计要求外，还应满足施工和易性的要求。施工前，应结合工程的混凝土配合比情况，检验拌和设备性能，如发现不相适应时，应适当调整混凝土的配合比，在拌和过程中，应根据气候条件定时地测定砂、石骨料的含水量。混凝土拌和好后应及时进行运输，运输设备和运输的能力应与拌和、浇筑能力、仓面具体情况及钢筋、模板吊运的需要相适应，以保证混凝土运输的质量，充分发挥设备效率。混凝土浇筑前，必须对建筑物基底进行验收，验收合格后方可进行下一道工序，浇筑前应详细检查模板、钢筋、预埋件及止水设施是否符合设计要求，并做好记录。浇筑完毕后，应及时洒水养护，以保持混凝土表面经常湿润。一般应在混凝土浇筑完毕后12~18h内开始养护，但在炎热干燥气候情况下应提前养护。养护工作应有专人负责，并应作好养护记录。</w:t>
            </w:r>
          </w:p>
          <w:p>
            <w:pPr>
              <w:keepNext w:val="0"/>
              <w:keepLines w:val="0"/>
              <w:numPr>
                <w:ilvl w:val="0"/>
                <w:numId w:val="20"/>
              </w:numPr>
              <w:suppressLineNumbers w:val="0"/>
              <w:bidi w:val="0"/>
              <w:spacing w:before="0" w:beforeAutospacing="0" w:after="0" w:afterAutospacing="0"/>
              <w:ind w:left="0" w:leftChars="0" w:right="0" w:firstLine="480" w:firstLineChars="200"/>
              <w:rPr>
                <w:rFonts w:hint="eastAsia"/>
              </w:rPr>
            </w:pPr>
            <w:r>
              <w:rPr>
                <w:rFonts w:hint="eastAsia"/>
              </w:rPr>
              <w:t>植物措施</w:t>
            </w:r>
          </w:p>
          <w:p>
            <w:pPr>
              <w:keepNext w:val="0"/>
              <w:keepLines w:val="0"/>
              <w:numPr>
                <w:ilvl w:val="0"/>
                <w:numId w:val="21"/>
              </w:numPr>
              <w:suppressLineNumbers w:val="0"/>
              <w:spacing w:before="0" w:beforeAutospacing="0" w:after="0" w:afterAutospacing="0"/>
              <w:ind w:left="0" w:leftChars="0" w:right="0" w:firstLine="480" w:firstLineChars="200"/>
              <w:rPr>
                <w:rFonts w:hint="eastAsia"/>
              </w:rPr>
            </w:pPr>
            <w:r>
              <w:rPr>
                <w:rFonts w:hint="eastAsia"/>
              </w:rPr>
              <w:t>栽植季节</w:t>
            </w:r>
          </w:p>
          <w:p>
            <w:pPr>
              <w:keepNext w:val="0"/>
              <w:keepLines w:val="0"/>
              <w:suppressLineNumbers w:val="0"/>
              <w:spacing w:before="0" w:beforeAutospacing="0" w:after="0" w:afterAutospacing="0"/>
              <w:ind w:left="0" w:right="0"/>
              <w:rPr>
                <w:rFonts w:hint="eastAsia"/>
                <w:lang w:eastAsia="zh-CN"/>
              </w:rPr>
            </w:pPr>
            <w:r>
              <w:rPr>
                <w:rFonts w:hint="eastAsia"/>
              </w:rPr>
              <w:t>春栽主要集中在2月上旬～3月下旬，树木萌芽前，多数落叶树宜早春栽，至少应在萌芽前半个月栽。落叶树也可晚秋栽，时期是10月中旬～11月下旬。草籽撒播一般在雨季或墒情较好的时节进行，不能避免时应考虑高温遮阳。</w:t>
            </w:r>
          </w:p>
          <w:p>
            <w:pPr>
              <w:keepNext w:val="0"/>
              <w:keepLines w:val="0"/>
              <w:numPr>
                <w:ilvl w:val="0"/>
                <w:numId w:val="21"/>
              </w:numPr>
              <w:suppressLineNumbers w:val="0"/>
              <w:spacing w:before="0" w:beforeAutospacing="0" w:after="0" w:afterAutospacing="0"/>
              <w:ind w:left="0" w:leftChars="0" w:right="0" w:firstLine="480" w:firstLineChars="200"/>
              <w:rPr>
                <w:rFonts w:hint="eastAsia" w:eastAsia="宋体"/>
                <w:lang w:eastAsia="zh-CN"/>
              </w:rPr>
            </w:pPr>
            <w:r>
              <w:rPr>
                <w:rFonts w:hint="eastAsia"/>
              </w:rPr>
              <w:t>整地</w:t>
            </w:r>
          </w:p>
          <w:p>
            <w:pPr>
              <w:keepNext w:val="0"/>
              <w:keepLines w:val="0"/>
              <w:suppressLineNumbers w:val="0"/>
              <w:bidi w:val="0"/>
              <w:spacing w:before="0" w:beforeAutospacing="0" w:after="0" w:afterAutospacing="0"/>
              <w:ind w:left="0" w:right="0"/>
              <w:rPr>
                <w:rFonts w:hint="eastAsia"/>
              </w:rPr>
            </w:pPr>
            <w:r>
              <w:rPr>
                <w:rFonts w:hint="eastAsia"/>
              </w:rPr>
              <w:t>整地前进行杂物清理，捡除石块和建筑垃圾，并进行粗平，填平坑洼，然后将剥离的表土覆土回填以改善立地条件、增强土壤肥力。整平后，按设计要求人工用石灰标出单棵树的位置和片状分布的不同树草的区域分界线，对乔木和带土球的灌木，采用挖穴式种植，根据树种的类型、根系大小，确定挖穴的尺寸及间距，穴状采用圆形，乔木穴径0.4~0.5m，穴深0.5m以上，灌木穴径一般在0.3~0.4m，穴深0.25m以上。</w:t>
            </w:r>
          </w:p>
          <w:p>
            <w:pPr>
              <w:keepNext w:val="0"/>
              <w:keepLines w:val="0"/>
              <w:numPr>
                <w:ilvl w:val="0"/>
                <w:numId w:val="21"/>
              </w:numPr>
              <w:suppressLineNumbers w:val="0"/>
              <w:spacing w:before="0" w:beforeAutospacing="0" w:after="0" w:afterAutospacing="0"/>
              <w:ind w:left="0" w:leftChars="0" w:right="0" w:firstLine="480" w:firstLineChars="200"/>
              <w:rPr>
                <w:rFonts w:hint="eastAsia"/>
              </w:rPr>
            </w:pPr>
            <w:r>
              <w:rPr>
                <w:rFonts w:hint="eastAsia"/>
              </w:rPr>
              <w:t>种苗选择</w:t>
            </w:r>
          </w:p>
          <w:p>
            <w:pPr>
              <w:keepNext w:val="0"/>
              <w:keepLines w:val="0"/>
              <w:suppressLineNumbers w:val="0"/>
              <w:bidi w:val="0"/>
              <w:spacing w:before="0" w:beforeAutospacing="0" w:after="0" w:afterAutospacing="0"/>
              <w:ind w:left="0" w:right="0"/>
              <w:rPr>
                <w:rFonts w:hint="eastAsia" w:eastAsia="宋体"/>
                <w:lang w:eastAsia="zh-CN"/>
              </w:rPr>
            </w:pPr>
            <w:r>
              <w:rPr>
                <w:rFonts w:hint="eastAsia"/>
              </w:rPr>
              <w:t>乔木采用达到2级以上标准2年生壮苗，灌木采用2年生壮苗；草籽要求种子的纯净度达90%以上，发芽率达63.85%以上，草皮要求生长状态良好，无病虫害</w:t>
            </w:r>
            <w:r>
              <w:rPr>
                <w:rFonts w:hint="eastAsia"/>
                <w:lang w:eastAsia="zh-CN"/>
              </w:rPr>
              <w:t>。</w:t>
            </w:r>
          </w:p>
          <w:p>
            <w:pPr>
              <w:keepNext w:val="0"/>
              <w:keepLines w:val="0"/>
              <w:numPr>
                <w:ilvl w:val="0"/>
                <w:numId w:val="21"/>
              </w:numPr>
              <w:suppressLineNumbers w:val="0"/>
              <w:spacing w:before="0" w:beforeAutospacing="0" w:after="0" w:afterAutospacing="0"/>
              <w:ind w:left="0" w:leftChars="0" w:right="0" w:firstLine="480" w:firstLineChars="200"/>
              <w:rPr>
                <w:rFonts w:hint="eastAsia"/>
              </w:rPr>
            </w:pPr>
            <w:r>
              <w:rPr>
                <w:rFonts w:hint="eastAsia"/>
              </w:rPr>
              <w:t>栽植方法</w:t>
            </w:r>
          </w:p>
          <w:p>
            <w:pPr>
              <w:keepNext w:val="0"/>
              <w:keepLines w:val="0"/>
              <w:suppressLineNumbers w:val="0"/>
              <w:bidi w:val="0"/>
              <w:spacing w:before="0" w:beforeAutospacing="0" w:after="0" w:afterAutospacing="0"/>
              <w:ind w:left="0" w:right="0"/>
              <w:rPr>
                <w:rFonts w:hint="eastAsia"/>
              </w:rPr>
            </w:pPr>
            <w:r>
              <w:rPr>
                <w:rFonts w:hint="eastAsia"/>
              </w:rPr>
              <w:t>乔木、灌木采用穴植方法，在栽植时应注意其栽植的技术要点，即“三填、两踩、一提苗”，栽植深度一般以超过原根系5~10m为准。种植工序为：放线定位—挖坑—树坑消毒—回填种植土—栽植—回填—浇水—踩实；苗木定植时苗干要竖直，根系要舒展，深浅要适当；填土一半后需提苗踩实，最后覆上表土。</w:t>
            </w:r>
          </w:p>
          <w:p>
            <w:pPr>
              <w:keepNext w:val="0"/>
              <w:keepLines w:val="0"/>
              <w:suppressLineNumbers w:val="0"/>
              <w:bidi w:val="0"/>
              <w:spacing w:before="0" w:beforeAutospacing="0" w:after="0" w:afterAutospacing="0"/>
              <w:ind w:left="0" w:right="0"/>
              <w:rPr>
                <w:rFonts w:hint="eastAsia"/>
              </w:rPr>
            </w:pPr>
            <w:r>
              <w:rPr>
                <w:rFonts w:hint="eastAsia"/>
              </w:rPr>
              <w:t>草皮采用人工撒播或种植草皮的方法。撒播方法即将草籽按设计撒播密度均匀撒在整平的土地上，然后用耙覆土埋压，覆土厚度一般0.5~1.0cm，撒播后喷水湿润种植区。草皮运输过程中，遇到晴天应直接向草皮洒水，避免根系脱水，草皮采用满膛或满坡铺设，边铺设边压实，确保草皮附着土壤，铺设完毕后浇水、踏实。</w:t>
            </w:r>
          </w:p>
          <w:p>
            <w:pPr>
              <w:keepNext w:val="0"/>
              <w:keepLines w:val="0"/>
              <w:numPr>
                <w:ilvl w:val="0"/>
                <w:numId w:val="21"/>
              </w:numPr>
              <w:suppressLineNumbers w:val="0"/>
              <w:spacing w:before="0" w:beforeAutospacing="0" w:after="0" w:afterAutospacing="0"/>
              <w:ind w:left="0" w:leftChars="0" w:right="0" w:firstLine="480" w:firstLineChars="200"/>
              <w:rPr>
                <w:rFonts w:hint="eastAsia"/>
              </w:rPr>
            </w:pPr>
            <w:r>
              <w:rPr>
                <w:rFonts w:hint="eastAsia"/>
              </w:rPr>
              <w:t>抚育管理</w:t>
            </w:r>
          </w:p>
          <w:p>
            <w:pPr>
              <w:keepNext w:val="0"/>
              <w:keepLines w:val="0"/>
              <w:suppressLineNumbers w:val="0"/>
              <w:spacing w:before="0" w:beforeAutospacing="0" w:after="0" w:afterAutospacing="0"/>
              <w:ind w:left="0" w:right="0"/>
              <w:rPr>
                <w:rFonts w:hint="eastAsia"/>
                <w:lang w:eastAsia="zh-CN"/>
              </w:rPr>
            </w:pPr>
            <w:r>
              <w:rPr>
                <w:rFonts w:hint="eastAsia"/>
                <w:lang w:eastAsia="zh-CN"/>
              </w:rPr>
              <w:t>抚育采用人工进行，抚育内容包括：松土、培土、浇水、施肥、补植树苗及必要的修枝和病虫害防治等，抚育时间一般在杂草丛生、枝叶生长旺盛的6月份进行。抚育管理分2年进行，第一年抚育2次，第二年抚育1次。</w:t>
            </w:r>
          </w:p>
          <w:p>
            <w:pPr>
              <w:keepNext w:val="0"/>
              <w:keepLines w:val="0"/>
              <w:numPr>
                <w:ilvl w:val="0"/>
                <w:numId w:val="20"/>
              </w:numPr>
              <w:suppressLineNumbers w:val="0"/>
              <w:bidi w:val="0"/>
              <w:spacing w:before="0" w:beforeAutospacing="0" w:after="0" w:afterAutospacing="0"/>
              <w:ind w:left="0" w:leftChars="0" w:right="0" w:firstLine="480" w:firstLineChars="200"/>
              <w:rPr>
                <w:rFonts w:hint="eastAsia"/>
                <w:lang w:eastAsia="zh-CN"/>
              </w:rPr>
            </w:pPr>
            <w:r>
              <w:rPr>
                <w:rFonts w:hint="eastAsia"/>
                <w:lang w:eastAsia="zh-CN"/>
              </w:rPr>
              <w:t>沥青混凝土路面</w:t>
            </w:r>
          </w:p>
          <w:p>
            <w:pPr>
              <w:keepNext w:val="0"/>
              <w:keepLines w:val="0"/>
              <w:numPr>
                <w:ilvl w:val="0"/>
                <w:numId w:val="22"/>
              </w:numPr>
              <w:suppressLineNumbers w:val="0"/>
              <w:spacing w:before="0" w:beforeAutospacing="0" w:after="0" w:afterAutospacing="0"/>
              <w:ind w:left="0" w:leftChars="0" w:right="0" w:firstLine="480" w:firstLineChars="200"/>
              <w:rPr>
                <w:rFonts w:hint="eastAsia"/>
                <w:lang w:eastAsia="zh-CN"/>
              </w:rPr>
            </w:pPr>
            <w:r>
              <w:rPr>
                <w:rFonts w:hint="eastAsia"/>
                <w:lang w:eastAsia="zh-CN"/>
              </w:rPr>
              <w:t>基层准备</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在铺筑碎石垫层前，应将基层上的浮石、杂物、尘土等全部清除，保持表面整洁，并整理排水设施。</w:t>
            </w:r>
          </w:p>
          <w:p>
            <w:pPr>
              <w:keepNext w:val="0"/>
              <w:keepLines w:val="0"/>
              <w:numPr>
                <w:ilvl w:val="0"/>
                <w:numId w:val="22"/>
              </w:numPr>
              <w:suppressLineNumbers w:val="0"/>
              <w:spacing w:before="0" w:beforeAutospacing="0" w:after="0" w:afterAutospacing="0"/>
              <w:ind w:left="0" w:leftChars="0" w:right="0" w:firstLine="480" w:firstLineChars="200"/>
              <w:rPr>
                <w:rFonts w:hint="eastAsia"/>
                <w:lang w:eastAsia="zh-CN"/>
              </w:rPr>
            </w:pPr>
            <w:r>
              <w:rPr>
                <w:rFonts w:hint="eastAsia"/>
                <w:lang w:eastAsia="zh-CN"/>
              </w:rPr>
              <w:t>碎石垫层摊铺</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工艺流程：</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检验砂石质量→分层铺筑砂石→洒水→夯实或碾压→找平验收</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分层铺筑砂石：</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铺筑砂石的每层厚度，一般为15～20cm，不宜超过30cm，分层厚度可用样桩控制。视不同条件，可选用夯实或压实的方法。大面积的砂石垫层，铺筑厚度可达35cm，宜采用6～10t的压路机碾压。</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洒水：铺筑级配砂石在夯实碾压前，应根据其干湿程度和气候条件，适当地洒水以保持砂石的最佳含水量，一般为8%～l2%。</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夯实或碾压；夯实或碾压的遍数，由现场试验确定。用水夯或蛙式打夯机时，应保持落距为400～500mm，要一夯压半夯，行行相接，全面夯实，一般不少于3遍。采用压路机往复碾压，一般碾压不少于4遍，其轮距搭接不小于50cm。边缘和转角处应用人工或蛙式打夯机补夯密实。</w:t>
            </w:r>
          </w:p>
          <w:p>
            <w:pPr>
              <w:keepNext w:val="0"/>
              <w:keepLines w:val="0"/>
              <w:numPr>
                <w:ilvl w:val="0"/>
                <w:numId w:val="22"/>
              </w:numPr>
              <w:suppressLineNumbers w:val="0"/>
              <w:spacing w:before="0" w:beforeAutospacing="0" w:after="0" w:afterAutospacing="0"/>
              <w:ind w:left="0" w:leftChars="0" w:right="0" w:firstLine="480" w:firstLineChars="200"/>
              <w:rPr>
                <w:rFonts w:hint="eastAsia"/>
                <w:lang w:eastAsia="zh-CN"/>
              </w:rPr>
            </w:pPr>
            <w:r>
              <w:rPr>
                <w:rFonts w:hint="eastAsia"/>
                <w:lang w:eastAsia="zh-CN"/>
              </w:rPr>
              <w:t>水泥稳定层摊铺</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采用人工摊铺，松铺系数(1.3～1.35)，具体松铺系数视现场实际情况而定，随时调整。</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用5～10辆5T自卸车运送混合料到现场，直接喂入摊铺机，装车时控制每车料的数量基本相同。混合料从拌和到碾压之间延迟时间控制在3～4h，必须延迟时间的不应超过水泥终凝时间。因此，采用流水作业法，各工序必须紧密衔接，尽量缩短从拌和到完成碾压之间的延迟时间。一般情况下，每一流水作业段长度为50m～100m。</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整形、碾压</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初步整平后，用压路机快速碾压一遍；整型后，用20t三轮压路机碾压。经压实，压实度达到97%合格后，立即开始养护。采用洒水车洒水养护。养生时间不少于7天，养生期间封闭交通。养生结束，如不能立即铺筑沥青下面层，则延长养生期。</w:t>
            </w:r>
          </w:p>
          <w:p>
            <w:pPr>
              <w:keepNext w:val="0"/>
              <w:keepLines w:val="0"/>
              <w:numPr>
                <w:ilvl w:val="0"/>
                <w:numId w:val="22"/>
              </w:numPr>
              <w:suppressLineNumbers w:val="0"/>
              <w:spacing w:before="0" w:beforeAutospacing="0" w:after="0" w:afterAutospacing="0"/>
              <w:ind w:left="0" w:leftChars="0" w:right="0" w:firstLine="480" w:firstLineChars="200"/>
              <w:rPr>
                <w:rFonts w:hint="eastAsia"/>
                <w:lang w:eastAsia="zh-CN"/>
              </w:rPr>
            </w:pPr>
            <w:r>
              <w:rPr>
                <w:rFonts w:hint="eastAsia"/>
                <w:lang w:eastAsia="zh-CN"/>
              </w:rPr>
              <w:t>沥青混凝土摊铺</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摊铺时，沥青混合料必须缓慢、均匀、连续不间断地摊铺。不得随意变换速度或中途停顿。上下两层之间的横向接缝应错开50cm以上。</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碾压时，沥青混合料摊铺整平，并对不规则的表面修整后，立即对其进行全面均匀的压实。</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初压在混合料摊铺后较高温度下进行，沥青混合料不应低于120℃，不得产生推移、发裂。</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复压要紧接在初压后进行，沥青混合料不得低于90℃，复压遍数为4～6遍至稳定无显著轮迹为准。</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终压要紧接在复压后进行，沥青混合料不得低于70℃，采用轮胎压路机碾压2～4遍，并无轮迹，路面压实成型的终了温度符合规范要求。</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碾压从外侧开始并在纵向平行于道路中线进行，双轮压路机每次重叠30cm，三轮每次重叠为后轮宽的一半，逐步向内侧碾压过去，用梯队法或接着先铺好的车道摊铺时，应先压纵缝，然后进行常规碾压，在有超高的弯道上，碾压应采用纵向行程平行于中线重叠的办法，由低边向高边进行。碾压时压路机应匀速行驶，不得在新铺混合料上或未碾压成型并未冷却的路段上停留，转弯或急刹车。施工检验人员在碾压过程中，使用核子密度仪来检测密实度，以保证获得要求的最小压实度，开始碾压时的温度控制在不低于120℃，碾压终了温度控制在不低于70℃，初压、复压、终压三种不同压实段落接茬设在不同的断面上，横向错开1m以上。</w:t>
            </w:r>
          </w:p>
          <w:p>
            <w:pPr>
              <w:keepNext w:val="0"/>
              <w:keepLines w:val="0"/>
              <w:numPr>
                <w:ilvl w:val="0"/>
                <w:numId w:val="19"/>
              </w:numPr>
              <w:suppressLineNumbers w:val="0"/>
              <w:bidi w:val="0"/>
              <w:spacing w:before="0" w:beforeAutospacing="0" w:after="0" w:afterAutospacing="0"/>
              <w:ind w:right="0"/>
              <w:rPr>
                <w:rFonts w:hint="default"/>
                <w:b/>
                <w:bCs/>
              </w:rPr>
            </w:pPr>
            <w:r>
              <w:rPr>
                <w:rFonts w:hint="eastAsia"/>
                <w:b/>
                <w:bCs/>
              </w:rPr>
              <w:t>施工期主要污染分析</w:t>
            </w:r>
          </w:p>
          <w:p>
            <w:pPr>
              <w:keepNext w:val="0"/>
              <w:keepLines w:val="0"/>
              <w:numPr>
                <w:ilvl w:val="0"/>
                <w:numId w:val="23"/>
              </w:numPr>
              <w:suppressLineNumbers w:val="0"/>
              <w:bidi w:val="0"/>
              <w:spacing w:before="0" w:beforeAutospacing="0" w:after="0" w:afterAutospacing="0"/>
              <w:ind w:left="0" w:leftChars="0" w:right="0" w:firstLine="480" w:firstLineChars="200"/>
              <w:rPr>
                <w:rFonts w:hint="default"/>
              </w:rPr>
            </w:pPr>
            <w:r>
              <w:rPr>
                <w:rFonts w:hint="default"/>
              </w:rPr>
              <w:t>废气污染源</w:t>
            </w:r>
          </w:p>
          <w:p>
            <w:pPr>
              <w:keepNext w:val="0"/>
              <w:keepLines w:val="0"/>
              <w:numPr>
                <w:ilvl w:val="0"/>
                <w:numId w:val="24"/>
              </w:numPr>
              <w:suppressLineNumbers w:val="0"/>
              <w:spacing w:before="0" w:beforeAutospacing="0" w:after="0" w:afterAutospacing="0"/>
              <w:ind w:left="0" w:leftChars="0" w:right="0" w:firstLine="480" w:firstLineChars="200"/>
              <w:rPr>
                <w:rFonts w:hint="default"/>
              </w:rPr>
            </w:pPr>
            <w:r>
              <w:rPr>
                <w:rFonts w:hint="default"/>
              </w:rPr>
              <w:t>施工扬尘</w:t>
            </w:r>
          </w:p>
          <w:p>
            <w:pPr>
              <w:keepNext w:val="0"/>
              <w:keepLines w:val="0"/>
              <w:suppressLineNumbers w:val="0"/>
              <w:bidi w:val="0"/>
              <w:spacing w:before="0" w:beforeAutospacing="0" w:after="0" w:afterAutospacing="0"/>
              <w:ind w:left="0" w:right="0"/>
              <w:rPr>
                <w:rFonts w:hint="default"/>
              </w:rPr>
            </w:pPr>
            <w:r>
              <w:rPr>
                <w:rFonts w:hint="default"/>
              </w:rPr>
              <w:t>本工程施工扬尘主要来自土方开挖及堆放、车辆运输、施工建筑材料（水泥、石灰、砂石料等）的装卸运输等，TSP为主要污染物。这类废气污染源较为分散且源强难以确定，但会随着施工期的结束而中止。</w:t>
            </w:r>
          </w:p>
          <w:p>
            <w:pPr>
              <w:keepNext w:val="0"/>
              <w:keepLines w:val="0"/>
              <w:suppressLineNumbers w:val="0"/>
              <w:bidi w:val="0"/>
              <w:spacing w:before="0" w:beforeAutospacing="0" w:after="0" w:afterAutospacing="0"/>
              <w:ind w:left="0" w:right="0"/>
              <w:rPr>
                <w:rFonts w:hint="default"/>
              </w:rPr>
            </w:pPr>
            <w:r>
              <w:rPr>
                <w:rFonts w:hint="default"/>
              </w:rPr>
              <w:t>车辆运输扬尘的起尘量与物料性质、道路平整情况、风速、施工强度、车流量、地面湿润度有关。在城市施工时挖出的土石方堆放在施工场地内，在干燥无雨及大风天气条件下，裸露的地面和堆置的土石方极易产生风蚀扬尘，其风蚀扬尘的影响范围一般在200m内。</w:t>
            </w:r>
          </w:p>
          <w:p>
            <w:pPr>
              <w:keepNext w:val="0"/>
              <w:keepLines w:val="0"/>
              <w:suppressLineNumbers w:val="0"/>
              <w:bidi w:val="0"/>
              <w:spacing w:before="0" w:beforeAutospacing="0" w:after="0" w:afterAutospacing="0"/>
              <w:ind w:left="0" w:right="0"/>
              <w:rPr>
                <w:rFonts w:hint="default"/>
              </w:rPr>
            </w:pPr>
            <w:r>
              <w:rPr>
                <w:rFonts w:hint="default"/>
              </w:rPr>
              <w:t>运送弃土和废弃物的车辆行驶易产生道路扬尘，行车道两侧扬尘短期浓度可达到8-10mg/m</w:t>
            </w:r>
            <w:r>
              <w:rPr>
                <w:rFonts w:hint="default"/>
                <w:vertAlign w:val="superscript"/>
              </w:rPr>
              <w:t>3</w:t>
            </w:r>
            <w:r>
              <w:rPr>
                <w:rFonts w:hint="default"/>
              </w:rPr>
              <w:t>，超过《环境空气质量标准》（GB3095-2012）中的二级标准，但道路扬尘浓度随着离扬尘点的距离的增加而迅速下降，影响范围一般在道路两侧200m内。</w:t>
            </w:r>
          </w:p>
          <w:p>
            <w:pPr>
              <w:keepNext w:val="0"/>
              <w:keepLines w:val="0"/>
              <w:numPr>
                <w:ilvl w:val="0"/>
                <w:numId w:val="24"/>
              </w:numPr>
              <w:suppressLineNumbers w:val="0"/>
              <w:spacing w:before="0" w:beforeAutospacing="0" w:after="0" w:afterAutospacing="0"/>
              <w:ind w:left="0" w:leftChars="0" w:right="0" w:firstLine="480" w:firstLineChars="200"/>
              <w:rPr>
                <w:rFonts w:hint="default"/>
              </w:rPr>
            </w:pPr>
            <w:r>
              <w:rPr>
                <w:rFonts w:hint="default"/>
              </w:rPr>
              <w:t>尾气</w:t>
            </w:r>
          </w:p>
          <w:p>
            <w:pPr>
              <w:keepNext w:val="0"/>
              <w:keepLines w:val="0"/>
              <w:suppressLineNumbers w:val="0"/>
              <w:bidi w:val="0"/>
              <w:spacing w:before="0" w:beforeAutospacing="0" w:after="0" w:afterAutospacing="0"/>
              <w:ind w:left="0" w:right="0"/>
              <w:rPr>
                <w:rFonts w:hint="default"/>
              </w:rPr>
            </w:pPr>
            <w:r>
              <w:rPr>
                <w:rFonts w:hint="default"/>
              </w:rPr>
              <w:t>尾气污染产生的主要决定因素为燃料油种类、机械性能、作业方式和风力等，其中机械性能、作业方式影响最大。</w:t>
            </w:r>
          </w:p>
          <w:p>
            <w:pPr>
              <w:keepNext w:val="0"/>
              <w:keepLines w:val="0"/>
              <w:suppressLineNumbers w:val="0"/>
              <w:bidi w:val="0"/>
              <w:spacing w:before="0" w:beforeAutospacing="0" w:after="0" w:afterAutospacing="0"/>
              <w:ind w:left="0" w:right="0"/>
              <w:rPr>
                <w:rFonts w:hint="default"/>
              </w:rPr>
            </w:pPr>
            <w:r>
              <w:rPr>
                <w:rFonts w:hint="default"/>
              </w:rPr>
              <w:t>建设项目施工机械主要采用柴油为燃料，施工期环境空气污染物主要为施工机械设备燃油排出的CO、NOx以及未完全燃烧的碳氢化合物非甲烷总烃。但由于各河流的施工时间不长，施工机械数量有限，尾气排放量小，施工机械设备作业时对空气的影响范围主要局限在施工区域内，对环境影响小。</w:t>
            </w:r>
          </w:p>
          <w:p>
            <w:pPr>
              <w:keepNext w:val="0"/>
              <w:keepLines w:val="0"/>
              <w:numPr>
                <w:ilvl w:val="0"/>
                <w:numId w:val="24"/>
              </w:numPr>
              <w:suppressLineNumbers w:val="0"/>
              <w:spacing w:before="0" w:beforeAutospacing="0" w:after="0" w:afterAutospacing="0"/>
              <w:ind w:left="0" w:leftChars="0" w:right="0" w:firstLine="480" w:firstLineChars="200"/>
              <w:rPr>
                <w:rFonts w:hint="default"/>
              </w:rPr>
            </w:pPr>
            <w:r>
              <w:rPr>
                <w:rFonts w:hint="default"/>
              </w:rPr>
              <w:t>恶臭</w:t>
            </w:r>
          </w:p>
          <w:p>
            <w:pPr>
              <w:keepNext w:val="0"/>
              <w:keepLines w:val="0"/>
              <w:suppressLineNumbers w:val="0"/>
              <w:bidi w:val="0"/>
              <w:spacing w:before="0" w:beforeAutospacing="0" w:after="0" w:afterAutospacing="0"/>
              <w:ind w:left="0" w:right="0"/>
              <w:rPr>
                <w:rFonts w:hint="default"/>
              </w:rPr>
            </w:pPr>
            <w:r>
              <w:rPr>
                <w:rFonts w:hint="default"/>
              </w:rPr>
              <w:t>项目在淤泥清掏和干化过程中产生臭味气体，主要是H</w:t>
            </w:r>
            <w:r>
              <w:rPr>
                <w:rFonts w:hint="default"/>
                <w:vertAlign w:val="subscript"/>
              </w:rPr>
              <w:t>2</w:t>
            </w:r>
            <w:r>
              <w:rPr>
                <w:rFonts w:hint="default"/>
              </w:rPr>
              <w:t>S、NH</w:t>
            </w:r>
            <w:r>
              <w:rPr>
                <w:rFonts w:hint="default"/>
                <w:vertAlign w:val="subscript"/>
              </w:rPr>
              <w:t>3</w:t>
            </w:r>
            <w:r>
              <w:rPr>
                <w:rFonts w:hint="default"/>
              </w:rPr>
              <w:t>等，由于施工期较短，影响也是短暂的。淤泥运至附近水塘及洼地，干化后用作绿地表土，运输过程中车辆要进行密封处理，减少异味产生。根据现场踏勘，项目所在区域目前为农村环境，周围以当地农户耕地为主，区域较空旷，加之周围已有大量的植被，对整个区域空气具有良好的净化作用；且项目施工期结束，施工期影响也随之消失。</w:t>
            </w:r>
          </w:p>
          <w:p>
            <w:pPr>
              <w:keepNext w:val="0"/>
              <w:keepLines w:val="0"/>
              <w:numPr>
                <w:ilvl w:val="0"/>
                <w:numId w:val="23"/>
              </w:numPr>
              <w:suppressLineNumbers w:val="0"/>
              <w:bidi w:val="0"/>
              <w:spacing w:before="0" w:beforeAutospacing="0" w:after="0" w:afterAutospacing="0"/>
              <w:ind w:left="0" w:leftChars="0" w:right="0" w:firstLine="480" w:firstLineChars="200"/>
              <w:rPr>
                <w:rFonts w:hint="default"/>
              </w:rPr>
            </w:pPr>
            <w:r>
              <w:rPr>
                <w:rFonts w:hint="default"/>
              </w:rPr>
              <w:t>废水污染源分析</w:t>
            </w:r>
          </w:p>
          <w:p>
            <w:pPr>
              <w:keepNext w:val="0"/>
              <w:keepLines w:val="0"/>
              <w:suppressLineNumbers w:val="0"/>
              <w:bidi w:val="0"/>
              <w:spacing w:before="0" w:beforeAutospacing="0" w:after="0" w:afterAutospacing="0"/>
              <w:ind w:left="0" w:right="0"/>
              <w:rPr>
                <w:rFonts w:hint="default"/>
              </w:rPr>
            </w:pPr>
            <w:r>
              <w:rPr>
                <w:rFonts w:hint="default"/>
              </w:rPr>
              <w:t>施工期的废水排放主要来自于施工人员的生活污水、施工泥浆废水、施工机械冲洗废水。</w:t>
            </w:r>
          </w:p>
          <w:p>
            <w:pPr>
              <w:keepNext w:val="0"/>
              <w:keepLines w:val="0"/>
              <w:numPr>
                <w:ilvl w:val="0"/>
                <w:numId w:val="25"/>
              </w:numPr>
              <w:suppressLineNumbers w:val="0"/>
              <w:spacing w:before="0" w:beforeAutospacing="0" w:after="0" w:afterAutospacing="0"/>
              <w:ind w:left="0" w:leftChars="0" w:right="0" w:firstLine="480" w:firstLineChars="200"/>
              <w:rPr>
                <w:rFonts w:hint="default"/>
              </w:rPr>
            </w:pPr>
            <w:r>
              <w:rPr>
                <w:rFonts w:hint="default"/>
              </w:rPr>
              <w:t>施工人员的生活污水</w:t>
            </w:r>
          </w:p>
          <w:p>
            <w:pPr>
              <w:keepNext w:val="0"/>
              <w:keepLines w:val="0"/>
              <w:suppressLineNumbers w:val="0"/>
              <w:bidi w:val="0"/>
              <w:spacing w:before="0" w:beforeAutospacing="0" w:after="0" w:afterAutospacing="0"/>
              <w:ind w:left="0" w:right="0"/>
              <w:jc w:val="left"/>
              <w:rPr>
                <w:rFonts w:hint="default"/>
              </w:rPr>
            </w:pPr>
            <w:r>
              <w:rPr>
                <w:rFonts w:hint="default"/>
              </w:rPr>
              <w:t>施工人员平均按</w:t>
            </w:r>
            <w:r>
              <w:rPr>
                <w:rFonts w:hint="eastAsia"/>
                <w:lang w:val="en-US" w:eastAsia="zh-CN"/>
              </w:rPr>
              <w:t>30</w:t>
            </w:r>
            <w:r>
              <w:rPr>
                <w:rFonts w:hint="default"/>
              </w:rPr>
              <w:t>人计，生活用水量按100L/</w:t>
            </w:r>
            <w:r>
              <w:rPr>
                <w:rFonts w:hint="eastAsia"/>
                <w:lang w:eastAsia="zh-CN"/>
              </w:rPr>
              <w:t>（</w:t>
            </w:r>
            <w:r>
              <w:rPr>
                <w:rFonts w:hint="default"/>
              </w:rPr>
              <w:t>人</w:t>
            </w:r>
            <w:r>
              <w:rPr>
                <w:rFonts w:hint="eastAsia"/>
                <w:lang w:val="en-US" w:eastAsia="zh-CN"/>
              </w:rPr>
              <w:t>·</w:t>
            </w:r>
            <w:r>
              <w:rPr>
                <w:rFonts w:hint="default"/>
              </w:rPr>
              <w:t>d</w:t>
            </w:r>
            <w:r>
              <w:rPr>
                <w:rFonts w:hint="eastAsia"/>
                <w:lang w:eastAsia="zh-CN"/>
              </w:rPr>
              <w:t>）</w:t>
            </w:r>
            <w:r>
              <w:rPr>
                <w:rFonts w:hint="default"/>
              </w:rPr>
              <w:t>计，则生活用水量为</w:t>
            </w:r>
            <w:r>
              <w:rPr>
                <w:rFonts w:hint="eastAsia"/>
                <w:lang w:val="en-US" w:eastAsia="zh-CN"/>
              </w:rPr>
              <w:t>3</w:t>
            </w:r>
            <w:r>
              <w:rPr>
                <w:rFonts w:hint="default"/>
              </w:rPr>
              <w:t>m</w:t>
            </w:r>
            <w:r>
              <w:rPr>
                <w:rFonts w:hint="default"/>
                <w:vertAlign w:val="superscript"/>
              </w:rPr>
              <w:t>3</w:t>
            </w:r>
            <w:r>
              <w:rPr>
                <w:rFonts w:hint="default"/>
              </w:rPr>
              <w:t>/d。生活污水的排放量按用水量的80%计，则排放量为</w:t>
            </w:r>
            <w:r>
              <w:rPr>
                <w:rFonts w:hint="eastAsia"/>
                <w:lang w:val="en-US" w:eastAsia="zh-CN"/>
              </w:rPr>
              <w:t>2.4</w:t>
            </w:r>
            <w:r>
              <w:rPr>
                <w:rFonts w:hint="default"/>
              </w:rPr>
              <w:t>m</w:t>
            </w:r>
            <w:r>
              <w:rPr>
                <w:rFonts w:hint="default"/>
                <w:vertAlign w:val="superscript"/>
              </w:rPr>
              <w:t>3</w:t>
            </w:r>
            <w:r>
              <w:rPr>
                <w:rFonts w:hint="default"/>
              </w:rPr>
              <w:t>/d，施工时间</w:t>
            </w:r>
            <w:r>
              <w:rPr>
                <w:rFonts w:hint="eastAsia"/>
                <w:lang w:val="en-US" w:eastAsia="zh-CN"/>
              </w:rPr>
              <w:t>8</w:t>
            </w:r>
            <w:r>
              <w:rPr>
                <w:rFonts w:hint="default"/>
              </w:rPr>
              <w:t>个月，产生生活污水量为</w:t>
            </w:r>
            <w:r>
              <w:rPr>
                <w:rFonts w:hint="eastAsia"/>
                <w:lang w:val="en-US" w:eastAsia="zh-CN"/>
              </w:rPr>
              <w:t>576</w:t>
            </w:r>
            <w:r>
              <w:rPr>
                <w:rFonts w:hint="default"/>
              </w:rPr>
              <w:t>m</w:t>
            </w:r>
            <w:r>
              <w:rPr>
                <w:rFonts w:hint="eastAsia"/>
                <w:vertAlign w:val="superscript"/>
                <w:lang w:val="en-US" w:eastAsia="zh-CN"/>
              </w:rPr>
              <w:t>3</w:t>
            </w:r>
            <w:r>
              <w:rPr>
                <w:rFonts w:hint="default"/>
              </w:rPr>
              <w:t>。生活污水中的主要污染物浓度为COD300mg/L、BOD</w:t>
            </w:r>
            <w:r>
              <w:rPr>
                <w:rFonts w:hint="default"/>
                <w:vertAlign w:val="subscript"/>
              </w:rPr>
              <w:t>5</w:t>
            </w:r>
            <w:r>
              <w:rPr>
                <w:rFonts w:hint="default"/>
              </w:rPr>
              <w:t>160mg/L，SS200mg/L，氨氮25mg/L。</w:t>
            </w:r>
          </w:p>
          <w:p>
            <w:pPr>
              <w:keepNext w:val="0"/>
              <w:keepLines w:val="0"/>
              <w:numPr>
                <w:ilvl w:val="0"/>
                <w:numId w:val="25"/>
              </w:numPr>
              <w:suppressLineNumbers w:val="0"/>
              <w:spacing w:before="0" w:beforeAutospacing="0" w:after="0" w:afterAutospacing="0"/>
              <w:ind w:left="0" w:leftChars="0" w:right="0" w:firstLine="480" w:firstLineChars="200"/>
              <w:rPr>
                <w:rFonts w:hint="default"/>
              </w:rPr>
            </w:pPr>
            <w:r>
              <w:rPr>
                <w:rFonts w:hint="default"/>
              </w:rPr>
              <w:t>施工泥浆废水、机械冲洗废水</w:t>
            </w:r>
          </w:p>
          <w:p>
            <w:pPr>
              <w:keepNext w:val="0"/>
              <w:keepLines w:val="0"/>
              <w:suppressLineNumbers w:val="0"/>
              <w:bidi w:val="0"/>
              <w:spacing w:before="0" w:beforeAutospacing="0" w:after="0" w:afterAutospacing="0"/>
              <w:ind w:left="0" w:right="0"/>
              <w:rPr>
                <w:rFonts w:hint="default"/>
              </w:rPr>
            </w:pPr>
            <w:r>
              <w:rPr>
                <w:rFonts w:hint="default"/>
              </w:rPr>
              <w:t>建设项目施工中砂石料冲洗过程等将产生施工泥浆废水，该废水含有大量的悬浮物，其SS含量高达200～250mg/L，该废水经沉淀池沉淀处理后用于施工道路洒水、水土保持措施植物用水等。</w:t>
            </w:r>
          </w:p>
          <w:p>
            <w:pPr>
              <w:keepNext w:val="0"/>
              <w:keepLines w:val="0"/>
              <w:suppressLineNumbers w:val="0"/>
              <w:bidi w:val="0"/>
              <w:spacing w:before="0" w:beforeAutospacing="0" w:after="0" w:afterAutospacing="0"/>
              <w:ind w:left="0" w:right="0"/>
              <w:rPr>
                <w:rFonts w:hint="default"/>
              </w:rPr>
            </w:pPr>
            <w:r>
              <w:rPr>
                <w:rFonts w:hint="default"/>
              </w:rPr>
              <w:t>对含油的施工机械冲洗废水，石油类约30mg/L、SS约250mg/L，建设隔油沉淀池处理后用于施工道路洒水。</w:t>
            </w:r>
          </w:p>
          <w:p>
            <w:pPr>
              <w:keepNext w:val="0"/>
              <w:keepLines w:val="0"/>
              <w:numPr>
                <w:ilvl w:val="0"/>
                <w:numId w:val="23"/>
              </w:numPr>
              <w:suppressLineNumbers w:val="0"/>
              <w:bidi w:val="0"/>
              <w:spacing w:before="0" w:beforeAutospacing="0" w:after="0" w:afterAutospacing="0"/>
              <w:ind w:left="0" w:leftChars="0" w:right="0" w:firstLine="480" w:firstLineChars="200"/>
              <w:rPr>
                <w:rFonts w:hint="default"/>
              </w:rPr>
            </w:pPr>
            <w:r>
              <w:rPr>
                <w:rFonts w:hint="default"/>
              </w:rPr>
              <w:t>噪声</w:t>
            </w:r>
          </w:p>
          <w:p>
            <w:pPr>
              <w:keepNext w:val="0"/>
              <w:keepLines w:val="0"/>
              <w:suppressLineNumbers w:val="0"/>
              <w:bidi w:val="0"/>
              <w:spacing w:before="0" w:beforeAutospacing="0" w:after="0" w:afterAutospacing="0"/>
              <w:ind w:left="0" w:right="0"/>
              <w:rPr>
                <w:rFonts w:hint="eastAsia"/>
                <w:lang w:eastAsia="zh-CN"/>
              </w:rPr>
            </w:pPr>
            <w:r>
              <w:rPr>
                <w:rFonts w:hint="default"/>
              </w:rPr>
              <w:t>施工期主要噪声源有挖掘机、自卸汽车、推土机、蛙式打夯机等施工机械运行噪声，以及运输车辆的行驶噪声。其中，施工机械运行噪声具有声源强、声级大、连续性特点，运输车辆噪声具有源强大、流动性特点。类比同类工程施工噪声情况，本项目各工程施工期噪声见</w:t>
            </w:r>
            <w:r>
              <w:rPr>
                <w:rFonts w:hint="eastAsia"/>
                <w:lang w:eastAsia="zh-CN"/>
              </w:rPr>
              <w:t>下</w:t>
            </w:r>
            <w:r>
              <w:rPr>
                <w:rFonts w:hint="default"/>
              </w:rPr>
              <w:t>表</w:t>
            </w:r>
            <w:r>
              <w:rPr>
                <w:rFonts w:hint="eastAsia"/>
                <w:lang w:eastAsia="zh-CN"/>
              </w:rPr>
              <w:t>。</w:t>
            </w:r>
          </w:p>
          <w:p>
            <w:pPr>
              <w:pStyle w:val="15"/>
              <w:keepNext w:val="0"/>
              <w:keepLines w:val="0"/>
              <w:suppressLineNumbers w:val="0"/>
              <w:bidi w:val="0"/>
              <w:spacing w:before="0" w:beforeAutospacing="0" w:after="0" w:afterAutospacing="0"/>
              <w:ind w:left="0" w:right="0"/>
              <w:rPr>
                <w:rFonts w:hint="eastAsia"/>
                <w:lang w:eastAsia="zh-CN"/>
              </w:rPr>
            </w:pPr>
            <w:r>
              <w:rPr>
                <w:rFonts w:hint="eastAsia"/>
                <w:lang w:eastAsia="zh-CN"/>
              </w:rPr>
              <w:t>施工期主要噪声源强</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019"/>
              <w:gridCol w:w="3022"/>
              <w:gridCol w:w="3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92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机械设备</w:t>
                  </w:r>
                </w:p>
              </w:tc>
              <w:tc>
                <w:tcPr>
                  <w:tcW w:w="293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距声源（m</w:t>
                  </w:r>
                  <w:r>
                    <w:rPr>
                      <w:rFonts w:hint="eastAsia"/>
                    </w:rPr>
                    <w:t>）</w:t>
                  </w:r>
                </w:p>
              </w:tc>
              <w:tc>
                <w:tcPr>
                  <w:tcW w:w="292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声级[dB</w:t>
                  </w:r>
                  <w:r>
                    <w:rPr>
                      <w:rFonts w:hint="eastAsia"/>
                    </w:rPr>
                    <w:t>（</w:t>
                  </w:r>
                  <w:r>
                    <w:rPr>
                      <w:rFonts w:hint="default"/>
                    </w:rPr>
                    <w:t>A</w:t>
                  </w:r>
                  <w:r>
                    <w:rPr>
                      <w:rFonts w:hint="eastAsia"/>
                    </w:rPr>
                    <w:t>）</w:t>
                  </w:r>
                  <w:r>
                    <w:rPr>
                      <w:rFonts w:hint="defaul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92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挖掘机</w:t>
                  </w:r>
                </w:p>
              </w:tc>
              <w:tc>
                <w:tcPr>
                  <w:tcW w:w="293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5</w:t>
                  </w:r>
                </w:p>
              </w:tc>
              <w:tc>
                <w:tcPr>
                  <w:tcW w:w="292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80</w:t>
                  </w:r>
                  <w:r>
                    <w:rPr>
                      <w:rFonts w:hint="eastAsia"/>
                    </w:rPr>
                    <w:t>～</w:t>
                  </w:r>
                  <w:r>
                    <w:rPr>
                      <w:rFonts w:hint="default"/>
                    </w:rPr>
                    <w:t>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92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自卸汽车</w:t>
                  </w:r>
                </w:p>
              </w:tc>
              <w:tc>
                <w:tcPr>
                  <w:tcW w:w="293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5</w:t>
                  </w:r>
                </w:p>
              </w:tc>
              <w:tc>
                <w:tcPr>
                  <w:tcW w:w="292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88</w:t>
                  </w:r>
                  <w:r>
                    <w:rPr>
                      <w:rFonts w:hint="eastAsia"/>
                    </w:rPr>
                    <w:t>～</w:t>
                  </w:r>
                  <w:r>
                    <w:rPr>
                      <w:rFonts w:hint="default"/>
                    </w:rPr>
                    <w:t>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92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推土机</w:t>
                  </w:r>
                </w:p>
              </w:tc>
              <w:tc>
                <w:tcPr>
                  <w:tcW w:w="293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5</w:t>
                  </w:r>
                </w:p>
              </w:tc>
              <w:tc>
                <w:tcPr>
                  <w:tcW w:w="292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85</w:t>
                  </w:r>
                  <w:r>
                    <w:rPr>
                      <w:rFonts w:hint="eastAsia"/>
                    </w:rPr>
                    <w:t>～</w:t>
                  </w:r>
                  <w:r>
                    <w:rPr>
                      <w:rFonts w:hint="default"/>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292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蛙式打夯机</w:t>
                  </w:r>
                </w:p>
              </w:tc>
              <w:tc>
                <w:tcPr>
                  <w:tcW w:w="293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5</w:t>
                  </w:r>
                </w:p>
              </w:tc>
              <w:tc>
                <w:tcPr>
                  <w:tcW w:w="292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90</w:t>
                  </w:r>
                  <w:r>
                    <w:rPr>
                      <w:rFonts w:hint="eastAsia"/>
                    </w:rPr>
                    <w:t>～</w:t>
                  </w:r>
                  <w:r>
                    <w:rPr>
                      <w:rFonts w:hint="default"/>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92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内燃压路机</w:t>
                  </w:r>
                </w:p>
              </w:tc>
              <w:tc>
                <w:tcPr>
                  <w:tcW w:w="293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rPr>
                    <w:t>5</w:t>
                  </w:r>
                </w:p>
              </w:tc>
              <w:tc>
                <w:tcPr>
                  <w:tcW w:w="292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rPr>
                    <w:t>89</w:t>
                  </w:r>
                  <w:r>
                    <w:rPr>
                      <w:rFonts w:hint="eastAsia"/>
                    </w:rPr>
                    <w:t>～</w:t>
                  </w:r>
                  <w:r>
                    <w:rPr>
                      <w:rFonts w:hint="default"/>
                    </w:rPr>
                    <w:t>90</w:t>
                  </w:r>
                </w:p>
              </w:tc>
            </w:tr>
          </w:tbl>
          <w:p>
            <w:pPr>
              <w:keepNext w:val="0"/>
              <w:keepLines w:val="0"/>
              <w:numPr>
                <w:ilvl w:val="0"/>
                <w:numId w:val="23"/>
              </w:numPr>
              <w:suppressLineNumbers w:val="0"/>
              <w:bidi w:val="0"/>
              <w:spacing w:before="0" w:beforeAutospacing="0" w:after="0" w:afterAutospacing="0"/>
              <w:ind w:left="0" w:leftChars="0" w:right="0" w:firstLine="480" w:firstLineChars="200"/>
              <w:rPr>
                <w:rFonts w:hint="eastAsia"/>
                <w:lang w:eastAsia="zh-CN"/>
              </w:rPr>
            </w:pPr>
            <w:r>
              <w:rPr>
                <w:rFonts w:hint="eastAsia"/>
                <w:lang w:eastAsia="zh-CN"/>
              </w:rPr>
              <w:t>固体废物</w:t>
            </w:r>
          </w:p>
          <w:p>
            <w:pPr>
              <w:keepNext w:val="0"/>
              <w:keepLines w:val="0"/>
              <w:suppressLineNumbers w:val="0"/>
              <w:bidi w:val="0"/>
              <w:spacing w:before="0" w:beforeAutospacing="0" w:after="0" w:afterAutospacing="0"/>
              <w:ind w:left="0" w:right="0"/>
              <w:rPr>
                <w:rFonts w:hint="default"/>
              </w:rPr>
            </w:pPr>
            <w:r>
              <w:rPr>
                <w:rFonts w:hint="default"/>
              </w:rPr>
              <w:t>施工期产生的固体废弃物主要包括施工人员的生活垃圾，施工弃土。</w:t>
            </w:r>
          </w:p>
          <w:p>
            <w:pPr>
              <w:keepNext w:val="0"/>
              <w:keepLines w:val="0"/>
              <w:numPr>
                <w:ilvl w:val="0"/>
                <w:numId w:val="26"/>
              </w:numPr>
              <w:suppressLineNumbers w:val="0"/>
              <w:spacing w:before="0" w:beforeAutospacing="0" w:after="0" w:afterAutospacing="0"/>
              <w:ind w:left="0" w:leftChars="0" w:right="0" w:firstLine="480" w:firstLineChars="200"/>
              <w:rPr>
                <w:rFonts w:hint="default"/>
              </w:rPr>
            </w:pPr>
            <w:r>
              <w:rPr>
                <w:rFonts w:hint="default"/>
              </w:rPr>
              <w:t>生活垃圾</w:t>
            </w:r>
          </w:p>
          <w:p>
            <w:pPr>
              <w:keepNext w:val="0"/>
              <w:keepLines w:val="0"/>
              <w:suppressLineNumbers w:val="0"/>
              <w:bidi w:val="0"/>
              <w:spacing w:before="0" w:beforeAutospacing="0" w:after="0" w:afterAutospacing="0"/>
              <w:ind w:left="0" w:right="0"/>
              <w:rPr>
                <w:rFonts w:hint="default"/>
                <w:color w:val="auto"/>
              </w:rPr>
            </w:pPr>
            <w:r>
              <w:rPr>
                <w:rFonts w:hint="default"/>
                <w:color w:val="auto"/>
              </w:rPr>
              <w:t>工程施工期平均施工人员为</w:t>
            </w:r>
            <w:r>
              <w:rPr>
                <w:rFonts w:hint="eastAsia"/>
                <w:color w:val="auto"/>
                <w:lang w:val="en-US" w:eastAsia="zh-CN"/>
              </w:rPr>
              <w:t>30</w:t>
            </w:r>
            <w:r>
              <w:rPr>
                <w:rFonts w:hint="default"/>
                <w:color w:val="auto"/>
              </w:rPr>
              <w:t>人，按人均日产生活垃圾0.5kg计算，则生活垃圾产生量为</w:t>
            </w:r>
            <w:r>
              <w:rPr>
                <w:rFonts w:hint="eastAsia"/>
                <w:color w:val="auto"/>
                <w:lang w:val="en-US" w:eastAsia="zh-CN"/>
              </w:rPr>
              <w:t>3.6</w:t>
            </w:r>
            <w:r>
              <w:rPr>
                <w:rFonts w:hint="default"/>
                <w:color w:val="auto"/>
              </w:rPr>
              <w:t>t。</w:t>
            </w:r>
          </w:p>
          <w:p>
            <w:pPr>
              <w:keepNext w:val="0"/>
              <w:keepLines w:val="0"/>
              <w:numPr>
                <w:ilvl w:val="0"/>
                <w:numId w:val="26"/>
              </w:numPr>
              <w:suppressLineNumbers w:val="0"/>
              <w:spacing w:before="0" w:beforeAutospacing="0" w:after="0" w:afterAutospacing="0"/>
              <w:ind w:left="0" w:leftChars="0" w:right="0" w:firstLine="480" w:firstLineChars="200"/>
              <w:rPr>
                <w:rFonts w:hint="default"/>
                <w:color w:val="auto"/>
              </w:rPr>
            </w:pPr>
            <w:r>
              <w:rPr>
                <w:rFonts w:hint="default"/>
                <w:color w:val="auto"/>
              </w:rPr>
              <w:t>施工弃土</w:t>
            </w:r>
          </w:p>
          <w:p>
            <w:pPr>
              <w:keepNext w:val="0"/>
              <w:keepLines w:val="0"/>
              <w:suppressLineNumbers w:val="0"/>
              <w:bidi w:val="0"/>
              <w:spacing w:before="0" w:beforeAutospacing="0" w:after="0" w:afterAutospacing="0"/>
              <w:ind w:left="0" w:right="0"/>
              <w:rPr>
                <w:rFonts w:hint="default"/>
                <w:color w:val="auto"/>
              </w:rPr>
            </w:pPr>
            <w:r>
              <w:rPr>
                <w:rFonts w:hint="default"/>
                <w:color w:val="auto"/>
              </w:rPr>
              <w:t>本项目施工弃渣主要包括</w:t>
            </w:r>
            <w:r>
              <w:rPr>
                <w:rFonts w:hint="eastAsia"/>
                <w:color w:val="auto"/>
                <w:lang w:val="en-US" w:eastAsia="zh-CN"/>
              </w:rPr>
              <w:t>沟渠清淤</w:t>
            </w:r>
            <w:r>
              <w:rPr>
                <w:rFonts w:hint="default"/>
                <w:color w:val="auto"/>
              </w:rPr>
              <w:t>淤质土、夹建筑垃圾土方等，弃土量为</w:t>
            </w:r>
            <w:r>
              <w:rPr>
                <w:rFonts w:hint="eastAsia"/>
                <w:color w:val="auto"/>
                <w:lang w:val="en-US" w:eastAsia="zh-CN"/>
              </w:rPr>
              <w:t>6123.06</w:t>
            </w:r>
            <w:r>
              <w:rPr>
                <w:rFonts w:hint="default"/>
                <w:color w:val="auto"/>
              </w:rPr>
              <w:t>m</w:t>
            </w:r>
            <w:r>
              <w:rPr>
                <w:rFonts w:hint="default"/>
                <w:color w:val="auto"/>
                <w:vertAlign w:val="superscript"/>
              </w:rPr>
              <w:t>3</w:t>
            </w:r>
            <w:r>
              <w:rPr>
                <w:rFonts w:hint="default"/>
                <w:color w:val="auto"/>
              </w:rPr>
              <w:t>。</w:t>
            </w:r>
          </w:p>
          <w:p>
            <w:pPr>
              <w:keepNext w:val="0"/>
              <w:keepLines w:val="0"/>
              <w:numPr>
                <w:ilvl w:val="0"/>
                <w:numId w:val="23"/>
              </w:numPr>
              <w:suppressLineNumbers w:val="0"/>
              <w:bidi w:val="0"/>
              <w:spacing w:before="0" w:beforeAutospacing="0" w:after="0" w:afterAutospacing="0"/>
              <w:ind w:left="0" w:leftChars="0" w:right="0" w:firstLine="480" w:firstLineChars="200"/>
              <w:rPr>
                <w:rFonts w:hint="default"/>
              </w:rPr>
            </w:pPr>
            <w:r>
              <w:rPr>
                <w:rFonts w:hint="default"/>
              </w:rPr>
              <w:t>生态环境</w:t>
            </w:r>
          </w:p>
          <w:p>
            <w:pPr>
              <w:keepNext w:val="0"/>
              <w:keepLines w:val="0"/>
              <w:suppressLineNumbers w:val="0"/>
              <w:bidi w:val="0"/>
              <w:spacing w:before="0" w:beforeAutospacing="0" w:after="0" w:afterAutospacing="0"/>
              <w:ind w:left="0" w:right="0"/>
              <w:rPr>
                <w:rFonts w:hint="default"/>
              </w:rPr>
            </w:pPr>
            <w:r>
              <w:rPr>
                <w:rFonts w:hint="default"/>
              </w:rPr>
              <w:t>施工期噪声、废气对周围环境有一定影响；同时施工场地人员活动、机械噪声还将对附近动物生存环境造成影响。土方堆放对地表植被产生的影响，且在雨季时将会产生较大的水土流失。施工结束后随地表植被恢复，水土流失也随之减少。</w:t>
            </w:r>
          </w:p>
          <w:p>
            <w:pPr>
              <w:pStyle w:val="2"/>
              <w:keepNext w:val="0"/>
              <w:keepLines w:val="0"/>
              <w:suppressLineNumbers w:val="0"/>
              <w:spacing w:before="0" w:beforeAutospacing="0" w:after="0" w:afterAutospacing="0"/>
              <w:ind w:left="0" w:right="0"/>
              <w:jc w:val="both"/>
              <w:rPr>
                <w:rFonts w:hint="default"/>
              </w:rPr>
            </w:pPr>
          </w:p>
          <w:p>
            <w:pPr>
              <w:pStyle w:val="2"/>
              <w:keepNext w:val="0"/>
              <w:keepLines w:val="0"/>
              <w:suppressLineNumbers w:val="0"/>
              <w:spacing w:before="0" w:beforeAutospacing="0" w:after="0" w:afterAutospacing="0"/>
              <w:ind w:left="0" w:right="0"/>
              <w:jc w:val="both"/>
              <w:rPr>
                <w:rFonts w:hint="default"/>
              </w:rPr>
            </w:pPr>
          </w:p>
          <w:p>
            <w:pPr>
              <w:pStyle w:val="2"/>
              <w:keepNext w:val="0"/>
              <w:keepLines w:val="0"/>
              <w:suppressLineNumbers w:val="0"/>
              <w:spacing w:before="0" w:beforeAutospacing="0" w:after="0" w:afterAutospacing="0"/>
              <w:ind w:left="0" w:right="0"/>
              <w:jc w:val="both"/>
              <w:rPr>
                <w:rFonts w:hint="default"/>
              </w:rPr>
            </w:pPr>
          </w:p>
          <w:p>
            <w:pPr>
              <w:keepNext w:val="0"/>
              <w:keepLines w:val="0"/>
              <w:pageBreakBefore w:val="0"/>
              <w:widowControl w:val="0"/>
              <w:numPr>
                <w:ilvl w:val="0"/>
                <w:numId w:val="18"/>
              </w:numPr>
              <w:suppressLineNumbers w:val="0"/>
              <w:kinsoku/>
              <w:wordWrap/>
              <w:overflowPunct/>
              <w:topLinePunct w:val="0"/>
              <w:autoSpaceDE/>
              <w:autoSpaceDN/>
              <w:bidi w:val="0"/>
              <w:adjustRightInd/>
              <w:snapToGrid/>
              <w:spacing w:before="0" w:beforeAutospacing="0" w:after="0" w:afterAutospacing="0"/>
              <w:ind w:right="0" w:firstLine="0" w:firstLineChars="0"/>
              <w:textAlignment w:val="auto"/>
              <w:rPr>
                <w:rFonts w:hint="default"/>
                <w:b/>
                <w:bCs/>
              </w:rPr>
            </w:pPr>
            <w:r>
              <w:rPr>
                <w:rFonts w:hint="eastAsia"/>
                <w:b/>
                <w:bCs/>
              </w:rPr>
              <w:t>运营期工程分析</w:t>
            </w:r>
          </w:p>
          <w:p>
            <w:pPr>
              <w:keepNext w:val="0"/>
              <w:keepLines w:val="0"/>
              <w:numPr>
                <w:ilvl w:val="0"/>
                <w:numId w:val="27"/>
              </w:numPr>
              <w:suppressLineNumbers w:val="0"/>
              <w:bidi w:val="0"/>
              <w:spacing w:before="0" w:beforeAutospacing="0" w:after="0" w:afterAutospacing="0"/>
              <w:ind w:right="0"/>
              <w:rPr>
                <w:rFonts w:hint="eastAsia"/>
                <w:b/>
                <w:bCs/>
              </w:rPr>
            </w:pPr>
            <w:r>
              <w:rPr>
                <w:rFonts w:hint="eastAsia"/>
                <w:b/>
                <w:bCs/>
              </w:rPr>
              <w:t>运营期工艺流程</w:t>
            </w:r>
          </w:p>
          <w:p>
            <w:pPr>
              <w:keepNext w:val="0"/>
              <w:keepLines w:val="0"/>
              <w:suppressLineNumbers w:val="0"/>
              <w:bidi w:val="0"/>
              <w:spacing w:before="0" w:beforeAutospacing="0" w:after="0" w:afterAutospacing="0"/>
              <w:ind w:left="0" w:right="0"/>
              <w:rPr>
                <w:rFonts w:hint="eastAsia"/>
              </w:rPr>
            </w:pPr>
            <w:r>
              <w:rPr>
                <w:rFonts w:hint="eastAsia"/>
              </w:rPr>
              <w:t>工程实施后，将显著改善区域生态环境，经济、社会和环境效益较为显著，有利于区域经济社会的可持续发展。项目实施后营运期不产生污染物。</w:t>
            </w:r>
          </w:p>
          <w:p>
            <w:pPr>
              <w:keepNext w:val="0"/>
              <w:keepLines w:val="0"/>
              <w:numPr>
                <w:ilvl w:val="0"/>
                <w:numId w:val="27"/>
              </w:numPr>
              <w:suppressLineNumbers w:val="0"/>
              <w:bidi w:val="0"/>
              <w:spacing w:before="0" w:beforeAutospacing="0" w:after="0" w:afterAutospacing="0"/>
              <w:ind w:right="0"/>
              <w:rPr>
                <w:rFonts w:hint="eastAsia"/>
                <w:b/>
                <w:bCs/>
              </w:rPr>
            </w:pPr>
            <w:r>
              <w:rPr>
                <w:rFonts w:hint="eastAsia"/>
                <w:b/>
                <w:bCs/>
              </w:rPr>
              <w:t>运营期主要污染分析</w:t>
            </w:r>
          </w:p>
          <w:p>
            <w:pPr>
              <w:keepNext w:val="0"/>
              <w:keepLines w:val="0"/>
              <w:suppressLineNumbers w:val="0"/>
              <w:bidi w:val="0"/>
              <w:spacing w:before="0" w:beforeAutospacing="0" w:after="0" w:afterAutospacing="0"/>
              <w:ind w:left="0" w:right="0"/>
              <w:rPr>
                <w:rFonts w:hint="default"/>
              </w:rPr>
            </w:pPr>
            <w:r>
              <w:rPr>
                <w:rFonts w:hint="eastAsia"/>
              </w:rPr>
              <w:t>本工程为改善区域生态环境，工程竣工后，施工造成的水污染、大气污染、噪声污染消除，施工期产生的固体废弃物得到合理处置，对施工期临时用地进行整地复耕或迹地绿化。在正常运行期，不产生污染物的排放，运行期本工程无环境负影响。</w:t>
            </w:r>
          </w:p>
        </w:tc>
      </w:tr>
    </w:tbl>
    <w:p>
      <w:p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p>
      <w:pPr>
        <w:pStyle w:val="3"/>
        <w:bidi w:val="0"/>
        <w:rPr>
          <w:rFonts w:hint="eastAsia"/>
        </w:rPr>
      </w:pPr>
      <w:r>
        <w:rPr>
          <w:rFonts w:hint="eastAsia"/>
        </w:rPr>
        <w:t>建设项目主要污染物产生及排放情况</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8"/>
        <w:gridCol w:w="465"/>
        <w:gridCol w:w="1725"/>
        <w:gridCol w:w="1901"/>
        <w:gridCol w:w="2196"/>
        <w:gridCol w:w="2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tcBorders>
              <w:tl2br w:val="single" w:color="auto" w:sz="4" w:space="0"/>
            </w:tcBorders>
            <w:noWrap w:val="0"/>
            <w:vAlign w:val="center"/>
          </w:tcPr>
          <w:p>
            <w:pPr>
              <w:keepNext w:val="0"/>
              <w:keepLines w:val="0"/>
              <w:suppressLineNumbers w:val="0"/>
              <w:spacing w:before="0" w:beforeAutospacing="0" w:after="0" w:afterAutospacing="0" w:line="240" w:lineRule="auto"/>
              <w:ind w:left="0" w:leftChars="0" w:right="0" w:firstLine="0" w:firstLineChars="0"/>
              <w:jc w:val="right"/>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内容</w:t>
            </w:r>
          </w:p>
          <w:p>
            <w:pPr>
              <w:keepNext w:val="0"/>
              <w:keepLines w:val="0"/>
              <w:suppressLineNumbers w:val="0"/>
              <w:spacing w:before="0" w:beforeAutospacing="0" w:after="0" w:afterAutospacing="0" w:line="240" w:lineRule="auto"/>
              <w:ind w:left="0" w:right="0" w:firstLine="0" w:firstLineChars="0"/>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类型</w:t>
            </w:r>
          </w:p>
        </w:tc>
        <w:tc>
          <w:tcPr>
            <w:tcW w:w="2190" w:type="dxa"/>
            <w:gridSpan w:val="2"/>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排放源</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（编号）</w:t>
            </w:r>
          </w:p>
        </w:tc>
        <w:tc>
          <w:tcPr>
            <w:tcW w:w="190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污染物名称</w:t>
            </w:r>
          </w:p>
        </w:tc>
        <w:tc>
          <w:tcPr>
            <w:tcW w:w="219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处理前产生量及产生浓度</w:t>
            </w:r>
          </w:p>
        </w:tc>
        <w:tc>
          <w:tcPr>
            <w:tcW w:w="2053"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处理后排放量及排放浓度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大</w:t>
            </w:r>
          </w:p>
          <w:p>
            <w:pPr>
              <w:keepNext w:val="0"/>
              <w:keepLines w:val="0"/>
              <w:suppressLineNumbers w:val="0"/>
              <w:spacing w:before="0" w:beforeAutospacing="0" w:after="0" w:afterAutospacing="0" w:line="240" w:lineRule="auto"/>
              <w:ind w:left="0" w:right="0" w:firstLine="0" w:firstLineChars="0"/>
              <w:jc w:val="center"/>
              <w:rPr>
                <w:rFonts w:hint="eastAsia"/>
              </w:rPr>
            </w:pPr>
            <w:r>
              <w:rPr>
                <w:rFonts w:hint="eastAsia" w:ascii="Times New Roman" w:hAnsi="Times New Roman" w:eastAsia="宋体" w:cs="Times New Roman"/>
                <w:b w:val="0"/>
                <w:bCs/>
                <w:sz w:val="24"/>
                <w:szCs w:val="24"/>
              </w:rPr>
              <w:t>气</w:t>
            </w:r>
          </w:p>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污</w:t>
            </w:r>
          </w:p>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染</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物</w:t>
            </w:r>
          </w:p>
        </w:tc>
        <w:tc>
          <w:tcPr>
            <w:tcW w:w="465"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施工期</w:t>
            </w:r>
          </w:p>
        </w:tc>
        <w:tc>
          <w:tcPr>
            <w:tcW w:w="1725"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施工作业、运输车辆</w:t>
            </w:r>
          </w:p>
        </w:tc>
        <w:tc>
          <w:tcPr>
            <w:tcW w:w="1901" w:type="dxa"/>
            <w:noWrap w:val="0"/>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扬尘</w:t>
            </w:r>
          </w:p>
        </w:tc>
        <w:tc>
          <w:tcPr>
            <w:tcW w:w="2196"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w:t>
            </w:r>
          </w:p>
        </w:tc>
        <w:tc>
          <w:tcPr>
            <w:tcW w:w="2053"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46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725"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机械废气</w:t>
            </w:r>
          </w:p>
        </w:tc>
        <w:tc>
          <w:tcPr>
            <w:tcW w:w="1901" w:type="dxa"/>
            <w:noWrap w:val="0"/>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vertAlign w:val="subscript"/>
              </w:rPr>
            </w:pPr>
            <w:r>
              <w:rPr>
                <w:rFonts w:hint="eastAsia" w:ascii="Times New Roman" w:hAnsi="Times New Roman" w:eastAsia="宋体" w:cs="Times New Roman"/>
                <w:b w:val="0"/>
                <w:bCs/>
                <w:sz w:val="24"/>
                <w:szCs w:val="24"/>
              </w:rPr>
              <w:t>C</w:t>
            </w:r>
            <w:r>
              <w:rPr>
                <w:rFonts w:hint="default" w:ascii="Times New Roman" w:hAnsi="Times New Roman" w:eastAsia="宋体" w:cs="Times New Roman"/>
                <w:b w:val="0"/>
                <w:bCs/>
                <w:sz w:val="24"/>
                <w:szCs w:val="24"/>
              </w:rPr>
              <w:t>O</w:t>
            </w:r>
            <w:r>
              <w:rPr>
                <w:rFonts w:hint="eastAsia" w:ascii="Times New Roman" w:hAnsi="Times New Roman" w:eastAsia="宋体" w:cs="Times New Roman"/>
                <w:b w:val="0"/>
                <w:bCs/>
                <w:sz w:val="24"/>
                <w:szCs w:val="24"/>
              </w:rPr>
              <w:t>、N</w:t>
            </w:r>
            <w:r>
              <w:rPr>
                <w:rFonts w:hint="default" w:ascii="Times New Roman" w:hAnsi="Times New Roman" w:eastAsia="宋体" w:cs="Times New Roman"/>
                <w:b w:val="0"/>
                <w:bCs/>
                <w:sz w:val="24"/>
                <w:szCs w:val="24"/>
              </w:rPr>
              <w:t>O</w:t>
            </w:r>
            <w:r>
              <w:rPr>
                <w:rFonts w:hint="default" w:ascii="Times New Roman" w:hAnsi="Times New Roman" w:eastAsia="宋体" w:cs="Times New Roman"/>
                <w:b w:val="0"/>
                <w:bCs/>
                <w:sz w:val="24"/>
                <w:szCs w:val="24"/>
                <w:vertAlign w:val="subscript"/>
              </w:rPr>
              <w:t>X</w:t>
            </w:r>
          </w:p>
        </w:tc>
        <w:tc>
          <w:tcPr>
            <w:tcW w:w="2196"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2053"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46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725"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清淤</w:t>
            </w:r>
          </w:p>
        </w:tc>
        <w:tc>
          <w:tcPr>
            <w:tcW w:w="1901" w:type="dxa"/>
            <w:noWrap w:val="0"/>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恶臭</w:t>
            </w:r>
          </w:p>
        </w:tc>
        <w:tc>
          <w:tcPr>
            <w:tcW w:w="219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w:t>
            </w:r>
          </w:p>
        </w:tc>
        <w:tc>
          <w:tcPr>
            <w:tcW w:w="2053"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水</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污</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染</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物</w:t>
            </w:r>
          </w:p>
        </w:tc>
        <w:tc>
          <w:tcPr>
            <w:tcW w:w="465"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施工期</w:t>
            </w:r>
          </w:p>
        </w:tc>
        <w:tc>
          <w:tcPr>
            <w:tcW w:w="1725"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生活污水</w:t>
            </w:r>
          </w:p>
        </w:tc>
        <w:tc>
          <w:tcPr>
            <w:tcW w:w="190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COD</w:t>
            </w:r>
          </w:p>
        </w:tc>
        <w:tc>
          <w:tcPr>
            <w:tcW w:w="219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b w:val="0"/>
                <w:bCs/>
                <w:color w:val="auto"/>
                <w:sz w:val="24"/>
                <w:szCs w:val="24"/>
              </w:rPr>
              <w:t>300mg/L</w:t>
            </w:r>
            <w:r>
              <w:rPr>
                <w:rFonts w:hint="eastAsia" w:ascii="Times New Roman" w:hAnsi="Times New Roman" w:eastAsia="宋体" w:cs="Times New Roman"/>
                <w:b w:val="0"/>
                <w:bCs/>
                <w:color w:val="auto"/>
                <w:sz w:val="24"/>
                <w:szCs w:val="24"/>
              </w:rPr>
              <w:t>，</w:t>
            </w:r>
            <w:r>
              <w:rPr>
                <w:rFonts w:hint="eastAsia" w:cs="Times New Roman"/>
                <w:b w:val="0"/>
                <w:bCs/>
                <w:color w:val="auto"/>
                <w:sz w:val="24"/>
                <w:szCs w:val="24"/>
                <w:lang w:val="en-US" w:eastAsia="zh-CN"/>
              </w:rPr>
              <w:t>0.17</w:t>
            </w:r>
            <w:r>
              <w:rPr>
                <w:rFonts w:hint="default" w:ascii="Times New Roman" w:hAnsi="Times New Roman" w:eastAsia="宋体" w:cs="Times New Roman"/>
                <w:b w:val="0"/>
                <w:bCs/>
                <w:color w:val="auto"/>
                <w:sz w:val="24"/>
                <w:szCs w:val="24"/>
              </w:rPr>
              <w:t>t</w:t>
            </w:r>
            <w:r>
              <w:rPr>
                <w:rFonts w:hint="eastAsia" w:cs="Times New Roman"/>
                <w:b w:val="0"/>
                <w:bCs/>
                <w:color w:val="auto"/>
                <w:sz w:val="24"/>
                <w:szCs w:val="24"/>
                <w:lang w:val="en-US" w:eastAsia="zh-CN"/>
              </w:rPr>
              <w:t>/a</w:t>
            </w:r>
          </w:p>
        </w:tc>
        <w:tc>
          <w:tcPr>
            <w:tcW w:w="2053"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46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72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90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NH</w:t>
            </w:r>
            <w:r>
              <w:rPr>
                <w:rFonts w:hint="default" w:ascii="Times New Roman" w:hAnsi="Times New Roman" w:eastAsia="宋体" w:cs="Times New Roman"/>
                <w:b w:val="0"/>
                <w:bCs/>
                <w:sz w:val="24"/>
                <w:szCs w:val="24"/>
                <w:vertAlign w:val="subscript"/>
              </w:rPr>
              <w:t>3</w:t>
            </w:r>
            <w:r>
              <w:rPr>
                <w:rFonts w:hint="default" w:ascii="Times New Roman" w:hAnsi="Times New Roman" w:eastAsia="宋体" w:cs="Times New Roman"/>
                <w:b w:val="0"/>
                <w:bCs/>
                <w:sz w:val="24"/>
                <w:szCs w:val="24"/>
              </w:rPr>
              <w:t>-N</w:t>
            </w:r>
          </w:p>
        </w:tc>
        <w:tc>
          <w:tcPr>
            <w:tcW w:w="219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25mg/L</w:t>
            </w:r>
            <w:r>
              <w:rPr>
                <w:rFonts w:hint="eastAsia" w:ascii="Times New Roman" w:hAnsi="Times New Roman" w:eastAsia="宋体" w:cs="Times New Roman"/>
                <w:b w:val="0"/>
                <w:bCs/>
                <w:color w:val="auto"/>
                <w:sz w:val="24"/>
                <w:szCs w:val="24"/>
              </w:rPr>
              <w:t>，</w:t>
            </w:r>
            <w:r>
              <w:rPr>
                <w:rFonts w:hint="eastAsia" w:cs="Times New Roman"/>
                <w:b w:val="0"/>
                <w:bCs/>
                <w:color w:val="auto"/>
                <w:sz w:val="24"/>
                <w:szCs w:val="24"/>
                <w:lang w:val="en-US" w:eastAsia="zh-CN"/>
              </w:rPr>
              <w:t>0.014</w:t>
            </w:r>
            <w:r>
              <w:rPr>
                <w:rFonts w:hint="default" w:ascii="Times New Roman" w:hAnsi="Times New Roman" w:eastAsia="宋体" w:cs="Times New Roman"/>
                <w:b w:val="0"/>
                <w:bCs/>
                <w:color w:val="auto"/>
                <w:sz w:val="24"/>
                <w:szCs w:val="24"/>
              </w:rPr>
              <w:t>t/a</w:t>
            </w:r>
          </w:p>
        </w:tc>
        <w:tc>
          <w:tcPr>
            <w:tcW w:w="2053"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46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72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90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SS</w:t>
            </w:r>
          </w:p>
        </w:tc>
        <w:tc>
          <w:tcPr>
            <w:tcW w:w="219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200mg/L</w:t>
            </w:r>
            <w:r>
              <w:rPr>
                <w:rFonts w:hint="eastAsia" w:ascii="Times New Roman" w:hAnsi="Times New Roman" w:eastAsia="宋体" w:cs="Times New Roman"/>
                <w:b w:val="0"/>
                <w:bCs/>
                <w:color w:val="auto"/>
                <w:sz w:val="24"/>
                <w:szCs w:val="24"/>
              </w:rPr>
              <w:t>，</w:t>
            </w:r>
            <w:r>
              <w:rPr>
                <w:rFonts w:hint="eastAsia" w:cs="Times New Roman"/>
                <w:b w:val="0"/>
                <w:bCs/>
                <w:color w:val="auto"/>
                <w:sz w:val="24"/>
                <w:szCs w:val="24"/>
                <w:lang w:val="en-US" w:eastAsia="zh-CN"/>
              </w:rPr>
              <w:t>0.12</w:t>
            </w:r>
            <w:r>
              <w:rPr>
                <w:rFonts w:hint="default" w:ascii="Times New Roman" w:hAnsi="Times New Roman" w:eastAsia="宋体" w:cs="Times New Roman"/>
                <w:b w:val="0"/>
                <w:bCs/>
                <w:color w:val="auto"/>
                <w:sz w:val="24"/>
                <w:szCs w:val="24"/>
              </w:rPr>
              <w:t>t/a</w:t>
            </w:r>
          </w:p>
        </w:tc>
        <w:tc>
          <w:tcPr>
            <w:tcW w:w="2053"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46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72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90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BOD</w:t>
            </w:r>
            <w:r>
              <w:rPr>
                <w:rFonts w:hint="default" w:ascii="Times New Roman" w:hAnsi="Times New Roman" w:eastAsia="宋体" w:cs="Times New Roman"/>
                <w:b w:val="0"/>
                <w:bCs/>
                <w:sz w:val="24"/>
                <w:szCs w:val="24"/>
                <w:vertAlign w:val="subscript"/>
              </w:rPr>
              <w:t>5</w:t>
            </w:r>
          </w:p>
        </w:tc>
        <w:tc>
          <w:tcPr>
            <w:tcW w:w="219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rPr>
              <w:t>160mg/L</w:t>
            </w:r>
            <w:r>
              <w:rPr>
                <w:rFonts w:hint="eastAsia" w:ascii="Times New Roman" w:hAnsi="Times New Roman" w:eastAsia="宋体" w:cs="Times New Roman"/>
                <w:b w:val="0"/>
                <w:bCs/>
                <w:color w:val="auto"/>
                <w:sz w:val="24"/>
                <w:szCs w:val="24"/>
              </w:rPr>
              <w:t>，</w:t>
            </w:r>
            <w:r>
              <w:rPr>
                <w:rFonts w:hint="eastAsia" w:cs="Times New Roman"/>
                <w:b w:val="0"/>
                <w:bCs/>
                <w:color w:val="auto"/>
                <w:sz w:val="24"/>
                <w:szCs w:val="24"/>
                <w:lang w:val="en-US" w:eastAsia="zh-CN"/>
              </w:rPr>
              <w:t>0.09</w:t>
            </w:r>
            <w:r>
              <w:rPr>
                <w:rFonts w:hint="default" w:ascii="Times New Roman" w:hAnsi="Times New Roman" w:eastAsia="宋体" w:cs="Times New Roman"/>
                <w:b w:val="0"/>
                <w:bCs/>
                <w:color w:val="auto"/>
                <w:sz w:val="24"/>
                <w:szCs w:val="24"/>
              </w:rPr>
              <w:t>t/a</w:t>
            </w:r>
          </w:p>
        </w:tc>
        <w:tc>
          <w:tcPr>
            <w:tcW w:w="2053"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46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725"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冲洗废水</w:t>
            </w:r>
          </w:p>
        </w:tc>
        <w:tc>
          <w:tcPr>
            <w:tcW w:w="190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S</w:t>
            </w:r>
            <w:r>
              <w:rPr>
                <w:rFonts w:hint="default" w:ascii="Times New Roman" w:hAnsi="Times New Roman" w:eastAsia="宋体" w:cs="Times New Roman"/>
                <w:b w:val="0"/>
                <w:bCs/>
                <w:sz w:val="24"/>
                <w:szCs w:val="24"/>
              </w:rPr>
              <w:t>S</w:t>
            </w:r>
          </w:p>
        </w:tc>
        <w:tc>
          <w:tcPr>
            <w:tcW w:w="219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2</w:t>
            </w:r>
            <w:r>
              <w:rPr>
                <w:rFonts w:hint="default" w:ascii="Times New Roman" w:hAnsi="Times New Roman" w:eastAsia="宋体" w:cs="Times New Roman"/>
                <w:b w:val="0"/>
                <w:bCs/>
                <w:color w:val="auto"/>
                <w:sz w:val="24"/>
                <w:szCs w:val="24"/>
              </w:rPr>
              <w:t>000</w:t>
            </w:r>
            <w:r>
              <w:rPr>
                <w:rFonts w:hint="eastAsia" w:ascii="Times New Roman" w:hAnsi="Times New Roman" w:eastAsia="宋体" w:cs="Times New Roman"/>
                <w:b w:val="0"/>
                <w:bCs/>
                <w:color w:val="auto"/>
                <w:sz w:val="24"/>
                <w:szCs w:val="24"/>
              </w:rPr>
              <w:t>mg/L</w:t>
            </w:r>
          </w:p>
        </w:tc>
        <w:tc>
          <w:tcPr>
            <w:tcW w:w="2053"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46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72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901"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石油类</w:t>
            </w:r>
          </w:p>
        </w:tc>
        <w:tc>
          <w:tcPr>
            <w:tcW w:w="219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rPr>
              <w:t>5</w:t>
            </w:r>
            <w:r>
              <w:rPr>
                <w:rFonts w:hint="default" w:ascii="Times New Roman" w:hAnsi="Times New Roman" w:eastAsia="宋体" w:cs="Times New Roman"/>
                <w:b w:val="0"/>
                <w:bCs/>
                <w:color w:val="auto"/>
                <w:sz w:val="24"/>
                <w:szCs w:val="24"/>
              </w:rPr>
              <w:t>0</w:t>
            </w:r>
            <w:r>
              <w:rPr>
                <w:rFonts w:hint="eastAsia" w:ascii="Times New Roman" w:hAnsi="Times New Roman" w:eastAsia="宋体" w:cs="Times New Roman"/>
                <w:b w:val="0"/>
                <w:bCs/>
                <w:color w:val="auto"/>
                <w:sz w:val="24"/>
                <w:szCs w:val="24"/>
              </w:rPr>
              <w:t>mg/L</w:t>
            </w:r>
          </w:p>
        </w:tc>
        <w:tc>
          <w:tcPr>
            <w:tcW w:w="2053"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固</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体</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废</w:t>
            </w:r>
          </w:p>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物</w:t>
            </w:r>
          </w:p>
        </w:tc>
        <w:tc>
          <w:tcPr>
            <w:tcW w:w="465" w:type="dxa"/>
            <w:vMerge w:val="restart"/>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施工期</w:t>
            </w:r>
          </w:p>
        </w:tc>
        <w:tc>
          <w:tcPr>
            <w:tcW w:w="1725"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施工</w:t>
            </w:r>
          </w:p>
        </w:tc>
        <w:tc>
          <w:tcPr>
            <w:tcW w:w="1901" w:type="dxa"/>
            <w:noWrap w:val="0"/>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弃土</w:t>
            </w:r>
          </w:p>
        </w:tc>
        <w:tc>
          <w:tcPr>
            <w:tcW w:w="219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4"/>
                <w:szCs w:val="24"/>
              </w:rPr>
            </w:pPr>
            <w:r>
              <w:rPr>
                <w:rFonts w:hint="eastAsia" w:ascii="Times New Roman" w:hAnsi="Times New Roman" w:eastAsia="宋体" w:cs="Times New Roman"/>
                <w:b w:val="0"/>
                <w:bCs/>
                <w:color w:val="auto"/>
                <w:sz w:val="24"/>
                <w:szCs w:val="24"/>
                <w:lang w:val="en-US" w:eastAsia="zh-CN"/>
              </w:rPr>
              <w:t>6123.06m</w:t>
            </w:r>
            <w:r>
              <w:rPr>
                <w:rFonts w:hint="eastAsia" w:ascii="Times New Roman" w:hAnsi="Times New Roman" w:eastAsia="宋体" w:cs="Times New Roman"/>
                <w:b w:val="0"/>
                <w:bCs/>
                <w:color w:val="auto"/>
                <w:sz w:val="24"/>
                <w:szCs w:val="24"/>
                <w:vertAlign w:val="superscript"/>
                <w:lang w:val="en-US" w:eastAsia="zh-CN"/>
              </w:rPr>
              <w:t>3</w:t>
            </w:r>
            <w:r>
              <w:rPr>
                <w:rFonts w:hint="default" w:ascii="Times New Roman" w:hAnsi="Times New Roman" w:eastAsia="宋体" w:cs="Times New Roman"/>
                <w:b w:val="0"/>
                <w:bCs/>
                <w:color w:val="auto"/>
                <w:sz w:val="24"/>
                <w:szCs w:val="24"/>
              </w:rPr>
              <w:t>/a</w:t>
            </w:r>
          </w:p>
        </w:tc>
        <w:tc>
          <w:tcPr>
            <w:tcW w:w="2053"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8"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465" w:type="dxa"/>
            <w:vMerge w:val="continue"/>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p>
        </w:tc>
        <w:tc>
          <w:tcPr>
            <w:tcW w:w="1725"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eastAsia"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办公生活</w:t>
            </w:r>
          </w:p>
        </w:tc>
        <w:tc>
          <w:tcPr>
            <w:tcW w:w="1901" w:type="dxa"/>
            <w:noWrap w:val="0"/>
            <w:vAlign w:val="center"/>
          </w:tcPr>
          <w:p>
            <w:pPr>
              <w:keepNext w:val="0"/>
              <w:keepLines w:val="0"/>
              <w:suppressLineNumbers w:val="0"/>
              <w:autoSpaceDE w:val="0"/>
              <w:autoSpaceDN w:val="0"/>
              <w:adjustRightInd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生活垃圾</w:t>
            </w:r>
          </w:p>
        </w:tc>
        <w:tc>
          <w:tcPr>
            <w:tcW w:w="2196"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color w:val="auto"/>
                <w:sz w:val="24"/>
                <w:szCs w:val="24"/>
              </w:rPr>
            </w:pPr>
            <w:r>
              <w:rPr>
                <w:rFonts w:hint="eastAsia" w:cs="Times New Roman"/>
                <w:b w:val="0"/>
                <w:bCs/>
                <w:color w:val="auto"/>
                <w:sz w:val="24"/>
                <w:szCs w:val="24"/>
                <w:lang w:val="en-US" w:eastAsia="zh-CN"/>
              </w:rPr>
              <w:t>3.6</w:t>
            </w:r>
            <w:r>
              <w:rPr>
                <w:rFonts w:hint="default" w:ascii="Times New Roman" w:hAnsi="Times New Roman" w:eastAsia="宋体" w:cs="Times New Roman"/>
                <w:b w:val="0"/>
                <w:bCs/>
                <w:color w:val="auto"/>
                <w:sz w:val="24"/>
                <w:szCs w:val="24"/>
              </w:rPr>
              <w:t>t/a</w:t>
            </w:r>
          </w:p>
        </w:tc>
        <w:tc>
          <w:tcPr>
            <w:tcW w:w="2053"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keepNext w:val="0"/>
              <w:keepLines w:val="0"/>
              <w:suppressLineNumbers w:val="0"/>
              <w:spacing w:before="0" w:beforeAutospacing="0" w:after="0" w:afterAutospacing="0" w:line="240" w:lineRule="auto"/>
              <w:ind w:left="0" w:right="0" w:firstLine="0" w:firstLineChars="0"/>
              <w:jc w:val="center"/>
              <w:rPr>
                <w:rFonts w:hint="default" w:ascii="Times New Roman" w:hAnsi="Times New Roman" w:eastAsia="宋体" w:cs="Times New Roman"/>
                <w:b w:val="0"/>
                <w:bCs/>
                <w:sz w:val="24"/>
                <w:szCs w:val="24"/>
              </w:rPr>
            </w:pPr>
            <w:r>
              <w:rPr>
                <w:rFonts w:hint="default" w:ascii="Times New Roman" w:hAnsi="Times New Roman" w:eastAsia="宋体" w:cs="Times New Roman"/>
                <w:b w:val="0"/>
                <w:bCs/>
                <w:sz w:val="24"/>
                <w:szCs w:val="24"/>
              </w:rPr>
              <w:t>噪声</w:t>
            </w:r>
          </w:p>
        </w:tc>
        <w:tc>
          <w:tcPr>
            <w:tcW w:w="8340" w:type="dxa"/>
            <w:gridSpan w:val="5"/>
            <w:noWrap w:val="0"/>
            <w:vAlign w:val="center"/>
          </w:tcPr>
          <w:p>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b w:val="0"/>
                <w:bCs/>
                <w:sz w:val="24"/>
                <w:szCs w:val="24"/>
              </w:rPr>
            </w:pPr>
            <w:r>
              <w:rPr>
                <w:rFonts w:hint="eastAsia" w:ascii="Times New Roman" w:hAnsi="Times New Roman" w:eastAsia="宋体" w:cs="Times New Roman"/>
                <w:b w:val="0"/>
                <w:bCs/>
                <w:sz w:val="24"/>
                <w:szCs w:val="24"/>
              </w:rPr>
              <w:t>项目施工期主要噪声源有挖掘机、自卸汽车、推土机、蛙式打夯机等施工机械运行噪声，以及运输车辆的行驶噪声，声源5m处噪声值约80~100dB(A)。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9288" w:type="dxa"/>
            <w:gridSpan w:val="6"/>
            <w:noWrap w:val="0"/>
            <w:vAlign w:val="top"/>
          </w:tcPr>
          <w:p>
            <w:pPr>
              <w:keepNext w:val="0"/>
              <w:keepLines w:val="0"/>
              <w:suppressLineNumbers w:val="0"/>
              <w:spacing w:before="0" w:beforeAutospacing="0" w:after="0" w:afterAutospacing="0" w:line="240" w:lineRule="auto"/>
              <w:ind w:left="0" w:right="0" w:firstLine="0" w:firstLineChars="0"/>
              <w:rPr>
                <w:rFonts w:hint="default" w:ascii="Times New Roman" w:hAnsi="Times New Roman" w:eastAsia="宋体" w:cs="Times New Roman"/>
                <w:b/>
                <w:bCs/>
                <w:sz w:val="24"/>
                <w:szCs w:val="24"/>
              </w:rPr>
            </w:pPr>
            <w:r>
              <w:rPr>
                <w:rFonts w:hint="default" w:ascii="Times New Roman" w:hAnsi="Times New Roman" w:eastAsia="宋体" w:cs="Times New Roman"/>
                <w:b/>
                <w:bCs/>
                <w:sz w:val="24"/>
                <w:szCs w:val="24"/>
              </w:rPr>
              <w:t>生态影响：</w:t>
            </w:r>
          </w:p>
          <w:p>
            <w:pPr>
              <w:keepNext w:val="0"/>
              <w:keepLines w:val="0"/>
              <w:suppressLineNumbers w:val="0"/>
              <w:bidi w:val="0"/>
              <w:spacing w:before="0" w:beforeAutospacing="0" w:after="0" w:afterAutospacing="0"/>
              <w:ind w:left="0" w:right="0"/>
              <w:rPr>
                <w:rFonts w:hint="eastAsia"/>
                <w:lang w:val="en-US" w:eastAsia="zh-CN"/>
              </w:rPr>
            </w:pPr>
            <w:r>
              <w:rPr>
                <w:rFonts w:hint="eastAsia"/>
                <w:lang w:val="en-US" w:eastAsia="zh-CN"/>
              </w:rPr>
              <w:t>施工期生态影响</w:t>
            </w:r>
          </w:p>
          <w:p>
            <w:pPr>
              <w:keepNext w:val="0"/>
              <w:keepLines w:val="0"/>
              <w:suppressLineNumbers w:val="0"/>
              <w:bidi w:val="0"/>
              <w:spacing w:before="0" w:beforeAutospacing="0" w:after="0" w:afterAutospacing="0"/>
              <w:ind w:left="0" w:right="0"/>
              <w:jc w:val="both"/>
              <w:rPr>
                <w:rFonts w:hint="default"/>
                <w:lang w:val="en-US" w:eastAsia="zh-CN"/>
              </w:rPr>
            </w:pPr>
            <w:r>
              <w:rPr>
                <w:rFonts w:hint="eastAsia"/>
                <w:lang w:val="en-US" w:eastAsia="zh-CN"/>
              </w:rPr>
              <w:t>本项目建设对陆生生态环境的影响主要表现在施工期，在施工作业过程、工程占地对土地利用、植被、水土流失等产生的影响，改变部分原有的地形地貌，破坏现有植被，使地表出现局部裸露，使局部地区表土失去防冲固土能力造成的水土流失。施工结束后随地表植被恢复，水土流失也随之减少。</w:t>
            </w:r>
          </w:p>
          <w:p>
            <w:pPr>
              <w:keepNext w:val="0"/>
              <w:keepLines w:val="0"/>
              <w:widowControl w:val="0"/>
              <w:suppressLineNumbers w:val="0"/>
              <w:autoSpaceDE w:val="0"/>
              <w:autoSpaceDN w:val="0"/>
              <w:adjustRightInd w:val="0"/>
              <w:spacing w:before="0" w:beforeAutospacing="0" w:after="0" w:afterAutospacing="0" w:line="360" w:lineRule="auto"/>
              <w:ind w:left="0" w:right="0"/>
              <w:rPr>
                <w:rFonts w:hint="default" w:ascii="Times New Roman" w:hAnsi="Times New Roman" w:eastAsia="宋体" w:cs="Times New Roman"/>
                <w:color w:val="auto"/>
                <w:sz w:val="24"/>
                <w:szCs w:val="24"/>
                <w:lang w:val="en-US" w:eastAsia="zh-CN" w:bidi="ar-SA"/>
              </w:rPr>
            </w:pPr>
          </w:p>
          <w:p>
            <w:pPr>
              <w:keepNext w:val="0"/>
              <w:keepLines w:val="0"/>
              <w:widowControl w:val="0"/>
              <w:suppressLineNumbers w:val="0"/>
              <w:autoSpaceDE w:val="0"/>
              <w:autoSpaceDN w:val="0"/>
              <w:adjustRightInd w:val="0"/>
              <w:spacing w:before="0" w:beforeAutospacing="0" w:after="0" w:afterAutospacing="0"/>
              <w:ind w:left="0" w:right="0"/>
              <w:rPr>
                <w:rFonts w:hint="default" w:ascii="Times New Roman" w:hAnsi="Times New Roman" w:eastAsia="宋体" w:cs="Times New Roman"/>
                <w:color w:val="auto"/>
                <w:sz w:val="24"/>
                <w:szCs w:val="24"/>
                <w:lang w:val="en-US" w:eastAsia="zh-CN" w:bidi="ar-SA"/>
              </w:rPr>
            </w:pPr>
          </w:p>
          <w:p>
            <w:pPr>
              <w:keepNext w:val="0"/>
              <w:keepLines w:val="0"/>
              <w:widowControl w:val="0"/>
              <w:suppressLineNumbers w:val="0"/>
              <w:autoSpaceDE w:val="0"/>
              <w:autoSpaceDN w:val="0"/>
              <w:adjustRightInd w:val="0"/>
              <w:spacing w:before="0" w:beforeAutospacing="0" w:after="0" w:afterAutospacing="0"/>
              <w:ind w:left="0" w:right="0"/>
              <w:rPr>
                <w:rFonts w:hint="default" w:ascii="Times New Roman" w:hAnsi="Times New Roman" w:eastAsia="宋体" w:cs="Times New Roman"/>
                <w:color w:val="auto"/>
                <w:sz w:val="24"/>
                <w:szCs w:val="24"/>
                <w:lang w:val="en-US" w:eastAsia="zh-CN" w:bidi="ar-SA"/>
              </w:rPr>
            </w:pPr>
          </w:p>
          <w:p>
            <w:pPr>
              <w:keepNext w:val="0"/>
              <w:keepLines w:val="0"/>
              <w:widowControl w:val="0"/>
              <w:suppressLineNumbers w:val="0"/>
              <w:autoSpaceDE w:val="0"/>
              <w:autoSpaceDN w:val="0"/>
              <w:adjustRightInd w:val="0"/>
              <w:spacing w:before="0" w:beforeAutospacing="0" w:after="0" w:afterAutospacing="0"/>
              <w:ind w:left="0" w:right="0"/>
              <w:rPr>
                <w:rFonts w:hint="default" w:ascii="Times New Roman" w:hAnsi="Times New Roman" w:eastAsia="宋体" w:cs="Times New Roman"/>
                <w:color w:val="auto"/>
                <w:sz w:val="24"/>
                <w:szCs w:val="24"/>
                <w:lang w:val="en-US" w:eastAsia="zh-CN" w:bidi="ar-SA"/>
              </w:rPr>
            </w:pPr>
          </w:p>
          <w:p>
            <w:pPr>
              <w:keepNext w:val="0"/>
              <w:keepLines w:val="0"/>
              <w:widowControl w:val="0"/>
              <w:suppressLineNumbers w:val="0"/>
              <w:autoSpaceDE w:val="0"/>
              <w:autoSpaceDN w:val="0"/>
              <w:adjustRightInd w:val="0"/>
              <w:spacing w:before="0" w:beforeAutospacing="0" w:after="0" w:afterAutospacing="0"/>
              <w:ind w:left="0" w:right="0"/>
              <w:rPr>
                <w:rFonts w:hint="default" w:ascii="Times New Roman" w:hAnsi="Times New Roman" w:eastAsia="宋体" w:cs="Times New Roman"/>
                <w:color w:val="auto"/>
                <w:sz w:val="24"/>
                <w:szCs w:val="24"/>
                <w:lang w:val="en-US" w:eastAsia="zh-CN" w:bidi="ar-SA"/>
              </w:rPr>
            </w:pPr>
          </w:p>
        </w:tc>
      </w:tr>
    </w:tbl>
    <w:p>
      <w:p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p>
      <w:pPr>
        <w:pStyle w:val="3"/>
        <w:bidi w:val="0"/>
        <w:rPr>
          <w:rFonts w:hint="eastAsia"/>
        </w:rPr>
      </w:pPr>
      <w:r>
        <w:rPr>
          <w:rFonts w:hint="eastAsia"/>
        </w:rPr>
        <w:t>环境影响分析</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26" w:hRule="atLeast"/>
        </w:trPr>
        <w:tc>
          <w:tcPr>
            <w:tcW w:w="9288" w:type="dxa"/>
          </w:tcPr>
          <w:p>
            <w:pPr>
              <w:keepNext w:val="0"/>
              <w:keepLines w:val="0"/>
              <w:numPr>
                <w:ilvl w:val="0"/>
                <w:numId w:val="28"/>
              </w:numPr>
              <w:suppressLineNumbers w:val="0"/>
              <w:spacing w:before="0" w:beforeAutospacing="0" w:after="0" w:afterAutospacing="0"/>
              <w:ind w:left="0" w:leftChars="0" w:right="0" w:firstLine="0" w:firstLineChars="0"/>
              <w:rPr>
                <w:rFonts w:hint="default"/>
                <w:b/>
                <w:bCs/>
                <w:vertAlign w:val="baseline"/>
              </w:rPr>
            </w:pPr>
            <w:r>
              <w:rPr>
                <w:rFonts w:hint="eastAsia"/>
                <w:b/>
                <w:bCs/>
                <w:vertAlign w:val="baseline"/>
              </w:rPr>
              <w:t>施工期环境影响分析</w:t>
            </w:r>
          </w:p>
          <w:p>
            <w:pPr>
              <w:keepNext w:val="0"/>
              <w:keepLines w:val="0"/>
              <w:numPr>
                <w:ilvl w:val="0"/>
                <w:numId w:val="29"/>
              </w:numPr>
              <w:suppressLineNumbers w:val="0"/>
              <w:bidi w:val="0"/>
              <w:spacing w:before="0" w:beforeAutospacing="0" w:after="0" w:afterAutospacing="0"/>
              <w:ind w:left="0" w:leftChars="0" w:right="0" w:firstLine="482" w:firstLineChars="200"/>
              <w:rPr>
                <w:rFonts w:hint="default"/>
                <w:b/>
                <w:bCs/>
              </w:rPr>
            </w:pPr>
            <w:r>
              <w:rPr>
                <w:rFonts w:hint="eastAsia"/>
                <w:b/>
                <w:bCs/>
              </w:rPr>
              <w:t>大气环境影响分析</w:t>
            </w:r>
          </w:p>
          <w:p>
            <w:pPr>
              <w:keepNext w:val="0"/>
              <w:keepLines w:val="0"/>
              <w:suppressLineNumbers w:val="0"/>
              <w:bidi w:val="0"/>
              <w:spacing w:before="0" w:beforeAutospacing="0" w:after="0" w:afterAutospacing="0"/>
              <w:ind w:left="0" w:right="0"/>
              <w:rPr>
                <w:rFonts w:hint="eastAsia"/>
              </w:rPr>
            </w:pPr>
            <w:r>
              <w:rPr>
                <w:rFonts w:hint="eastAsia"/>
              </w:rPr>
              <w:t>建设项目大气污染源主要来自施工车辆运输和废土堆场产生的扬尘、施工机械及运输车辆排放的尾气、底泥搅动过程产生的恶臭。</w:t>
            </w:r>
          </w:p>
          <w:p>
            <w:pPr>
              <w:keepNext w:val="0"/>
              <w:keepLines w:val="0"/>
              <w:numPr>
                <w:ilvl w:val="0"/>
                <w:numId w:val="30"/>
              </w:numPr>
              <w:suppressLineNumbers w:val="0"/>
              <w:bidi w:val="0"/>
              <w:spacing w:before="0" w:beforeAutospacing="0" w:after="0" w:afterAutospacing="0"/>
              <w:ind w:left="0" w:leftChars="0" w:right="0" w:firstLine="480" w:firstLineChars="200"/>
              <w:rPr>
                <w:rFonts w:hint="eastAsia"/>
              </w:rPr>
            </w:pPr>
            <w:r>
              <w:rPr>
                <w:rFonts w:hint="eastAsia"/>
              </w:rPr>
              <w:t>施工扬尘</w:t>
            </w:r>
          </w:p>
          <w:p>
            <w:pPr>
              <w:keepNext w:val="0"/>
              <w:keepLines w:val="0"/>
              <w:suppressLineNumbers w:val="0"/>
              <w:bidi w:val="0"/>
              <w:spacing w:before="0" w:beforeAutospacing="0" w:after="0" w:afterAutospacing="0"/>
              <w:ind w:left="0" w:right="0"/>
              <w:rPr>
                <w:rFonts w:hint="eastAsia"/>
              </w:rPr>
            </w:pPr>
            <w:r>
              <w:rPr>
                <w:rFonts w:hint="eastAsia"/>
              </w:rPr>
              <w:t>在整个施工期间，产生扬尘的作业主要有土地平整、打桩、开挖、回填、浇注、建材运输、植被运输、露天堆放、装卸和搅拌等过程，如遇干旱无雨季节，在大风时，施工扬尘将更严重。</w:t>
            </w:r>
          </w:p>
          <w:p>
            <w:pPr>
              <w:keepNext w:val="0"/>
              <w:keepLines w:val="0"/>
              <w:suppressLineNumbers w:val="0"/>
              <w:bidi w:val="0"/>
              <w:spacing w:before="0" w:beforeAutospacing="0" w:after="0" w:afterAutospacing="0"/>
              <w:ind w:left="0" w:right="0"/>
              <w:rPr>
                <w:rFonts w:hint="eastAsia"/>
              </w:rPr>
            </w:pPr>
            <w:r>
              <w:rPr>
                <w:rFonts w:hint="eastAsia"/>
              </w:rPr>
              <w:t>据有关调查显示，施工工地的扬尘主要是由运输车辆行驶产生，与道路路面及车辆行驶速度有关，约占扬尘总量的60%。在完全干燥情况下，可按经验公式计算：</w:t>
            </w:r>
          </w:p>
          <w:p>
            <w:pPr>
              <w:keepNext w:val="0"/>
              <w:keepLines w:val="0"/>
              <w:suppressLineNumbers w:val="0"/>
              <w:bidi w:val="0"/>
              <w:spacing w:before="0" w:beforeAutospacing="0" w:after="0" w:afterAutospacing="0"/>
              <w:ind w:left="0" w:right="0"/>
              <w:rPr>
                <w:rFonts w:hint="eastAsia"/>
              </w:rPr>
            </w:pPr>
            <w:r>
              <w:rPr>
                <w:rFonts w:hint="eastAsia"/>
              </w:rPr>
              <w:t>式中：Q—汽车行驶的扬尘，kg/km辆；</w:t>
            </w:r>
          </w:p>
          <w:p>
            <w:pPr>
              <w:keepNext w:val="0"/>
              <w:keepLines w:val="0"/>
              <w:suppressLineNumbers w:val="0"/>
              <w:bidi w:val="0"/>
              <w:spacing w:before="0" w:beforeAutospacing="0" w:after="0" w:afterAutospacing="0"/>
              <w:ind w:left="0" w:right="0"/>
              <w:rPr>
                <w:rFonts w:hint="eastAsia"/>
              </w:rPr>
            </w:pPr>
            <w:r>
              <w:rPr>
                <w:rFonts w:hint="eastAsia"/>
              </w:rPr>
              <w:t>v—汽车速度，km/h；</w:t>
            </w:r>
          </w:p>
          <w:p>
            <w:pPr>
              <w:keepNext w:val="0"/>
              <w:keepLines w:val="0"/>
              <w:suppressLineNumbers w:val="0"/>
              <w:bidi w:val="0"/>
              <w:spacing w:before="0" w:beforeAutospacing="0" w:after="0" w:afterAutospacing="0"/>
              <w:ind w:left="0" w:right="0"/>
              <w:rPr>
                <w:rFonts w:hint="eastAsia"/>
              </w:rPr>
            </w:pPr>
            <w:r>
              <w:rPr>
                <w:rFonts w:hint="eastAsia"/>
              </w:rPr>
              <w:t>W—汽车载重量，t；</w:t>
            </w:r>
          </w:p>
          <w:p>
            <w:pPr>
              <w:keepNext w:val="0"/>
              <w:keepLines w:val="0"/>
              <w:suppressLineNumbers w:val="0"/>
              <w:bidi w:val="0"/>
              <w:spacing w:before="0" w:beforeAutospacing="0" w:after="0" w:afterAutospacing="0"/>
              <w:ind w:left="0" w:right="0"/>
              <w:rPr>
                <w:rFonts w:hint="eastAsia"/>
              </w:rPr>
            </w:pPr>
            <w:r>
              <w:rPr>
                <w:rFonts w:hint="eastAsia"/>
              </w:rPr>
              <w:t>P—道路表面粉尘量，kg/m</w:t>
            </w:r>
            <w:r>
              <w:rPr>
                <w:rFonts w:hint="eastAsia"/>
                <w:vertAlign w:val="superscript"/>
              </w:rPr>
              <w:t>2</w:t>
            </w:r>
            <w:r>
              <w:rPr>
                <w:rFonts w:hint="eastAsia"/>
              </w:rPr>
              <w:t>。</w:t>
            </w:r>
          </w:p>
          <w:p>
            <w:pPr>
              <w:keepNext w:val="0"/>
              <w:keepLines w:val="0"/>
              <w:suppressLineNumbers w:val="0"/>
              <w:bidi w:val="0"/>
              <w:spacing w:before="0" w:beforeAutospacing="0" w:after="0" w:afterAutospacing="0"/>
              <w:ind w:left="0" w:right="0"/>
              <w:rPr>
                <w:rFonts w:hint="eastAsia"/>
              </w:rPr>
            </w:pPr>
            <w:r>
              <w:rPr>
                <w:rFonts w:hint="eastAsia"/>
              </w:rPr>
              <w:t>一辆载重5t的卡车，通过一段长度为500m的路面时，不同表面清洁程度，不同行驶速度情况下产生的扬尘量如</w:t>
            </w:r>
            <w:r>
              <w:rPr>
                <w:rFonts w:hint="eastAsia"/>
                <w:lang w:eastAsia="zh-CN"/>
              </w:rPr>
              <w:t>下</w:t>
            </w:r>
            <w:r>
              <w:rPr>
                <w:rFonts w:hint="eastAsia"/>
              </w:rPr>
              <w:t>表所示。</w:t>
            </w:r>
          </w:p>
          <w:p>
            <w:pPr>
              <w:pStyle w:val="15"/>
              <w:keepNext w:val="0"/>
              <w:keepLines w:val="0"/>
              <w:suppressLineNumbers w:val="0"/>
              <w:bidi w:val="0"/>
              <w:spacing w:before="0" w:beforeAutospacing="0" w:after="0" w:afterAutospacing="0"/>
              <w:ind w:left="0" w:right="0"/>
              <w:rPr>
                <w:rFonts w:hint="eastAsia"/>
              </w:rPr>
            </w:pPr>
            <w:r>
              <w:rPr>
                <w:rFonts w:hint="eastAsia"/>
              </w:rPr>
              <w:t>不同车速和地面清洁程度时的汽车扬尘  单位：kg/km·辆</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294"/>
              <w:gridCol w:w="1294"/>
              <w:gridCol w:w="1294"/>
              <w:gridCol w:w="1295"/>
              <w:gridCol w:w="1295"/>
              <w:gridCol w:w="1295"/>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tcBorders>
                    <w:top w:val="single" w:color="auto" w:sz="4" w:space="0"/>
                    <w:left w:val="single" w:color="auto" w:sz="4" w:space="0"/>
                    <w:bottom w:val="single" w:color="auto" w:sz="4" w:space="0"/>
                    <w:right w:val="single" w:color="auto" w:sz="4" w:space="0"/>
                    <w:tl2br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jc w:val="right"/>
                    <w:rPr>
                      <w:rFonts w:hint="default"/>
                    </w:rPr>
                  </w:pPr>
                  <w:r>
                    <w:rPr>
                      <w:rFonts w:hint="default"/>
                      <w:lang w:val="en-US" w:eastAsia="zh-CN"/>
                    </w:rPr>
                    <w:t>P</w:t>
                  </w:r>
                </w:p>
                <w:p>
                  <w:pPr>
                    <w:pStyle w:val="17"/>
                    <w:keepNext w:val="0"/>
                    <w:keepLines w:val="0"/>
                    <w:suppressLineNumbers w:val="0"/>
                    <w:bidi w:val="0"/>
                    <w:spacing w:before="0" w:beforeAutospacing="0" w:after="0" w:afterAutospacing="0"/>
                    <w:ind w:left="0" w:right="0"/>
                    <w:jc w:val="left"/>
                    <w:rPr>
                      <w:rFonts w:hint="default"/>
                    </w:rPr>
                  </w:pPr>
                  <w:r>
                    <w:rPr>
                      <w:rFonts w:hint="default"/>
                      <w:lang w:val="en-US" w:eastAsia="zh-CN"/>
                    </w:rPr>
                    <w:t>车速</w:t>
                  </w:r>
                </w:p>
              </w:tc>
              <w:tc>
                <w:tcPr>
                  <w:tcW w:w="129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0.1（kg/m</w:t>
                  </w:r>
                  <w:r>
                    <w:rPr>
                      <w:rFonts w:hint="default"/>
                      <w:vertAlign w:val="superscript"/>
                      <w:lang w:val="en-US" w:eastAsia="zh-CN"/>
                    </w:rPr>
                    <w:t>2</w:t>
                  </w:r>
                  <w:r>
                    <w:rPr>
                      <w:rFonts w:hint="default"/>
                      <w:lang w:val="en-US" w:eastAsia="zh-CN"/>
                    </w:rPr>
                    <w:t>）</w:t>
                  </w:r>
                </w:p>
              </w:tc>
              <w:tc>
                <w:tcPr>
                  <w:tcW w:w="129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0.2（kg/m</w:t>
                  </w:r>
                  <w:r>
                    <w:rPr>
                      <w:rFonts w:hint="default"/>
                      <w:vertAlign w:val="superscript"/>
                      <w:lang w:val="en-US" w:eastAsia="zh-CN"/>
                    </w:rPr>
                    <w:t>2</w:t>
                  </w:r>
                  <w:r>
                    <w:rPr>
                      <w:rFonts w:hint="default"/>
                      <w:lang w:val="en-US" w:eastAsia="zh-CN"/>
                    </w:rPr>
                    <w:t>）</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0.3（kg/m</w:t>
                  </w:r>
                  <w:r>
                    <w:rPr>
                      <w:rFonts w:hint="default"/>
                      <w:vertAlign w:val="superscript"/>
                      <w:lang w:val="en-US" w:eastAsia="zh-CN"/>
                    </w:rPr>
                    <w:t>2</w:t>
                  </w:r>
                  <w:r>
                    <w:rPr>
                      <w:rFonts w:hint="default"/>
                      <w:lang w:val="en-US" w:eastAsia="zh-CN"/>
                    </w:rPr>
                    <w:t>）</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0.4（kg/m</w:t>
                  </w:r>
                  <w:r>
                    <w:rPr>
                      <w:rFonts w:hint="default"/>
                      <w:vertAlign w:val="superscript"/>
                      <w:lang w:val="en-US" w:eastAsia="zh-CN"/>
                    </w:rPr>
                    <w:t>2</w:t>
                  </w:r>
                  <w:r>
                    <w:rPr>
                      <w:rFonts w:hint="default"/>
                      <w:lang w:val="en-US" w:eastAsia="zh-CN"/>
                    </w:rPr>
                    <w:t>）</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0.5（kg/m</w:t>
                  </w:r>
                  <w:r>
                    <w:rPr>
                      <w:rFonts w:hint="default"/>
                      <w:vertAlign w:val="superscript"/>
                      <w:lang w:val="en-US" w:eastAsia="zh-CN"/>
                    </w:rPr>
                    <w:t>2</w:t>
                  </w:r>
                  <w:r>
                    <w:rPr>
                      <w:rFonts w:hint="default"/>
                      <w:lang w:val="en-US" w:eastAsia="zh-CN"/>
                    </w:rPr>
                    <w:t>）</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1.0（kg/m</w:t>
                  </w:r>
                  <w:r>
                    <w:rPr>
                      <w:rFonts w:hint="default"/>
                      <w:vertAlign w:val="superscript"/>
                      <w:lang w:val="en-US" w:eastAsia="zh-CN"/>
                    </w:rPr>
                    <w:t>2</w:t>
                  </w:r>
                  <w:r>
                    <w:rPr>
                      <w:rFonts w:hint="default"/>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29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5（km/h）</w:t>
                  </w:r>
                </w:p>
              </w:tc>
              <w:tc>
                <w:tcPr>
                  <w:tcW w:w="129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0.0283</w:t>
                  </w:r>
                </w:p>
              </w:tc>
              <w:tc>
                <w:tcPr>
                  <w:tcW w:w="129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0.0476</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0.0646</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0.0801</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0.0947</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0.1593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10（km/h）</w:t>
                  </w:r>
                </w:p>
              </w:tc>
              <w:tc>
                <w:tcPr>
                  <w:tcW w:w="129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0.0566</w:t>
                  </w:r>
                </w:p>
              </w:tc>
              <w:tc>
                <w:tcPr>
                  <w:tcW w:w="129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0.0953</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0.1291</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0.1602</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0.1894</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0.3186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29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15（km/h）</w:t>
                  </w:r>
                </w:p>
              </w:tc>
              <w:tc>
                <w:tcPr>
                  <w:tcW w:w="129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0.0850</w:t>
                  </w:r>
                </w:p>
              </w:tc>
              <w:tc>
                <w:tcPr>
                  <w:tcW w:w="129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0.1429</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0.1937</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0.2403</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0.2841</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0.4778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294"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20（km/h）</w:t>
                  </w:r>
                </w:p>
              </w:tc>
              <w:tc>
                <w:tcPr>
                  <w:tcW w:w="129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0.1133</w:t>
                  </w:r>
                </w:p>
              </w:tc>
              <w:tc>
                <w:tcPr>
                  <w:tcW w:w="129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0.1905</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0.2583</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0.3204</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0.3788</w:t>
                  </w:r>
                </w:p>
              </w:tc>
              <w:tc>
                <w:tcPr>
                  <w:tcW w:w="1295"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0.6371</w:t>
                  </w:r>
                </w:p>
              </w:tc>
            </w:tr>
          </w:tbl>
          <w:p>
            <w:pPr>
              <w:keepNext w:val="0"/>
              <w:keepLines w:val="0"/>
              <w:suppressLineNumbers w:val="0"/>
              <w:bidi w:val="0"/>
              <w:spacing w:before="0" w:beforeAutospacing="0" w:after="0" w:afterAutospacing="0"/>
              <w:ind w:left="0" w:right="0"/>
              <w:rPr>
                <w:rFonts w:hint="eastAsia"/>
              </w:rPr>
            </w:pPr>
            <w:r>
              <w:rPr>
                <w:rFonts w:hint="eastAsia"/>
              </w:rPr>
              <w:t>由上表可见，在同样路面清洁情况下，车速越快，扬尘量越大；而在同样车速情况下，路面清洁度越差，则扬尘量越大。根据类比调查，一般情况下，施工场地、施工道路在自然风作用下产生的扬尘所影响的范围在100m以内。</w:t>
            </w:r>
          </w:p>
          <w:p>
            <w:pPr>
              <w:keepNext w:val="0"/>
              <w:keepLines w:val="0"/>
              <w:suppressLineNumbers w:val="0"/>
              <w:bidi w:val="0"/>
              <w:spacing w:before="0" w:beforeAutospacing="0" w:after="0" w:afterAutospacing="0"/>
              <w:ind w:left="0" w:right="0"/>
              <w:rPr>
                <w:rFonts w:hint="eastAsia"/>
              </w:rPr>
            </w:pPr>
            <w:r>
              <w:rPr>
                <w:rFonts w:hint="eastAsia"/>
              </w:rPr>
              <w:t>抑制扬尘的一个简洁有效的措施是洒水。如果在施工期内对车辆行驶的路面实施洒水抑尘，每天洒水4～5次，可使扬尘减少70%左右。</w:t>
            </w:r>
            <w:r>
              <w:rPr>
                <w:rFonts w:hint="eastAsia"/>
                <w:lang w:eastAsia="zh-CN"/>
              </w:rPr>
              <w:t>表</w:t>
            </w:r>
            <w:r>
              <w:rPr>
                <w:rFonts w:hint="eastAsia"/>
                <w:lang w:val="en-US" w:eastAsia="zh-CN"/>
              </w:rPr>
              <w:t>19</w:t>
            </w:r>
            <w:r>
              <w:rPr>
                <w:rFonts w:hint="eastAsia"/>
              </w:rPr>
              <w:t>为施工场地洒水抑尘的试验结果。由该表数据可看出对施工场地实施每天洒水4～5次进行抑尘，可有效地控制施工扬尘，并可将TSP污染距离缩小到20～50m范围。</w:t>
            </w:r>
          </w:p>
          <w:p>
            <w:pPr>
              <w:pStyle w:val="15"/>
              <w:keepNext w:val="0"/>
              <w:keepLines w:val="0"/>
              <w:suppressLineNumbers w:val="0"/>
              <w:bidi w:val="0"/>
              <w:spacing w:before="0" w:beforeAutospacing="0" w:after="0" w:afterAutospacing="0"/>
              <w:ind w:left="0" w:right="0"/>
              <w:rPr>
                <w:rFonts w:hint="eastAsia"/>
              </w:rPr>
            </w:pPr>
            <w:r>
              <w:rPr>
                <w:rFonts w:hint="eastAsia"/>
              </w:rPr>
              <w:t>施工场地洒水抑尘试验结果</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510"/>
              <w:gridCol w:w="1510"/>
              <w:gridCol w:w="1510"/>
              <w:gridCol w:w="1510"/>
              <w:gridCol w:w="1510"/>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3018"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距离</w:t>
                  </w: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5m</w:t>
                  </w: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20m</w:t>
                  </w: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50m</w:t>
                  </w:r>
                </w:p>
              </w:tc>
              <w:tc>
                <w:tcPr>
                  <w:tcW w:w="151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100m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509" w:type="dxa"/>
                  <w:vMerge w:val="restart"/>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TSP小时平均浓度</w:t>
                  </w: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不洒水</w:t>
                  </w: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10.14</w:t>
                  </w: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2.89</w:t>
                  </w: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1.15</w:t>
                  </w:r>
                </w:p>
              </w:tc>
              <w:tc>
                <w:tcPr>
                  <w:tcW w:w="151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509"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洒水</w:t>
                  </w: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2.01</w:t>
                  </w: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1.40</w:t>
                  </w:r>
                </w:p>
              </w:tc>
              <w:tc>
                <w:tcPr>
                  <w:tcW w:w="150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0.67</w:t>
                  </w:r>
                </w:p>
              </w:tc>
              <w:tc>
                <w:tcPr>
                  <w:tcW w:w="1510"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0.60</w:t>
                  </w:r>
                </w:p>
              </w:tc>
            </w:tr>
          </w:tbl>
          <w:p>
            <w:pPr>
              <w:keepNext w:val="0"/>
              <w:keepLines w:val="0"/>
              <w:suppressLineNumbers w:val="0"/>
              <w:bidi w:val="0"/>
              <w:spacing w:before="0" w:beforeAutospacing="0" w:after="0" w:afterAutospacing="0"/>
              <w:ind w:left="0" w:right="0"/>
              <w:rPr>
                <w:rFonts w:hint="eastAsia"/>
              </w:rPr>
            </w:pPr>
            <w:r>
              <w:rPr>
                <w:rFonts w:hint="eastAsia"/>
              </w:rPr>
              <w:t>施工扬尘的另一种重要产生方式是建筑材料的露天堆放和搅拌作业，这类扬尘的主要特点是受作业时风速大小的影响显著。因此，禁止在大风天气时进行此类作业以及减少建筑材料的露天堆放是抑制这类扬尘的一种很有效的手段。</w:t>
            </w:r>
          </w:p>
          <w:p>
            <w:pPr>
              <w:keepNext w:val="0"/>
              <w:keepLines w:val="0"/>
              <w:suppressLineNumbers w:val="0"/>
              <w:bidi w:val="0"/>
              <w:spacing w:before="0" w:beforeAutospacing="0" w:after="0" w:afterAutospacing="0"/>
              <w:ind w:left="0" w:right="0"/>
              <w:rPr>
                <w:rFonts w:hint="eastAsia"/>
              </w:rPr>
            </w:pPr>
            <w:r>
              <w:rPr>
                <w:rFonts w:hint="eastAsia"/>
              </w:rPr>
              <w:t>据类比调查，在不洒水的情况下扬尘的最大浓度一般为2mg/m</w:t>
            </w:r>
            <w:r>
              <w:rPr>
                <w:rFonts w:hint="eastAsia"/>
                <w:vertAlign w:val="superscript"/>
              </w:rPr>
              <w:t>3</w:t>
            </w:r>
            <w:r>
              <w:rPr>
                <w:rFonts w:hint="eastAsia"/>
              </w:rPr>
              <w:t>，对敏感目标影响较大。因此，施工过程中需采取防护措施，减少对敏感目标的影响，主要措施有：①对施工现场实行合理化管理，使砂石料统一堆放，水泥应在专门库房堆放，并尽量减少搬运环节，搬运时做到轻举轻放，防止包装袋破裂；②开挖时，对作业面和土堆适当喷水，使其保持一定湿度，以减少扬尘量，而且开挖的泥土和建筑垃圾要及时运走，以防长期堆放表面干燥而起尘或被雨水冲刷；③运输车辆应完好，不应装载过满，并尽量采取遮盖、密闭措施，减少沿途抛洒，并及时清扫散落在路面上的泥土和建筑材料，冲洗轮胎，定时洒水压尘，以减少运输过程中的扬尘，对于装运含尘物料的运输车辆应加盖蓬布，严格控制物料的洒落，以免道路颠簸和大风天气起尘而影响沿途的大气环境质量；④施工现场要设围栏或部分围栏，缩小施工扬尘扩散范围；⑤当风速过大时，应停止施工作业，并对堆存的砂粉等建筑材料采取遮盖措施。</w:t>
            </w:r>
          </w:p>
          <w:p>
            <w:pPr>
              <w:keepNext w:val="0"/>
              <w:keepLines w:val="0"/>
              <w:suppressLineNumbers w:val="0"/>
              <w:bidi w:val="0"/>
              <w:spacing w:before="0" w:beforeAutospacing="0" w:after="0" w:afterAutospacing="0"/>
              <w:ind w:left="0" w:right="0"/>
              <w:rPr>
                <w:rFonts w:hint="eastAsia"/>
              </w:rPr>
            </w:pPr>
            <w:r>
              <w:rPr>
                <w:rFonts w:hint="eastAsia"/>
              </w:rPr>
              <w:t>在洒水的情况下扬尘的最大浓度可降至1mg/m</w:t>
            </w:r>
            <w:r>
              <w:rPr>
                <w:rFonts w:hint="eastAsia"/>
                <w:vertAlign w:val="superscript"/>
              </w:rPr>
              <w:t>3</w:t>
            </w:r>
            <w:r>
              <w:rPr>
                <w:rFonts w:hint="eastAsia"/>
              </w:rPr>
              <w:t>，可有效抑制施工扬尘的扩散，因此，在施工期应对运输的道路及时清扫和浇水，可采用清扫车对道路和施工区域进行清扫，以减少粉尘和二次扬尘的产生，并加强施工管理，配置工地细目滞尘防护网，采用商品混凝土，同时必须采用封闭车辆运输。经以上措施后，对周围敏感点目标大气影响较小。</w:t>
            </w:r>
          </w:p>
          <w:p>
            <w:pPr>
              <w:keepNext w:val="0"/>
              <w:keepLines w:val="0"/>
              <w:numPr>
                <w:ilvl w:val="0"/>
                <w:numId w:val="30"/>
              </w:numPr>
              <w:suppressLineNumbers w:val="0"/>
              <w:bidi w:val="0"/>
              <w:spacing w:before="0" w:beforeAutospacing="0" w:after="0" w:afterAutospacing="0"/>
              <w:ind w:left="0" w:leftChars="0" w:right="0" w:firstLine="480" w:firstLineChars="200"/>
              <w:rPr>
                <w:rFonts w:hint="eastAsia"/>
              </w:rPr>
            </w:pPr>
            <w:r>
              <w:rPr>
                <w:rFonts w:hint="eastAsia"/>
              </w:rPr>
              <w:t>尾气</w:t>
            </w:r>
          </w:p>
          <w:p>
            <w:pPr>
              <w:keepNext w:val="0"/>
              <w:keepLines w:val="0"/>
              <w:suppressLineNumbers w:val="0"/>
              <w:bidi w:val="0"/>
              <w:spacing w:before="0" w:beforeAutospacing="0" w:after="0" w:afterAutospacing="0"/>
              <w:ind w:left="0" w:right="0"/>
              <w:rPr>
                <w:rFonts w:hint="eastAsia"/>
              </w:rPr>
            </w:pPr>
            <w:r>
              <w:rPr>
                <w:rFonts w:hint="eastAsia"/>
              </w:rPr>
              <w:t>尾气污染产生的主要决定因素为燃料油种类、机械性能、作业方式和风力等，其中机械性能、作业方式影响最大。</w:t>
            </w:r>
          </w:p>
          <w:p>
            <w:pPr>
              <w:keepNext w:val="0"/>
              <w:keepLines w:val="0"/>
              <w:suppressLineNumbers w:val="0"/>
              <w:bidi w:val="0"/>
              <w:spacing w:before="0" w:beforeAutospacing="0" w:after="0" w:afterAutospacing="0"/>
              <w:ind w:left="0" w:right="0"/>
              <w:rPr>
                <w:rFonts w:hint="eastAsia"/>
              </w:rPr>
            </w:pPr>
            <w:r>
              <w:rPr>
                <w:rFonts w:hint="eastAsia"/>
              </w:rPr>
              <w:t>运输车辆和部分施工机械在怠速、减速和加速时产生的污染最为严重。类比分析，在一般气象条件下，平均风速3.2m/s时，建筑工地的CO、NO</w:t>
            </w:r>
            <w:r>
              <w:rPr>
                <w:rFonts w:hint="eastAsia"/>
                <w:vertAlign w:val="subscript"/>
                <w:lang w:val="en-US" w:eastAsia="zh-CN"/>
              </w:rPr>
              <w:t>X</w:t>
            </w:r>
            <w:r>
              <w:rPr>
                <w:rFonts w:hint="eastAsia"/>
              </w:rPr>
              <w:t>以及未完全燃烧的碳氢化合物非甲烷总烃为其上风向的5.4～6倍，其CO、NO</w:t>
            </w:r>
            <w:r>
              <w:rPr>
                <w:rFonts w:hint="eastAsia"/>
                <w:vertAlign w:val="subscript"/>
                <w:lang w:val="en-US" w:eastAsia="zh-CN"/>
              </w:rPr>
              <w:t>X</w:t>
            </w:r>
            <w:r>
              <w:rPr>
                <w:rFonts w:hint="eastAsia"/>
              </w:rPr>
              <w:t>以及碳氢化合物非甲烷总烃影响范围在其下风向可达100m，影响范围内CO、NOx以及碳氢化物非甲烷总烃浓度均值分别为10.03mg/Nm</w:t>
            </w:r>
            <w:r>
              <w:rPr>
                <w:rFonts w:hint="eastAsia"/>
                <w:vertAlign w:val="superscript"/>
              </w:rPr>
              <w:t>3</w:t>
            </w:r>
            <w:r>
              <w:rPr>
                <w:rFonts w:hint="eastAsia"/>
              </w:rPr>
              <w:t>，0.216mg/Nm</w:t>
            </w:r>
            <w:r>
              <w:rPr>
                <w:rFonts w:hint="eastAsia"/>
                <w:vertAlign w:val="superscript"/>
              </w:rPr>
              <w:t>3</w:t>
            </w:r>
            <w:r>
              <w:rPr>
                <w:rFonts w:hint="eastAsia"/>
              </w:rPr>
              <w:t>和1.05mg/Nm</w:t>
            </w:r>
            <w:r>
              <w:rPr>
                <w:rFonts w:hint="eastAsia"/>
                <w:vertAlign w:val="superscript"/>
              </w:rPr>
              <w:t>3</w:t>
            </w:r>
            <w:r>
              <w:rPr>
                <w:rFonts w:hint="eastAsia"/>
              </w:rPr>
              <w:t>。CO、NO</w:t>
            </w:r>
            <w:r>
              <w:rPr>
                <w:rFonts w:hint="eastAsia"/>
                <w:vertAlign w:val="subscript"/>
                <w:lang w:val="en-US" w:eastAsia="zh-CN"/>
              </w:rPr>
              <w:t>X</w:t>
            </w:r>
            <w:r>
              <w:rPr>
                <w:rFonts w:hint="eastAsia"/>
              </w:rPr>
              <w:t>浓度值分别为《环境空气质量标准》中二级标准值的2.5倍和1.8倍，碳氢化合物非甲烷总烃不超标。</w:t>
            </w:r>
          </w:p>
          <w:p>
            <w:pPr>
              <w:keepNext w:val="0"/>
              <w:keepLines w:val="0"/>
              <w:suppressLineNumbers w:val="0"/>
              <w:bidi w:val="0"/>
              <w:spacing w:before="0" w:beforeAutospacing="0" w:after="0" w:afterAutospacing="0"/>
              <w:ind w:left="0" w:right="0"/>
              <w:rPr>
                <w:rFonts w:hint="eastAsia"/>
              </w:rPr>
            </w:pPr>
            <w:r>
              <w:rPr>
                <w:rFonts w:hint="eastAsia"/>
              </w:rPr>
              <w:t>建设项目所在地区风速相对较小，只有在大风及干燥天气施工，施工现场及其下风向将有CO、NO</w:t>
            </w:r>
            <w:r>
              <w:rPr>
                <w:rFonts w:hint="eastAsia"/>
                <w:vertAlign w:val="subscript"/>
                <w:lang w:val="en-US" w:eastAsia="zh-CN"/>
              </w:rPr>
              <w:t>X</w:t>
            </w:r>
            <w:r>
              <w:rPr>
                <w:rFonts w:hint="eastAsia"/>
              </w:rPr>
              <w:t>以及碳氢化合物非甲烷总烃。本项目施工期较短，通过密闭施工，设置围栏，在同等气象条件下，其影响距离可缩短30%，即影响范围为70m，预计施工产生的尾气对周围环境影响不大。</w:t>
            </w:r>
          </w:p>
          <w:p>
            <w:pPr>
              <w:keepNext w:val="0"/>
              <w:keepLines w:val="0"/>
              <w:numPr>
                <w:ilvl w:val="0"/>
                <w:numId w:val="30"/>
              </w:numPr>
              <w:suppressLineNumbers w:val="0"/>
              <w:bidi w:val="0"/>
              <w:spacing w:before="0" w:beforeAutospacing="0" w:after="0" w:afterAutospacing="0"/>
              <w:ind w:left="0" w:leftChars="0" w:right="0" w:firstLine="480" w:firstLineChars="200"/>
              <w:rPr>
                <w:rFonts w:hint="eastAsia"/>
              </w:rPr>
            </w:pPr>
            <w:r>
              <w:rPr>
                <w:rFonts w:hint="eastAsia"/>
              </w:rPr>
              <w:t>恶臭</w:t>
            </w:r>
          </w:p>
          <w:p>
            <w:pPr>
              <w:keepNext w:val="0"/>
              <w:keepLines w:val="0"/>
              <w:suppressLineNumbers w:val="0"/>
              <w:bidi w:val="0"/>
              <w:spacing w:before="0" w:beforeAutospacing="0" w:after="0" w:afterAutospacing="0"/>
              <w:ind w:left="0" w:right="0"/>
              <w:rPr>
                <w:rFonts w:hint="eastAsia"/>
              </w:rPr>
            </w:pPr>
            <w:r>
              <w:rPr>
                <w:rFonts w:hint="eastAsia"/>
              </w:rPr>
              <w:t>根据类比调查可知：在河道断流施工条件下，河道岸边将会有较明显的臭味，施工场地30米外达到2级强度，有轻微臭味，80米以外恶臭无污染。一般在下风向距清淤水域不同距离的臭气感觉程度见</w:t>
            </w:r>
            <w:r>
              <w:rPr>
                <w:rFonts w:hint="eastAsia"/>
                <w:lang w:val="en-US" w:eastAsia="zh-CN"/>
              </w:rPr>
              <w:t>下</w:t>
            </w:r>
            <w:r>
              <w:rPr>
                <w:rFonts w:hint="eastAsia"/>
              </w:rPr>
              <w:t>表。</w:t>
            </w:r>
          </w:p>
          <w:p>
            <w:pPr>
              <w:pStyle w:val="15"/>
              <w:keepNext w:val="0"/>
              <w:keepLines w:val="0"/>
              <w:suppressLineNumbers w:val="0"/>
              <w:bidi w:val="0"/>
              <w:spacing w:before="0" w:beforeAutospacing="0" w:after="0" w:afterAutospacing="0"/>
              <w:ind w:left="0" w:right="0"/>
              <w:rPr>
                <w:rFonts w:hint="eastAsia"/>
              </w:rPr>
            </w:pPr>
            <w:r>
              <w:rPr>
                <w:rFonts w:hint="eastAsia"/>
              </w:rPr>
              <w:t>淤泥恶臭强度影响距离</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020"/>
              <w:gridCol w:w="3020"/>
              <w:gridCol w:w="3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0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距离</w:t>
                  </w:r>
                </w:p>
              </w:tc>
              <w:tc>
                <w:tcPr>
                  <w:tcW w:w="3018"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臭气感觉强度</w:t>
                  </w:r>
                </w:p>
              </w:tc>
              <w:tc>
                <w:tcPr>
                  <w:tcW w:w="301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30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堆放区</w:t>
                  </w:r>
                </w:p>
              </w:tc>
              <w:tc>
                <w:tcPr>
                  <w:tcW w:w="3018"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有较明显气味</w:t>
                  </w:r>
                </w:p>
              </w:tc>
              <w:tc>
                <w:tcPr>
                  <w:tcW w:w="301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3级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30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堆放区外30m</w:t>
                  </w:r>
                </w:p>
              </w:tc>
              <w:tc>
                <w:tcPr>
                  <w:tcW w:w="3018"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轻微气味</w:t>
                  </w:r>
                </w:p>
              </w:tc>
              <w:tc>
                <w:tcPr>
                  <w:tcW w:w="301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2级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30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堆放区外50m</w:t>
                  </w:r>
                </w:p>
              </w:tc>
              <w:tc>
                <w:tcPr>
                  <w:tcW w:w="3018"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极微气味</w:t>
                  </w:r>
                </w:p>
              </w:tc>
              <w:tc>
                <w:tcPr>
                  <w:tcW w:w="301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1级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3018"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堆放区外</w:t>
                  </w:r>
                  <w:r>
                    <w:rPr>
                      <w:rFonts w:hint="eastAsia"/>
                      <w:lang w:val="en-US" w:eastAsia="zh-CN"/>
                    </w:rPr>
                    <w:t>8</w:t>
                  </w:r>
                  <w:r>
                    <w:rPr>
                      <w:rFonts w:hint="default"/>
                      <w:lang w:val="en-US" w:eastAsia="zh-CN"/>
                    </w:rPr>
                    <w:t>0m</w:t>
                  </w:r>
                </w:p>
              </w:tc>
              <w:tc>
                <w:tcPr>
                  <w:tcW w:w="3018"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无气味</w:t>
                  </w:r>
                </w:p>
              </w:tc>
              <w:tc>
                <w:tcPr>
                  <w:tcW w:w="3019"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0级</w:t>
                  </w:r>
                </w:p>
              </w:tc>
            </w:tr>
          </w:tbl>
          <w:p>
            <w:pPr>
              <w:keepNext w:val="0"/>
              <w:keepLines w:val="0"/>
              <w:suppressLineNumbers w:val="0"/>
              <w:bidi w:val="0"/>
              <w:spacing w:before="0" w:beforeAutospacing="0" w:after="0" w:afterAutospacing="0"/>
              <w:ind w:left="0" w:right="0"/>
              <w:rPr>
                <w:rFonts w:hint="eastAsia"/>
              </w:rPr>
            </w:pPr>
            <w:r>
              <w:rPr>
                <w:rFonts w:hint="eastAsia"/>
              </w:rPr>
              <w:t>施工过程中淤泥搅动产生的臭味对周围环境有一定影响，项目周围50米范围内无居民，淤泥及时妥善处理，因此恶臭对周围居民基本无影响。</w:t>
            </w:r>
          </w:p>
          <w:p>
            <w:pPr>
              <w:keepNext w:val="0"/>
              <w:keepLines w:val="0"/>
              <w:suppressLineNumbers w:val="0"/>
              <w:bidi w:val="0"/>
              <w:spacing w:before="0" w:beforeAutospacing="0" w:after="0" w:afterAutospacing="0"/>
              <w:ind w:left="0" w:right="0"/>
              <w:rPr>
                <w:rFonts w:hint="eastAsia"/>
              </w:rPr>
            </w:pPr>
            <w:r>
              <w:rPr>
                <w:rFonts w:hint="eastAsia"/>
              </w:rPr>
              <w:t>同时通过强化施工作业管理，保证施工设备运行稳定，可减少施工过程中恶臭气体的产生；同时在河道两岸建立挡板，高度一般在2.5～3m，避免臭气直接扩散到岸边；强化施工人员的环保意识，并做好施工人员的安全防护措施；施工前，施工单位提前告知附近居民关闭窗户，最大限度的减轻臭气对周围居民的影响。通过采取上述措施后，很大程度上减轻恶臭气体对周围环境的影响，不会改变建设项目所在地周围空气环境质量现状。</w:t>
            </w:r>
          </w:p>
          <w:p>
            <w:pPr>
              <w:keepNext w:val="0"/>
              <w:keepLines w:val="0"/>
              <w:numPr>
                <w:ilvl w:val="0"/>
                <w:numId w:val="29"/>
              </w:numPr>
              <w:suppressLineNumbers w:val="0"/>
              <w:bidi w:val="0"/>
              <w:spacing w:before="0" w:beforeAutospacing="0" w:after="0" w:afterAutospacing="0"/>
              <w:ind w:left="0" w:leftChars="0" w:right="0" w:firstLine="482" w:firstLineChars="200"/>
              <w:rPr>
                <w:rFonts w:hint="default"/>
                <w:b/>
                <w:bCs/>
              </w:rPr>
            </w:pPr>
            <w:r>
              <w:rPr>
                <w:rFonts w:hint="eastAsia"/>
                <w:b/>
                <w:bCs/>
              </w:rPr>
              <w:t>水环境影响分析</w:t>
            </w:r>
          </w:p>
          <w:p>
            <w:pPr>
              <w:keepNext w:val="0"/>
              <w:keepLines w:val="0"/>
              <w:numPr>
                <w:ilvl w:val="0"/>
                <w:numId w:val="31"/>
              </w:numPr>
              <w:suppressLineNumbers w:val="0"/>
              <w:bidi w:val="0"/>
              <w:spacing w:before="0" w:beforeAutospacing="0" w:after="0" w:afterAutospacing="0"/>
              <w:ind w:left="0" w:leftChars="0" w:right="0" w:firstLine="480" w:firstLineChars="200"/>
              <w:rPr>
                <w:rFonts w:hint="eastAsia"/>
              </w:rPr>
            </w:pPr>
            <w:r>
              <w:rPr>
                <w:rFonts w:hint="eastAsia"/>
              </w:rPr>
              <w:t>建设项目施工中砂石料冲洗过程等将产生施工泥浆废水，该废水含有大量的悬浮物，该废水经沉淀池沉淀处理后用于施工道路洒水、水土保持措施植物用水等；对含油的施工机械冲洗废水建设隔油以及沉淀池处理达标后用于施工道路洒水。</w:t>
            </w:r>
          </w:p>
          <w:p>
            <w:pPr>
              <w:keepNext w:val="0"/>
              <w:keepLines w:val="0"/>
              <w:suppressLineNumbers w:val="0"/>
              <w:bidi w:val="0"/>
              <w:spacing w:before="0" w:beforeAutospacing="0" w:after="0" w:afterAutospacing="0"/>
              <w:ind w:left="0" w:right="0"/>
              <w:rPr>
                <w:rFonts w:hint="eastAsia"/>
              </w:rPr>
            </w:pPr>
            <w:r>
              <w:rPr>
                <w:rFonts w:hint="eastAsia"/>
              </w:rPr>
              <w:t>另外由于本项目清淤采用带水作业，故在挖泥船施工过程中会造成河道悬浮物增加，导致水质下降，由于施工时间短，在清淤作业停止后，通过水体自净可使河道恢复至原有水平。</w:t>
            </w:r>
          </w:p>
          <w:p>
            <w:pPr>
              <w:keepNext w:val="0"/>
              <w:keepLines w:val="0"/>
              <w:numPr>
                <w:ilvl w:val="0"/>
                <w:numId w:val="31"/>
              </w:numPr>
              <w:suppressLineNumbers w:val="0"/>
              <w:bidi w:val="0"/>
              <w:spacing w:before="0" w:beforeAutospacing="0" w:after="0" w:afterAutospacing="0"/>
              <w:ind w:left="0" w:leftChars="0" w:right="0" w:firstLine="480" w:firstLineChars="200"/>
              <w:rPr>
                <w:rFonts w:hint="eastAsia"/>
                <w:color w:val="auto"/>
              </w:rPr>
            </w:pPr>
            <w:r>
              <w:rPr>
                <w:rFonts w:hint="eastAsia"/>
                <w:color w:val="auto"/>
              </w:rPr>
              <w:t>施工营地租用当地民房，生活污水依托民房化粪池收集处理，定期清运作为农肥浇灌周边农田，严禁将生活污水排入沿线地表水体。定点、分类收集施工营地产生的生活垃圾，并定期交由环卫部门处理。</w:t>
            </w:r>
          </w:p>
          <w:p>
            <w:pPr>
              <w:keepNext w:val="0"/>
              <w:keepLines w:val="0"/>
              <w:suppressLineNumbers w:val="0"/>
              <w:bidi w:val="0"/>
              <w:spacing w:before="0" w:beforeAutospacing="0" w:after="0" w:afterAutospacing="0"/>
              <w:ind w:left="0" w:right="0"/>
              <w:rPr>
                <w:rFonts w:hint="default"/>
              </w:rPr>
            </w:pPr>
            <w:r>
              <w:rPr>
                <w:rFonts w:hint="eastAsia"/>
              </w:rPr>
              <w:t>项目施工期间，对环境影响较小。</w:t>
            </w:r>
          </w:p>
          <w:p>
            <w:pPr>
              <w:keepNext w:val="0"/>
              <w:keepLines w:val="0"/>
              <w:numPr>
                <w:ilvl w:val="0"/>
                <w:numId w:val="29"/>
              </w:numPr>
              <w:suppressLineNumbers w:val="0"/>
              <w:bidi w:val="0"/>
              <w:spacing w:before="0" w:beforeAutospacing="0" w:after="0" w:afterAutospacing="0"/>
              <w:ind w:left="0" w:leftChars="0" w:right="0" w:firstLine="482" w:firstLineChars="200"/>
              <w:rPr>
                <w:rFonts w:hint="default"/>
                <w:b/>
                <w:bCs/>
              </w:rPr>
            </w:pPr>
            <w:r>
              <w:rPr>
                <w:rFonts w:hint="default"/>
                <w:b/>
                <w:bCs/>
              </w:rPr>
              <w:t>声环境影响分析</w:t>
            </w:r>
          </w:p>
          <w:p>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施工噪声主要由施工机械和运输车辆产生，主要噪声源有挖掘机、自卸汽车、推土机、蛙式打夯机等施工机械运行噪声，以及运输车辆的行驶噪声。</w:t>
            </w:r>
          </w:p>
          <w:p>
            <w:pPr>
              <w:keepNext w:val="0"/>
              <w:keepLines w:val="0"/>
              <w:pageBreakBefore w:val="0"/>
              <w:widowControl w:val="0"/>
              <w:numPr>
                <w:ilvl w:val="0"/>
                <w:numId w:val="32"/>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lang w:eastAsia="zh-CN"/>
              </w:rPr>
            </w:pPr>
            <w:r>
              <w:rPr>
                <w:rFonts w:hint="eastAsia"/>
                <w:lang w:eastAsia="zh-CN"/>
              </w:rPr>
              <w:t>施工期噪声预测方法和预测模式</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本项目周边的声环境功能区为《声环境质量标准》（GB3096-2008）</w:t>
            </w:r>
            <w:r>
              <w:rPr>
                <w:rFonts w:hint="eastAsia"/>
                <w:lang w:val="en-US" w:eastAsia="zh-CN"/>
              </w:rPr>
              <w:t>2</w:t>
            </w:r>
            <w:r>
              <w:rPr>
                <w:rFonts w:hint="eastAsia"/>
                <w:lang w:eastAsia="zh-CN"/>
              </w:rPr>
              <w:t>类区。项目周边的主要敏感点执行《声环境质量标准》（GB3096-2008）中</w:t>
            </w:r>
            <w:r>
              <w:rPr>
                <w:rFonts w:hint="eastAsia"/>
                <w:lang w:val="en-US" w:eastAsia="zh-CN"/>
              </w:rPr>
              <w:t>2</w:t>
            </w:r>
            <w:r>
              <w:rPr>
                <w:rFonts w:hint="eastAsia"/>
                <w:lang w:eastAsia="zh-CN"/>
              </w:rPr>
              <w:t>类标准。预测模式采用半自由声场点声源几何发散衰减公式：</w:t>
            </w:r>
          </w:p>
          <w:p>
            <w:pPr>
              <w:keepNext w:val="0"/>
              <w:keepLines w:val="0"/>
              <w:suppressLineNumbers w:val="0"/>
              <w:bidi w:val="0"/>
              <w:spacing w:before="0" w:beforeAutospacing="0" w:after="0" w:afterAutospacing="0"/>
              <w:ind w:left="0" w:leftChars="0" w:right="0" w:rightChars="0" w:firstLine="0" w:firstLineChars="0"/>
              <w:jc w:val="center"/>
              <w:rPr>
                <w:rFonts w:hint="eastAsia"/>
                <w:lang w:eastAsia="zh-CN"/>
              </w:rPr>
            </w:pPr>
            <w:r>
              <w:rPr>
                <w:rFonts w:hint="eastAsia"/>
                <w:lang w:eastAsia="zh-CN"/>
              </w:rPr>
              <w:t>Lp(r)＝L(r0)-20lg(r/r</w:t>
            </w:r>
            <w:r>
              <w:rPr>
                <w:rFonts w:hint="eastAsia"/>
                <w:vertAlign w:val="subscript"/>
                <w:lang w:eastAsia="zh-CN"/>
              </w:rPr>
              <w:t>0</w:t>
            </w:r>
            <w:r>
              <w:rPr>
                <w:rFonts w:hint="eastAsia"/>
                <w:lang w:eastAsia="zh-CN"/>
              </w:rPr>
              <w:t>)</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式中：Lp(r)—受声点声压，dB(A)；</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L(r</w:t>
            </w:r>
            <w:r>
              <w:rPr>
                <w:rFonts w:hint="eastAsia"/>
                <w:vertAlign w:val="subscript"/>
                <w:lang w:eastAsia="zh-CN"/>
              </w:rPr>
              <w:t>0</w:t>
            </w:r>
            <w:r>
              <w:rPr>
                <w:rFonts w:hint="eastAsia"/>
                <w:lang w:eastAsia="zh-CN"/>
              </w:rPr>
              <w:t>)—参考点r</w:t>
            </w:r>
            <w:r>
              <w:rPr>
                <w:rFonts w:hint="eastAsia"/>
                <w:vertAlign w:val="subscript"/>
                <w:lang w:val="en-US" w:eastAsia="zh-CN"/>
              </w:rPr>
              <w:t>0</w:t>
            </w:r>
            <w:r>
              <w:rPr>
                <w:rFonts w:hint="eastAsia"/>
                <w:lang w:eastAsia="zh-CN"/>
              </w:rPr>
              <w:t>处声压，dB(A)；</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r—受声点至声源距离，m；</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r</w:t>
            </w:r>
            <w:r>
              <w:rPr>
                <w:rFonts w:hint="eastAsia"/>
                <w:vertAlign w:val="subscript"/>
                <w:lang w:eastAsia="zh-CN"/>
              </w:rPr>
              <w:t>0</w:t>
            </w:r>
            <w:r>
              <w:rPr>
                <w:rFonts w:hint="eastAsia"/>
                <w:lang w:eastAsia="zh-CN"/>
              </w:rPr>
              <w:t>—参考点至声源距离，m。</w:t>
            </w:r>
          </w:p>
          <w:p>
            <w:pPr>
              <w:keepNext w:val="0"/>
              <w:keepLines w:val="0"/>
              <w:pageBreakBefore w:val="0"/>
              <w:widowControl w:val="0"/>
              <w:numPr>
                <w:ilvl w:val="0"/>
                <w:numId w:val="32"/>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lang w:eastAsia="zh-CN"/>
              </w:rPr>
            </w:pPr>
            <w:r>
              <w:rPr>
                <w:rFonts w:hint="eastAsia"/>
                <w:lang w:eastAsia="zh-CN"/>
              </w:rPr>
              <w:t>噪声影响预测结果</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根据施工机械设备运行噪声值，采用上述公式，计算得到施工期主要施工机械运行时不同距离处的噪声预测结果，见下表。</w:t>
            </w:r>
          </w:p>
          <w:p>
            <w:pPr>
              <w:pStyle w:val="15"/>
              <w:keepNext w:val="0"/>
              <w:keepLines w:val="0"/>
              <w:suppressLineNumbers w:val="0"/>
              <w:bidi w:val="0"/>
              <w:spacing w:before="0" w:beforeAutospacing="0" w:after="0" w:afterAutospacing="0"/>
              <w:ind w:left="0" w:right="0"/>
              <w:rPr>
                <w:rFonts w:hint="eastAsia"/>
                <w:lang w:eastAsia="zh-CN"/>
              </w:rPr>
            </w:pPr>
            <w:r>
              <w:rPr>
                <w:rFonts w:hint="eastAsia"/>
                <w:lang w:eastAsia="zh-CN"/>
              </w:rPr>
              <w:t>施工设备噪声随距离的衰减情况</w:t>
            </w:r>
            <w:r>
              <w:rPr>
                <w:rFonts w:hint="eastAsia"/>
                <w:lang w:val="en-US" w:eastAsia="zh-CN"/>
              </w:rPr>
              <w:t xml:space="preserve">  </w:t>
            </w:r>
            <w:r>
              <w:rPr>
                <w:rFonts w:hint="eastAsia"/>
                <w:lang w:eastAsia="zh-CN"/>
              </w:rPr>
              <w:t>单位：dB（A）</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930"/>
              <w:gridCol w:w="851"/>
              <w:gridCol w:w="987"/>
              <w:gridCol w:w="987"/>
              <w:gridCol w:w="987"/>
              <w:gridCol w:w="987"/>
              <w:gridCol w:w="987"/>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1359"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施工噪声源</w:t>
                  </w:r>
                </w:p>
              </w:tc>
              <w:tc>
                <w:tcPr>
                  <w:tcW w:w="930"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lang w:eastAsia="zh-CN"/>
                    </w:rPr>
                  </w:pPr>
                  <w:r>
                    <w:rPr>
                      <w:rFonts w:hint="eastAsia"/>
                      <w:lang w:eastAsia="zh-CN"/>
                    </w:rPr>
                    <w:t>源强（</w:t>
                  </w:r>
                  <w:r>
                    <w:rPr>
                      <w:rFonts w:hint="eastAsia"/>
                      <w:lang w:val="en-US" w:eastAsia="zh-CN"/>
                    </w:rPr>
                    <w:t>5m</w:t>
                  </w:r>
                  <w:r>
                    <w:rPr>
                      <w:rFonts w:hint="eastAsia"/>
                      <w:lang w:eastAsia="zh-CN"/>
                    </w:rPr>
                    <w:t>）</w:t>
                  </w:r>
                </w:p>
              </w:tc>
              <w:tc>
                <w:tcPr>
                  <w:tcW w:w="6773" w:type="dxa"/>
                  <w:gridSpan w:val="7"/>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离声源不同距离（</w:t>
                  </w:r>
                  <w:r>
                    <w:rPr>
                      <w:rFonts w:hint="eastAsia"/>
                      <w:lang w:val="en-US" w:eastAsia="zh-CN"/>
                    </w:rPr>
                    <w:t>m</w:t>
                  </w:r>
                  <w:r>
                    <w:rPr>
                      <w:rFonts w:hint="eastAsia"/>
                      <w:lang w:eastAsia="zh-CN"/>
                    </w:rPr>
                    <w:t>）的噪声预测值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9"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p>
              </w:tc>
              <w:tc>
                <w:tcPr>
                  <w:tcW w:w="930"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851"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10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20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100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150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200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9"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挖掘机</w:t>
                  </w:r>
                </w:p>
              </w:tc>
              <w:tc>
                <w:tcPr>
                  <w:tcW w:w="930"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86</w:t>
                  </w:r>
                </w:p>
              </w:tc>
              <w:tc>
                <w:tcPr>
                  <w:tcW w:w="851"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80.0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74.0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66.0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60.0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56.5</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54.0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9"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自卸汽车</w:t>
                  </w:r>
                </w:p>
              </w:tc>
              <w:tc>
                <w:tcPr>
                  <w:tcW w:w="930"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92</w:t>
                  </w:r>
                </w:p>
              </w:tc>
              <w:tc>
                <w:tcPr>
                  <w:tcW w:w="851"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86.0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80.0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72.0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66.0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62.5</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60.0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9"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推土机</w:t>
                  </w:r>
                </w:p>
              </w:tc>
              <w:tc>
                <w:tcPr>
                  <w:tcW w:w="930"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88</w:t>
                  </w:r>
                </w:p>
              </w:tc>
              <w:tc>
                <w:tcPr>
                  <w:tcW w:w="851"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82.0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76.0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68.0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62.0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58.5</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56.0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9"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ascii="Times New Roman" w:hAnsi="Times New Roman" w:eastAsia="宋体" w:cs="Times New Roman"/>
                      <w:kern w:val="2"/>
                      <w:sz w:val="21"/>
                      <w:szCs w:val="20"/>
                      <w:lang w:val="en-US" w:eastAsia="zh-CN" w:bidi="ar-SA"/>
                    </w:rPr>
                  </w:pPr>
                  <w:r>
                    <w:rPr>
                      <w:rFonts w:hint="eastAsia"/>
                      <w:lang w:eastAsia="zh-CN"/>
                    </w:rPr>
                    <w:t>蛙式打夯机</w:t>
                  </w:r>
                </w:p>
              </w:tc>
              <w:tc>
                <w:tcPr>
                  <w:tcW w:w="930"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100</w:t>
                  </w:r>
                </w:p>
              </w:tc>
              <w:tc>
                <w:tcPr>
                  <w:tcW w:w="851"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94.0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88.0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80.0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74.0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70.5</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68.0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359"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内燃压路机</w:t>
                  </w:r>
                </w:p>
              </w:tc>
              <w:tc>
                <w:tcPr>
                  <w:tcW w:w="930"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90</w:t>
                  </w:r>
                </w:p>
              </w:tc>
              <w:tc>
                <w:tcPr>
                  <w:tcW w:w="851"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80.0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74.0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66.0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60.0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56.5</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54.0</w:t>
                  </w:r>
                </w:p>
              </w:tc>
              <w:tc>
                <w:tcPr>
                  <w:tcW w:w="98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50.4</w:t>
                  </w:r>
                </w:p>
              </w:tc>
            </w:tr>
          </w:tbl>
          <w:p>
            <w:pPr>
              <w:keepNext w:val="0"/>
              <w:keepLines w:val="0"/>
              <w:suppressLineNumbers w:val="0"/>
              <w:spacing w:before="0" w:beforeAutospacing="0" w:after="0" w:afterAutospacing="0"/>
              <w:ind w:left="0" w:right="0"/>
              <w:rPr>
                <w:rFonts w:hint="eastAsia"/>
                <w:lang w:eastAsia="zh-CN"/>
              </w:rPr>
            </w:pPr>
            <w:r>
              <w:rPr>
                <w:rFonts w:hint="eastAsia"/>
                <w:lang w:eastAsia="zh-CN"/>
              </w:rPr>
              <w:t>本次评价综合考虑工程施工时存在多种机械同时运行的情况，选取防洪堤及配套工程施工、河道治理工程施工为典型进行预测，考虑多种机械（每种机械1台）同时施工进行叠加影响预测见下表。</w:t>
            </w:r>
          </w:p>
          <w:p>
            <w:pPr>
              <w:pStyle w:val="2"/>
              <w:keepNext w:val="0"/>
              <w:keepLines w:val="0"/>
              <w:suppressLineNumbers w:val="0"/>
              <w:spacing w:before="0" w:beforeAutospacing="0" w:after="0" w:afterAutospacing="0"/>
              <w:ind w:left="0" w:right="0"/>
              <w:jc w:val="both"/>
              <w:rPr>
                <w:rFonts w:hint="eastAsia"/>
                <w:lang w:eastAsia="zh-CN"/>
              </w:rPr>
            </w:pPr>
          </w:p>
          <w:p>
            <w:pPr>
              <w:pStyle w:val="2"/>
              <w:keepNext w:val="0"/>
              <w:keepLines w:val="0"/>
              <w:suppressLineNumbers w:val="0"/>
              <w:spacing w:before="0" w:beforeAutospacing="0" w:after="0" w:afterAutospacing="0"/>
              <w:ind w:left="0" w:right="0"/>
              <w:jc w:val="both"/>
              <w:rPr>
                <w:rFonts w:hint="eastAsia"/>
                <w:lang w:eastAsia="zh-CN"/>
              </w:rPr>
            </w:pPr>
          </w:p>
          <w:p>
            <w:pPr>
              <w:pStyle w:val="15"/>
              <w:keepNext w:val="0"/>
              <w:keepLines w:val="0"/>
              <w:suppressLineNumbers w:val="0"/>
              <w:bidi w:val="0"/>
              <w:spacing w:before="0" w:beforeAutospacing="0" w:after="0" w:afterAutospacing="0"/>
              <w:ind w:left="0" w:right="0"/>
              <w:rPr>
                <w:rFonts w:hint="eastAsia"/>
                <w:lang w:eastAsia="zh-CN"/>
              </w:rPr>
            </w:pPr>
            <w:r>
              <w:rPr>
                <w:rFonts w:hint="eastAsia"/>
                <w:lang w:eastAsia="zh-CN"/>
              </w:rPr>
              <w:t>施工期组合机械噪声预测结果</w:t>
            </w:r>
            <w:r>
              <w:rPr>
                <w:rFonts w:hint="eastAsia"/>
                <w:lang w:val="en-US" w:eastAsia="zh-CN"/>
              </w:rPr>
              <w:t xml:space="preserve">  </w:t>
            </w:r>
            <w:r>
              <w:rPr>
                <w:rFonts w:hint="eastAsia"/>
                <w:lang w:eastAsia="zh-CN"/>
              </w:rPr>
              <w:t>单位：dB（A）</w:t>
            </w:r>
          </w:p>
          <w:tbl>
            <w:tblPr>
              <w:tblStyle w:val="11"/>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4"/>
              <w:gridCol w:w="710"/>
              <w:gridCol w:w="790"/>
              <w:gridCol w:w="1024"/>
              <w:gridCol w:w="907"/>
              <w:gridCol w:w="907"/>
              <w:gridCol w:w="907"/>
              <w:gridCol w:w="907"/>
              <w:gridCol w:w="908"/>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施工机械</w:t>
                  </w:r>
                </w:p>
              </w:tc>
              <w:tc>
                <w:tcPr>
                  <w:tcW w:w="710"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源强</w:t>
                  </w:r>
                </w:p>
              </w:tc>
              <w:tc>
                <w:tcPr>
                  <w:tcW w:w="790"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叠加源强</w:t>
                  </w:r>
                </w:p>
              </w:tc>
              <w:tc>
                <w:tcPr>
                  <w:tcW w:w="6468" w:type="dxa"/>
                  <w:gridSpan w:val="7"/>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r>
                    <w:rPr>
                      <w:rFonts w:hint="eastAsia"/>
                    </w:rPr>
                    <w:t>离声源不同距离（m）的噪声预测值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04"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710"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790"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1024"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10</w:t>
                  </w:r>
                </w:p>
              </w:tc>
              <w:tc>
                <w:tcPr>
                  <w:tcW w:w="90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20</w:t>
                  </w:r>
                </w:p>
              </w:tc>
              <w:tc>
                <w:tcPr>
                  <w:tcW w:w="90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50</w:t>
                  </w:r>
                </w:p>
              </w:tc>
              <w:tc>
                <w:tcPr>
                  <w:tcW w:w="90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100</w:t>
                  </w:r>
                </w:p>
              </w:tc>
              <w:tc>
                <w:tcPr>
                  <w:tcW w:w="907"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150</w:t>
                  </w:r>
                </w:p>
              </w:tc>
              <w:tc>
                <w:tcPr>
                  <w:tcW w:w="908"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200</w:t>
                  </w:r>
                </w:p>
              </w:tc>
              <w:tc>
                <w:tcPr>
                  <w:tcW w:w="908"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挖掘机</w:t>
                  </w:r>
                </w:p>
              </w:tc>
              <w:tc>
                <w:tcPr>
                  <w:tcW w:w="710"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86</w:t>
                  </w:r>
                </w:p>
              </w:tc>
              <w:tc>
                <w:tcPr>
                  <w:tcW w:w="790"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94.2</w:t>
                  </w:r>
                </w:p>
              </w:tc>
              <w:tc>
                <w:tcPr>
                  <w:tcW w:w="1024"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88.2</w:t>
                  </w:r>
                </w:p>
              </w:tc>
              <w:tc>
                <w:tcPr>
                  <w:tcW w:w="907"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82.1</w:t>
                  </w:r>
                </w:p>
              </w:tc>
              <w:tc>
                <w:tcPr>
                  <w:tcW w:w="907"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74.2</w:t>
                  </w:r>
                </w:p>
              </w:tc>
              <w:tc>
                <w:tcPr>
                  <w:tcW w:w="907"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68.2</w:t>
                  </w:r>
                </w:p>
              </w:tc>
              <w:tc>
                <w:tcPr>
                  <w:tcW w:w="907"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64.6</w:t>
                  </w:r>
                </w:p>
              </w:tc>
              <w:tc>
                <w:tcPr>
                  <w:tcW w:w="908"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62.1</w:t>
                  </w:r>
                </w:p>
              </w:tc>
              <w:tc>
                <w:tcPr>
                  <w:tcW w:w="908" w:type="dxa"/>
                  <w:vMerge w:val="restart"/>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58.6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自卸汽车</w:t>
                  </w:r>
                </w:p>
              </w:tc>
              <w:tc>
                <w:tcPr>
                  <w:tcW w:w="710"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92</w:t>
                  </w:r>
                </w:p>
              </w:tc>
              <w:tc>
                <w:tcPr>
                  <w:tcW w:w="790"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1024"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7"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7"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7"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7"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8"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8"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4"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eastAsia" w:eastAsia="宋体"/>
                      <w:lang w:eastAsia="zh-CN"/>
                    </w:rPr>
                  </w:pPr>
                  <w:r>
                    <w:rPr>
                      <w:rFonts w:hint="eastAsia"/>
                      <w:lang w:eastAsia="zh-CN"/>
                    </w:rPr>
                    <w:t>推土机</w:t>
                  </w:r>
                </w:p>
              </w:tc>
              <w:tc>
                <w:tcPr>
                  <w:tcW w:w="710" w:type="dxa"/>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eastAsia="宋体"/>
                      <w:lang w:val="en-US" w:eastAsia="zh-CN"/>
                    </w:rPr>
                  </w:pPr>
                  <w:r>
                    <w:rPr>
                      <w:rFonts w:hint="eastAsia"/>
                      <w:lang w:val="en-US" w:eastAsia="zh-CN"/>
                    </w:rPr>
                    <w:t>88</w:t>
                  </w:r>
                </w:p>
              </w:tc>
              <w:tc>
                <w:tcPr>
                  <w:tcW w:w="790"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1024"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7"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7"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7"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7"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8"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c>
                <w:tcPr>
                  <w:tcW w:w="908" w:type="dxa"/>
                  <w:vMerge w:val="continue"/>
                  <w:vAlign w:val="center"/>
                </w:tcPr>
                <w:p>
                  <w:pPr>
                    <w:pStyle w:val="17"/>
                    <w:keepNext w:val="0"/>
                    <w:keepLines w:val="0"/>
                    <w:suppressLineNumbers w:val="0"/>
                    <w:bidi w:val="0"/>
                    <w:spacing w:before="0" w:beforeAutospacing="0" w:after="0" w:afterAutospacing="0"/>
                    <w:ind w:left="0" w:leftChars="0" w:right="0" w:rightChars="0" w:firstLine="0" w:firstLineChars="0"/>
                    <w:jc w:val="center"/>
                    <w:rPr>
                      <w:rFonts w:hint="default"/>
                    </w:rPr>
                  </w:pPr>
                </w:p>
              </w:tc>
            </w:tr>
          </w:tbl>
          <w:p>
            <w:pPr>
              <w:keepNext w:val="0"/>
              <w:keepLines w:val="0"/>
              <w:pageBreakBefore w:val="0"/>
              <w:widowControl w:val="0"/>
              <w:numPr>
                <w:ilvl w:val="0"/>
                <w:numId w:val="32"/>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lang w:eastAsia="zh-CN"/>
              </w:rPr>
            </w:pPr>
            <w:r>
              <w:rPr>
                <w:rFonts w:hint="eastAsia"/>
                <w:lang w:eastAsia="zh-CN"/>
              </w:rPr>
              <w:t>施工期噪声污染防治措施</w:t>
            </w:r>
          </w:p>
          <w:p>
            <w:pPr>
              <w:keepNext w:val="0"/>
              <w:keepLines w:val="0"/>
              <w:suppressLineNumbers w:val="0"/>
              <w:spacing w:before="0" w:beforeAutospacing="0" w:after="0" w:afterAutospacing="0"/>
              <w:ind w:left="0" w:right="0"/>
              <w:rPr>
                <w:rFonts w:hint="eastAsia"/>
                <w:lang w:eastAsia="zh-CN"/>
              </w:rPr>
            </w:pPr>
            <w:r>
              <w:rPr>
                <w:rFonts w:hint="eastAsia"/>
                <w:lang w:eastAsia="zh-CN"/>
              </w:rPr>
              <w:t>为有效防治本项目施工可能产生的噪声污染，建议采取以下防治措施：</w:t>
            </w:r>
          </w:p>
          <w:p>
            <w:pPr>
              <w:keepNext w:val="0"/>
              <w:keepLines w:val="0"/>
              <w:numPr>
                <w:ilvl w:val="0"/>
                <w:numId w:val="33"/>
              </w:numPr>
              <w:suppressLineNumbers w:val="0"/>
              <w:spacing w:before="0" w:beforeAutospacing="0" w:after="0" w:afterAutospacing="0"/>
              <w:ind w:left="0" w:leftChars="0" w:right="0" w:firstLine="480" w:firstLineChars="200"/>
              <w:rPr>
                <w:rFonts w:hint="eastAsia"/>
                <w:lang w:eastAsia="zh-CN"/>
              </w:rPr>
            </w:pPr>
            <w:r>
              <w:rPr>
                <w:rFonts w:hint="eastAsia"/>
                <w:lang w:eastAsia="zh-CN"/>
              </w:rPr>
              <w:t>施工阶段噪声执行《建筑施工场界环境噪声排放标准》（GB12523-2011），严格控制挖掘机、压路机、装载机等高噪声源的作业时间，以免影响当地居民的正常休息、工作和学习。施工机械夜间（22：00~6：00）在敏感点附近路段应禁止施工，因特殊需要须昼夜连续作业的，施工单位必须依法报环保部门办理相关手续，并在开工前2日内如实公示作业内容，施工影响周边居民生活的，建设单位应当会同施工单位做好周边居民工作，以征得居民对工程的理解。</w:t>
            </w:r>
          </w:p>
          <w:p>
            <w:pPr>
              <w:keepNext w:val="0"/>
              <w:keepLines w:val="0"/>
              <w:numPr>
                <w:ilvl w:val="0"/>
                <w:numId w:val="33"/>
              </w:numPr>
              <w:suppressLineNumbers w:val="0"/>
              <w:spacing w:before="0" w:beforeAutospacing="0" w:after="0" w:afterAutospacing="0"/>
              <w:ind w:left="0" w:leftChars="0" w:right="0" w:firstLine="480" w:firstLineChars="200"/>
              <w:rPr>
                <w:rFonts w:hint="eastAsia"/>
                <w:lang w:eastAsia="zh-CN"/>
              </w:rPr>
            </w:pPr>
            <w:r>
              <w:rPr>
                <w:rFonts w:hint="eastAsia"/>
                <w:lang w:eastAsia="zh-CN"/>
              </w:rPr>
              <w:t>对进出施工场地的运输车规定其行驶路线，尽量避开居民区。利用现有道路进行施工物料运输时，注意调整运输时间，可以减少对运输道路附近居民夜间休息的影响。</w:t>
            </w:r>
          </w:p>
          <w:p>
            <w:pPr>
              <w:keepNext w:val="0"/>
              <w:keepLines w:val="0"/>
              <w:numPr>
                <w:ilvl w:val="0"/>
                <w:numId w:val="33"/>
              </w:numPr>
              <w:suppressLineNumbers w:val="0"/>
              <w:spacing w:before="0" w:beforeAutospacing="0" w:after="0" w:afterAutospacing="0"/>
              <w:ind w:left="0" w:leftChars="0" w:right="0" w:firstLine="480" w:firstLineChars="200"/>
              <w:rPr>
                <w:rFonts w:hint="eastAsia"/>
                <w:lang w:eastAsia="zh-CN"/>
              </w:rPr>
            </w:pPr>
            <w:r>
              <w:rPr>
                <w:rFonts w:hint="eastAsia"/>
                <w:lang w:eastAsia="zh-CN"/>
              </w:rPr>
              <w:t>尽量采用低噪声机械设备，具有高噪声特点的施工机械应尽量避免集中施工。在敏感点附近安置施工机械时，应设置移动声屏障。</w:t>
            </w:r>
          </w:p>
          <w:p>
            <w:pPr>
              <w:keepNext w:val="0"/>
              <w:keepLines w:val="0"/>
              <w:numPr>
                <w:ilvl w:val="0"/>
                <w:numId w:val="33"/>
              </w:numPr>
              <w:suppressLineNumbers w:val="0"/>
              <w:spacing w:before="0" w:beforeAutospacing="0" w:after="0" w:afterAutospacing="0"/>
              <w:ind w:left="0" w:leftChars="0" w:right="0" w:firstLine="480" w:firstLineChars="200"/>
              <w:rPr>
                <w:rFonts w:hint="eastAsia"/>
                <w:lang w:eastAsia="zh-CN"/>
              </w:rPr>
            </w:pPr>
            <w:r>
              <w:rPr>
                <w:rFonts w:hint="eastAsia"/>
                <w:lang w:eastAsia="zh-CN"/>
              </w:rPr>
              <w:t>加强施工期噪声监测，发现施工噪声超标并对附近居民点产生影响应及时采取有效的噪声污染防治措施。</w:t>
            </w:r>
          </w:p>
          <w:p>
            <w:pPr>
              <w:keepNext w:val="0"/>
              <w:keepLines w:val="0"/>
              <w:pageBreakBefore w:val="0"/>
              <w:widowControl w:val="0"/>
              <w:numPr>
                <w:ilvl w:val="0"/>
                <w:numId w:val="32"/>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lang w:eastAsia="zh-CN"/>
              </w:rPr>
            </w:pPr>
            <w:r>
              <w:rPr>
                <w:rFonts w:hint="eastAsia" w:ascii="Times New Roman" w:hAnsi="Times New Roman" w:eastAsia="宋体" w:cs="Times New Roman"/>
                <w:sz w:val="24"/>
                <w:szCs w:val="24"/>
              </w:rPr>
              <w:t>噪声影响结果分析</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本项目通过强化噪声环境管理、施工机械减震、距离降噪、合理布局、修建施工围挡和简易屏障，预测敏感目标点噪声值叠加背景值后可达到《声环境质量标准》（GB12348-2008）2类标准，昼间60dB(A)，夜间50dB(A)。</w:t>
            </w:r>
          </w:p>
          <w:p>
            <w:pPr>
              <w:keepNext w:val="0"/>
              <w:keepLines w:val="0"/>
              <w:numPr>
                <w:ilvl w:val="0"/>
                <w:numId w:val="29"/>
              </w:numPr>
              <w:suppressLineNumbers w:val="0"/>
              <w:bidi w:val="0"/>
              <w:spacing w:before="0" w:beforeAutospacing="0" w:after="0" w:afterAutospacing="0"/>
              <w:ind w:left="0" w:leftChars="0" w:right="0" w:firstLine="482" w:firstLineChars="200"/>
              <w:rPr>
                <w:rFonts w:hint="eastAsia"/>
                <w:b/>
                <w:bCs/>
                <w:lang w:eastAsia="zh-CN"/>
              </w:rPr>
            </w:pPr>
            <w:r>
              <w:rPr>
                <w:rFonts w:hint="eastAsia"/>
                <w:b/>
                <w:bCs/>
                <w:lang w:eastAsia="zh-CN"/>
              </w:rPr>
              <w:t>固体废物影响分析</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建设项目施工期固体废物主要来源于施工人员产生的生活垃圾及弃土。对施工人员的生活垃圾应加以收集，由当地环卫部门统一清运处理；废弃土方由芜湖县城市管理部门统一调配，运至指定的弃土场。因此施工期固废可以得到妥善处置，对周围环境影响较小。</w:t>
            </w:r>
          </w:p>
          <w:p>
            <w:pPr>
              <w:keepNext w:val="0"/>
              <w:keepLines w:val="0"/>
              <w:numPr>
                <w:ilvl w:val="0"/>
                <w:numId w:val="29"/>
              </w:numPr>
              <w:suppressLineNumbers w:val="0"/>
              <w:bidi w:val="0"/>
              <w:spacing w:before="0" w:beforeAutospacing="0" w:after="0" w:afterAutospacing="0"/>
              <w:ind w:left="0" w:leftChars="0" w:right="0" w:firstLine="482" w:firstLineChars="200"/>
              <w:rPr>
                <w:rFonts w:hint="eastAsia"/>
                <w:b/>
                <w:bCs/>
                <w:lang w:eastAsia="zh-CN"/>
              </w:rPr>
            </w:pPr>
            <w:r>
              <w:rPr>
                <w:rFonts w:hint="eastAsia"/>
                <w:b/>
                <w:bCs/>
                <w:lang w:eastAsia="zh-CN"/>
              </w:rPr>
              <w:t>生态影响分析</w:t>
            </w:r>
          </w:p>
          <w:p>
            <w:pPr>
              <w:keepNext w:val="0"/>
              <w:keepLines w:val="0"/>
              <w:pageBreakBefore w:val="0"/>
              <w:widowControl w:val="0"/>
              <w:numPr>
                <w:ilvl w:val="0"/>
                <w:numId w:val="34"/>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eastAsia"/>
                <w:lang w:eastAsia="zh-CN"/>
              </w:rPr>
            </w:pPr>
            <w:r>
              <w:rPr>
                <w:rFonts w:hint="eastAsia"/>
                <w:lang w:eastAsia="zh-CN"/>
              </w:rPr>
              <w:t>工程占地影响</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施工期对生态环境的影响主要表现为工程临时用地和弃土弃渣对陆域生态环境影响。施工结束后，水域生态环境可以得到恢复，工程区陆生植物主要为工程沿线树木，施工结束后，需做好水土保持工作，除了永久用地外，其他地表可以恢复为绿地。工程临时用地区主要用于施工临时堆土和施工布置，施工结束后，亦可恢复绿地。</w:t>
            </w:r>
          </w:p>
          <w:p>
            <w:pPr>
              <w:keepNext w:val="0"/>
              <w:keepLines w:val="0"/>
              <w:pageBreakBefore w:val="0"/>
              <w:widowControl w:val="0"/>
              <w:numPr>
                <w:ilvl w:val="0"/>
                <w:numId w:val="34"/>
              </w:numPr>
              <w:suppressLineNumbers w:val="0"/>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eastAsia"/>
                <w:lang w:eastAsia="zh-CN"/>
              </w:rPr>
            </w:pPr>
            <w:r>
              <w:rPr>
                <w:rFonts w:hint="eastAsia"/>
                <w:lang w:eastAsia="zh-CN"/>
              </w:rPr>
              <w:t>对植物及植被的影响</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项目区域植被类型较单一，生态系统相对比较简单，主要生态系统包括农田和灌木。植被类型主要以草本、灌丛、人工林为主。工程对自然植被的破坏主要集中在施工期阶段，在运行期内对周边植被为正面影响。</w:t>
            </w:r>
          </w:p>
          <w:p>
            <w:pPr>
              <w:keepNext w:val="0"/>
              <w:keepLines w:val="0"/>
              <w:suppressLineNumbers w:val="0"/>
              <w:bidi w:val="0"/>
              <w:spacing w:before="0" w:beforeAutospacing="0" w:after="0" w:afterAutospacing="0"/>
              <w:ind w:left="0" w:right="0"/>
              <w:rPr>
                <w:rFonts w:hint="eastAsia"/>
                <w:lang w:eastAsia="zh-CN"/>
              </w:rPr>
            </w:pPr>
            <w:r>
              <w:rPr>
                <w:rFonts w:hint="eastAsia"/>
                <w:lang w:eastAsia="zh-CN"/>
              </w:rPr>
              <w:t>项目土方开挖等人为干扰活动，将会直接改变植被的原始自然面貌，使得开挖区域与碾压区域植被破坏，植被生物量减少。另外，施工也会间接影响植物本身的生长过程：灰尘会粘附在植物的叶面，阻塞叶面的气孔，降低光合作用的效率。施工引起的水土流失等间接地对植被造成破坏，使得植物群落结构变得简单。</w:t>
            </w:r>
          </w:p>
          <w:p>
            <w:pPr>
              <w:keepNext w:val="0"/>
              <w:keepLines w:val="0"/>
              <w:pageBreakBefore w:val="0"/>
              <w:widowControl w:val="0"/>
              <w:numPr>
                <w:ilvl w:val="0"/>
                <w:numId w:val="34"/>
              </w:numPr>
              <w:suppressLineNumbers w:val="0"/>
              <w:kinsoku/>
              <w:wordWrap/>
              <w:overflowPunct/>
              <w:topLinePunct w:val="0"/>
              <w:autoSpaceDE/>
              <w:autoSpaceDN/>
              <w:bidi w:val="0"/>
              <w:adjustRightInd/>
              <w:snapToGrid/>
              <w:spacing w:before="0" w:beforeAutospacing="0" w:after="0" w:afterAutospacing="0"/>
              <w:ind w:left="0" w:leftChars="0" w:right="0" w:firstLine="480" w:firstLineChars="200"/>
              <w:textAlignment w:val="auto"/>
              <w:rPr>
                <w:rFonts w:hint="eastAsia"/>
                <w:lang w:eastAsia="zh-CN"/>
              </w:rPr>
            </w:pPr>
            <w:r>
              <w:rPr>
                <w:rFonts w:hint="eastAsia"/>
                <w:lang w:eastAsia="zh-CN"/>
              </w:rPr>
              <w:t>对动物的影响</w:t>
            </w:r>
          </w:p>
          <w:p>
            <w:pPr>
              <w:keepNext w:val="0"/>
              <w:keepLines w:val="0"/>
              <w:suppressLineNumbers w:val="0"/>
              <w:bidi w:val="0"/>
              <w:spacing w:before="0" w:beforeAutospacing="0" w:after="0" w:afterAutospacing="0"/>
              <w:ind w:left="0" w:right="0"/>
              <w:rPr>
                <w:rFonts w:hint="eastAsia"/>
                <w:color w:val="auto"/>
                <w:lang w:eastAsia="zh-CN"/>
              </w:rPr>
            </w:pPr>
            <w:r>
              <w:rPr>
                <w:rFonts w:hint="eastAsia"/>
                <w:color w:val="auto"/>
                <w:lang w:eastAsia="zh-CN"/>
              </w:rPr>
              <w:t>工程建设使得动物区栖息地的适宜度降低，两栖动物是迁徙能力较弱的动物类群，它们对环境的依赖性较强。两栖动物栖息于农田、渠道及附近的草丛等区域。施工对两栖动物的生境造成一定的破坏，导致两栖动物的一些种类的种群数量有所减少。由于本工程单位施工量较小，对两栖动物影响较小。</w:t>
            </w:r>
          </w:p>
          <w:p>
            <w:pPr>
              <w:keepNext w:val="0"/>
              <w:keepLines w:val="0"/>
              <w:numPr>
                <w:ilvl w:val="0"/>
                <w:numId w:val="29"/>
              </w:numPr>
              <w:suppressLineNumbers w:val="0"/>
              <w:bidi w:val="0"/>
              <w:spacing w:before="0" w:beforeAutospacing="0" w:after="0" w:afterAutospacing="0"/>
              <w:ind w:left="0" w:leftChars="0" w:right="0" w:firstLine="482" w:firstLineChars="200"/>
              <w:rPr>
                <w:rFonts w:hint="eastAsia"/>
                <w:b/>
                <w:bCs/>
                <w:color w:val="auto"/>
                <w:lang w:eastAsia="zh-CN"/>
              </w:rPr>
            </w:pPr>
            <w:r>
              <w:rPr>
                <w:rFonts w:hint="eastAsia"/>
                <w:b/>
                <w:bCs/>
                <w:color w:val="auto"/>
                <w:lang w:eastAsia="zh-CN"/>
              </w:rPr>
              <w:t>社会环境影响分析</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lang w:eastAsia="zh-CN"/>
              </w:rPr>
            </w:pPr>
            <w:r>
              <w:rPr>
                <w:rFonts w:hint="eastAsia"/>
                <w:lang w:eastAsia="zh-CN"/>
              </w:rPr>
              <w:t>项目施工沿线主要为村庄分布，施工期污染物排放对周边居民影响较大。通过在工场地采取施工围挡、定时洒水降尘等减少扬尘扩散，降低施工扬尘对敏感点的影响。避免高噪声设备集中施工，禁止夜间施工，居民点周边施工时设置隔声屏障。</w:t>
            </w:r>
          </w:p>
          <w:p>
            <w:pPr>
              <w:keepNext w:val="0"/>
              <w:keepLines w:val="0"/>
              <w:pageBreakBefore w:val="0"/>
              <w:widowControl w:val="0"/>
              <w:numPr>
                <w:ilvl w:val="0"/>
                <w:numId w:val="35"/>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eastAsia"/>
                <w:lang w:eastAsia="zh-CN"/>
              </w:rPr>
            </w:pPr>
            <w:r>
              <w:rPr>
                <w:rFonts w:hint="eastAsia"/>
                <w:lang w:eastAsia="zh-CN"/>
              </w:rPr>
              <w:t>施工期大量工程车辆进出施工场地，会加大区域的交通出行压力，对周边敏感点居民的出行会产生影响。施工单位应合理规划车辆进出路线和运输时间，安排专人指挥交通，以防止交通堵塞，设置交通标志，提醒两侧居民，出行注意安全，减轻施工车辆运输对周围居民出行的影响。</w:t>
            </w:r>
          </w:p>
          <w:p>
            <w:pPr>
              <w:keepNext w:val="0"/>
              <w:keepLines w:val="0"/>
              <w:numPr>
                <w:ilvl w:val="0"/>
                <w:numId w:val="28"/>
              </w:numPr>
              <w:suppressLineNumbers w:val="0"/>
              <w:spacing w:before="0" w:beforeAutospacing="0" w:after="0" w:afterAutospacing="0"/>
              <w:ind w:left="0" w:leftChars="0" w:right="0" w:firstLine="0" w:firstLineChars="0"/>
              <w:rPr>
                <w:rFonts w:hint="default"/>
                <w:b/>
                <w:bCs/>
                <w:vertAlign w:val="baseline"/>
              </w:rPr>
            </w:pPr>
            <w:r>
              <w:rPr>
                <w:rFonts w:hint="default"/>
                <w:b/>
                <w:bCs/>
                <w:vertAlign w:val="baseline"/>
              </w:rPr>
              <w:t>营运期环境影响分析</w:t>
            </w:r>
          </w:p>
          <w:p>
            <w:pPr>
              <w:keepNext w:val="0"/>
              <w:keepLines w:val="0"/>
              <w:suppressLineNumbers w:val="0"/>
              <w:bidi w:val="0"/>
              <w:spacing w:before="0" w:beforeAutospacing="0" w:after="0" w:afterAutospacing="0"/>
              <w:ind w:left="0" w:right="0"/>
              <w:rPr>
                <w:rFonts w:hint="default"/>
              </w:rPr>
            </w:pPr>
            <w:r>
              <w:rPr>
                <w:rFonts w:hint="eastAsia"/>
                <w:lang w:eastAsia="zh-CN"/>
              </w:rPr>
              <w:t>项目为</w:t>
            </w:r>
            <w:r>
              <w:rPr>
                <w:rFonts w:hint="default"/>
              </w:rPr>
              <w:t>和平河小流域</w:t>
            </w:r>
            <w:r>
              <w:rPr>
                <w:rFonts w:hint="eastAsia"/>
                <w:lang w:eastAsia="zh-CN"/>
              </w:rPr>
              <w:t>生态环境</w:t>
            </w:r>
            <w:r>
              <w:rPr>
                <w:rFonts w:hint="default"/>
              </w:rPr>
              <w:t>治理，项目完成后，将不再产生废水、废气、噪声、固体废物等污染物，对周围环境的影响主要表现为对生态环境的影响，而且这些影响都是有利的。</w:t>
            </w:r>
          </w:p>
          <w:p>
            <w:pPr>
              <w:keepNext w:val="0"/>
              <w:keepLines w:val="0"/>
              <w:numPr>
                <w:ilvl w:val="0"/>
                <w:numId w:val="36"/>
              </w:numPr>
              <w:suppressLineNumbers w:val="0"/>
              <w:bidi w:val="0"/>
              <w:spacing w:before="0" w:beforeAutospacing="0" w:after="0" w:afterAutospacing="0"/>
              <w:ind w:left="0" w:leftChars="0" w:right="0" w:firstLine="480" w:firstLineChars="200"/>
              <w:rPr>
                <w:rFonts w:hint="default"/>
              </w:rPr>
            </w:pPr>
            <w:r>
              <w:rPr>
                <w:rFonts w:hint="default"/>
              </w:rPr>
              <w:t>生物多样性影响分析</w:t>
            </w:r>
          </w:p>
          <w:p>
            <w:pPr>
              <w:keepNext w:val="0"/>
              <w:keepLines w:val="0"/>
              <w:suppressLineNumbers w:val="0"/>
              <w:bidi w:val="0"/>
              <w:spacing w:before="0" w:beforeAutospacing="0" w:after="0" w:afterAutospacing="0"/>
              <w:ind w:left="0" w:right="0"/>
              <w:rPr>
                <w:rFonts w:hint="default"/>
              </w:rPr>
            </w:pPr>
            <w:r>
              <w:rPr>
                <w:rFonts w:hint="default"/>
              </w:rPr>
              <w:t>本项目完工后，对临时占地进行恢复，并且增加播种草籽和树木，增加植被数量和种类，为保持生物多样性创造有利条件。</w:t>
            </w:r>
          </w:p>
          <w:p>
            <w:pPr>
              <w:keepNext w:val="0"/>
              <w:keepLines w:val="0"/>
              <w:numPr>
                <w:ilvl w:val="0"/>
                <w:numId w:val="36"/>
              </w:numPr>
              <w:suppressLineNumbers w:val="0"/>
              <w:bidi w:val="0"/>
              <w:spacing w:before="0" w:beforeAutospacing="0" w:after="0" w:afterAutospacing="0"/>
              <w:ind w:left="0" w:leftChars="0" w:right="0" w:firstLine="480" w:firstLineChars="200"/>
              <w:rPr>
                <w:rFonts w:hint="default"/>
              </w:rPr>
            </w:pPr>
            <w:r>
              <w:rPr>
                <w:rFonts w:hint="default"/>
              </w:rPr>
              <w:t>景观影响</w:t>
            </w:r>
          </w:p>
          <w:p>
            <w:pPr>
              <w:keepNext w:val="0"/>
              <w:keepLines w:val="0"/>
              <w:suppressLineNumbers w:val="0"/>
              <w:bidi w:val="0"/>
              <w:spacing w:before="0" w:beforeAutospacing="0" w:after="0" w:afterAutospacing="0"/>
              <w:ind w:left="0" w:right="0"/>
              <w:rPr>
                <w:rFonts w:hint="default"/>
                <w:color w:val="auto"/>
              </w:rPr>
            </w:pPr>
            <w:r>
              <w:rPr>
                <w:rFonts w:hint="default"/>
                <w:color w:val="auto"/>
              </w:rPr>
              <w:t>本项目在</w:t>
            </w:r>
            <w:r>
              <w:rPr>
                <w:rFonts w:hint="eastAsia"/>
                <w:color w:val="auto"/>
                <w:lang w:val="en-US" w:eastAsia="zh-CN"/>
              </w:rPr>
              <w:t>治理区</w:t>
            </w:r>
            <w:r>
              <w:rPr>
                <w:rFonts w:hint="default"/>
                <w:color w:val="auto"/>
              </w:rPr>
              <w:t>进行绿化美化，使</w:t>
            </w:r>
            <w:r>
              <w:rPr>
                <w:rFonts w:hint="eastAsia"/>
                <w:color w:val="auto"/>
                <w:lang w:val="en-US" w:eastAsia="zh-CN"/>
              </w:rPr>
              <w:t>项目区</w:t>
            </w:r>
            <w:r>
              <w:rPr>
                <w:rFonts w:hint="default"/>
                <w:color w:val="auto"/>
              </w:rPr>
              <w:t>景观价值得到进一步提升，实现美化</w:t>
            </w:r>
            <w:r>
              <w:rPr>
                <w:rFonts w:hint="eastAsia"/>
                <w:color w:val="auto"/>
                <w:lang w:val="en-US" w:eastAsia="zh-CN"/>
              </w:rPr>
              <w:t>环境</w:t>
            </w:r>
            <w:r>
              <w:rPr>
                <w:rFonts w:hint="default"/>
                <w:color w:val="auto"/>
              </w:rPr>
              <w:t>的目的。</w:t>
            </w:r>
          </w:p>
          <w:p>
            <w:pPr>
              <w:keepNext w:val="0"/>
              <w:keepLines w:val="0"/>
              <w:numPr>
                <w:ilvl w:val="0"/>
                <w:numId w:val="36"/>
              </w:numPr>
              <w:suppressLineNumbers w:val="0"/>
              <w:bidi w:val="0"/>
              <w:spacing w:before="0" w:beforeAutospacing="0" w:after="0" w:afterAutospacing="0"/>
              <w:ind w:left="0" w:leftChars="0" w:right="0" w:firstLine="480" w:firstLineChars="200"/>
              <w:rPr>
                <w:rFonts w:hint="default"/>
              </w:rPr>
            </w:pPr>
            <w:r>
              <w:rPr>
                <w:rFonts w:hint="default"/>
              </w:rPr>
              <w:t>水土保持</w:t>
            </w:r>
          </w:p>
          <w:p>
            <w:pPr>
              <w:keepNext w:val="0"/>
              <w:keepLines w:val="0"/>
              <w:suppressLineNumbers w:val="0"/>
              <w:bidi w:val="0"/>
              <w:spacing w:before="0" w:beforeAutospacing="0" w:after="0" w:afterAutospacing="0"/>
              <w:ind w:left="0" w:right="0"/>
              <w:rPr>
                <w:rFonts w:hint="default"/>
              </w:rPr>
            </w:pPr>
            <w:r>
              <w:rPr>
                <w:rFonts w:hint="default"/>
              </w:rPr>
              <w:t>通过本项目的实施，各项治理措施的增加和完善，能够让水土流失得到有效治理，保护土壤肥力，提高土壤水份，增强抗旱能力，使项目周围水土资源得到保护。</w:t>
            </w:r>
          </w:p>
          <w:p>
            <w:pPr>
              <w:keepNext w:val="0"/>
              <w:keepLines w:val="0"/>
              <w:numPr>
                <w:ilvl w:val="0"/>
                <w:numId w:val="36"/>
              </w:numPr>
              <w:suppressLineNumbers w:val="0"/>
              <w:bidi w:val="0"/>
              <w:spacing w:before="0" w:beforeAutospacing="0" w:after="0" w:afterAutospacing="0"/>
              <w:ind w:left="0" w:leftChars="0" w:right="0" w:firstLine="480" w:firstLineChars="200"/>
              <w:rPr>
                <w:rFonts w:hint="default"/>
              </w:rPr>
            </w:pPr>
            <w:r>
              <w:rPr>
                <w:rFonts w:hint="default"/>
              </w:rPr>
              <w:t>防洪影响分析</w:t>
            </w:r>
          </w:p>
          <w:p>
            <w:pPr>
              <w:keepNext w:val="0"/>
              <w:keepLines w:val="0"/>
              <w:suppressLineNumbers w:val="0"/>
              <w:bidi w:val="0"/>
              <w:spacing w:before="0" w:beforeAutospacing="0" w:after="0" w:afterAutospacing="0"/>
              <w:ind w:left="0" w:right="0"/>
              <w:rPr>
                <w:rFonts w:hint="default"/>
              </w:rPr>
            </w:pPr>
            <w:r>
              <w:rPr>
                <w:rFonts w:hint="default"/>
              </w:rPr>
              <w:t>本项目通过对局部河道进行清理淤泥，水上漂浮物，改善了河道水域的行洪能力。保证防汛期防洪抢险、日常维护等管理工作及时到位。</w:t>
            </w:r>
          </w:p>
          <w:p>
            <w:pPr>
              <w:keepNext w:val="0"/>
              <w:keepLines w:val="0"/>
              <w:numPr>
                <w:ilvl w:val="0"/>
                <w:numId w:val="36"/>
              </w:numPr>
              <w:suppressLineNumbers w:val="0"/>
              <w:bidi w:val="0"/>
              <w:spacing w:before="0" w:beforeAutospacing="0" w:after="0" w:afterAutospacing="0"/>
              <w:ind w:left="0" w:leftChars="0" w:right="0" w:firstLine="480" w:firstLineChars="200"/>
              <w:rPr>
                <w:rFonts w:hint="default"/>
              </w:rPr>
            </w:pPr>
            <w:r>
              <w:rPr>
                <w:rFonts w:hint="default"/>
              </w:rPr>
              <w:t>采取措施</w:t>
            </w:r>
          </w:p>
          <w:p>
            <w:pPr>
              <w:keepNext w:val="0"/>
              <w:keepLines w:val="0"/>
              <w:pageBreakBefore w:val="0"/>
              <w:widowControl w:val="0"/>
              <w:numPr>
                <w:ilvl w:val="0"/>
                <w:numId w:val="37"/>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rPr>
            </w:pPr>
            <w:r>
              <w:rPr>
                <w:rFonts w:hint="default"/>
              </w:rPr>
              <w:t>加强沿岸污水和生活垃圾的管理，严禁向河道排放污水和倾倒生活垃圾；</w:t>
            </w:r>
          </w:p>
          <w:p>
            <w:pPr>
              <w:keepNext w:val="0"/>
              <w:keepLines w:val="0"/>
              <w:pageBreakBefore w:val="0"/>
              <w:widowControl w:val="0"/>
              <w:numPr>
                <w:ilvl w:val="0"/>
                <w:numId w:val="37"/>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rPr>
            </w:pPr>
            <w:r>
              <w:rPr>
                <w:rFonts w:hint="default"/>
              </w:rPr>
              <w:t>加强绿化和生态修复，营造立体景观；</w:t>
            </w:r>
          </w:p>
          <w:p>
            <w:pPr>
              <w:keepNext w:val="0"/>
              <w:keepLines w:val="0"/>
              <w:pageBreakBefore w:val="0"/>
              <w:widowControl w:val="0"/>
              <w:numPr>
                <w:ilvl w:val="0"/>
                <w:numId w:val="37"/>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rPr>
            </w:pPr>
            <w:r>
              <w:rPr>
                <w:rFonts w:hint="default"/>
              </w:rPr>
              <w:t>加强植被的养护工作，确保植被成活率。</w:t>
            </w:r>
          </w:p>
          <w:p>
            <w:pPr>
              <w:keepNext w:val="0"/>
              <w:keepLines w:val="0"/>
              <w:suppressLineNumbers w:val="0"/>
              <w:bidi w:val="0"/>
              <w:spacing w:before="0" w:beforeAutospacing="0" w:after="0" w:afterAutospacing="0"/>
              <w:ind w:left="0" w:right="0"/>
              <w:rPr>
                <w:rFonts w:hint="default"/>
              </w:rPr>
            </w:pPr>
          </w:p>
        </w:tc>
      </w:tr>
    </w:tbl>
    <w:p>
      <w:p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p>
      <w:pPr>
        <w:pStyle w:val="3"/>
        <w:bidi w:val="0"/>
        <w:rPr>
          <w:rFonts w:hint="eastAsia"/>
        </w:rPr>
      </w:pPr>
      <w:r>
        <w:rPr>
          <w:rFonts w:hint="eastAsia"/>
        </w:rPr>
        <w:t>建设项目拟采取的防治措施及预期治理效果</w:t>
      </w:r>
    </w:p>
    <w:tbl>
      <w:tblPr>
        <w:tblStyle w:val="10"/>
        <w:tblW w:w="90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255"/>
        <w:gridCol w:w="1457"/>
        <w:gridCol w:w="2525"/>
        <w:gridCol w:w="2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dxa"/>
            <w:tcBorders>
              <w:tl2br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right"/>
              <w:textAlignment w:val="auto"/>
              <w:rPr>
                <w:rFonts w:hint="default"/>
                <w:b/>
                <w:bCs/>
              </w:rPr>
            </w:pPr>
            <w:r>
              <w:rPr>
                <w:rFonts w:hint="default"/>
                <w:b/>
                <w:bCs/>
              </w:rPr>
              <w:t>内容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left"/>
              <w:textAlignment w:val="auto"/>
              <w:rPr>
                <w:rFonts w:hint="default"/>
                <w:b/>
                <w:bCs/>
              </w:rPr>
            </w:pPr>
            <w:r>
              <w:rPr>
                <w:rFonts w:hint="default"/>
                <w:b/>
                <w:bCs/>
              </w:rPr>
              <w:t>类型</w:t>
            </w:r>
          </w:p>
        </w:tc>
        <w:tc>
          <w:tcPr>
            <w:tcW w:w="125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bCs/>
              </w:rPr>
            </w:pPr>
            <w:r>
              <w:rPr>
                <w:rFonts w:hint="default"/>
                <w:b/>
                <w:bCs/>
              </w:rPr>
              <w:t>排放源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bCs/>
              </w:rPr>
            </w:pPr>
            <w:r>
              <w:rPr>
                <w:rFonts w:hint="default"/>
                <w:b/>
                <w:bCs/>
              </w:rPr>
              <w:t>（编号）</w:t>
            </w: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bCs/>
              </w:rPr>
            </w:pPr>
            <w:r>
              <w:rPr>
                <w:rFonts w:hint="default"/>
                <w:b/>
                <w:bCs/>
              </w:rPr>
              <w:t>污染物名称</w:t>
            </w:r>
          </w:p>
        </w:tc>
        <w:tc>
          <w:tcPr>
            <w:tcW w:w="252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bCs/>
              </w:rPr>
            </w:pPr>
            <w:r>
              <w:rPr>
                <w:rFonts w:hint="default"/>
                <w:b/>
                <w:bCs/>
              </w:rPr>
              <w:t>防治措施</w:t>
            </w:r>
          </w:p>
        </w:tc>
        <w:tc>
          <w:tcPr>
            <w:tcW w:w="28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b/>
                <w:bCs/>
              </w:rPr>
            </w:pPr>
            <w:r>
              <w:rPr>
                <w:rFonts w:hint="default"/>
                <w:b/>
                <w:bCs/>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大</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气</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染</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物</w:t>
            </w:r>
          </w:p>
        </w:tc>
        <w:tc>
          <w:tcPr>
            <w:tcW w:w="125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r>
              <w:rPr>
                <w:rFonts w:hint="eastAsia"/>
              </w:rPr>
              <w:t>施工扬尘</w:t>
            </w: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T</w:t>
            </w:r>
            <w:r>
              <w:rPr>
                <w:rFonts w:hint="default"/>
              </w:rPr>
              <w:t>SP</w:t>
            </w:r>
          </w:p>
        </w:tc>
        <w:tc>
          <w:tcPr>
            <w:tcW w:w="252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r>
              <w:rPr>
                <w:rFonts w:hint="eastAsia"/>
              </w:rPr>
              <w:t>设置临时围挡，及时覆盖，洒水抑尘</w:t>
            </w:r>
          </w:p>
        </w:tc>
        <w:tc>
          <w:tcPr>
            <w:tcW w:w="288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满足《大气污染物综合排放标准》（GB16297-1996）表2中无组织监控浓度限值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25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施工机械废气</w:t>
            </w: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C</w:t>
            </w:r>
            <w:r>
              <w:rPr>
                <w:rFonts w:hint="default"/>
              </w:rPr>
              <w:t>O</w:t>
            </w:r>
            <w:r>
              <w:rPr>
                <w:rFonts w:hint="eastAsia"/>
              </w:rPr>
              <w:t>、N</w:t>
            </w:r>
            <w:r>
              <w:rPr>
                <w:rFonts w:hint="default"/>
              </w:rPr>
              <w:t>O</w:t>
            </w:r>
            <w:r>
              <w:rPr>
                <w:rFonts w:hint="default"/>
                <w:vertAlign w:val="subscript"/>
              </w:rPr>
              <w:t>X</w:t>
            </w:r>
          </w:p>
        </w:tc>
        <w:tc>
          <w:tcPr>
            <w:tcW w:w="252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加强设备维护保养</w:t>
            </w:r>
          </w:p>
        </w:tc>
        <w:tc>
          <w:tcPr>
            <w:tcW w:w="288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25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r>
              <w:rPr>
                <w:rFonts w:hint="eastAsia"/>
              </w:rPr>
              <w:t>清淤</w:t>
            </w: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r>
              <w:rPr>
                <w:rFonts w:hint="eastAsia"/>
              </w:rPr>
              <w:t>恶臭</w:t>
            </w:r>
          </w:p>
        </w:tc>
        <w:tc>
          <w:tcPr>
            <w:tcW w:w="252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r>
              <w:rPr>
                <w:rFonts w:hint="eastAsia"/>
              </w:rPr>
              <w:t>干化利用</w:t>
            </w:r>
          </w:p>
        </w:tc>
        <w:tc>
          <w:tcPr>
            <w:tcW w:w="288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《恶臭污染物排放标准》（GB14554-93）表1中二级标准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水</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污</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染</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物</w:t>
            </w:r>
          </w:p>
        </w:tc>
        <w:tc>
          <w:tcPr>
            <w:tcW w:w="125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施工期生活污水</w:t>
            </w: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COD</w:t>
            </w:r>
          </w:p>
        </w:tc>
        <w:tc>
          <w:tcPr>
            <w:tcW w:w="252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color w:val="0070C0"/>
              </w:rPr>
            </w:pPr>
            <w:r>
              <w:rPr>
                <w:rFonts w:hint="eastAsia"/>
                <w:color w:val="auto"/>
              </w:rPr>
              <w:t>依托租赁区居民区化粪池处理后农用</w:t>
            </w:r>
          </w:p>
        </w:tc>
        <w:tc>
          <w:tcPr>
            <w:tcW w:w="288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r>
              <w:rPr>
                <w:rFonts w:hint="eastAsia"/>
              </w:rPr>
              <w:t>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25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SS</w:t>
            </w:r>
          </w:p>
        </w:tc>
        <w:tc>
          <w:tcPr>
            <w:tcW w:w="252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288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25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NH</w:t>
            </w:r>
            <w:r>
              <w:rPr>
                <w:rFonts w:hint="default"/>
                <w:vertAlign w:val="subscript"/>
              </w:rPr>
              <w:t>3</w:t>
            </w:r>
            <w:r>
              <w:rPr>
                <w:rFonts w:hint="default"/>
              </w:rPr>
              <w:t>-N</w:t>
            </w:r>
          </w:p>
        </w:tc>
        <w:tc>
          <w:tcPr>
            <w:tcW w:w="252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288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25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BOD</w:t>
            </w:r>
            <w:r>
              <w:rPr>
                <w:rFonts w:hint="default"/>
                <w:vertAlign w:val="subscript"/>
              </w:rPr>
              <w:t>5</w:t>
            </w:r>
          </w:p>
        </w:tc>
        <w:tc>
          <w:tcPr>
            <w:tcW w:w="252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288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950"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25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施工机械、设备冲洗废水</w:t>
            </w: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S</w:t>
            </w:r>
            <w:r>
              <w:rPr>
                <w:rFonts w:hint="default"/>
              </w:rPr>
              <w:t>S</w:t>
            </w:r>
          </w:p>
        </w:tc>
        <w:tc>
          <w:tcPr>
            <w:tcW w:w="252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隔油池、沉淀池</w:t>
            </w:r>
          </w:p>
        </w:tc>
        <w:tc>
          <w:tcPr>
            <w:tcW w:w="288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r>
              <w:rPr>
                <w:rFonts w:hint="eastAsia"/>
              </w:rPr>
              <w:t>回用于施工场地和施工道路洒水降尘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950"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25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石油类</w:t>
            </w:r>
          </w:p>
        </w:tc>
        <w:tc>
          <w:tcPr>
            <w:tcW w:w="252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288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固</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体</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废</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物</w:t>
            </w:r>
          </w:p>
        </w:tc>
        <w:tc>
          <w:tcPr>
            <w:tcW w:w="125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r>
              <w:rPr>
                <w:rFonts w:hint="eastAsia"/>
              </w:rPr>
              <w:t>施工弃渣</w:t>
            </w: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弃土</w:t>
            </w:r>
          </w:p>
        </w:tc>
        <w:tc>
          <w:tcPr>
            <w:tcW w:w="252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r>
              <w:rPr>
                <w:rFonts w:hint="eastAsia"/>
              </w:rPr>
              <w:t>及时在沿线护堤内摊平，避免长时间堆放</w:t>
            </w:r>
          </w:p>
        </w:tc>
        <w:tc>
          <w:tcPr>
            <w:tcW w:w="2885" w:type="dxa"/>
            <w:vMerge w:val="restart"/>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不产生二次污染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950"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c>
          <w:tcPr>
            <w:tcW w:w="125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eastAsia"/>
              </w:rPr>
            </w:pPr>
            <w:r>
              <w:rPr>
                <w:rFonts w:hint="eastAsia"/>
              </w:rPr>
              <w:t>施工期办公生活</w:t>
            </w:r>
          </w:p>
        </w:tc>
        <w:tc>
          <w:tcPr>
            <w:tcW w:w="1457"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生活垃圾</w:t>
            </w:r>
          </w:p>
        </w:tc>
        <w:tc>
          <w:tcPr>
            <w:tcW w:w="2525"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定期由环卫处理</w:t>
            </w:r>
          </w:p>
        </w:tc>
        <w:tc>
          <w:tcPr>
            <w:tcW w:w="2885" w:type="dxa"/>
            <w:vMerge w:val="continue"/>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噪声</w:t>
            </w:r>
          </w:p>
        </w:tc>
        <w:tc>
          <w:tcPr>
            <w:tcW w:w="8122"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eastAsia"/>
              </w:rPr>
              <w:t>通过选用低噪声施工设备，维护保养施工机械，施工场地周边设置封闭围护结构，夜间禁止施工等措施，可以减小施工噪声对周围环境的影响</w:t>
            </w:r>
            <w:r>
              <w:rPr>
                <w:rFonts w:hint="default"/>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950"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其他</w:t>
            </w:r>
          </w:p>
        </w:tc>
        <w:tc>
          <w:tcPr>
            <w:tcW w:w="8122" w:type="dxa"/>
            <w:gridSpan w:val="4"/>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rPr>
            </w:pPr>
            <w:r>
              <w:rPr>
                <w:rFonts w:hint="default"/>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9072" w:type="dxa"/>
            <w:gridSpan w:val="5"/>
            <w:noWrap w:val="0"/>
            <w:vAlign w:val="center"/>
          </w:tcPr>
          <w:p>
            <w:pPr>
              <w:keepNext w:val="0"/>
              <w:keepLines w:val="0"/>
              <w:suppressLineNumbers w:val="0"/>
              <w:bidi w:val="0"/>
              <w:spacing w:before="0" w:beforeAutospacing="0" w:after="0" w:afterAutospacing="0"/>
              <w:ind w:left="0" w:leftChars="0" w:right="0" w:firstLine="0" w:firstLineChars="0"/>
              <w:rPr>
                <w:rFonts w:hint="default"/>
                <w:b/>
                <w:bCs/>
              </w:rPr>
            </w:pPr>
            <w:r>
              <w:rPr>
                <w:rFonts w:hint="default"/>
                <w:b/>
                <w:bCs/>
              </w:rPr>
              <w:t>主要生态影响、保护措施及预期效果：</w:t>
            </w:r>
          </w:p>
          <w:p>
            <w:pPr>
              <w:keepNext w:val="0"/>
              <w:keepLines w:val="0"/>
              <w:suppressLineNumbers w:val="0"/>
              <w:bidi w:val="0"/>
              <w:spacing w:before="0" w:beforeAutospacing="0" w:after="0" w:afterAutospacing="0"/>
              <w:ind w:left="0" w:right="0"/>
              <w:rPr>
                <w:rFonts w:hint="default"/>
              </w:rPr>
            </w:pPr>
            <w:r>
              <w:rPr>
                <w:rFonts w:hint="eastAsia"/>
              </w:rPr>
              <w:t>1、施工期生态保护措施</w:t>
            </w:r>
          </w:p>
          <w:p>
            <w:pPr>
              <w:keepNext w:val="0"/>
              <w:keepLines w:val="0"/>
              <w:suppressLineNumbers w:val="0"/>
              <w:bidi w:val="0"/>
              <w:spacing w:before="0" w:beforeAutospacing="0" w:after="0" w:afterAutospacing="0"/>
              <w:ind w:left="0" w:right="0"/>
              <w:rPr>
                <w:rFonts w:hint="default"/>
              </w:rPr>
            </w:pPr>
            <w:r>
              <w:rPr>
                <w:rFonts w:hint="eastAsia"/>
              </w:rPr>
              <w:t>施工区应划定作业范围，设定明显的标志，施工车辆、人员必须在施工范围内活动，严禁随意扩大扰动范围。施工期间，开挖土方要有次序的分片动工。取土区开采前视地势、道路布置及地下水情况，规划料场地表排水系统，布置排水干沟及集水坑，使其纵横成网，做好必要的防护坡，防止水土流失进入附近水体。新增临时占地待施工结束后及时清理临时占地，对于施工料场、施工营地等临时占地，要求在结束后及时清理剩余材料，并进行土地平整，表层土回填，进行土地复耕。施工过程中施工机械、施工船只必须严格检查，防止油料泄漏。禁止将污水、垃圾及船舱油污水抛入周边水体，应全部收集并妥善处理。施工场地应减少占地，防止施工废水与地表径流直接排入附近水体，避免对周围生态环境造成负面影响。</w:t>
            </w:r>
          </w:p>
          <w:p>
            <w:pPr>
              <w:keepNext w:val="0"/>
              <w:keepLines w:val="0"/>
              <w:suppressLineNumbers w:val="0"/>
              <w:bidi w:val="0"/>
              <w:spacing w:before="0" w:beforeAutospacing="0" w:after="0" w:afterAutospacing="0"/>
              <w:ind w:left="0" w:right="0"/>
              <w:rPr>
                <w:rFonts w:hint="default"/>
              </w:rPr>
            </w:pPr>
            <w:r>
              <w:rPr>
                <w:rFonts w:hint="eastAsia"/>
              </w:rPr>
              <w:t>2、运营期生态预期效果</w:t>
            </w:r>
          </w:p>
          <w:p>
            <w:pPr>
              <w:keepNext w:val="0"/>
              <w:keepLines w:val="0"/>
              <w:suppressLineNumbers w:val="0"/>
              <w:bidi w:val="0"/>
              <w:spacing w:before="0" w:beforeAutospacing="0" w:after="0" w:afterAutospacing="0"/>
              <w:ind w:left="0" w:right="0"/>
              <w:rPr>
                <w:rFonts w:hint="eastAsia"/>
              </w:rPr>
            </w:pPr>
            <w:r>
              <w:rPr>
                <w:rFonts w:hint="eastAsia"/>
              </w:rPr>
              <w:t>本工程为改善小流域水质、减少出口泥沙，改善生态环境、人居环境</w:t>
            </w:r>
            <w:r>
              <w:rPr>
                <w:rFonts w:hint="eastAsia"/>
                <w:lang w:eastAsia="zh-CN"/>
              </w:rPr>
              <w:t>，</w:t>
            </w:r>
            <w:r>
              <w:rPr>
                <w:rFonts w:hint="eastAsia"/>
              </w:rPr>
              <w:t>工程竣工后，施工造成的水污染、大气污染、噪声污染消除，施工期产生的固体废弃物得到合理处置，对施工期临时用地进行整地复耕或迹地绿化。在正常运行期，不产生污染物的排放，运行期本工程无生态环境负影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pStyle w:val="2"/>
              <w:keepNext w:val="0"/>
              <w:keepLines w:val="0"/>
              <w:suppressLineNumbers w:val="0"/>
              <w:spacing w:before="0" w:beforeAutospacing="0" w:after="0" w:afterAutospacing="0"/>
              <w:ind w:left="0" w:right="0"/>
              <w:rPr>
                <w:rFonts w:hint="default"/>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default"/>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leftChars="0" w:right="0" w:rightChars="0" w:firstLine="0" w:firstLineChars="0"/>
              <w:jc w:val="center"/>
              <w:textAlignment w:val="auto"/>
              <w:rPr>
                <w:rFonts w:hint="eastAsia"/>
              </w:rPr>
            </w:pPr>
          </w:p>
        </w:tc>
      </w:tr>
    </w:tbl>
    <w:p>
      <w:p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p>
      <w:pPr>
        <w:pStyle w:val="3"/>
        <w:bidi w:val="0"/>
        <w:rPr>
          <w:rFonts w:hint="eastAsia"/>
        </w:rPr>
      </w:pPr>
      <w:r>
        <w:rPr>
          <w:rFonts w:hint="eastAsia"/>
        </w:rPr>
        <w:t>结论与建议</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26" w:hRule="atLeast"/>
        </w:trPr>
        <w:tc>
          <w:tcPr>
            <w:tcW w:w="9288" w:type="dxa"/>
          </w:tcPr>
          <w:p>
            <w:pPr>
              <w:keepNext w:val="0"/>
              <w:keepLines w:val="0"/>
              <w:pageBreakBefore w:val="0"/>
              <w:widowControl w:val="0"/>
              <w:numPr>
                <w:ilvl w:val="0"/>
                <w:numId w:val="38"/>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textAlignment w:val="auto"/>
              <w:rPr>
                <w:rFonts w:hint="default"/>
                <w:b/>
                <w:bCs/>
              </w:rPr>
            </w:pPr>
            <w:r>
              <w:rPr>
                <w:rFonts w:hint="eastAsia"/>
                <w:b/>
                <w:bCs/>
              </w:rPr>
              <w:t>结论</w:t>
            </w:r>
          </w:p>
          <w:p>
            <w:pPr>
              <w:keepNext w:val="0"/>
              <w:keepLines w:val="0"/>
              <w:numPr>
                <w:ilvl w:val="0"/>
                <w:numId w:val="39"/>
              </w:numPr>
              <w:suppressLineNumbers w:val="0"/>
              <w:bidi w:val="0"/>
              <w:spacing w:before="0" w:beforeAutospacing="0" w:after="0" w:afterAutospacing="0"/>
              <w:ind w:left="0" w:leftChars="0" w:right="0" w:firstLine="403" w:firstLineChars="0"/>
              <w:rPr>
                <w:rFonts w:hint="eastAsia"/>
                <w:b/>
                <w:bCs/>
              </w:rPr>
            </w:pPr>
            <w:r>
              <w:rPr>
                <w:rFonts w:hint="eastAsia"/>
                <w:b/>
                <w:bCs/>
              </w:rPr>
              <w:t>项目概况</w:t>
            </w:r>
          </w:p>
          <w:p>
            <w:pPr>
              <w:keepNext w:val="0"/>
              <w:keepLines w:val="0"/>
              <w:suppressLineNumbers w:val="0"/>
              <w:bidi w:val="0"/>
              <w:spacing w:before="0" w:beforeAutospacing="0" w:after="0" w:afterAutospacing="0"/>
              <w:ind w:left="0" w:right="0"/>
              <w:rPr>
                <w:rFonts w:hint="eastAsia"/>
              </w:rPr>
            </w:pPr>
            <w:r>
              <w:rPr>
                <w:rFonts w:hint="eastAsia"/>
              </w:rPr>
              <w:t>和平河小流域位于芜湖县东南部丘陵地，座落在芜湖县红杨镇境内，其主要功能是将山丘区来水高水高排进入青弋江，以减轻和平河下游圩区防洪压力。和平河小流域由汤泊河、岗山河及梅溪塘组成，在芜湖县境内流域面积18.84km</w:t>
            </w:r>
            <w:r>
              <w:rPr>
                <w:rFonts w:hint="eastAsia"/>
                <w:vertAlign w:val="superscript"/>
                <w:lang w:val="en-US" w:eastAsia="zh-CN"/>
              </w:rPr>
              <w:t>2</w:t>
            </w:r>
            <w:r>
              <w:rPr>
                <w:rFonts w:hint="eastAsia"/>
              </w:rPr>
              <w:t>。</w:t>
            </w:r>
          </w:p>
          <w:p>
            <w:pPr>
              <w:keepNext w:val="0"/>
              <w:keepLines w:val="0"/>
              <w:suppressLineNumbers w:val="0"/>
              <w:bidi w:val="0"/>
              <w:spacing w:before="0" w:beforeAutospacing="0" w:after="0" w:afterAutospacing="0"/>
              <w:ind w:left="0" w:right="0"/>
              <w:rPr>
                <w:rFonts w:hint="eastAsia"/>
              </w:rPr>
            </w:pPr>
            <w:r>
              <w:rPr>
                <w:rFonts w:hint="eastAsia"/>
              </w:rPr>
              <w:t>项目计划对和平河小流域中梅溪塘进行综合治理，规划治理范围从南起珩琅山北麓，北至周桥林场，东至与宣州接壤，西至汤泊河入青弋江口，本次建设规模为生态清洁小流域治理面积18.84km</w:t>
            </w:r>
            <w:r>
              <w:rPr>
                <w:rFonts w:hint="eastAsia"/>
                <w:vertAlign w:val="superscript"/>
                <w:lang w:val="en-US" w:eastAsia="zh-CN"/>
              </w:rPr>
              <w:t>2</w:t>
            </w:r>
            <w:r>
              <w:rPr>
                <w:rFonts w:hint="eastAsia"/>
              </w:rPr>
              <w:t>，占全流域面积的10.80%。</w:t>
            </w:r>
          </w:p>
          <w:p>
            <w:pPr>
              <w:keepNext w:val="0"/>
              <w:keepLines w:val="0"/>
              <w:numPr>
                <w:ilvl w:val="0"/>
                <w:numId w:val="39"/>
              </w:numPr>
              <w:suppressLineNumbers w:val="0"/>
              <w:bidi w:val="0"/>
              <w:spacing w:before="0" w:beforeAutospacing="0" w:after="0" w:afterAutospacing="0"/>
              <w:ind w:left="0" w:leftChars="0" w:right="0" w:firstLine="403" w:firstLineChars="0"/>
              <w:rPr>
                <w:rFonts w:hint="default"/>
                <w:b/>
                <w:bCs/>
              </w:rPr>
            </w:pPr>
            <w:r>
              <w:rPr>
                <w:rFonts w:hint="eastAsia"/>
                <w:b/>
                <w:bCs/>
              </w:rPr>
              <w:t>产业政策符合性</w:t>
            </w:r>
          </w:p>
          <w:p>
            <w:pPr>
              <w:keepNext w:val="0"/>
              <w:keepLines w:val="0"/>
              <w:suppressLineNumbers w:val="0"/>
              <w:bidi w:val="0"/>
              <w:spacing w:before="0" w:beforeAutospacing="0" w:after="0" w:afterAutospacing="0"/>
              <w:ind w:left="0" w:right="0"/>
              <w:rPr>
                <w:rFonts w:hint="eastAsia"/>
              </w:rPr>
            </w:pPr>
            <w:r>
              <w:rPr>
                <w:rFonts w:hint="eastAsia"/>
              </w:rPr>
              <w:t>对照《产业结构调整指导目录（2019年本）》可知，本项目属于鼓励类中第二类“水利”中的“</w:t>
            </w:r>
            <w:r>
              <w:rPr>
                <w:rFonts w:hint="eastAsia"/>
                <w:lang w:eastAsia="zh-CN"/>
              </w:rPr>
              <w:t>江河湖海堤防建设及河道治理工程</w:t>
            </w:r>
            <w:r>
              <w:rPr>
                <w:rFonts w:hint="eastAsia"/>
              </w:rPr>
              <w:t>”。本项目建设符合国家产业政策要求。</w:t>
            </w:r>
          </w:p>
          <w:p>
            <w:pPr>
              <w:keepNext w:val="0"/>
              <w:keepLines w:val="0"/>
              <w:numPr>
                <w:ilvl w:val="0"/>
                <w:numId w:val="39"/>
              </w:numPr>
              <w:suppressLineNumbers w:val="0"/>
              <w:bidi w:val="0"/>
              <w:spacing w:before="0" w:beforeAutospacing="0" w:after="0" w:afterAutospacing="0"/>
              <w:ind w:left="0" w:leftChars="0" w:right="0" w:firstLine="403" w:firstLineChars="0"/>
              <w:rPr>
                <w:rFonts w:hint="default"/>
                <w:b/>
                <w:bCs/>
              </w:rPr>
            </w:pPr>
            <w:r>
              <w:rPr>
                <w:rFonts w:hint="eastAsia"/>
                <w:b/>
                <w:bCs/>
                <w:lang w:eastAsia="zh-CN"/>
              </w:rPr>
              <w:t>环境质量现状</w:t>
            </w:r>
          </w:p>
          <w:p>
            <w:pPr>
              <w:keepNext w:val="0"/>
              <w:keepLines w:val="0"/>
              <w:pageBreakBefore w:val="0"/>
              <w:widowControl w:val="0"/>
              <w:numPr>
                <w:ilvl w:val="0"/>
                <w:numId w:val="40"/>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rPr>
            </w:pPr>
            <w:r>
              <w:rPr>
                <w:rFonts w:hint="default"/>
              </w:rPr>
              <w:t>与本项目有关的地表水体水质可以达到《地表水环境质量标准》（GB3838-2002）中的</w:t>
            </w:r>
            <w:r>
              <w:rPr>
                <w:rFonts w:hint="eastAsia"/>
              </w:rPr>
              <w:t>Ⅲ</w:t>
            </w:r>
            <w:r>
              <w:rPr>
                <w:rFonts w:hint="default"/>
              </w:rPr>
              <w:t>类水质标准要求。</w:t>
            </w:r>
          </w:p>
          <w:p>
            <w:pPr>
              <w:keepNext w:val="0"/>
              <w:keepLines w:val="0"/>
              <w:pageBreakBefore w:val="0"/>
              <w:widowControl w:val="0"/>
              <w:numPr>
                <w:ilvl w:val="0"/>
                <w:numId w:val="40"/>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lang w:val="en-GB"/>
              </w:rPr>
            </w:pPr>
            <w:r>
              <w:rPr>
                <w:rFonts w:hint="default"/>
                <w:lang w:val="zh-CN"/>
              </w:rPr>
              <w:t>评价区域环境空气中</w:t>
            </w:r>
            <w:r>
              <w:rPr>
                <w:rFonts w:hint="default"/>
                <w:lang w:val="en-GB"/>
              </w:rPr>
              <w:t>SO</w:t>
            </w:r>
            <w:r>
              <w:rPr>
                <w:rFonts w:hint="default"/>
                <w:vertAlign w:val="subscript"/>
                <w:lang w:val="en-GB"/>
              </w:rPr>
              <w:t>2</w:t>
            </w:r>
            <w:r>
              <w:rPr>
                <w:rFonts w:hint="default"/>
                <w:lang w:val="en-GB"/>
              </w:rPr>
              <w:t>、NO</w:t>
            </w:r>
            <w:r>
              <w:rPr>
                <w:rFonts w:hint="default"/>
                <w:vertAlign w:val="subscript"/>
                <w:lang w:val="en-GB"/>
              </w:rPr>
              <w:t>2</w:t>
            </w:r>
            <w:r>
              <w:rPr>
                <w:rFonts w:hint="default"/>
                <w:lang w:val="en-GB"/>
              </w:rPr>
              <w:t>、</w:t>
            </w:r>
            <w:r>
              <w:rPr>
                <w:rFonts w:hint="default"/>
              </w:rPr>
              <w:t>PM</w:t>
            </w:r>
            <w:r>
              <w:rPr>
                <w:rFonts w:hint="default"/>
                <w:vertAlign w:val="subscript"/>
              </w:rPr>
              <w:t>2.5</w:t>
            </w:r>
            <w:r>
              <w:rPr>
                <w:rFonts w:hint="default"/>
              </w:rPr>
              <w:t>、</w:t>
            </w:r>
            <w:r>
              <w:rPr>
                <w:rFonts w:hint="default"/>
                <w:lang w:val="en-GB"/>
              </w:rPr>
              <w:t>PM</w:t>
            </w:r>
            <w:r>
              <w:rPr>
                <w:rFonts w:hint="default"/>
                <w:vertAlign w:val="subscript"/>
                <w:lang w:val="en-GB"/>
              </w:rPr>
              <w:t>10</w:t>
            </w:r>
            <w:r>
              <w:rPr>
                <w:rFonts w:hint="default"/>
                <w:lang w:val="zh-CN"/>
              </w:rPr>
              <w:t>浓度达到《环境空气质量标准》</w:t>
            </w:r>
            <w:r>
              <w:rPr>
                <w:rFonts w:hint="default"/>
                <w:lang w:val="en-GB"/>
              </w:rPr>
              <w:t>（GB3095-2012）中的二级标准要求。</w:t>
            </w:r>
          </w:p>
          <w:p>
            <w:pPr>
              <w:keepNext w:val="0"/>
              <w:keepLines w:val="0"/>
              <w:pageBreakBefore w:val="0"/>
              <w:widowControl w:val="0"/>
              <w:numPr>
                <w:ilvl w:val="0"/>
                <w:numId w:val="40"/>
              </w:numPr>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rPr>
            </w:pPr>
            <w:r>
              <w:rPr>
                <w:rFonts w:hint="default"/>
              </w:rPr>
              <w:t>评价区域内声环境质量现状达到《声环境质量标准》（GB3096-2008）中</w:t>
            </w:r>
            <w:r>
              <w:rPr>
                <w:rFonts w:hint="eastAsia"/>
                <w:lang w:val="en-US" w:eastAsia="zh-CN"/>
              </w:rPr>
              <w:t>2</w:t>
            </w:r>
            <w:r>
              <w:rPr>
                <w:rFonts w:hint="default"/>
              </w:rPr>
              <w:t>类功能区标准要求。</w:t>
            </w:r>
          </w:p>
          <w:p>
            <w:pPr>
              <w:keepNext w:val="0"/>
              <w:keepLines w:val="0"/>
              <w:numPr>
                <w:ilvl w:val="0"/>
                <w:numId w:val="39"/>
              </w:numPr>
              <w:suppressLineNumbers w:val="0"/>
              <w:bidi w:val="0"/>
              <w:spacing w:before="0" w:beforeAutospacing="0" w:after="0" w:afterAutospacing="0"/>
              <w:ind w:left="0" w:leftChars="0" w:right="0" w:firstLine="403" w:firstLineChars="0"/>
              <w:rPr>
                <w:rFonts w:hint="default"/>
                <w:b/>
                <w:bCs/>
              </w:rPr>
            </w:pPr>
            <w:r>
              <w:rPr>
                <w:rFonts w:hint="default"/>
                <w:b/>
                <w:bCs/>
              </w:rPr>
              <w:t>项目环境影响评价结论</w:t>
            </w:r>
          </w:p>
          <w:p>
            <w:pPr>
              <w:keepNext w:val="0"/>
              <w:keepLines w:val="0"/>
              <w:pageBreakBefore w:val="0"/>
              <w:widowControl w:val="0"/>
              <w:numPr>
                <w:ilvl w:val="0"/>
                <w:numId w:val="41"/>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rPr>
            </w:pPr>
            <w:r>
              <w:rPr>
                <w:rFonts w:hint="default"/>
              </w:rPr>
              <w:t>施工期环境影响评价结论</w:t>
            </w:r>
          </w:p>
          <w:p>
            <w:pPr>
              <w:keepNext w:val="0"/>
              <w:keepLines w:val="0"/>
              <w:pageBreakBefore w:val="0"/>
              <w:widowControl w:val="0"/>
              <w:numPr>
                <w:ilvl w:val="0"/>
                <w:numId w:val="4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rPr>
            </w:pPr>
            <w:r>
              <w:rPr>
                <w:rFonts w:hint="eastAsia"/>
              </w:rPr>
              <w:t>废水</w:t>
            </w:r>
          </w:p>
          <w:p>
            <w:pPr>
              <w:keepNext w:val="0"/>
              <w:keepLines w:val="0"/>
              <w:suppressLineNumbers w:val="0"/>
              <w:spacing w:before="0" w:beforeAutospacing="0" w:after="0" w:afterAutospacing="0" w:line="360" w:lineRule="auto"/>
              <w:ind w:left="0" w:right="0" w:firstLine="480" w:firstLineChars="200"/>
              <w:rPr>
                <w:rFonts w:hint="default"/>
              </w:rPr>
            </w:pPr>
            <w:r>
              <w:rPr>
                <w:rFonts w:hint="eastAsia"/>
              </w:rPr>
              <w:t>施工营地租用周边房屋，施工人员生活污水依托租赁房屋的化粪池处理，用于周边农田用肥，生活污水不外排。</w:t>
            </w:r>
          </w:p>
          <w:p>
            <w:pPr>
              <w:keepNext w:val="0"/>
              <w:keepLines w:val="0"/>
              <w:suppressLineNumbers w:val="0"/>
              <w:spacing w:before="0" w:beforeAutospacing="0" w:after="0" w:afterAutospacing="0" w:line="360" w:lineRule="auto"/>
              <w:ind w:left="0" w:right="0" w:firstLine="480" w:firstLineChars="200"/>
              <w:rPr>
                <w:rFonts w:hint="default"/>
              </w:rPr>
            </w:pPr>
            <w:r>
              <w:rPr>
                <w:rFonts w:hint="eastAsia"/>
              </w:rPr>
              <w:t>本项目应在机械停放区设置沉淀隔油池，将停放区内的雨水收集至沉淀隔油池内统一处置，施工废水沉淀后用于道路洒水降尘和车辆冲洗，严禁排入附近水体。</w:t>
            </w:r>
          </w:p>
          <w:p>
            <w:pPr>
              <w:keepNext w:val="0"/>
              <w:keepLines w:val="0"/>
              <w:pageBreakBefore w:val="0"/>
              <w:widowControl w:val="0"/>
              <w:numPr>
                <w:ilvl w:val="0"/>
                <w:numId w:val="4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rPr>
            </w:pPr>
            <w:r>
              <w:rPr>
                <w:rFonts w:hint="eastAsia"/>
              </w:rPr>
              <w:t>废气</w:t>
            </w:r>
          </w:p>
          <w:p>
            <w:pPr>
              <w:keepNext w:val="0"/>
              <w:keepLines w:val="0"/>
              <w:suppressLineNumbers w:val="0"/>
              <w:spacing w:before="0" w:beforeAutospacing="0" w:after="0" w:afterAutospacing="0" w:line="360" w:lineRule="auto"/>
              <w:ind w:left="0" w:right="0" w:firstLine="480" w:firstLineChars="200"/>
              <w:rPr>
                <w:rFonts w:hint="default"/>
              </w:rPr>
            </w:pPr>
            <w:r>
              <w:rPr>
                <w:rFonts w:hint="eastAsia"/>
              </w:rPr>
              <w:t>本项目施工期扬尘通过及时回填土方、采取苫盖措施、洒水抑尘、保持路面清洁等可大大降低扬尘对周边环境的影响。施工机械、运输车辆废气排放量少，局限于施工现场和运输沿线，且周边大气扩散条件良好，因此不会对大气环境造成较大影响。淤泥运至附近水塘及洼地，干化后用作绿地表土，运输过程中车辆要进行密封处理，减少异味产生，项目所在区域目前为农村环境，周围以当地农户耕地为主，区域较空旷，加之周围已有大量的植被，对整个区域空气具有良好的净化作用；且项目施工期结束，施工期影响也随之消失。</w:t>
            </w:r>
          </w:p>
          <w:p>
            <w:pPr>
              <w:keepNext w:val="0"/>
              <w:keepLines w:val="0"/>
              <w:pageBreakBefore w:val="0"/>
              <w:widowControl w:val="0"/>
              <w:numPr>
                <w:ilvl w:val="0"/>
                <w:numId w:val="4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rPr>
            </w:pPr>
            <w:r>
              <w:rPr>
                <w:rFonts w:hint="eastAsia"/>
              </w:rPr>
              <w:t>噪声</w:t>
            </w:r>
          </w:p>
          <w:p>
            <w:pPr>
              <w:keepNext w:val="0"/>
              <w:keepLines w:val="0"/>
              <w:suppressLineNumbers w:val="0"/>
              <w:spacing w:before="0" w:beforeAutospacing="0" w:after="0" w:afterAutospacing="0" w:line="360" w:lineRule="auto"/>
              <w:ind w:left="0" w:right="0" w:firstLine="480" w:firstLineChars="200"/>
              <w:rPr>
                <w:rFonts w:hint="default"/>
              </w:rPr>
            </w:pPr>
            <w:r>
              <w:rPr>
                <w:rFonts w:hint="eastAsia"/>
              </w:rPr>
              <w:t>施工期主要噪声源有挖掘机、自卸汽车、推土机、蛙式打夯机等施工机械运行噪声，以及运输车辆的行驶噪声。通过采取优先选用低噪声施工设备、合理安排施工时间、施工场地设置围挡，敏感点附近施工时设置移动声屏障等降噪措施，项目施工期噪声对环境影响较小。</w:t>
            </w:r>
          </w:p>
          <w:p>
            <w:pPr>
              <w:keepNext w:val="0"/>
              <w:keepLines w:val="0"/>
              <w:pageBreakBefore w:val="0"/>
              <w:widowControl w:val="0"/>
              <w:numPr>
                <w:ilvl w:val="0"/>
                <w:numId w:val="4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rPr>
            </w:pPr>
            <w:r>
              <w:rPr>
                <w:rFonts w:hint="eastAsia"/>
              </w:rPr>
              <w:t>固体废物</w:t>
            </w:r>
          </w:p>
          <w:p>
            <w:pPr>
              <w:keepNext w:val="0"/>
              <w:keepLines w:val="0"/>
              <w:suppressLineNumbers w:val="0"/>
              <w:spacing w:before="0" w:beforeAutospacing="0" w:after="0" w:afterAutospacing="0" w:line="360" w:lineRule="auto"/>
              <w:ind w:left="0" w:right="0" w:firstLine="480" w:firstLineChars="200"/>
              <w:rPr>
                <w:rFonts w:hint="default"/>
              </w:rPr>
            </w:pPr>
            <w:r>
              <w:rPr>
                <w:rFonts w:hint="eastAsia"/>
              </w:rPr>
              <w:t>施工期产生的施工弃土及时在沿线护堤地内摊平</w:t>
            </w:r>
            <w:r>
              <w:rPr>
                <w:rFonts w:hint="eastAsia"/>
                <w:lang w:eastAsia="zh-CN"/>
              </w:rPr>
              <w:t>，</w:t>
            </w:r>
            <w:r>
              <w:rPr>
                <w:rFonts w:hint="eastAsia"/>
                <w:lang w:val="en-US" w:eastAsia="zh-CN"/>
              </w:rPr>
              <w:t>多余弃土及时运至指定弃土点</w:t>
            </w:r>
            <w:r>
              <w:rPr>
                <w:rFonts w:hint="eastAsia"/>
              </w:rPr>
              <w:t>，避免长时间堆放和；施工人员生活垃圾实行袋装化，定期清运。</w:t>
            </w:r>
          </w:p>
          <w:p>
            <w:pPr>
              <w:keepNext w:val="0"/>
              <w:keepLines w:val="0"/>
              <w:pageBreakBefore w:val="0"/>
              <w:widowControl w:val="0"/>
              <w:numPr>
                <w:ilvl w:val="0"/>
                <w:numId w:val="42"/>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rPr>
            </w:pPr>
            <w:r>
              <w:rPr>
                <w:rFonts w:hint="eastAsia"/>
              </w:rPr>
              <w:t>生态</w:t>
            </w:r>
          </w:p>
          <w:p>
            <w:pPr>
              <w:keepNext w:val="0"/>
              <w:keepLines w:val="0"/>
              <w:widowControl/>
              <w:suppressLineNumbers w:val="0"/>
              <w:spacing w:before="0" w:beforeAutospacing="0" w:after="0" w:afterAutospacing="0"/>
              <w:ind w:left="0" w:right="0"/>
              <w:jc w:val="left"/>
              <w:rPr>
                <w:rFonts w:hint="eastAsia"/>
              </w:rPr>
            </w:pPr>
            <w:r>
              <w:rPr>
                <w:rFonts w:hint="eastAsia"/>
              </w:rPr>
              <w:t>施工期对陆生生态的影响主要破坏地表植被、影响陆生动物生境，通过合理安排施工时间，加强施工管理，及时恢复施工临时占地，</w:t>
            </w:r>
            <w:r>
              <w:rPr>
                <w:rFonts w:hint="eastAsia"/>
                <w:lang w:val="en-US" w:eastAsia="zh-CN"/>
              </w:rPr>
              <w:t>项目施工期对生态环境的影响较小，而且是暂时的，施工完成后，生态环境影响可以消除。</w:t>
            </w:r>
          </w:p>
          <w:p>
            <w:pPr>
              <w:keepNext w:val="0"/>
              <w:keepLines w:val="0"/>
              <w:pageBreakBefore w:val="0"/>
              <w:widowControl w:val="0"/>
              <w:numPr>
                <w:ilvl w:val="0"/>
                <w:numId w:val="41"/>
              </w:numPr>
              <w:suppressLineNumbers w:val="0"/>
              <w:kinsoku/>
              <w:wordWrap/>
              <w:overflowPunct/>
              <w:topLinePunct w:val="0"/>
              <w:autoSpaceDE/>
              <w:autoSpaceDN/>
              <w:bidi w:val="0"/>
              <w:adjustRightInd/>
              <w:snapToGrid/>
              <w:spacing w:before="0" w:beforeAutospacing="0" w:after="0" w:afterAutospacing="0"/>
              <w:ind w:left="0" w:right="0" w:firstLine="480" w:firstLineChars="200"/>
              <w:textAlignment w:val="auto"/>
              <w:rPr>
                <w:rFonts w:hint="default"/>
              </w:rPr>
            </w:pPr>
            <w:r>
              <w:rPr>
                <w:rFonts w:hint="eastAsia"/>
              </w:rPr>
              <w:t>营运期环境影响分析结论</w:t>
            </w:r>
          </w:p>
          <w:p>
            <w:pPr>
              <w:keepNext w:val="0"/>
              <w:keepLines w:val="0"/>
              <w:suppressLineNumbers w:val="0"/>
              <w:bidi w:val="0"/>
              <w:spacing w:before="0" w:beforeAutospacing="0" w:after="0" w:afterAutospacing="0"/>
              <w:ind w:left="0" w:right="0"/>
              <w:rPr>
                <w:rFonts w:hint="eastAsia"/>
              </w:rPr>
            </w:pPr>
            <w:r>
              <w:rPr>
                <w:rFonts w:hint="eastAsia"/>
                <w:lang w:eastAsia="zh-CN"/>
              </w:rPr>
              <w:t>项目为生态环境</w:t>
            </w:r>
            <w:r>
              <w:rPr>
                <w:rFonts w:hint="default"/>
              </w:rPr>
              <w:t>治理，项目完成后，将不再产生废水、废气、噪声、固体废物等污染物，对周围环境的影响主要表现为对生态环境的影响，而且这些影响都是有利的。</w:t>
            </w:r>
          </w:p>
          <w:p>
            <w:pPr>
              <w:keepNext w:val="0"/>
              <w:keepLines w:val="0"/>
              <w:widowControl/>
              <w:suppressLineNumbers w:val="0"/>
              <w:spacing w:before="0" w:beforeAutospacing="0" w:after="0" w:afterAutospacing="0"/>
              <w:ind w:left="0" w:right="0"/>
              <w:jc w:val="left"/>
              <w:rPr>
                <w:rFonts w:hint="eastAsia"/>
                <w:lang w:val="en-US" w:eastAsia="zh-CN"/>
              </w:rPr>
            </w:pPr>
            <w:r>
              <w:rPr>
                <w:rFonts w:hint="eastAsia"/>
                <w:lang w:val="en-US" w:eastAsia="zh-CN"/>
              </w:rPr>
              <w:t>本项目完工后，将为该流域保持生物多样性创造有利条件，美化区域景观，使项目所在地水土流失得到有效治理，保护土壤肥力，提高土壤水份，增强抗旱能力，让项目周围水土资源得到保护，同时改善了水域的行洪能力，保证防汛期防洪抢险、日常维护等管理工作及时到位，有效保护沿线居民的安全。</w:t>
            </w:r>
          </w:p>
          <w:p>
            <w:pPr>
              <w:keepNext w:val="0"/>
              <w:keepLines w:val="0"/>
              <w:widowControl/>
              <w:suppressLineNumbers w:val="0"/>
              <w:spacing w:before="0" w:beforeAutospacing="0" w:after="0" w:afterAutospacing="0"/>
              <w:ind w:left="0" w:right="0"/>
              <w:jc w:val="left"/>
              <w:rPr>
                <w:rFonts w:hint="eastAsia"/>
                <w:lang w:val="en-US" w:eastAsia="zh-CN"/>
              </w:rPr>
            </w:pPr>
          </w:p>
          <w:p>
            <w:pPr>
              <w:keepNext w:val="0"/>
              <w:keepLines w:val="0"/>
              <w:widowControl/>
              <w:suppressLineNumbers w:val="0"/>
              <w:spacing w:before="0" w:beforeAutospacing="0" w:after="0" w:afterAutospacing="0"/>
              <w:ind w:left="0" w:right="0"/>
              <w:jc w:val="left"/>
              <w:rPr>
                <w:rFonts w:hint="eastAsia"/>
                <w:lang w:val="en-US" w:eastAsia="zh-CN"/>
              </w:rPr>
            </w:pPr>
          </w:p>
          <w:p>
            <w:pPr>
              <w:keepNext w:val="0"/>
              <w:keepLines w:val="0"/>
              <w:widowControl/>
              <w:suppressLineNumbers w:val="0"/>
              <w:spacing w:before="0" w:beforeAutospacing="0" w:after="0" w:afterAutospacing="0"/>
              <w:ind w:left="0" w:right="0"/>
              <w:jc w:val="left"/>
              <w:rPr>
                <w:rFonts w:hint="eastAsia"/>
                <w:lang w:val="en-US" w:eastAsia="zh-CN"/>
              </w:rPr>
            </w:pPr>
          </w:p>
          <w:p>
            <w:pPr>
              <w:keepNext w:val="0"/>
              <w:keepLines w:val="0"/>
              <w:widowControl/>
              <w:suppressLineNumbers w:val="0"/>
              <w:spacing w:before="0" w:beforeAutospacing="0" w:after="0" w:afterAutospacing="0"/>
              <w:ind w:left="0" w:right="0"/>
              <w:jc w:val="left"/>
              <w:rPr>
                <w:rFonts w:hint="eastAsia"/>
                <w:lang w:val="en-US" w:eastAsia="zh-CN"/>
              </w:rPr>
            </w:pPr>
          </w:p>
          <w:p>
            <w:pPr>
              <w:keepNext w:val="0"/>
              <w:keepLines w:val="0"/>
              <w:widowControl/>
              <w:suppressLineNumbers w:val="0"/>
              <w:spacing w:before="0" w:beforeAutospacing="0" w:after="0" w:afterAutospacing="0"/>
              <w:ind w:left="0" w:right="0"/>
              <w:jc w:val="left"/>
              <w:rPr>
                <w:rFonts w:hint="eastAsia"/>
                <w:lang w:val="en-US" w:eastAsia="zh-CN"/>
              </w:rPr>
            </w:pPr>
          </w:p>
          <w:p>
            <w:pPr>
              <w:keepNext w:val="0"/>
              <w:keepLines w:val="0"/>
              <w:numPr>
                <w:ilvl w:val="0"/>
                <w:numId w:val="39"/>
              </w:numPr>
              <w:suppressLineNumbers w:val="0"/>
              <w:bidi w:val="0"/>
              <w:spacing w:before="0" w:beforeAutospacing="0" w:after="0" w:afterAutospacing="0"/>
              <w:ind w:left="0" w:leftChars="0" w:right="0" w:firstLine="403" w:firstLineChars="0"/>
              <w:rPr>
                <w:rFonts w:hint="default"/>
                <w:b/>
                <w:bCs/>
              </w:rPr>
            </w:pPr>
            <w:r>
              <w:rPr>
                <w:rFonts w:hint="eastAsia"/>
                <w:b/>
                <w:bCs/>
              </w:rPr>
              <w:t>项目环境保护“三同时”验收一览表</w:t>
            </w:r>
          </w:p>
          <w:p>
            <w:pPr>
              <w:pStyle w:val="15"/>
              <w:keepNext w:val="0"/>
              <w:keepLines w:val="0"/>
              <w:suppressLineNumbers w:val="0"/>
              <w:bidi w:val="0"/>
              <w:spacing w:before="0" w:beforeAutospacing="0" w:after="0" w:afterAutospacing="0"/>
              <w:ind w:left="0" w:right="0"/>
              <w:rPr>
                <w:rFonts w:hint="default"/>
              </w:rPr>
            </w:pPr>
            <w:r>
              <w:rPr>
                <w:rFonts w:hint="default"/>
              </w:rPr>
              <w:t>项目</w:t>
            </w:r>
            <w:r>
              <w:rPr>
                <w:rFonts w:hint="eastAsia"/>
              </w:rPr>
              <w:t>环境保护“三同时”验收</w:t>
            </w:r>
            <w:r>
              <w:rPr>
                <w:rFonts w:hint="default"/>
              </w:rPr>
              <w:t>一览表</w:t>
            </w:r>
          </w:p>
          <w:tbl>
            <w:tblPr>
              <w:tblStyle w:val="1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69"/>
              <w:gridCol w:w="545"/>
              <w:gridCol w:w="1107"/>
              <w:gridCol w:w="5007"/>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68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污染类别</w:t>
                  </w:r>
                </w:p>
              </w:tc>
              <w:tc>
                <w:tcPr>
                  <w:tcW w:w="1686" w:type="dxa"/>
                  <w:gridSpan w:val="2"/>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污染防治对象</w:t>
                  </w:r>
                </w:p>
              </w:tc>
              <w:tc>
                <w:tcPr>
                  <w:tcW w:w="524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验收内容</w:t>
                  </w:r>
                </w:p>
              </w:tc>
              <w:tc>
                <w:tcPr>
                  <w:tcW w:w="117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预期效果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683" w:type="dxa"/>
                  <w:vMerge w:val="restart"/>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废水</w:t>
                  </w:r>
                </w:p>
              </w:tc>
              <w:tc>
                <w:tcPr>
                  <w:tcW w:w="552" w:type="dxa"/>
                  <w:vMerge w:val="restar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施工期</w:t>
                  </w:r>
                </w:p>
              </w:tc>
              <w:tc>
                <w:tcPr>
                  <w:tcW w:w="113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施工机械、车辆冲洗废水</w:t>
                  </w:r>
                </w:p>
              </w:tc>
              <w:tc>
                <w:tcPr>
                  <w:tcW w:w="524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冲洗废水经隔油、沉淀处理后，回用于施工场地和施工道路的洒水降尘。</w:t>
                  </w:r>
                </w:p>
              </w:tc>
              <w:tc>
                <w:tcPr>
                  <w:tcW w:w="117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回用于施工过程，不外排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683"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552"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生活污水</w:t>
                  </w:r>
                </w:p>
              </w:tc>
              <w:tc>
                <w:tcPr>
                  <w:tcW w:w="524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施工期生活废水依托租赁居民区化粪池处理后农用，不外排。</w:t>
                  </w:r>
                </w:p>
              </w:tc>
              <w:tc>
                <w:tcPr>
                  <w:tcW w:w="117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683" w:type="dxa"/>
                  <w:vMerge w:val="restart"/>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废气</w:t>
                  </w:r>
                </w:p>
              </w:tc>
              <w:tc>
                <w:tcPr>
                  <w:tcW w:w="552" w:type="dxa"/>
                  <w:vMerge w:val="restar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施工期</w:t>
                  </w:r>
                </w:p>
              </w:tc>
              <w:tc>
                <w:tcPr>
                  <w:tcW w:w="113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施工扬尘</w:t>
                  </w:r>
                </w:p>
              </w:tc>
              <w:tc>
                <w:tcPr>
                  <w:tcW w:w="524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严格按照《安徽省大气污染防治行动计划实施方案》、《芜湖市建筑工程扬尘污染防治实施细则》的要求进行施工期的大气扬尘污染防治。施工场地设置施工围挡，敏感点周边施工围挡可适当加高，加强对敏感点周边施工场地的洒水抑尘，车辆运输路线尽量避开敏感点，降低施工对周边敏感点环境空气的影响。</w:t>
                  </w:r>
                </w:p>
              </w:tc>
              <w:tc>
                <w:tcPr>
                  <w:tcW w:w="1174" w:type="dxa"/>
                  <w:vMerge w:val="restar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《大气污染物综合排放标准》无组织排放浓度监控限值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3"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552"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燃油废气</w:t>
                  </w:r>
                </w:p>
              </w:tc>
              <w:tc>
                <w:tcPr>
                  <w:tcW w:w="524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做好机械的维护、保养工作；运出车辆禁止超载、不得使用劣质燃料。</w:t>
                  </w:r>
                </w:p>
              </w:tc>
              <w:tc>
                <w:tcPr>
                  <w:tcW w:w="1174"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683"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552"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恶臭</w:t>
                  </w:r>
                </w:p>
              </w:tc>
              <w:tc>
                <w:tcPr>
                  <w:tcW w:w="524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淤泥运至附近水塘及洼地，干化后用作绿地表土，运输过程中车辆要进行密封处理，减少异味产生。</w:t>
                  </w:r>
                </w:p>
              </w:tc>
              <w:tc>
                <w:tcPr>
                  <w:tcW w:w="117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《恶臭污染物排放标准》（</w:t>
                  </w:r>
                  <w:r>
                    <w:rPr>
                      <w:rFonts w:hint="default"/>
                      <w:lang w:val="en-US" w:eastAsia="zh-CN"/>
                    </w:rPr>
                    <w:t>GB14554-93</w:t>
                  </w:r>
                  <w:r>
                    <w:rPr>
                      <w:rFonts w:hint="eastAsia"/>
                      <w:lang w:val="en-US" w:eastAsia="zh-CN"/>
                    </w:rPr>
                    <w:t>）表</w:t>
                  </w:r>
                  <w:r>
                    <w:rPr>
                      <w:rFonts w:hint="default"/>
                      <w:lang w:val="en-US" w:eastAsia="zh-CN"/>
                    </w:rPr>
                    <w:t>1</w:t>
                  </w:r>
                  <w:r>
                    <w:rPr>
                      <w:rFonts w:hint="eastAsia"/>
                      <w:lang w:val="en-US" w:eastAsia="zh-CN"/>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噪声</w:t>
                  </w:r>
                </w:p>
              </w:tc>
              <w:tc>
                <w:tcPr>
                  <w:tcW w:w="552"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施工期</w:t>
                  </w:r>
                </w:p>
              </w:tc>
              <w:tc>
                <w:tcPr>
                  <w:tcW w:w="113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施工机械</w:t>
                  </w:r>
                </w:p>
              </w:tc>
              <w:tc>
                <w:tcPr>
                  <w:tcW w:w="524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优先选用低噪声设备，合理安排施工机械作业时间，并减少同时作业的高噪施工机械数量，施工场地设置封闭围护结构，禁止夜间施工，合理布局施工场地，将高噪声设备远离敏感点布置，在敏感点周边施工时，面向敏感点方向设置移动声屏障，合理规划车辆进出路线和运输时间，避免施工扰民事件的发生。</w:t>
                  </w:r>
                </w:p>
              </w:tc>
              <w:tc>
                <w:tcPr>
                  <w:tcW w:w="117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《建筑施工场界环境噪声排放标准》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683" w:type="dxa"/>
                  <w:vMerge w:val="restart"/>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default"/>
                      <w:lang w:val="en-US" w:eastAsia="zh-CN"/>
                    </w:rPr>
                    <w:t>固废</w:t>
                  </w:r>
                </w:p>
              </w:tc>
              <w:tc>
                <w:tcPr>
                  <w:tcW w:w="552" w:type="dxa"/>
                  <w:vMerge w:val="restar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施工期</w:t>
                  </w:r>
                </w:p>
              </w:tc>
              <w:tc>
                <w:tcPr>
                  <w:tcW w:w="113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施工弃土</w:t>
                  </w:r>
                </w:p>
              </w:tc>
              <w:tc>
                <w:tcPr>
                  <w:tcW w:w="524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施工弃土及时在沿线护堤地内摊平，避免长时间堆放。</w:t>
                  </w:r>
                </w:p>
              </w:tc>
              <w:tc>
                <w:tcPr>
                  <w:tcW w:w="1174" w:type="dxa"/>
                  <w:vMerge w:val="restart"/>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不产生二次污染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83" w:type="dxa"/>
                  <w:vMerge w:val="continue"/>
                  <w:tcBorders>
                    <w:top w:val="nil"/>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552"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生活垃圾</w:t>
                  </w:r>
                </w:p>
              </w:tc>
              <w:tc>
                <w:tcPr>
                  <w:tcW w:w="524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集中收集后交市政环卫部门外运处理。</w:t>
                  </w:r>
                </w:p>
              </w:tc>
              <w:tc>
                <w:tcPr>
                  <w:tcW w:w="1174" w:type="dxa"/>
                  <w:vMerge w:val="continue"/>
                  <w:tcBorders>
                    <w:top w:val="nil"/>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683"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default"/>
                    </w:rPr>
                  </w:pPr>
                  <w:r>
                    <w:rPr>
                      <w:rFonts w:hint="eastAsia"/>
                      <w:lang w:val="en-US" w:eastAsia="zh-CN"/>
                    </w:rPr>
                    <w:t>生态恢复</w:t>
                  </w:r>
                </w:p>
              </w:tc>
              <w:tc>
                <w:tcPr>
                  <w:tcW w:w="1686" w:type="dxa"/>
                  <w:gridSpan w:val="2"/>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植被</w:t>
                  </w:r>
                </w:p>
              </w:tc>
              <w:tc>
                <w:tcPr>
                  <w:tcW w:w="524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施工结束后，及时清理临时占地，并按照要求尽快恢复植被，加强绿化措施。</w:t>
                  </w:r>
                </w:p>
              </w:tc>
              <w:tc>
                <w:tcPr>
                  <w:tcW w:w="1174" w:type="dxa"/>
                  <w:tcBorders>
                    <w:top w:val="single" w:color="auto" w:sz="4" w:space="0"/>
                    <w:left w:val="nil"/>
                    <w:bottom w:val="single" w:color="auto" w:sz="4" w:space="0"/>
                    <w:right w:val="single" w:color="auto" w:sz="4" w:space="0"/>
                  </w:tcBorders>
                  <w:shd w:val="clear" w:color="auto" w:fill="auto"/>
                  <w:vAlign w:val="center"/>
                </w:tcPr>
                <w:p>
                  <w:pPr>
                    <w:pStyle w:val="17"/>
                    <w:keepNext w:val="0"/>
                    <w:keepLines w:val="0"/>
                    <w:suppressLineNumbers w:val="0"/>
                    <w:bidi w:val="0"/>
                    <w:spacing w:before="0" w:beforeAutospacing="0" w:after="0" w:afterAutospacing="0"/>
                    <w:ind w:left="0" w:right="0"/>
                    <w:rPr>
                      <w:rFonts w:hint="eastAsia"/>
                    </w:rPr>
                  </w:pPr>
                  <w:r>
                    <w:rPr>
                      <w:rFonts w:hint="eastAsia"/>
                      <w:lang w:val="en-US" w:eastAsia="zh-CN"/>
                    </w:rPr>
                    <w:t>满足生态恢复要求</w:t>
                  </w:r>
                </w:p>
              </w:tc>
            </w:tr>
          </w:tbl>
          <w:p>
            <w:pPr>
              <w:keepNext w:val="0"/>
              <w:keepLines w:val="0"/>
              <w:numPr>
                <w:ilvl w:val="0"/>
                <w:numId w:val="39"/>
              </w:numPr>
              <w:suppressLineNumbers w:val="0"/>
              <w:bidi w:val="0"/>
              <w:spacing w:before="0" w:beforeAutospacing="0" w:after="0" w:afterAutospacing="0"/>
              <w:ind w:left="0" w:leftChars="0" w:right="0" w:firstLine="403" w:firstLineChars="0"/>
              <w:rPr>
                <w:rFonts w:hint="default"/>
              </w:rPr>
            </w:pPr>
            <w:r>
              <w:rPr>
                <w:rFonts w:hint="default" w:ascii="Times New Roman" w:hAnsi="Times New Roman" w:eastAsia="宋体" w:cs="Times New Roman"/>
                <w:b/>
                <w:bCs/>
                <w:sz w:val="24"/>
                <w:szCs w:val="24"/>
              </w:rPr>
              <w:t>综合结论</w:t>
            </w:r>
          </w:p>
          <w:p>
            <w:pPr>
              <w:keepNext w:val="0"/>
              <w:keepLines w:val="0"/>
              <w:suppressLineNumbers w:val="0"/>
              <w:bidi w:val="0"/>
              <w:spacing w:before="0" w:beforeAutospacing="0" w:after="0" w:afterAutospacing="0"/>
              <w:ind w:left="0" w:right="0"/>
              <w:rPr>
                <w:rFonts w:hint="eastAsia" w:ascii="Arial Unicode MS" w:hAnsi="Arial Unicode MS" w:eastAsia="宋体" w:cs="Times New Roman"/>
                <w:b/>
                <w:sz w:val="24"/>
              </w:rPr>
            </w:pPr>
            <w:r>
              <w:rPr>
                <w:rFonts w:hint="eastAsia" w:ascii="Arial Unicode MS" w:hAnsi="Arial Unicode MS" w:eastAsia="宋体" w:cs="Times New Roman"/>
                <w:b/>
                <w:sz w:val="24"/>
              </w:rPr>
              <w:t>本项目符合国家及地方产业政策，施工期有效减少生态破坏量和污染物产生量。工程建成后，岸坡整治及清淤使河道或湖泊水环境容量增大，水体的自净能力提高，改善地表水水质；河道及湖泊沿岸湿地水生、景观植被的建设将有利于改变周边生态环境。项目建设无环境制约因素，只要严格按照报告表提出的环保防治措施要求，加强施工期污染防治，综上所述，本项目从环境保护角度而言是可行的。</w:t>
            </w:r>
          </w:p>
          <w:p>
            <w:pPr>
              <w:pStyle w:val="2"/>
              <w:keepNext w:val="0"/>
              <w:keepLines w:val="0"/>
              <w:suppressLineNumbers w:val="0"/>
              <w:spacing w:before="0" w:beforeAutospacing="0" w:after="0" w:afterAutospacing="0"/>
              <w:ind w:left="0" w:right="0"/>
              <w:jc w:val="both"/>
              <w:rPr>
                <w:rFonts w:hint="default"/>
              </w:rPr>
            </w:pPr>
          </w:p>
          <w:p>
            <w:pPr>
              <w:keepNext w:val="0"/>
              <w:keepLines w:val="0"/>
              <w:pageBreakBefore w:val="0"/>
              <w:widowControl w:val="0"/>
              <w:numPr>
                <w:ilvl w:val="0"/>
                <w:numId w:val="38"/>
              </w:numPr>
              <w:suppressLineNumbers w:val="0"/>
              <w:kinsoku/>
              <w:wordWrap/>
              <w:overflowPunct/>
              <w:topLinePunct w:val="0"/>
              <w:autoSpaceDE/>
              <w:autoSpaceDN/>
              <w:bidi w:val="0"/>
              <w:adjustRightInd/>
              <w:snapToGrid/>
              <w:spacing w:before="0" w:beforeAutospacing="0" w:after="0" w:afterAutospacing="0"/>
              <w:ind w:left="0" w:leftChars="0" w:right="0" w:firstLine="0" w:firstLineChars="0"/>
              <w:textAlignment w:val="auto"/>
              <w:rPr>
                <w:rFonts w:hint="default"/>
                <w:b/>
                <w:bCs/>
              </w:rPr>
            </w:pPr>
            <w:r>
              <w:rPr>
                <w:rFonts w:hint="default"/>
                <w:b/>
                <w:bCs/>
              </w:rPr>
              <w:t>要求与建议</w:t>
            </w:r>
          </w:p>
          <w:p>
            <w:pPr>
              <w:keepNext w:val="0"/>
              <w:keepLines w:val="0"/>
              <w:numPr>
                <w:ilvl w:val="0"/>
                <w:numId w:val="43"/>
              </w:numPr>
              <w:suppressLineNumbers w:val="0"/>
              <w:bidi w:val="0"/>
              <w:spacing w:before="0" w:beforeAutospacing="0" w:after="0" w:afterAutospacing="0"/>
              <w:ind w:right="0"/>
              <w:rPr>
                <w:rFonts w:hint="default"/>
              </w:rPr>
            </w:pPr>
            <w:r>
              <w:rPr>
                <w:rFonts w:hint="eastAsia"/>
              </w:rPr>
              <w:t>本项目周边存在村民居住点，因此应加强施工人员宣教培训，加强施工管理，做好设备维护，保护水体水质，严格禁止夜间施工。严格按照本环评要求实施环境保护，将项目施工期对沿线群众生活影响降至最低。</w:t>
            </w:r>
          </w:p>
          <w:p>
            <w:pPr>
              <w:keepNext w:val="0"/>
              <w:keepLines w:val="0"/>
              <w:numPr>
                <w:ilvl w:val="0"/>
                <w:numId w:val="43"/>
              </w:numPr>
              <w:suppressLineNumbers w:val="0"/>
              <w:bidi w:val="0"/>
              <w:spacing w:before="0" w:beforeAutospacing="0" w:after="0" w:afterAutospacing="0"/>
              <w:ind w:right="0"/>
              <w:rPr>
                <w:rFonts w:hint="default"/>
              </w:rPr>
            </w:pPr>
            <w:r>
              <w:rPr>
                <w:rFonts w:hint="eastAsia"/>
              </w:rPr>
              <w:t>加强河道巡护，严格杜绝生产废弃物、机械维修废油、管理人员生活垃圾等污染物排入附近水体，影响下游河段水质。</w:t>
            </w:r>
          </w:p>
          <w:p>
            <w:pPr>
              <w:keepNext w:val="0"/>
              <w:keepLines w:val="0"/>
              <w:numPr>
                <w:ilvl w:val="0"/>
                <w:numId w:val="43"/>
              </w:numPr>
              <w:suppressLineNumbers w:val="0"/>
              <w:bidi w:val="0"/>
              <w:spacing w:before="0" w:beforeAutospacing="0" w:after="0" w:afterAutospacing="0"/>
              <w:ind w:right="0"/>
              <w:rPr>
                <w:rFonts w:hint="default"/>
              </w:rPr>
            </w:pPr>
            <w:r>
              <w:rPr>
                <w:rFonts w:hint="eastAsia"/>
              </w:rPr>
              <w:t>做好环境保护监督管理，确保各项环保措施的落实。</w:t>
            </w:r>
          </w:p>
          <w:p>
            <w:pPr>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p>
          <w:p>
            <w:pPr>
              <w:keepNext w:val="0"/>
              <w:keepLines w:val="0"/>
              <w:suppressLineNumbers w:val="0"/>
              <w:spacing w:before="0" w:beforeAutospacing="0" w:after="0" w:afterAutospacing="0"/>
              <w:ind w:left="0" w:right="0"/>
              <w:rPr>
                <w:rFonts w:hint="default"/>
              </w:rPr>
            </w:pPr>
          </w:p>
        </w:tc>
      </w:tr>
    </w:tbl>
    <w:p>
      <w:p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7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default" w:ascii="Times New Roman" w:hAnsi="Times New Roman" w:eastAsia="宋体" w:cs="Times New Roman"/>
                <w:color w:val="auto"/>
                <w:w w:val="98"/>
                <w:kern w:val="0"/>
                <w:sz w:val="24"/>
                <w:szCs w:val="24"/>
              </w:rPr>
            </w:pPr>
            <w:r>
              <w:rPr>
                <w:rFonts w:hint="default" w:ascii="Times New Roman" w:hAnsi="Times New Roman" w:eastAsia="宋体" w:cs="Times New Roman"/>
                <w:color w:val="auto"/>
                <w:w w:val="98"/>
                <w:kern w:val="0"/>
                <w:sz w:val="24"/>
                <w:szCs w:val="24"/>
              </w:rPr>
              <w:t>预审意见：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w w:val="98"/>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w w:val="98"/>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w w:val="98"/>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w w:val="98"/>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w w:val="98"/>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w w:val="98"/>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w w:val="98"/>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w w:val="98"/>
                <w:kern w:val="0"/>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w w:val="98"/>
                <w:kern w:val="0"/>
                <w:sz w:val="24"/>
                <w:szCs w:val="24"/>
              </w:rPr>
            </w:pP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0" w:firstLineChars="0"/>
              <w:jc w:val="right"/>
              <w:textAlignment w:val="auto"/>
              <w:rPr>
                <w:rFonts w:hint="default" w:ascii="Times New Roman" w:hAnsi="Times New Roman" w:eastAsia="宋体" w:cs="Times New Roman"/>
                <w:color w:val="auto"/>
                <w:w w:val="98"/>
                <w:kern w:val="0"/>
                <w:sz w:val="24"/>
                <w:szCs w:val="24"/>
                <w:lang w:val="en-US" w:eastAsia="zh-CN"/>
              </w:rPr>
            </w:pPr>
            <w:r>
              <w:rPr>
                <w:rFonts w:hint="default" w:ascii="Times New Roman" w:hAnsi="Times New Roman" w:eastAsia="宋体" w:cs="Times New Roman"/>
                <w:color w:val="auto"/>
                <w:w w:val="98"/>
                <w:kern w:val="0"/>
                <w:sz w:val="24"/>
                <w:szCs w:val="24"/>
              </w:rPr>
              <w:t>公   章</w:t>
            </w:r>
            <w:r>
              <w:rPr>
                <w:rFonts w:hint="default" w:ascii="Times New Roman" w:hAnsi="Times New Roman" w:eastAsia="宋体" w:cs="Times New Roman"/>
                <w:color w:val="auto"/>
                <w:w w:val="98"/>
                <w:kern w:val="0"/>
                <w:sz w:val="24"/>
                <w:szCs w:val="24"/>
                <w:lang w:val="en-US"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w w:val="98"/>
                <w:sz w:val="24"/>
                <w:szCs w:val="24"/>
              </w:rPr>
            </w:pP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0" w:firstLineChars="0"/>
              <w:jc w:val="right"/>
              <w:textAlignment w:val="auto"/>
              <w:rPr>
                <w:rFonts w:hint="default" w:ascii="Times New Roman" w:hAnsi="Times New Roman" w:eastAsia="宋体" w:cs="Times New Roman"/>
                <w:color w:val="auto"/>
                <w:w w:val="98"/>
                <w:sz w:val="24"/>
                <w:szCs w:val="24"/>
                <w:lang w:val="en-US" w:eastAsia="zh-CN"/>
              </w:rPr>
            </w:pPr>
            <w:r>
              <w:rPr>
                <w:rFonts w:hint="default" w:ascii="Times New Roman" w:hAnsi="Times New Roman" w:eastAsia="宋体" w:cs="Times New Roman"/>
                <w:color w:val="auto"/>
                <w:w w:val="98"/>
                <w:kern w:val="0"/>
                <w:sz w:val="24"/>
                <w:szCs w:val="24"/>
              </w:rPr>
              <w:t xml:space="preserve">经办人： </w:t>
            </w:r>
            <w:r>
              <w:rPr>
                <w:rFonts w:hint="default" w:ascii="Times New Roman" w:hAnsi="Times New Roman" w:eastAsia="宋体" w:cs="Times New Roman"/>
                <w:color w:val="auto"/>
                <w:w w:val="98"/>
                <w:sz w:val="24"/>
                <w:szCs w:val="24"/>
              </w:rPr>
              <w:t xml:space="preserve">                            </w:t>
            </w:r>
            <w:r>
              <w:rPr>
                <w:rFonts w:hint="default" w:ascii="Times New Roman" w:hAnsi="Times New Roman" w:eastAsia="宋体" w:cs="Times New Roman"/>
                <w:color w:val="auto"/>
                <w:w w:val="98"/>
                <w:sz w:val="24"/>
                <w:szCs w:val="24"/>
                <w:lang w:val="en-US" w:eastAsia="zh-CN"/>
              </w:rPr>
              <w:t xml:space="preserve">             </w:t>
            </w:r>
            <w:r>
              <w:rPr>
                <w:rFonts w:hint="default" w:ascii="Times New Roman" w:hAnsi="Times New Roman" w:eastAsia="宋体" w:cs="Times New Roman"/>
                <w:color w:val="auto"/>
                <w:w w:val="98"/>
                <w:kern w:val="0"/>
                <w:sz w:val="24"/>
                <w:szCs w:val="24"/>
              </w:rPr>
              <w:t>年    月    日</w:t>
            </w:r>
            <w:r>
              <w:rPr>
                <w:rFonts w:hint="default" w:ascii="Times New Roman" w:hAnsi="Times New Roman" w:eastAsia="宋体" w:cs="Times New Roman"/>
                <w:color w:val="auto"/>
                <w:w w:val="98"/>
                <w:kern w:val="0"/>
                <w:sz w:val="24"/>
                <w:szCs w:val="24"/>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3" w:hRule="atLeast"/>
          <w:jc w:val="center"/>
        </w:trPr>
        <w:tc>
          <w:tcPr>
            <w:tcW w:w="9071" w:type="dxa"/>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下一级环境保护行政主管部门审查意见：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sz w:val="24"/>
                <w:szCs w:val="24"/>
              </w:rPr>
            </w:pP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0" w:firstLineChars="0"/>
              <w:jc w:val="right"/>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公   章</w:t>
            </w:r>
            <w:r>
              <w:rPr>
                <w:rFonts w:hint="default" w:ascii="Times New Roman" w:hAnsi="Times New Roman" w:eastAsia="宋体" w:cs="Times New Roman"/>
                <w:sz w:val="24"/>
                <w:szCs w:val="24"/>
                <w:lang w:val="en-US" w:eastAsia="zh-CN"/>
              </w:rPr>
              <w:t xml:space="preserve">          </w:t>
            </w:r>
          </w:p>
          <w:p>
            <w:pPr>
              <w:keepNext w:val="0"/>
              <w:keepLines w:val="0"/>
              <w:suppressLineNumbers w:val="0"/>
              <w:spacing w:before="0" w:beforeAutospacing="0" w:after="0" w:afterAutospacing="0"/>
              <w:ind w:left="0" w:right="0"/>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960" w:firstLineChars="4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 xml:space="preserve">经办人：          </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0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审批意见：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suppressLineNumbers w:val="0"/>
              <w:spacing w:before="0" w:beforeAutospacing="0" w:after="0" w:afterAutospacing="0"/>
              <w:ind w:left="0" w:right="0"/>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p>
          <w:p>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leftChars="0" w:right="0" w:rightChars="0" w:firstLine="0" w:firstLineChars="0"/>
              <w:jc w:val="right"/>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公   章</w:t>
            </w:r>
            <w:r>
              <w:rPr>
                <w:rFonts w:hint="default" w:ascii="Times New Roman" w:hAnsi="Times New Roman" w:eastAsia="宋体" w:cs="Times New Roman"/>
                <w:color w:val="auto"/>
                <w:sz w:val="24"/>
                <w:szCs w:val="24"/>
                <w:lang w:val="en-US" w:eastAsia="zh-CN"/>
              </w:rPr>
              <w:t xml:space="preserve">      </w:t>
            </w:r>
          </w:p>
          <w:p>
            <w:pPr>
              <w:keepNext w:val="0"/>
              <w:keepLines w:val="0"/>
              <w:suppressLineNumbers w:val="0"/>
              <w:spacing w:before="0" w:beforeAutospacing="0" w:after="0" w:afterAutospacing="0"/>
              <w:ind w:left="0" w:right="0"/>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经办人</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5" w:hRule="atLeast"/>
          <w:jc w:val="center"/>
        </w:trPr>
        <w:tc>
          <w:tcPr>
            <w:tcW w:w="907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注        释</w:t>
            </w:r>
          </w:p>
          <w:p>
            <w:pPr>
              <w:pStyle w:val="2"/>
              <w:keepNext w:val="0"/>
              <w:keepLines w:val="0"/>
              <w:suppressLineNumbers w:val="0"/>
              <w:spacing w:before="0" w:beforeAutospacing="0" w:after="0" w:afterAutospacing="0"/>
              <w:ind w:left="0" w:right="0"/>
              <w:rPr>
                <w:rFonts w:hint="default"/>
              </w:rPr>
            </w:pPr>
          </w:p>
          <w:p>
            <w:pPr>
              <w:keepNext w:val="0"/>
              <w:keepLines w:val="0"/>
              <w:pageBreakBefore w:val="0"/>
              <w:widowControl w:val="0"/>
              <w:numPr>
                <w:ilvl w:val="0"/>
                <w:numId w:val="44"/>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本报告表应附以下附件、附图：</w:t>
            </w:r>
          </w:p>
          <w:p>
            <w:pPr>
              <w:keepNext w:val="0"/>
              <w:keepLines w:val="0"/>
              <w:pageBreakBefore w:val="0"/>
              <w:widowControl w:val="0"/>
              <w:numPr>
                <w:ilvl w:val="0"/>
                <w:numId w:val="45"/>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环境影响评价委托书</w:t>
            </w:r>
          </w:p>
          <w:p>
            <w:pPr>
              <w:keepNext w:val="0"/>
              <w:keepLines w:val="0"/>
              <w:pageBreakBefore w:val="0"/>
              <w:widowControl w:val="0"/>
              <w:numPr>
                <w:ilvl w:val="0"/>
                <w:numId w:val="45"/>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环评资料真实性承诺</w:t>
            </w:r>
          </w:p>
          <w:p>
            <w:pPr>
              <w:keepNext w:val="0"/>
              <w:keepLines w:val="0"/>
              <w:pageBreakBefore w:val="0"/>
              <w:widowControl w:val="0"/>
              <w:numPr>
                <w:ilvl w:val="0"/>
                <w:numId w:val="45"/>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val="en-US" w:eastAsia="zh-CN"/>
              </w:rPr>
              <w:t>初步设计报告的批复</w:t>
            </w:r>
          </w:p>
          <w:p>
            <w:pPr>
              <w:keepNext w:val="0"/>
              <w:keepLines w:val="0"/>
              <w:pageBreakBefore w:val="0"/>
              <w:widowControl w:val="0"/>
              <w:numPr>
                <w:ilvl w:val="0"/>
                <w:numId w:val="4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和平河小流域</w:t>
            </w:r>
            <w:r>
              <w:rPr>
                <w:rFonts w:hint="eastAsia" w:cs="Times New Roman"/>
                <w:color w:val="auto"/>
                <w:sz w:val="24"/>
                <w:szCs w:val="24"/>
                <w:lang w:val="en-US" w:eastAsia="zh-CN"/>
              </w:rPr>
              <w:t>地理位置图</w:t>
            </w:r>
          </w:p>
          <w:p>
            <w:pPr>
              <w:keepNext w:val="0"/>
              <w:keepLines w:val="0"/>
              <w:pageBreakBefore w:val="0"/>
              <w:widowControl w:val="0"/>
              <w:numPr>
                <w:ilvl w:val="0"/>
                <w:numId w:val="4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和平河小流域范围图</w:t>
            </w:r>
          </w:p>
          <w:p>
            <w:pPr>
              <w:keepNext w:val="0"/>
              <w:keepLines w:val="0"/>
              <w:pageBreakBefore w:val="0"/>
              <w:widowControl w:val="0"/>
              <w:numPr>
                <w:ilvl w:val="0"/>
                <w:numId w:val="4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和平河小流域治理布置总图</w:t>
            </w:r>
          </w:p>
          <w:p>
            <w:pPr>
              <w:keepNext w:val="0"/>
              <w:keepLines w:val="0"/>
              <w:pageBreakBefore w:val="0"/>
              <w:widowControl w:val="0"/>
              <w:numPr>
                <w:ilvl w:val="0"/>
                <w:numId w:val="4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lang w:val="en-US" w:eastAsia="zh-CN"/>
              </w:rPr>
              <w:t>和平河小流域三区划分图</w:t>
            </w:r>
          </w:p>
          <w:p>
            <w:pPr>
              <w:keepNext w:val="0"/>
              <w:keepLines w:val="0"/>
              <w:pageBreakBefore w:val="0"/>
              <w:widowControl w:val="0"/>
              <w:numPr>
                <w:ilvl w:val="0"/>
                <w:numId w:val="4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和平河小流域梅溪塘综合治理区总体布置图</w:t>
            </w:r>
          </w:p>
          <w:p>
            <w:pPr>
              <w:keepNext w:val="0"/>
              <w:keepLines w:val="0"/>
              <w:pageBreakBefore w:val="0"/>
              <w:widowControl w:val="0"/>
              <w:numPr>
                <w:ilvl w:val="0"/>
                <w:numId w:val="44"/>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如果本报告表不能说明项目产生的污染及对环境造成的影响，应进行专项评价。根据建设项目的特点和当地环境特征，应选下列1—2项进行专项评价。</w:t>
            </w:r>
          </w:p>
          <w:p>
            <w:pPr>
              <w:keepNext w:val="0"/>
              <w:keepLines w:val="0"/>
              <w:pageBreakBefore w:val="0"/>
              <w:widowControl w:val="0"/>
              <w:numPr>
                <w:ilvl w:val="0"/>
                <w:numId w:val="47"/>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大气环境影响专项评价</w:t>
            </w:r>
          </w:p>
          <w:p>
            <w:pPr>
              <w:keepNext w:val="0"/>
              <w:keepLines w:val="0"/>
              <w:pageBreakBefore w:val="0"/>
              <w:widowControl w:val="0"/>
              <w:numPr>
                <w:ilvl w:val="0"/>
                <w:numId w:val="47"/>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水环境影响专项评价（包括地表水和地下水）</w:t>
            </w:r>
          </w:p>
          <w:p>
            <w:pPr>
              <w:keepNext w:val="0"/>
              <w:keepLines w:val="0"/>
              <w:pageBreakBefore w:val="0"/>
              <w:widowControl w:val="0"/>
              <w:numPr>
                <w:ilvl w:val="0"/>
                <w:numId w:val="47"/>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生态影响专项评价</w:t>
            </w:r>
          </w:p>
          <w:p>
            <w:pPr>
              <w:keepNext w:val="0"/>
              <w:keepLines w:val="0"/>
              <w:pageBreakBefore w:val="0"/>
              <w:widowControl w:val="0"/>
              <w:numPr>
                <w:ilvl w:val="0"/>
                <w:numId w:val="47"/>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声影响专项评价</w:t>
            </w:r>
          </w:p>
          <w:p>
            <w:pPr>
              <w:keepNext w:val="0"/>
              <w:keepLines w:val="0"/>
              <w:pageBreakBefore w:val="0"/>
              <w:widowControl w:val="0"/>
              <w:numPr>
                <w:ilvl w:val="0"/>
                <w:numId w:val="47"/>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土壤影响专项评价</w:t>
            </w:r>
          </w:p>
          <w:p>
            <w:pPr>
              <w:keepNext w:val="0"/>
              <w:keepLines w:val="0"/>
              <w:pageBreakBefore w:val="0"/>
              <w:widowControl w:val="0"/>
              <w:numPr>
                <w:ilvl w:val="0"/>
                <w:numId w:val="47"/>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固体废弃物影响专项评价</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以上专项评价未包括的可另列专项，专项评价按照《环境影响评价技术导则》中的要求进行。</w:t>
            </w: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4"/>
                <w:szCs w:val="24"/>
              </w:rPr>
            </w:pP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4"/>
                <w:szCs w:val="24"/>
              </w:rPr>
            </w:pP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4"/>
                <w:szCs w:val="24"/>
              </w:rPr>
            </w:pPr>
          </w:p>
          <w:p>
            <w:pPr>
              <w:keepNext w:val="0"/>
              <w:keepLines w:val="0"/>
              <w:suppressLineNumbers w:val="0"/>
              <w:bidi w:val="0"/>
              <w:spacing w:before="0" w:beforeAutospacing="0" w:after="0" w:afterAutospacing="0"/>
              <w:ind w:left="0" w:right="0"/>
              <w:rPr>
                <w:rFonts w:hint="default" w:ascii="Times New Roman" w:hAnsi="Times New Roman" w:eastAsia="宋体" w:cs="Times New Roman"/>
                <w:sz w:val="24"/>
                <w:szCs w:val="24"/>
              </w:rPr>
            </w:pP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outlineLvl w:val="9"/>
              <w:rPr>
                <w:rFonts w:hint="default" w:ascii="Times New Roman" w:hAnsi="Times New Roman" w:eastAsia="宋体" w:cs="Times New Roman"/>
                <w:color w:val="auto"/>
                <w:sz w:val="24"/>
                <w:szCs w:val="24"/>
              </w:rPr>
            </w:pPr>
          </w:p>
        </w:tc>
      </w:tr>
    </w:tbl>
    <w:p>
      <w:pPr>
        <w:pStyle w:val="2"/>
      </w:pPr>
    </w:p>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B6A32D"/>
    <w:multiLevelType w:val="singleLevel"/>
    <w:tmpl w:val="85B6A32D"/>
    <w:lvl w:ilvl="0" w:tentative="0">
      <w:start w:val="1"/>
      <w:numFmt w:val="decimalEnclosedCircleChinese"/>
      <w:suff w:val="nothing"/>
      <w:lvlText w:val="%1 "/>
      <w:lvlJc w:val="left"/>
      <w:pPr>
        <w:ind w:left="0" w:firstLine="403"/>
      </w:pPr>
      <w:rPr>
        <w:rFonts w:hint="eastAsia"/>
      </w:rPr>
    </w:lvl>
  </w:abstractNum>
  <w:abstractNum w:abstractNumId="1">
    <w:nsid w:val="867F70B3"/>
    <w:multiLevelType w:val="singleLevel"/>
    <w:tmpl w:val="867F70B3"/>
    <w:lvl w:ilvl="0" w:tentative="0">
      <w:start w:val="1"/>
      <w:numFmt w:val="decimal"/>
      <w:lvlText w:val="(%1)"/>
      <w:lvlJc w:val="left"/>
      <w:pPr>
        <w:tabs>
          <w:tab w:val="left" w:pos="0"/>
        </w:tabs>
        <w:ind w:left="0" w:leftChars="0" w:firstLine="0" w:firstLineChars="0"/>
      </w:pPr>
      <w:rPr>
        <w:rFonts w:hint="default"/>
      </w:rPr>
    </w:lvl>
  </w:abstractNum>
  <w:abstractNum w:abstractNumId="2">
    <w:nsid w:val="9049814E"/>
    <w:multiLevelType w:val="singleLevel"/>
    <w:tmpl w:val="9049814E"/>
    <w:lvl w:ilvl="0" w:tentative="0">
      <w:start w:val="1"/>
      <w:numFmt w:val="chineseCounting"/>
      <w:suff w:val="nothing"/>
      <w:lvlText w:val="%1、"/>
      <w:lvlJc w:val="left"/>
      <w:pPr>
        <w:ind w:left="0" w:firstLine="0"/>
      </w:pPr>
      <w:rPr>
        <w:rFonts w:hint="eastAsia"/>
      </w:rPr>
    </w:lvl>
  </w:abstractNum>
  <w:abstractNum w:abstractNumId="3">
    <w:nsid w:val="91830651"/>
    <w:multiLevelType w:val="singleLevel"/>
    <w:tmpl w:val="91830651"/>
    <w:lvl w:ilvl="0" w:tentative="0">
      <w:start w:val="1"/>
      <w:numFmt w:val="chineseCounting"/>
      <w:suff w:val="nothing"/>
      <w:lvlText w:val="%1、"/>
      <w:lvlJc w:val="left"/>
      <w:pPr>
        <w:ind w:left="0" w:firstLine="420"/>
      </w:pPr>
      <w:rPr>
        <w:rFonts w:hint="eastAsia"/>
      </w:rPr>
    </w:lvl>
  </w:abstractNum>
  <w:abstractNum w:abstractNumId="4">
    <w:nsid w:val="A3AD31CE"/>
    <w:multiLevelType w:val="singleLevel"/>
    <w:tmpl w:val="A3AD31CE"/>
    <w:lvl w:ilvl="0" w:tentative="0">
      <w:start w:val="1"/>
      <w:numFmt w:val="decimalEnclosedCircleChinese"/>
      <w:suff w:val="nothing"/>
      <w:lvlText w:val="%1 "/>
      <w:lvlJc w:val="left"/>
      <w:pPr>
        <w:tabs>
          <w:tab w:val="left" w:pos="0"/>
        </w:tabs>
        <w:ind w:left="0" w:firstLine="403"/>
      </w:pPr>
      <w:rPr>
        <w:rFonts w:hint="eastAsia" w:ascii="宋体" w:hAnsi="宋体" w:eastAsia="宋体" w:cs="宋体"/>
      </w:rPr>
    </w:lvl>
  </w:abstractNum>
  <w:abstractNum w:abstractNumId="5">
    <w:nsid w:val="A7476103"/>
    <w:multiLevelType w:val="singleLevel"/>
    <w:tmpl w:val="A7476103"/>
    <w:lvl w:ilvl="0" w:tentative="0">
      <w:start w:val="1"/>
      <w:numFmt w:val="decimal"/>
      <w:lvlText w:val="(%1)"/>
      <w:lvlJc w:val="left"/>
      <w:pPr>
        <w:tabs>
          <w:tab w:val="left" w:pos="397"/>
        </w:tabs>
        <w:ind w:left="454" w:leftChars="0" w:hanging="454" w:firstLineChars="0"/>
      </w:pPr>
      <w:rPr>
        <w:rFonts w:hint="default"/>
      </w:rPr>
    </w:lvl>
  </w:abstractNum>
  <w:abstractNum w:abstractNumId="6">
    <w:nsid w:val="AC0D271A"/>
    <w:multiLevelType w:val="singleLevel"/>
    <w:tmpl w:val="AC0D271A"/>
    <w:lvl w:ilvl="0" w:tentative="0">
      <w:start w:val="1"/>
      <w:numFmt w:val="decimal"/>
      <w:suff w:val="nothing"/>
      <w:lvlText w:val="%1、"/>
      <w:lvlJc w:val="left"/>
      <w:pPr>
        <w:ind w:left="0" w:firstLine="403"/>
      </w:pPr>
      <w:rPr>
        <w:rFonts w:hint="default"/>
      </w:rPr>
    </w:lvl>
  </w:abstractNum>
  <w:abstractNum w:abstractNumId="7">
    <w:nsid w:val="AF15E73D"/>
    <w:multiLevelType w:val="singleLevel"/>
    <w:tmpl w:val="AF15E73D"/>
    <w:lvl w:ilvl="0" w:tentative="0">
      <w:start w:val="1"/>
      <w:numFmt w:val="decimal"/>
      <w:suff w:val="nothing"/>
      <w:lvlText w:val="%1、"/>
      <w:lvlJc w:val="left"/>
      <w:pPr>
        <w:ind w:left="0" w:firstLine="397"/>
      </w:pPr>
      <w:rPr>
        <w:rFonts w:hint="default"/>
      </w:rPr>
    </w:lvl>
  </w:abstractNum>
  <w:abstractNum w:abstractNumId="8">
    <w:nsid w:val="AFD7BB67"/>
    <w:multiLevelType w:val="singleLevel"/>
    <w:tmpl w:val="AFD7BB67"/>
    <w:lvl w:ilvl="0" w:tentative="0">
      <w:start w:val="1"/>
      <w:numFmt w:val="chineseCounting"/>
      <w:suff w:val="nothing"/>
      <w:lvlText w:val="%1、"/>
      <w:lvlJc w:val="left"/>
      <w:pPr>
        <w:ind w:left="0" w:firstLine="397"/>
      </w:pPr>
      <w:rPr>
        <w:rFonts w:hint="eastAsia"/>
      </w:rPr>
    </w:lvl>
  </w:abstractNum>
  <w:abstractNum w:abstractNumId="9">
    <w:nsid w:val="B3F53FCF"/>
    <w:multiLevelType w:val="singleLevel"/>
    <w:tmpl w:val="B3F53FCF"/>
    <w:lvl w:ilvl="0" w:tentative="0">
      <w:start w:val="1"/>
      <w:numFmt w:val="decimal"/>
      <w:suff w:val="nothing"/>
      <w:lvlText w:val="%1）"/>
      <w:lvlJc w:val="left"/>
      <w:pPr>
        <w:ind w:left="0" w:firstLine="397"/>
      </w:pPr>
      <w:rPr>
        <w:rFonts w:hint="default"/>
      </w:rPr>
    </w:lvl>
  </w:abstractNum>
  <w:abstractNum w:abstractNumId="10">
    <w:nsid w:val="B4DF2E2E"/>
    <w:multiLevelType w:val="singleLevel"/>
    <w:tmpl w:val="B4DF2E2E"/>
    <w:lvl w:ilvl="0" w:tentative="0">
      <w:start w:val="1"/>
      <w:numFmt w:val="decimal"/>
      <w:suff w:val="nothing"/>
      <w:lvlText w:val="%1）"/>
      <w:lvlJc w:val="left"/>
      <w:pPr>
        <w:ind w:left="0" w:firstLine="397"/>
      </w:pPr>
      <w:rPr>
        <w:rFonts w:hint="default"/>
      </w:rPr>
    </w:lvl>
  </w:abstractNum>
  <w:abstractNum w:abstractNumId="11">
    <w:nsid w:val="B6F1F9E1"/>
    <w:multiLevelType w:val="singleLevel"/>
    <w:tmpl w:val="B6F1F9E1"/>
    <w:lvl w:ilvl="0" w:tentative="0">
      <w:start w:val="1"/>
      <w:numFmt w:val="decimal"/>
      <w:pStyle w:val="15"/>
      <w:suff w:val="nothing"/>
      <w:lvlText w:val="表%1："/>
      <w:lvlJc w:val="left"/>
      <w:pPr>
        <w:ind w:left="0" w:firstLine="0"/>
      </w:pPr>
      <w:rPr>
        <w:rFonts w:hint="default"/>
      </w:rPr>
    </w:lvl>
  </w:abstractNum>
  <w:abstractNum w:abstractNumId="12">
    <w:nsid w:val="BBA27E98"/>
    <w:multiLevelType w:val="singleLevel"/>
    <w:tmpl w:val="BBA27E98"/>
    <w:lvl w:ilvl="0" w:tentative="0">
      <w:start w:val="1"/>
      <w:numFmt w:val="decimal"/>
      <w:lvlText w:val="(%1)"/>
      <w:lvlJc w:val="left"/>
      <w:pPr>
        <w:tabs>
          <w:tab w:val="left" w:pos="0"/>
        </w:tabs>
        <w:ind w:left="0" w:leftChars="0" w:firstLine="0" w:firstLineChars="0"/>
      </w:pPr>
      <w:rPr>
        <w:rFonts w:hint="default"/>
      </w:rPr>
    </w:lvl>
  </w:abstractNum>
  <w:abstractNum w:abstractNumId="13">
    <w:nsid w:val="BCA65173"/>
    <w:multiLevelType w:val="singleLevel"/>
    <w:tmpl w:val="BCA65173"/>
    <w:lvl w:ilvl="0" w:tentative="0">
      <w:start w:val="1"/>
      <w:numFmt w:val="decimal"/>
      <w:suff w:val="nothing"/>
      <w:lvlText w:val="%1、"/>
      <w:lvlJc w:val="left"/>
      <w:pPr>
        <w:ind w:left="0" w:firstLine="403"/>
      </w:pPr>
      <w:rPr>
        <w:rFonts w:hint="default"/>
      </w:rPr>
    </w:lvl>
  </w:abstractNum>
  <w:abstractNum w:abstractNumId="14">
    <w:nsid w:val="CFF6848D"/>
    <w:multiLevelType w:val="singleLevel"/>
    <w:tmpl w:val="CFF6848D"/>
    <w:lvl w:ilvl="0" w:tentative="0">
      <w:start w:val="1"/>
      <w:numFmt w:val="decimal"/>
      <w:suff w:val="nothing"/>
      <w:lvlText w:val="%1、"/>
      <w:lvlJc w:val="left"/>
      <w:pPr>
        <w:ind w:left="0" w:firstLine="397"/>
      </w:pPr>
      <w:rPr>
        <w:rFonts w:hint="default"/>
      </w:rPr>
    </w:lvl>
  </w:abstractNum>
  <w:abstractNum w:abstractNumId="15">
    <w:nsid w:val="D562DDA4"/>
    <w:multiLevelType w:val="singleLevel"/>
    <w:tmpl w:val="D562DDA4"/>
    <w:lvl w:ilvl="0" w:tentative="0">
      <w:start w:val="1"/>
      <w:numFmt w:val="decimalEnclosedCircleChinese"/>
      <w:suff w:val="nothing"/>
      <w:lvlText w:val="%1 "/>
      <w:lvlJc w:val="left"/>
      <w:pPr>
        <w:tabs>
          <w:tab w:val="left" w:pos="0"/>
        </w:tabs>
        <w:ind w:left="0" w:firstLine="403"/>
      </w:pPr>
      <w:rPr>
        <w:rFonts w:hint="eastAsia" w:ascii="宋体" w:hAnsi="宋体" w:eastAsia="宋体" w:cs="宋体"/>
      </w:rPr>
    </w:lvl>
  </w:abstractNum>
  <w:abstractNum w:abstractNumId="16">
    <w:nsid w:val="DCA85E89"/>
    <w:multiLevelType w:val="singleLevel"/>
    <w:tmpl w:val="DCA85E89"/>
    <w:lvl w:ilvl="0" w:tentative="0">
      <w:start w:val="1"/>
      <w:numFmt w:val="decimal"/>
      <w:suff w:val="nothing"/>
      <w:lvlText w:val="附图%1  "/>
      <w:lvlJc w:val="left"/>
      <w:pPr>
        <w:ind w:left="0" w:firstLine="397"/>
      </w:pPr>
      <w:rPr>
        <w:rFonts w:hint="default"/>
      </w:rPr>
    </w:lvl>
  </w:abstractNum>
  <w:abstractNum w:abstractNumId="17">
    <w:nsid w:val="E010AE2E"/>
    <w:multiLevelType w:val="singleLevel"/>
    <w:tmpl w:val="E010AE2E"/>
    <w:lvl w:ilvl="0" w:tentative="0">
      <w:start w:val="1"/>
      <w:numFmt w:val="decimal"/>
      <w:lvlText w:val="(%1)"/>
      <w:lvlJc w:val="left"/>
      <w:pPr>
        <w:ind w:left="425" w:hanging="425"/>
      </w:pPr>
      <w:rPr>
        <w:rFonts w:hint="default"/>
      </w:rPr>
    </w:lvl>
  </w:abstractNum>
  <w:abstractNum w:abstractNumId="18">
    <w:nsid w:val="E16D255D"/>
    <w:multiLevelType w:val="singleLevel"/>
    <w:tmpl w:val="E16D255D"/>
    <w:lvl w:ilvl="0" w:tentative="0">
      <w:start w:val="1"/>
      <w:numFmt w:val="decimalEnclosedCircleChinese"/>
      <w:suff w:val="nothing"/>
      <w:lvlText w:val="%1 "/>
      <w:lvlJc w:val="left"/>
      <w:pPr>
        <w:tabs>
          <w:tab w:val="left" w:pos="0"/>
        </w:tabs>
        <w:ind w:left="0" w:firstLine="403"/>
      </w:pPr>
      <w:rPr>
        <w:rFonts w:hint="eastAsia" w:ascii="宋体" w:hAnsi="宋体" w:eastAsia="宋体" w:cs="宋体"/>
      </w:rPr>
    </w:lvl>
  </w:abstractNum>
  <w:abstractNum w:abstractNumId="19">
    <w:nsid w:val="E291C94B"/>
    <w:multiLevelType w:val="singleLevel"/>
    <w:tmpl w:val="E291C94B"/>
    <w:lvl w:ilvl="0" w:tentative="0">
      <w:start w:val="1"/>
      <w:numFmt w:val="decimal"/>
      <w:suff w:val="nothing"/>
      <w:lvlText w:val="%1）"/>
      <w:lvlJc w:val="left"/>
      <w:pPr>
        <w:ind w:left="0" w:firstLine="397"/>
      </w:pPr>
      <w:rPr>
        <w:rFonts w:hint="default"/>
      </w:rPr>
    </w:lvl>
  </w:abstractNum>
  <w:abstractNum w:abstractNumId="20">
    <w:nsid w:val="E41447D3"/>
    <w:multiLevelType w:val="singleLevel"/>
    <w:tmpl w:val="E41447D3"/>
    <w:lvl w:ilvl="0" w:tentative="0">
      <w:start w:val="1"/>
      <w:numFmt w:val="decimal"/>
      <w:suff w:val="nothing"/>
      <w:lvlText w:val="%1、"/>
      <w:lvlJc w:val="left"/>
      <w:pPr>
        <w:ind w:left="0" w:firstLine="403"/>
      </w:pPr>
      <w:rPr>
        <w:rFonts w:hint="default"/>
      </w:rPr>
    </w:lvl>
  </w:abstractNum>
  <w:abstractNum w:abstractNumId="21">
    <w:nsid w:val="ECFE23F1"/>
    <w:multiLevelType w:val="singleLevel"/>
    <w:tmpl w:val="ECFE23F1"/>
    <w:lvl w:ilvl="0" w:tentative="0">
      <w:start w:val="1"/>
      <w:numFmt w:val="decimal"/>
      <w:suff w:val="nothing"/>
      <w:lvlText w:val="%1）"/>
      <w:lvlJc w:val="left"/>
      <w:pPr>
        <w:ind w:left="0" w:firstLine="397"/>
      </w:pPr>
      <w:rPr>
        <w:rFonts w:hint="default"/>
      </w:rPr>
    </w:lvl>
  </w:abstractNum>
  <w:abstractNum w:abstractNumId="22">
    <w:nsid w:val="F4320BBF"/>
    <w:multiLevelType w:val="singleLevel"/>
    <w:tmpl w:val="F4320BBF"/>
    <w:lvl w:ilvl="0" w:tentative="0">
      <w:start w:val="1"/>
      <w:numFmt w:val="decimal"/>
      <w:suff w:val="nothing"/>
      <w:lvlText w:val="%1、"/>
      <w:lvlJc w:val="left"/>
      <w:pPr>
        <w:ind w:left="0" w:firstLine="403"/>
      </w:pPr>
      <w:rPr>
        <w:rFonts w:hint="default"/>
      </w:rPr>
    </w:lvl>
  </w:abstractNum>
  <w:abstractNum w:abstractNumId="23">
    <w:nsid w:val="FA3C33D2"/>
    <w:multiLevelType w:val="singleLevel"/>
    <w:tmpl w:val="FA3C33D2"/>
    <w:lvl w:ilvl="0" w:tentative="0">
      <w:start w:val="1"/>
      <w:numFmt w:val="decimal"/>
      <w:lvlText w:val="(%1)"/>
      <w:lvlJc w:val="left"/>
      <w:pPr>
        <w:ind w:left="425" w:hanging="425"/>
      </w:pPr>
      <w:rPr>
        <w:rFonts w:hint="default"/>
      </w:rPr>
    </w:lvl>
  </w:abstractNum>
  <w:abstractNum w:abstractNumId="24">
    <w:nsid w:val="FAAF8F9D"/>
    <w:multiLevelType w:val="singleLevel"/>
    <w:tmpl w:val="FAAF8F9D"/>
    <w:lvl w:ilvl="0" w:tentative="0">
      <w:start w:val="1"/>
      <w:numFmt w:val="decimal"/>
      <w:pStyle w:val="19"/>
      <w:suff w:val="nothing"/>
      <w:lvlText w:val="图%1："/>
      <w:lvlJc w:val="left"/>
      <w:pPr>
        <w:ind w:left="0" w:firstLine="0"/>
      </w:pPr>
      <w:rPr>
        <w:rFonts w:hint="default"/>
      </w:rPr>
    </w:lvl>
  </w:abstractNum>
  <w:abstractNum w:abstractNumId="25">
    <w:nsid w:val="FB5C5145"/>
    <w:multiLevelType w:val="singleLevel"/>
    <w:tmpl w:val="FB5C5145"/>
    <w:lvl w:ilvl="0" w:tentative="0">
      <w:start w:val="1"/>
      <w:numFmt w:val="decimal"/>
      <w:suff w:val="nothing"/>
      <w:lvlText w:val="%1、"/>
      <w:lvlJc w:val="left"/>
      <w:pPr>
        <w:ind w:left="0" w:firstLine="403"/>
      </w:pPr>
      <w:rPr>
        <w:rFonts w:hint="default"/>
      </w:rPr>
    </w:lvl>
  </w:abstractNum>
  <w:abstractNum w:abstractNumId="26">
    <w:nsid w:val="064BDB65"/>
    <w:multiLevelType w:val="singleLevel"/>
    <w:tmpl w:val="064BDB65"/>
    <w:lvl w:ilvl="0" w:tentative="0">
      <w:start w:val="1"/>
      <w:numFmt w:val="decimal"/>
      <w:pStyle w:val="18"/>
      <w:suff w:val="nothing"/>
      <w:lvlText w:val="图%1："/>
      <w:lvlJc w:val="left"/>
      <w:pPr>
        <w:ind w:left="0" w:firstLine="0"/>
      </w:pPr>
      <w:rPr>
        <w:rFonts w:hint="default"/>
      </w:rPr>
    </w:lvl>
  </w:abstractNum>
  <w:abstractNum w:abstractNumId="27">
    <w:nsid w:val="0752CE6D"/>
    <w:multiLevelType w:val="singleLevel"/>
    <w:tmpl w:val="0752CE6D"/>
    <w:lvl w:ilvl="0" w:tentative="0">
      <w:start w:val="1"/>
      <w:numFmt w:val="decimal"/>
      <w:suff w:val="nothing"/>
      <w:lvlText w:val="%1）"/>
      <w:lvlJc w:val="left"/>
      <w:pPr>
        <w:ind w:left="0" w:firstLine="397"/>
      </w:pPr>
      <w:rPr>
        <w:rFonts w:hint="default"/>
      </w:rPr>
    </w:lvl>
  </w:abstractNum>
  <w:abstractNum w:abstractNumId="28">
    <w:nsid w:val="09623934"/>
    <w:multiLevelType w:val="singleLevel"/>
    <w:tmpl w:val="09623934"/>
    <w:lvl w:ilvl="0" w:tentative="0">
      <w:start w:val="1"/>
      <w:numFmt w:val="decimal"/>
      <w:lvlText w:val="(%1)"/>
      <w:lvlJc w:val="left"/>
      <w:pPr>
        <w:ind w:left="425" w:hanging="425"/>
      </w:pPr>
      <w:rPr>
        <w:rFonts w:hint="default"/>
      </w:rPr>
    </w:lvl>
  </w:abstractNum>
  <w:abstractNum w:abstractNumId="29">
    <w:nsid w:val="16961FA9"/>
    <w:multiLevelType w:val="singleLevel"/>
    <w:tmpl w:val="16961FA9"/>
    <w:lvl w:ilvl="0" w:tentative="0">
      <w:start w:val="1"/>
      <w:numFmt w:val="decimal"/>
      <w:suff w:val="nothing"/>
      <w:lvlText w:val="%1、"/>
      <w:lvlJc w:val="left"/>
      <w:pPr>
        <w:ind w:left="0" w:firstLine="403"/>
      </w:pPr>
      <w:rPr>
        <w:rFonts w:hint="default"/>
      </w:rPr>
    </w:lvl>
  </w:abstractNum>
  <w:abstractNum w:abstractNumId="30">
    <w:nsid w:val="1A58DD21"/>
    <w:multiLevelType w:val="singleLevel"/>
    <w:tmpl w:val="1A58DD21"/>
    <w:lvl w:ilvl="0" w:tentative="0">
      <w:start w:val="1"/>
      <w:numFmt w:val="decimal"/>
      <w:suff w:val="nothing"/>
      <w:lvlText w:val="附件%1  "/>
      <w:lvlJc w:val="left"/>
      <w:pPr>
        <w:tabs>
          <w:tab w:val="left" w:pos="0"/>
        </w:tabs>
        <w:ind w:left="0" w:firstLine="40"/>
      </w:pPr>
      <w:rPr>
        <w:rFonts w:hint="default" w:ascii="宋体" w:hAnsi="宋体" w:eastAsia="宋体" w:cs="宋体"/>
      </w:rPr>
    </w:lvl>
  </w:abstractNum>
  <w:abstractNum w:abstractNumId="31">
    <w:nsid w:val="1E37B464"/>
    <w:multiLevelType w:val="singleLevel"/>
    <w:tmpl w:val="1E37B464"/>
    <w:lvl w:ilvl="0" w:tentative="0">
      <w:start w:val="1"/>
      <w:numFmt w:val="decimal"/>
      <w:lvlText w:val="(%1)"/>
      <w:lvlJc w:val="left"/>
      <w:pPr>
        <w:tabs>
          <w:tab w:val="left" w:pos="0"/>
        </w:tabs>
        <w:ind w:left="0" w:leftChars="0" w:firstLine="0" w:firstLineChars="0"/>
      </w:pPr>
      <w:rPr>
        <w:rFonts w:hint="default"/>
      </w:rPr>
    </w:lvl>
  </w:abstractNum>
  <w:abstractNum w:abstractNumId="32">
    <w:nsid w:val="29FF8DAF"/>
    <w:multiLevelType w:val="singleLevel"/>
    <w:tmpl w:val="29FF8DAF"/>
    <w:lvl w:ilvl="0" w:tentative="0">
      <w:start w:val="1"/>
      <w:numFmt w:val="decimal"/>
      <w:lvlText w:val="(%1)"/>
      <w:lvlJc w:val="left"/>
      <w:pPr>
        <w:tabs>
          <w:tab w:val="left" w:pos="0"/>
        </w:tabs>
        <w:ind w:left="0" w:leftChars="0" w:firstLine="0" w:firstLineChars="0"/>
      </w:pPr>
      <w:rPr>
        <w:rFonts w:hint="default"/>
      </w:rPr>
    </w:lvl>
  </w:abstractNum>
  <w:abstractNum w:abstractNumId="33">
    <w:nsid w:val="34115B57"/>
    <w:multiLevelType w:val="singleLevel"/>
    <w:tmpl w:val="34115B57"/>
    <w:lvl w:ilvl="0" w:tentative="0">
      <w:start w:val="1"/>
      <w:numFmt w:val="chineseCounting"/>
      <w:suff w:val="nothing"/>
      <w:lvlText w:val="%1、"/>
      <w:lvlJc w:val="left"/>
      <w:pPr>
        <w:ind w:left="0" w:firstLine="420"/>
      </w:pPr>
      <w:rPr>
        <w:rFonts w:hint="eastAsia"/>
      </w:rPr>
    </w:lvl>
  </w:abstractNum>
  <w:abstractNum w:abstractNumId="34">
    <w:nsid w:val="3D7E04D7"/>
    <w:multiLevelType w:val="singleLevel"/>
    <w:tmpl w:val="3D7E04D7"/>
    <w:lvl w:ilvl="0" w:tentative="0">
      <w:start w:val="1"/>
      <w:numFmt w:val="decimalEnclosedCircleChinese"/>
      <w:suff w:val="nothing"/>
      <w:lvlText w:val="%1 "/>
      <w:lvlJc w:val="left"/>
      <w:pPr>
        <w:ind w:left="0" w:firstLine="403"/>
      </w:pPr>
      <w:rPr>
        <w:rFonts w:hint="eastAsia"/>
      </w:rPr>
    </w:lvl>
  </w:abstractNum>
  <w:abstractNum w:abstractNumId="35">
    <w:nsid w:val="3F691233"/>
    <w:multiLevelType w:val="singleLevel"/>
    <w:tmpl w:val="3F691233"/>
    <w:lvl w:ilvl="0" w:tentative="0">
      <w:start w:val="1"/>
      <w:numFmt w:val="decimal"/>
      <w:lvlText w:val="(%1)"/>
      <w:lvlJc w:val="left"/>
      <w:pPr>
        <w:tabs>
          <w:tab w:val="left" w:pos="420"/>
        </w:tabs>
        <w:ind w:left="425" w:leftChars="0" w:hanging="425" w:firstLineChars="0"/>
      </w:pPr>
      <w:rPr>
        <w:rFonts w:hint="default"/>
      </w:rPr>
    </w:lvl>
  </w:abstractNum>
  <w:abstractNum w:abstractNumId="36">
    <w:nsid w:val="4151A139"/>
    <w:multiLevelType w:val="singleLevel"/>
    <w:tmpl w:val="4151A139"/>
    <w:lvl w:ilvl="0" w:tentative="0">
      <w:start w:val="1"/>
      <w:numFmt w:val="decimal"/>
      <w:lvlText w:val="(%1)"/>
      <w:lvlJc w:val="left"/>
      <w:pPr>
        <w:ind w:left="425" w:hanging="425"/>
      </w:pPr>
      <w:rPr>
        <w:rFonts w:hint="default"/>
      </w:rPr>
    </w:lvl>
  </w:abstractNum>
  <w:abstractNum w:abstractNumId="37">
    <w:nsid w:val="44067383"/>
    <w:multiLevelType w:val="singleLevel"/>
    <w:tmpl w:val="44067383"/>
    <w:lvl w:ilvl="0" w:tentative="0">
      <w:start w:val="1"/>
      <w:numFmt w:val="decimal"/>
      <w:suff w:val="nothing"/>
      <w:lvlText w:val="3.%1 "/>
      <w:lvlJc w:val="left"/>
      <w:pPr>
        <w:tabs>
          <w:tab w:val="left" w:pos="0"/>
        </w:tabs>
        <w:ind w:left="0" w:firstLine="40"/>
      </w:pPr>
      <w:rPr>
        <w:rFonts w:hint="default" w:ascii="宋体" w:hAnsi="宋体" w:eastAsia="宋体" w:cs="宋体"/>
      </w:rPr>
    </w:lvl>
  </w:abstractNum>
  <w:abstractNum w:abstractNumId="38">
    <w:nsid w:val="44F8F585"/>
    <w:multiLevelType w:val="singleLevel"/>
    <w:tmpl w:val="44F8F585"/>
    <w:lvl w:ilvl="0" w:tentative="0">
      <w:start w:val="1"/>
      <w:numFmt w:val="decimal"/>
      <w:lvlText w:val="%1)"/>
      <w:lvlJc w:val="left"/>
      <w:pPr>
        <w:tabs>
          <w:tab w:val="left" w:pos="420"/>
        </w:tabs>
        <w:ind w:left="425" w:leftChars="0" w:hanging="425" w:firstLineChars="0"/>
      </w:pPr>
      <w:rPr>
        <w:rFonts w:hint="default"/>
      </w:rPr>
    </w:lvl>
  </w:abstractNum>
  <w:abstractNum w:abstractNumId="39">
    <w:nsid w:val="499BC66C"/>
    <w:multiLevelType w:val="singleLevel"/>
    <w:tmpl w:val="499BC66C"/>
    <w:lvl w:ilvl="0" w:tentative="0">
      <w:start w:val="1"/>
      <w:numFmt w:val="decimal"/>
      <w:suff w:val="nothing"/>
      <w:lvlText w:val="%1）"/>
      <w:lvlJc w:val="left"/>
      <w:pPr>
        <w:ind w:left="0" w:firstLine="397"/>
      </w:pPr>
      <w:rPr>
        <w:rFonts w:hint="default"/>
      </w:rPr>
    </w:lvl>
  </w:abstractNum>
  <w:abstractNum w:abstractNumId="40">
    <w:nsid w:val="504F3F23"/>
    <w:multiLevelType w:val="singleLevel"/>
    <w:tmpl w:val="504F3F23"/>
    <w:lvl w:ilvl="0" w:tentative="0">
      <w:start w:val="1"/>
      <w:numFmt w:val="decimal"/>
      <w:suff w:val="nothing"/>
      <w:lvlText w:val="%1、"/>
      <w:lvlJc w:val="left"/>
      <w:pPr>
        <w:ind w:left="0" w:firstLine="397"/>
      </w:pPr>
      <w:rPr>
        <w:rFonts w:hint="default"/>
      </w:rPr>
    </w:lvl>
  </w:abstractNum>
  <w:abstractNum w:abstractNumId="41">
    <w:nsid w:val="5E67F1C6"/>
    <w:multiLevelType w:val="singleLevel"/>
    <w:tmpl w:val="5E67F1C6"/>
    <w:lvl w:ilvl="0" w:tentative="0">
      <w:start w:val="1"/>
      <w:numFmt w:val="decimal"/>
      <w:suff w:val="nothing"/>
      <w:lvlText w:val="%1、"/>
      <w:lvlJc w:val="left"/>
      <w:pPr>
        <w:ind w:left="0" w:firstLine="403"/>
      </w:pPr>
      <w:rPr>
        <w:rFonts w:hint="default"/>
      </w:rPr>
    </w:lvl>
  </w:abstractNum>
  <w:abstractNum w:abstractNumId="42">
    <w:nsid w:val="64CE2ACE"/>
    <w:multiLevelType w:val="singleLevel"/>
    <w:tmpl w:val="64CE2ACE"/>
    <w:lvl w:ilvl="0" w:tentative="0">
      <w:start w:val="1"/>
      <w:numFmt w:val="decimal"/>
      <w:lvlText w:val="(%1)"/>
      <w:lvlJc w:val="left"/>
      <w:pPr>
        <w:tabs>
          <w:tab w:val="left" w:pos="420"/>
        </w:tabs>
        <w:ind w:left="425" w:leftChars="0" w:hanging="425" w:firstLineChars="0"/>
      </w:pPr>
      <w:rPr>
        <w:rFonts w:hint="default"/>
      </w:rPr>
    </w:lvl>
  </w:abstractNum>
  <w:abstractNum w:abstractNumId="43">
    <w:nsid w:val="67E1071D"/>
    <w:multiLevelType w:val="singleLevel"/>
    <w:tmpl w:val="67E1071D"/>
    <w:lvl w:ilvl="0" w:tentative="0">
      <w:start w:val="1"/>
      <w:numFmt w:val="decimal"/>
      <w:suff w:val="nothing"/>
      <w:lvlText w:val="%1、"/>
      <w:lvlJc w:val="left"/>
      <w:pPr>
        <w:ind w:left="0" w:firstLine="403"/>
      </w:pPr>
      <w:rPr>
        <w:rFonts w:hint="default"/>
      </w:rPr>
    </w:lvl>
  </w:abstractNum>
  <w:abstractNum w:abstractNumId="44">
    <w:nsid w:val="76AC319D"/>
    <w:multiLevelType w:val="singleLevel"/>
    <w:tmpl w:val="76AC319D"/>
    <w:lvl w:ilvl="0" w:tentative="0">
      <w:start w:val="1"/>
      <w:numFmt w:val="decimal"/>
      <w:suff w:val="nothing"/>
      <w:lvlText w:val="%1）"/>
      <w:lvlJc w:val="left"/>
      <w:pPr>
        <w:ind w:left="0" w:firstLine="397"/>
      </w:pPr>
      <w:rPr>
        <w:rFonts w:hint="default"/>
      </w:rPr>
    </w:lvl>
  </w:abstractNum>
  <w:abstractNum w:abstractNumId="45">
    <w:nsid w:val="79A21408"/>
    <w:multiLevelType w:val="singleLevel"/>
    <w:tmpl w:val="79A21408"/>
    <w:lvl w:ilvl="0" w:tentative="0">
      <w:start w:val="1"/>
      <w:numFmt w:val="decimal"/>
      <w:suff w:val="nothing"/>
      <w:lvlText w:val="%1．"/>
      <w:lvlJc w:val="left"/>
      <w:pPr>
        <w:ind w:left="0" w:firstLine="0"/>
      </w:pPr>
      <w:rPr>
        <w:rFonts w:hint="default"/>
      </w:rPr>
    </w:lvl>
  </w:abstractNum>
  <w:abstractNum w:abstractNumId="46">
    <w:nsid w:val="7B7D4DBC"/>
    <w:multiLevelType w:val="singleLevel"/>
    <w:tmpl w:val="7B7D4DBC"/>
    <w:lvl w:ilvl="0" w:tentative="0">
      <w:start w:val="1"/>
      <w:numFmt w:val="decimalEnclosedCircleChinese"/>
      <w:suff w:val="nothing"/>
      <w:lvlText w:val="%1 "/>
      <w:lvlJc w:val="left"/>
      <w:pPr>
        <w:ind w:left="0" w:firstLine="403"/>
      </w:pPr>
      <w:rPr>
        <w:rFonts w:hint="eastAsia"/>
      </w:rPr>
    </w:lvl>
  </w:abstractNum>
  <w:num w:numId="1">
    <w:abstractNumId w:val="11"/>
  </w:num>
  <w:num w:numId="2">
    <w:abstractNumId w:val="26"/>
  </w:num>
  <w:num w:numId="3">
    <w:abstractNumId w:val="24"/>
  </w:num>
  <w:num w:numId="4">
    <w:abstractNumId w:val="45"/>
  </w:num>
  <w:num w:numId="5">
    <w:abstractNumId w:val="13"/>
  </w:num>
  <w:num w:numId="6">
    <w:abstractNumId w:val="37"/>
  </w:num>
  <w:num w:numId="7">
    <w:abstractNumId w:val="27"/>
  </w:num>
  <w:num w:numId="8">
    <w:abstractNumId w:val="15"/>
  </w:num>
  <w:num w:numId="9">
    <w:abstractNumId w:val="4"/>
  </w:num>
  <w:num w:numId="10">
    <w:abstractNumId w:val="34"/>
  </w:num>
  <w:num w:numId="11">
    <w:abstractNumId w:val="18"/>
  </w:num>
  <w:num w:numId="12">
    <w:abstractNumId w:val="0"/>
  </w:num>
  <w:num w:numId="13">
    <w:abstractNumId w:val="38"/>
  </w:num>
  <w:num w:numId="14">
    <w:abstractNumId w:val="25"/>
  </w:num>
  <w:num w:numId="15">
    <w:abstractNumId w:val="29"/>
  </w:num>
  <w:num w:numId="16">
    <w:abstractNumId w:val="23"/>
  </w:num>
  <w:num w:numId="17">
    <w:abstractNumId w:val="20"/>
  </w:num>
  <w:num w:numId="18">
    <w:abstractNumId w:val="3"/>
  </w:num>
  <w:num w:numId="19">
    <w:abstractNumId w:val="43"/>
  </w:num>
  <w:num w:numId="20">
    <w:abstractNumId w:val="12"/>
  </w:num>
  <w:num w:numId="21">
    <w:abstractNumId w:val="19"/>
  </w:num>
  <w:num w:numId="22">
    <w:abstractNumId w:val="21"/>
  </w:num>
  <w:num w:numId="23">
    <w:abstractNumId w:val="32"/>
  </w:num>
  <w:num w:numId="24">
    <w:abstractNumId w:val="9"/>
  </w:num>
  <w:num w:numId="25">
    <w:abstractNumId w:val="39"/>
  </w:num>
  <w:num w:numId="26">
    <w:abstractNumId w:val="44"/>
  </w:num>
  <w:num w:numId="27">
    <w:abstractNumId w:val="41"/>
  </w:num>
  <w:num w:numId="28">
    <w:abstractNumId w:val="2"/>
  </w:num>
  <w:num w:numId="29">
    <w:abstractNumId w:val="14"/>
  </w:num>
  <w:num w:numId="30">
    <w:abstractNumId w:val="1"/>
  </w:num>
  <w:num w:numId="31">
    <w:abstractNumId w:val="31"/>
  </w:num>
  <w:num w:numId="32">
    <w:abstractNumId w:val="36"/>
  </w:num>
  <w:num w:numId="33">
    <w:abstractNumId w:val="10"/>
  </w:num>
  <w:num w:numId="34">
    <w:abstractNumId w:val="35"/>
  </w:num>
  <w:num w:numId="35">
    <w:abstractNumId w:val="28"/>
  </w:num>
  <w:num w:numId="36">
    <w:abstractNumId w:val="7"/>
  </w:num>
  <w:num w:numId="37">
    <w:abstractNumId w:val="5"/>
  </w:num>
  <w:num w:numId="38">
    <w:abstractNumId w:val="33"/>
  </w:num>
  <w:num w:numId="39">
    <w:abstractNumId w:val="6"/>
  </w:num>
  <w:num w:numId="40">
    <w:abstractNumId w:val="17"/>
  </w:num>
  <w:num w:numId="41">
    <w:abstractNumId w:val="42"/>
  </w:num>
  <w:num w:numId="42">
    <w:abstractNumId w:val="46"/>
  </w:num>
  <w:num w:numId="43">
    <w:abstractNumId w:val="22"/>
  </w:num>
  <w:num w:numId="44">
    <w:abstractNumId w:val="8"/>
  </w:num>
  <w:num w:numId="45">
    <w:abstractNumId w:val="30"/>
  </w:num>
  <w:num w:numId="46">
    <w:abstractNumId w:val="16"/>
  </w:num>
  <w:num w:numId="47">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033017"/>
    <w:rsid w:val="02725CC0"/>
    <w:rsid w:val="03DA599F"/>
    <w:rsid w:val="05001B93"/>
    <w:rsid w:val="05732F8A"/>
    <w:rsid w:val="063B5C36"/>
    <w:rsid w:val="07292F4F"/>
    <w:rsid w:val="0A056EE4"/>
    <w:rsid w:val="0C9868EC"/>
    <w:rsid w:val="0CC333D8"/>
    <w:rsid w:val="0D2F264C"/>
    <w:rsid w:val="0FFD3B34"/>
    <w:rsid w:val="141C2554"/>
    <w:rsid w:val="15EA410C"/>
    <w:rsid w:val="15EB7AD1"/>
    <w:rsid w:val="176C1B4B"/>
    <w:rsid w:val="17C35672"/>
    <w:rsid w:val="184C2541"/>
    <w:rsid w:val="1C8151B2"/>
    <w:rsid w:val="1C9F0632"/>
    <w:rsid w:val="1E0D5002"/>
    <w:rsid w:val="20500A19"/>
    <w:rsid w:val="22E57C70"/>
    <w:rsid w:val="235F460D"/>
    <w:rsid w:val="26457B64"/>
    <w:rsid w:val="28E071CD"/>
    <w:rsid w:val="2CC82371"/>
    <w:rsid w:val="2D0717EC"/>
    <w:rsid w:val="2F8D1C68"/>
    <w:rsid w:val="33747397"/>
    <w:rsid w:val="33996BC3"/>
    <w:rsid w:val="343739BD"/>
    <w:rsid w:val="34603516"/>
    <w:rsid w:val="374F48C5"/>
    <w:rsid w:val="379E4F7F"/>
    <w:rsid w:val="398C395E"/>
    <w:rsid w:val="3CC17B2D"/>
    <w:rsid w:val="3F662CC9"/>
    <w:rsid w:val="421E7B69"/>
    <w:rsid w:val="42EB47DC"/>
    <w:rsid w:val="431E763A"/>
    <w:rsid w:val="43AD5627"/>
    <w:rsid w:val="43DE685F"/>
    <w:rsid w:val="44643C7C"/>
    <w:rsid w:val="44926DD8"/>
    <w:rsid w:val="47DC346F"/>
    <w:rsid w:val="484A5386"/>
    <w:rsid w:val="48C12CA1"/>
    <w:rsid w:val="49773CD3"/>
    <w:rsid w:val="4BAB40C1"/>
    <w:rsid w:val="4D585265"/>
    <w:rsid w:val="4DD46304"/>
    <w:rsid w:val="4E506B53"/>
    <w:rsid w:val="53AC2608"/>
    <w:rsid w:val="54BC51FC"/>
    <w:rsid w:val="55EA721B"/>
    <w:rsid w:val="56577568"/>
    <w:rsid w:val="57C0515F"/>
    <w:rsid w:val="57E117C6"/>
    <w:rsid w:val="5DA737FF"/>
    <w:rsid w:val="5DDE0D2B"/>
    <w:rsid w:val="62055118"/>
    <w:rsid w:val="63DF7E3D"/>
    <w:rsid w:val="65033017"/>
    <w:rsid w:val="65CD3D3D"/>
    <w:rsid w:val="667B2AD2"/>
    <w:rsid w:val="68D704E9"/>
    <w:rsid w:val="71005D3D"/>
    <w:rsid w:val="71F07E81"/>
    <w:rsid w:val="74844211"/>
    <w:rsid w:val="74870A45"/>
    <w:rsid w:val="759D4C01"/>
    <w:rsid w:val="75A75DF3"/>
    <w:rsid w:val="764748EC"/>
    <w:rsid w:val="79CC4620"/>
    <w:rsid w:val="7A4215AC"/>
    <w:rsid w:val="7B076B46"/>
    <w:rsid w:val="7B0F21C3"/>
    <w:rsid w:val="7D380B5D"/>
    <w:rsid w:val="7E585A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1440" w:firstLineChars="200"/>
      <w:jc w:val="both"/>
    </w:pPr>
    <w:rPr>
      <w:rFonts w:ascii="Times New Roman" w:hAnsi="Times New Roman" w:eastAsia="宋体" w:cs="Times New Roman"/>
      <w:kern w:val="2"/>
      <w:sz w:val="24"/>
      <w:szCs w:val="24"/>
      <w:lang w:val="en-US" w:eastAsia="zh-CN" w:bidi="ar-SA"/>
    </w:rPr>
  </w:style>
  <w:style w:type="paragraph" w:styleId="3">
    <w:name w:val="heading 1"/>
    <w:basedOn w:val="1"/>
    <w:next w:val="1"/>
    <w:link w:val="20"/>
    <w:qFormat/>
    <w:uiPriority w:val="0"/>
    <w:pPr>
      <w:numPr>
        <w:ilvl w:val="0"/>
        <w:numId w:val="0"/>
      </w:numPr>
      <w:tabs>
        <w:tab w:val="left" w:pos="0"/>
      </w:tabs>
      <w:ind w:left="0" w:firstLine="0" w:firstLineChars="0"/>
      <w:outlineLvl w:val="0"/>
    </w:pPr>
    <w:rPr>
      <w:rFonts w:ascii="宋体" w:hAnsi="宋体" w:eastAsia="宋体" w:cs="宋体"/>
      <w:b/>
      <w:bCs/>
      <w:sz w:val="28"/>
      <w:szCs w:val="28"/>
      <w:lang w:val="zh-CN" w:bidi="zh-CN"/>
    </w:rPr>
  </w:style>
  <w:style w:type="paragraph" w:styleId="4">
    <w:name w:val="heading 2"/>
    <w:basedOn w:val="1"/>
    <w:next w:val="1"/>
    <w:link w:val="14"/>
    <w:semiHidden/>
    <w:unhideWhenUsed/>
    <w:qFormat/>
    <w:uiPriority w:val="0"/>
    <w:pPr>
      <w:keepNext/>
      <w:keepLines/>
      <w:spacing w:beforeLines="0" w:beforeAutospacing="0" w:afterLines="0" w:afterAutospacing="0" w:line="360" w:lineRule="auto"/>
      <w:jc w:val="left"/>
      <w:outlineLvl w:val="1"/>
    </w:pPr>
    <w:rPr>
      <w:rFonts w:ascii="Times New Roman" w:hAnsi="Times New Roman"/>
      <w:b/>
    </w:rPr>
  </w:style>
  <w:style w:type="paragraph" w:styleId="5">
    <w:name w:val="heading 3"/>
    <w:basedOn w:val="1"/>
    <w:next w:val="1"/>
    <w:unhideWhenUsed/>
    <w:qFormat/>
    <w:uiPriority w:val="0"/>
    <w:pPr>
      <w:keepNext/>
      <w:keepLines/>
      <w:spacing w:beforeLines="0" w:beforeAutospacing="0" w:afterLines="0" w:afterAutospacing="0" w:line="360" w:lineRule="auto"/>
      <w:outlineLvl w:val="2"/>
    </w:pPr>
    <w:rPr>
      <w:rFonts w:ascii="Times New Roman" w:hAnsi="Times New Roman" w:eastAsia="宋体"/>
      <w:b/>
      <w:sz w:val="24"/>
    </w:rPr>
  </w:style>
  <w:style w:type="paragraph" w:styleId="6">
    <w:name w:val="heading 4"/>
    <w:basedOn w:val="1"/>
    <w:next w:val="1"/>
    <w:semiHidden/>
    <w:unhideWhenUsed/>
    <w:qFormat/>
    <w:uiPriority w:val="0"/>
    <w:pPr>
      <w:keepNext/>
      <w:keepLines/>
      <w:spacing w:beforeLines="0" w:beforeAutospacing="0" w:afterLines="0" w:afterAutospacing="0" w:line="360" w:lineRule="auto"/>
      <w:outlineLvl w:val="3"/>
    </w:pPr>
    <w:rPr>
      <w:rFonts w:ascii="Arial" w:hAnsi="Arial" w:eastAsia="宋体"/>
      <w:b/>
      <w:sz w:val="24"/>
    </w:rPr>
  </w:style>
  <w:style w:type="character" w:default="1" w:styleId="12">
    <w:name w:val="Default Paragraph Font"/>
    <w:semiHidden/>
    <w:qFormat/>
    <w:uiPriority w:val="0"/>
  </w:style>
  <w:style w:type="table" w:default="1" w:styleId="10">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rPr>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表格样式"/>
    <w:basedOn w:val="1"/>
    <w:qFormat/>
    <w:uiPriority w:val="0"/>
    <w:pPr>
      <w:ind w:firstLine="0" w:firstLineChars="0"/>
      <w:jc w:val="center"/>
    </w:pPr>
    <w:rPr>
      <w:rFonts w:ascii="宋体" w:hAnsi="宋体" w:eastAsia="宋体"/>
      <w:sz w:val="21"/>
      <w:szCs w:val="21"/>
    </w:rPr>
  </w:style>
  <w:style w:type="character" w:customStyle="1" w:styleId="14">
    <w:name w:val="标题 2 Char"/>
    <w:link w:val="4"/>
    <w:qFormat/>
    <w:uiPriority w:val="0"/>
    <w:rPr>
      <w:rFonts w:ascii="Times New Roman" w:hAnsi="Times New Roman" w:eastAsia="宋体"/>
      <w:b/>
      <w:sz w:val="24"/>
    </w:rPr>
  </w:style>
  <w:style w:type="paragraph" w:customStyle="1" w:styleId="15">
    <w:name w:val="表格"/>
    <w:basedOn w:val="1"/>
    <w:link w:val="22"/>
    <w:qFormat/>
    <w:uiPriority w:val="0"/>
    <w:pPr>
      <w:numPr>
        <w:ilvl w:val="0"/>
        <w:numId w:val="1"/>
      </w:numPr>
      <w:spacing w:line="360" w:lineRule="auto"/>
      <w:ind w:firstLine="0" w:firstLineChars="0"/>
      <w:jc w:val="center"/>
    </w:pPr>
    <w:rPr>
      <w:rFonts w:ascii="Times New Roman" w:hAnsi="Times New Roman"/>
      <w:b/>
      <w:kern w:val="2"/>
      <w:szCs w:val="24"/>
      <w:lang w:val="en-US" w:bidi="ar-SA"/>
    </w:rPr>
  </w:style>
  <w:style w:type="paragraph" w:customStyle="1" w:styleId="16">
    <w:name w:val="表格内容自定"/>
    <w:basedOn w:val="1"/>
    <w:qFormat/>
    <w:uiPriority w:val="0"/>
    <w:pPr>
      <w:spacing w:line="280" w:lineRule="exact"/>
      <w:jc w:val="center"/>
    </w:pPr>
    <w:rPr>
      <w:kern w:val="0"/>
      <w:sz w:val="18"/>
      <w:szCs w:val="21"/>
    </w:rPr>
  </w:style>
  <w:style w:type="paragraph" w:customStyle="1" w:styleId="17">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8">
    <w:name w:val="图片格式"/>
    <w:basedOn w:val="1"/>
    <w:qFormat/>
    <w:uiPriority w:val="0"/>
    <w:pPr>
      <w:numPr>
        <w:ilvl w:val="0"/>
        <w:numId w:val="2"/>
      </w:numPr>
      <w:spacing w:line="240" w:lineRule="auto"/>
      <w:ind w:firstLine="0" w:firstLineChars="0"/>
      <w:jc w:val="center"/>
    </w:pPr>
    <w:rPr>
      <w:rFonts w:ascii="宋体" w:hAnsi="宋体" w:cs="Times New Roman"/>
      <w:b/>
      <w:kern w:val="2"/>
      <w:sz w:val="21"/>
      <w:szCs w:val="21"/>
      <w:lang w:val="en-US" w:bidi="ar-SA"/>
    </w:rPr>
  </w:style>
  <w:style w:type="paragraph" w:customStyle="1" w:styleId="19">
    <w:name w:val="图片"/>
    <w:basedOn w:val="1"/>
    <w:qFormat/>
    <w:uiPriority w:val="0"/>
    <w:pPr>
      <w:numPr>
        <w:ilvl w:val="0"/>
        <w:numId w:val="3"/>
      </w:numPr>
      <w:spacing w:line="360" w:lineRule="auto"/>
      <w:ind w:firstLine="0" w:firstLineChars="0"/>
      <w:jc w:val="center"/>
    </w:pPr>
    <w:rPr>
      <w:rFonts w:ascii="Times New Roman" w:hAnsi="Times New Roman"/>
      <w:b/>
      <w:kern w:val="0"/>
      <w:sz w:val="24"/>
      <w:szCs w:val="21"/>
      <w:lang w:val="en-US" w:bidi="ar-SA"/>
    </w:rPr>
  </w:style>
  <w:style w:type="character" w:customStyle="1" w:styleId="20">
    <w:name w:val="标题 1 Char"/>
    <w:link w:val="3"/>
    <w:qFormat/>
    <w:uiPriority w:val="0"/>
    <w:rPr>
      <w:rFonts w:ascii="宋体" w:hAnsi="宋体" w:eastAsia="宋体" w:cs="宋体"/>
      <w:b/>
      <w:bCs/>
      <w:kern w:val="2"/>
      <w:sz w:val="28"/>
      <w:szCs w:val="28"/>
      <w:lang w:val="zh-CN" w:bidi="zh-CN"/>
    </w:rPr>
  </w:style>
  <w:style w:type="paragraph" w:customStyle="1" w:styleId="21">
    <w:name w:val="表格文字"/>
    <w:basedOn w:val="1"/>
    <w:qFormat/>
    <w:uiPriority w:val="0"/>
    <w:pPr>
      <w:keepNext w:val="0"/>
      <w:keepLines w:val="0"/>
      <w:widowControl w:val="0"/>
      <w:suppressLineNumbers w:val="0"/>
      <w:spacing w:before="0" w:beforeAutospacing="0" w:after="0" w:afterAutospacing="0"/>
      <w:ind w:left="0" w:right="0"/>
      <w:jc w:val="center"/>
    </w:pPr>
    <w:rPr>
      <w:rFonts w:hint="default" w:ascii="Times New Roman" w:hAnsi="Arial" w:eastAsia="宋体" w:cs="宋体"/>
      <w:kern w:val="2"/>
      <w:sz w:val="21"/>
      <w:szCs w:val="21"/>
      <w:lang w:val="en-US" w:eastAsia="zh-CN" w:bidi="ar"/>
    </w:rPr>
  </w:style>
  <w:style w:type="character" w:customStyle="1" w:styleId="22">
    <w:name w:val="表格 Char"/>
    <w:link w:val="15"/>
    <w:qFormat/>
    <w:uiPriority w:val="0"/>
    <w:rPr>
      <w:rFonts w:ascii="Times New Roman" w:hAnsi="Times New Roman"/>
      <w:b/>
      <w:kern w:val="2"/>
      <w:szCs w:val="24"/>
      <w:lang w:val="en-US" w:bidi="ar-SA"/>
    </w:rPr>
  </w:style>
  <w:style w:type="paragraph" w:customStyle="1" w:styleId="23">
    <w:name w:val="表格内容"/>
    <w:basedOn w:val="1"/>
    <w:qFormat/>
    <w:uiPriority w:val="0"/>
    <w:pPr>
      <w:keepNext w:val="0"/>
      <w:keepLines w:val="0"/>
      <w:widowControl w:val="0"/>
      <w:suppressLineNumbers w:val="0"/>
      <w:spacing w:before="0" w:beforeLines="0" w:beforeAutospacing="0" w:line="240" w:lineRule="atLeast"/>
      <w:jc w:val="center"/>
    </w:pPr>
    <w:rPr>
      <w:rFonts w:hint="default" w:ascii="Times New Roman" w:hAnsi="Times New Roman" w:eastAsia="宋体" w:cs="Times New Roman"/>
      <w:kern w:val="2"/>
      <w:sz w:val="21"/>
      <w:szCs w:val="21"/>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5</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2019-10-25T01:17:00Z</dcterms:created>
  <dc:creator>小宝</dc:creator>
  <cp:lastModifiedBy>小宝</cp:lastModifiedBy>
  <cp:lastPrinted>2020-05-25T00:59:00Z</cp:lastPrinted>
  <dcterms:modified xsi:type="dcterms:W3CDTF">2020-07-20T08:52:48Z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