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eastAsia"/>
          <w:b/>
          <w:bCs/>
          <w:spacing w:val="20"/>
          <w:sz w:val="52"/>
          <w:szCs w:val="52"/>
          <w:lang w:eastAsia="zh-CN"/>
        </w:rPr>
      </w:pPr>
      <w:r>
        <w:rPr>
          <w:rFonts w:hint="eastAsia"/>
          <w:b/>
          <w:bCs/>
          <w:spacing w:val="20"/>
          <w:sz w:val="52"/>
          <w:szCs w:val="52"/>
          <w:lang w:eastAsia="zh-CN"/>
        </w:rPr>
        <w:t>年产1.2亿块蒸压灰砂砖项目</w:t>
      </w:r>
    </w:p>
    <w:p>
      <w:pPr>
        <w:snapToGrid w:val="0"/>
        <w:spacing w:line="360" w:lineRule="auto"/>
        <w:jc w:val="center"/>
        <w:rPr>
          <w:b/>
          <w:bCs/>
          <w:spacing w:val="20"/>
          <w:sz w:val="52"/>
          <w:szCs w:val="52"/>
        </w:rPr>
      </w:pP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rFonts w:ascii="宋体" w:hAnsi="宋体"/>
          <w:b/>
          <w:bCs/>
          <w:spacing w:val="20"/>
          <w:sz w:val="36"/>
          <w:szCs w:val="36"/>
          <w:u w:val="single"/>
        </w:rPr>
      </w:pPr>
      <w:r>
        <w:rPr>
          <w:rFonts w:hint="eastAsia" w:ascii="宋体" w:hAnsi="宋体"/>
          <w:b/>
          <w:bCs/>
          <w:spacing w:val="20"/>
          <w:sz w:val="36"/>
          <w:szCs w:val="36"/>
        </w:rPr>
        <w:t>建设单位：</w:t>
      </w:r>
      <w:r>
        <w:rPr>
          <w:rFonts w:ascii="宋体" w:hAnsi="宋体"/>
          <w:b/>
          <w:bCs/>
          <w:spacing w:val="20"/>
          <w:sz w:val="36"/>
          <w:szCs w:val="36"/>
          <w:u w:val="single"/>
        </w:rPr>
        <w:t xml:space="preserve"> </w:t>
      </w:r>
      <w:r>
        <w:rPr>
          <w:rFonts w:hint="eastAsia" w:ascii="宋体" w:hAnsi="宋体"/>
          <w:b/>
          <w:bCs/>
          <w:spacing w:val="20"/>
          <w:sz w:val="36"/>
          <w:szCs w:val="36"/>
          <w:u w:val="single"/>
          <w:lang w:eastAsia="zh-CN"/>
        </w:rPr>
        <w:t>芜湖市祥兴新型建材有限责任公司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w:t>
      </w:r>
    </w:p>
    <w:p>
      <w:pPr>
        <w:snapToGrid w:val="0"/>
        <w:spacing w:line="480" w:lineRule="auto"/>
        <w:ind w:firstLine="401" w:firstLineChars="100"/>
        <w:rPr>
          <w:rFonts w:ascii="宋体" w:hAnsi="宋体"/>
          <w:b/>
          <w:bCs/>
          <w:spacing w:val="20"/>
          <w:sz w:val="36"/>
          <w:szCs w:val="36"/>
          <w:u w:val="single"/>
        </w:rPr>
      </w:pPr>
      <w:r>
        <w:rPr>
          <w:rFonts w:hint="eastAsia"/>
          <w:b/>
          <w:bCs/>
          <w:spacing w:val="20"/>
          <w:sz w:val="36"/>
          <w:szCs w:val="36"/>
        </w:rPr>
        <w:t>编制单位：</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lang w:val="en-US" w:eastAsia="zh-CN"/>
        </w:rPr>
        <w:t xml:space="preserve"> </w:t>
      </w:r>
      <w:r>
        <w:rPr>
          <w:rFonts w:hint="eastAsia" w:ascii="宋体" w:hAnsi="宋体"/>
          <w:b/>
          <w:bCs/>
          <w:spacing w:val="20"/>
          <w:sz w:val="36"/>
          <w:szCs w:val="36"/>
          <w:u w:val="single"/>
          <w:lang w:eastAsia="zh-CN"/>
        </w:rPr>
        <w:t>芜湖民宇环境科技有限公司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p>
    <w:p>
      <w:pPr>
        <w:snapToGrid w:val="0"/>
        <w:spacing w:line="480" w:lineRule="auto"/>
        <w:rPr>
          <w:b/>
          <w:bCs/>
          <w:spacing w:val="20"/>
          <w:sz w:val="36"/>
          <w:szCs w:val="36"/>
          <w:u w:val="single"/>
        </w:rPr>
      </w:pPr>
    </w:p>
    <w:p>
      <w:pPr>
        <w:snapToGrid w:val="0"/>
        <w:spacing w:line="480" w:lineRule="auto"/>
        <w:rPr>
          <w:b/>
          <w:bCs/>
          <w:spacing w:val="20"/>
          <w:sz w:val="36"/>
          <w:szCs w:val="36"/>
          <w:u w:val="single"/>
        </w:rPr>
      </w:pP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20</w:t>
      </w:r>
      <w:r>
        <w:rPr>
          <w:rFonts w:hint="eastAsia" w:ascii="宋体" w:hAnsi="宋体"/>
          <w:b/>
          <w:bCs/>
          <w:spacing w:val="20"/>
          <w:sz w:val="36"/>
          <w:szCs w:val="36"/>
        </w:rPr>
        <w:t>年</w:t>
      </w:r>
      <w:r>
        <w:rPr>
          <w:rFonts w:hint="eastAsia" w:ascii="宋体" w:hAnsi="宋体"/>
          <w:b/>
          <w:bCs/>
          <w:spacing w:val="20"/>
          <w:sz w:val="36"/>
          <w:szCs w:val="36"/>
          <w:lang w:val="en-US" w:eastAsia="zh-CN"/>
        </w:rPr>
        <w:t>8</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highlight w:val="none"/>
          <w:lang w:val="en-US" w:bidi="zh-CN"/>
        </w:rPr>
      </w:pPr>
      <w:r>
        <w:rPr>
          <w:rFonts w:hint="eastAsia"/>
          <w:kern w:val="0"/>
          <w:sz w:val="30"/>
          <w:szCs w:val="30"/>
          <w:lang w:val="zh-CN" w:bidi="zh-CN"/>
        </w:rPr>
        <w:t>建设单位法人代表：</w:t>
      </w:r>
      <w:r>
        <w:rPr>
          <w:rFonts w:hint="eastAsia"/>
          <w:kern w:val="0"/>
          <w:sz w:val="30"/>
          <w:szCs w:val="30"/>
          <w:highlight w:val="none"/>
          <w:lang w:val="en-US" w:bidi="zh-CN"/>
        </w:rPr>
        <w:t>张尚华</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eastAsia"/>
          <w:kern w:val="0"/>
          <w:sz w:val="30"/>
          <w:szCs w:val="30"/>
          <w:lang w:val="zh-CN" w:bidi="zh-CN"/>
        </w:rPr>
        <w:t>编制单位法人代表：</w:t>
      </w:r>
      <w:r>
        <w:rPr>
          <w:rFonts w:hint="eastAsia"/>
          <w:kern w:val="0"/>
          <w:sz w:val="30"/>
          <w:szCs w:val="30"/>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eastAsia"/>
          <w:kern w:val="0"/>
          <w:sz w:val="30"/>
          <w:szCs w:val="30"/>
          <w:lang w:val="zh-CN" w:bidi="zh-CN"/>
        </w:rPr>
        <w:t>项 目 负 责 人：</w:t>
      </w:r>
      <w:r>
        <w:rPr>
          <w:rFonts w:hint="eastAsia" w:ascii="Times New Roman"/>
          <w:kern w:val="0"/>
          <w:sz w:val="30"/>
          <w:szCs w:val="30"/>
          <w:highlight w:val="none"/>
          <w:lang w:val="en-US" w:bidi="zh-CN"/>
        </w:rPr>
        <w:t>张尚华</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bidi="zh-CN"/>
        </w:rPr>
      </w:pPr>
      <w:r>
        <w:rPr>
          <w:rFonts w:hint="eastAsia"/>
          <w:kern w:val="0"/>
          <w:sz w:val="30"/>
          <w:szCs w:val="30"/>
          <w:lang w:val="zh-CN" w:bidi="zh-CN"/>
        </w:rPr>
        <w:t xml:space="preserve">填 </w:t>
      </w:r>
      <w:r>
        <w:rPr>
          <w:rFonts w:hint="default"/>
          <w:kern w:val="0"/>
          <w:sz w:val="30"/>
          <w:szCs w:val="30"/>
          <w:lang w:val="zh-CN" w:bidi="zh-CN"/>
        </w:rPr>
        <w:t xml:space="preserve">   </w:t>
      </w:r>
      <w:r>
        <w:rPr>
          <w:rFonts w:hint="eastAsia"/>
          <w:kern w:val="0"/>
          <w:sz w:val="30"/>
          <w:szCs w:val="30"/>
          <w:lang w:val="zh-CN" w:bidi="zh-CN"/>
        </w:rPr>
        <w:t xml:space="preserve">表 </w:t>
      </w:r>
      <w:r>
        <w:rPr>
          <w:rFonts w:hint="default"/>
          <w:kern w:val="0"/>
          <w:sz w:val="30"/>
          <w:szCs w:val="30"/>
          <w:lang w:val="zh-CN" w:bidi="zh-CN"/>
        </w:rPr>
        <w:t xml:space="preserve">   </w:t>
      </w:r>
      <w:r>
        <w:rPr>
          <w:rFonts w:hint="eastAsia"/>
          <w:kern w:val="0"/>
          <w:sz w:val="30"/>
          <w:szCs w:val="30"/>
          <w:lang w:val="zh-CN" w:bidi="zh-CN"/>
        </w:rPr>
        <w:t>人：</w:t>
      </w:r>
      <w:r>
        <w:rPr>
          <w:rFonts w:hint="eastAsia"/>
          <w:kern w:val="0"/>
          <w:sz w:val="30"/>
          <w:szCs w:val="30"/>
          <w:lang w:val="zh-CN" w:eastAsia="zh-CN" w:bidi="zh-CN"/>
        </w:rPr>
        <w:t>刘 珂</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eastAsia="zh-CN" w:bidi="zh-CN"/>
        </w:rPr>
      </w:pPr>
      <w:r>
        <w:rPr>
          <w:rFonts w:hint="eastAsia"/>
          <w:kern w:val="0"/>
          <w:sz w:val="30"/>
          <w:szCs w:val="30"/>
          <w:lang w:val="zh-CN" w:bidi="zh-CN"/>
        </w:rPr>
        <w:t>建设单位：</w:t>
      </w:r>
      <w:r>
        <w:rPr>
          <w:rFonts w:hint="eastAsia"/>
          <w:kern w:val="0"/>
          <w:sz w:val="30"/>
          <w:szCs w:val="30"/>
          <w:lang w:val="zh-CN" w:eastAsia="zh-CN" w:bidi="zh-CN"/>
        </w:rPr>
        <w:t>芜湖市祥兴新型建材有限责任公司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highlight w:val="yellow"/>
          <w:lang w:val="en-US" w:bidi="zh-CN"/>
        </w:rPr>
      </w:pPr>
      <w:r>
        <w:rPr>
          <w:rFonts w:hint="eastAsia"/>
          <w:kern w:val="0"/>
          <w:sz w:val="30"/>
          <w:szCs w:val="30"/>
          <w:lang w:val="zh-CN" w:bidi="zh-CN"/>
        </w:rPr>
        <w:t>电　　话：</w:t>
      </w:r>
      <w:r>
        <w:rPr>
          <w:rFonts w:hint="eastAsia"/>
          <w:kern w:val="0"/>
          <w:sz w:val="30"/>
          <w:szCs w:val="30"/>
          <w:highlight w:val="none"/>
          <w:lang w:val="en-US" w:eastAsia="zh-CN" w:bidi="zh-CN"/>
        </w:rPr>
        <w:t>18056535299</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eastAsia"/>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eastAsia"/>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eastAsia="zh-CN" w:bidi="zh-CN"/>
        </w:rPr>
      </w:pPr>
      <w:r>
        <w:rPr>
          <w:rFonts w:hint="eastAsia"/>
          <w:kern w:val="0"/>
          <w:sz w:val="30"/>
          <w:szCs w:val="30"/>
          <w:lang w:val="zh-CN" w:bidi="zh-CN"/>
        </w:rPr>
        <w:t>地　　址：</w:t>
      </w:r>
      <w:r>
        <w:rPr>
          <w:rFonts w:hint="eastAsia"/>
          <w:kern w:val="0"/>
          <w:sz w:val="30"/>
          <w:szCs w:val="30"/>
          <w:lang w:val="zh-CN" w:eastAsia="zh-CN" w:bidi="zh-CN"/>
        </w:rPr>
        <w:t>芜湖市沈巷镇保圩村</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b/>
          <w:bCs/>
          <w:sz w:val="32"/>
        </w:rPr>
      </w:pPr>
    </w:p>
    <w:p>
      <w:pPr>
        <w:sectPr>
          <w:footerReference r:id="rId4"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表一</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218"/>
        <w:gridCol w:w="2162"/>
        <w:gridCol w:w="2268"/>
        <w:gridCol w:w="992"/>
        <w:gridCol w:w="850"/>
        <w:gridCol w:w="10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建设项目名称</w:t>
            </w:r>
          </w:p>
        </w:tc>
        <w:tc>
          <w:tcPr>
            <w:tcW w:w="7285" w:type="dxa"/>
            <w:gridSpan w:val="5"/>
            <w:vAlign w:val="center"/>
          </w:tcPr>
          <w:p>
            <w:pPr>
              <w:spacing w:line="360" w:lineRule="auto"/>
              <w:jc w:val="center"/>
              <w:rPr>
                <w:rFonts w:hint="eastAsia" w:ascii="宋体" w:hAnsi="宋体" w:eastAsia="宋体"/>
                <w:b/>
                <w:sz w:val="24"/>
                <w:lang w:eastAsia="zh-CN"/>
              </w:rPr>
            </w:pPr>
            <w:r>
              <w:rPr>
                <w:rFonts w:hint="eastAsia" w:ascii="宋体" w:hAnsi="宋体" w:cs="仿宋_GB2312"/>
                <w:sz w:val="24"/>
                <w:lang w:eastAsia="zh-CN"/>
              </w:rPr>
              <w:t>年产1.2亿块蒸压灰砂砖项目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建设单位名称</w:t>
            </w:r>
          </w:p>
        </w:tc>
        <w:tc>
          <w:tcPr>
            <w:tcW w:w="7285" w:type="dxa"/>
            <w:gridSpan w:val="5"/>
            <w:vAlign w:val="center"/>
          </w:tcPr>
          <w:p>
            <w:pPr>
              <w:spacing w:line="360" w:lineRule="auto"/>
              <w:jc w:val="center"/>
              <w:rPr>
                <w:rFonts w:hint="eastAsia" w:ascii="宋体" w:hAnsi="宋体" w:eastAsia="宋体"/>
                <w:b/>
                <w:sz w:val="24"/>
                <w:lang w:eastAsia="zh-CN"/>
              </w:rPr>
            </w:pPr>
            <w:r>
              <w:rPr>
                <w:rFonts w:hint="eastAsia" w:ascii="宋体" w:hAnsi="宋体" w:cs="仿宋_GB2312"/>
                <w:sz w:val="24"/>
                <w:lang w:eastAsia="zh-CN"/>
              </w:rPr>
              <w:t>芜湖市祥兴新型建材有限责任公司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建设项目性质</w:t>
            </w:r>
          </w:p>
        </w:tc>
        <w:tc>
          <w:tcPr>
            <w:tcW w:w="7285" w:type="dxa"/>
            <w:gridSpan w:val="5"/>
            <w:vAlign w:val="center"/>
          </w:tcPr>
          <w:p>
            <w:pPr>
              <w:spacing w:line="360" w:lineRule="auto"/>
              <w:jc w:val="center"/>
              <w:rPr>
                <w:rFonts w:ascii="宋体" w:hAnsi="宋体"/>
                <w:b/>
                <w:sz w:val="24"/>
              </w:rPr>
            </w:pPr>
            <w:r>
              <w:rPr>
                <w:rFonts w:hint="eastAsia" w:ascii="宋体" w:hAnsi="宋体" w:cs="仿宋_GB2312"/>
                <w:sz w:val="24"/>
              </w:rPr>
              <w:t xml:space="preserve">新建  </w:t>
            </w:r>
            <w:r>
              <w:rPr>
                <w:rFonts w:ascii="宋体" w:hAnsi="宋体" w:cs="仿宋_GB2312"/>
                <w:sz w:val="24"/>
              </w:rPr>
              <w:t xml:space="preserve">   </w:t>
            </w:r>
            <w:r>
              <w:rPr>
                <w:rFonts w:hint="eastAsia" w:ascii="宋体" w:hAnsi="宋体" w:cs="仿宋_GB2312"/>
                <w:sz w:val="24"/>
              </w:rPr>
              <w:t>改扩建</w:t>
            </w:r>
            <w:r>
              <w:rPr>
                <w:rFonts w:ascii="宋体" w:hAnsi="宋体" w:cs="仿宋_GB2312"/>
                <w:sz w:val="24"/>
              </w:rPr>
              <w:t xml:space="preserve">   </w:t>
            </w:r>
            <w:r>
              <w:rPr>
                <w:rFonts w:hint="eastAsia" w:ascii="宋体" w:hAnsi="宋体" w:cs="仿宋_GB2312"/>
                <w:sz w:val="24"/>
              </w:rPr>
              <w:t xml:space="preserve">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建设地点</w:t>
            </w:r>
          </w:p>
        </w:tc>
        <w:tc>
          <w:tcPr>
            <w:tcW w:w="7285" w:type="dxa"/>
            <w:gridSpan w:val="5"/>
            <w:vAlign w:val="center"/>
          </w:tcPr>
          <w:p>
            <w:pPr>
              <w:spacing w:line="360" w:lineRule="auto"/>
              <w:jc w:val="center"/>
              <w:rPr>
                <w:rFonts w:hint="eastAsia" w:ascii="宋体" w:hAnsi="宋体" w:eastAsia="宋体"/>
                <w:bCs/>
                <w:sz w:val="24"/>
                <w:lang w:eastAsia="zh-CN"/>
              </w:rPr>
            </w:pPr>
            <w:r>
              <w:rPr>
                <w:rFonts w:hint="eastAsia" w:ascii="宋体" w:hAnsi="宋体"/>
                <w:bCs/>
                <w:sz w:val="24"/>
                <w:lang w:eastAsia="zh-CN"/>
              </w:rPr>
              <w:t>芜湖市沈巷镇保圩村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主要产品名称</w:t>
            </w:r>
          </w:p>
        </w:tc>
        <w:tc>
          <w:tcPr>
            <w:tcW w:w="7285" w:type="dxa"/>
            <w:gridSpan w:val="5"/>
            <w:vAlign w:val="center"/>
          </w:tcPr>
          <w:p>
            <w:pPr>
              <w:spacing w:line="360" w:lineRule="auto"/>
              <w:jc w:val="center"/>
              <w:rPr>
                <w:rFonts w:ascii="宋体" w:hAnsi="宋体"/>
                <w:b/>
                <w:sz w:val="24"/>
                <w:highlight w:val="yellow"/>
              </w:rPr>
            </w:pPr>
            <w:r>
              <w:rPr>
                <w:rFonts w:hint="eastAsia" w:ascii="宋体" w:hAnsi="宋体" w:cs="仿宋_GB2312"/>
                <w:sz w:val="24"/>
                <w:lang w:val="en-US" w:eastAsia="zh-CN"/>
              </w:rPr>
              <w:t>蒸压灰砂砖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bookmarkStart w:id="0" w:name="_Hlk22904627"/>
            <w:r>
              <w:rPr>
                <w:rFonts w:hint="eastAsia" w:ascii="宋体" w:hAnsi="宋体" w:cs="仿宋_GB2312"/>
                <w:bCs/>
                <w:sz w:val="24"/>
              </w:rPr>
              <w:t>设计生产能力</w:t>
            </w:r>
          </w:p>
        </w:tc>
        <w:tc>
          <w:tcPr>
            <w:tcW w:w="7285" w:type="dxa"/>
            <w:gridSpan w:val="5"/>
            <w:vAlign w:val="center"/>
          </w:tcPr>
          <w:p>
            <w:pPr>
              <w:spacing w:line="360" w:lineRule="auto"/>
              <w:jc w:val="center"/>
              <w:rPr>
                <w:rFonts w:hint="default" w:ascii="宋体" w:hAnsi="宋体"/>
                <w:b/>
                <w:sz w:val="24"/>
                <w:highlight w:val="yellow"/>
                <w:lang w:val="en-US"/>
              </w:rPr>
            </w:pPr>
            <w:r>
              <w:rPr>
                <w:rFonts w:hint="eastAsia" w:ascii="宋体" w:hAnsi="宋体" w:cs="仿宋_GB2312"/>
                <w:sz w:val="24"/>
                <w:lang w:val="en-US" w:eastAsia="zh-CN"/>
              </w:rPr>
              <w:t>1.2亿块/a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实际生产能力</w:t>
            </w:r>
          </w:p>
        </w:tc>
        <w:tc>
          <w:tcPr>
            <w:tcW w:w="7285" w:type="dxa"/>
            <w:gridSpan w:val="5"/>
            <w:vAlign w:val="center"/>
          </w:tcPr>
          <w:p>
            <w:pPr>
              <w:spacing w:line="360" w:lineRule="auto"/>
              <w:jc w:val="center"/>
              <w:rPr>
                <w:rFonts w:ascii="宋体" w:hAnsi="宋体"/>
                <w:b/>
                <w:sz w:val="24"/>
                <w:highlight w:val="yellow"/>
              </w:rPr>
            </w:pPr>
            <w:r>
              <w:rPr>
                <w:rFonts w:hint="eastAsia" w:ascii="宋体" w:hAnsi="宋体" w:cs="仿宋_GB2312"/>
                <w:sz w:val="24"/>
                <w:highlight w:val="none"/>
                <w:lang w:val="en-US" w:eastAsia="zh-CN"/>
              </w:rPr>
              <w:t>1.2亿块/a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项目</w:t>
            </w:r>
            <w:r>
              <w:rPr>
                <w:rFonts w:hint="eastAsia" w:ascii="宋体" w:hAnsi="宋体" w:cs="仿宋_GB2312"/>
                <w:bCs/>
                <w:sz w:val="24"/>
                <w:lang w:val="en-US" w:eastAsia="zh-CN"/>
              </w:rPr>
              <w:t>后评价</w:t>
            </w:r>
            <w:r>
              <w:rPr>
                <w:rFonts w:hint="eastAsia" w:ascii="宋体" w:hAnsi="宋体" w:cs="仿宋_GB2312"/>
                <w:bCs/>
                <w:sz w:val="24"/>
              </w:rPr>
              <w:t>时间</w:t>
            </w:r>
          </w:p>
        </w:tc>
        <w:tc>
          <w:tcPr>
            <w:tcW w:w="2162" w:type="dxa"/>
            <w:vAlign w:val="center"/>
          </w:tcPr>
          <w:p>
            <w:pPr>
              <w:spacing w:line="360" w:lineRule="auto"/>
              <w:jc w:val="center"/>
              <w:rPr>
                <w:rFonts w:ascii="宋体" w:hAnsi="宋体"/>
                <w:b/>
                <w:sz w:val="24"/>
                <w:highlight w:val="yellow"/>
              </w:rPr>
            </w:pPr>
            <w:r>
              <w:rPr>
                <w:rFonts w:hint="eastAsia" w:ascii="宋体" w:hAnsi="宋体" w:cs="仿宋_GB2312"/>
                <w:sz w:val="24"/>
                <w:lang w:val="en-US" w:eastAsia="zh-CN"/>
              </w:rPr>
              <w:t>2020</w:t>
            </w:r>
            <w:r>
              <w:rPr>
                <w:rFonts w:hint="eastAsia" w:ascii="宋体" w:hAnsi="宋体" w:cs="仿宋_GB2312"/>
                <w:sz w:val="24"/>
              </w:rPr>
              <w:t>年</w:t>
            </w:r>
            <w:r>
              <w:rPr>
                <w:rFonts w:hint="eastAsia" w:ascii="宋体" w:hAnsi="宋体" w:cs="仿宋_GB2312"/>
                <w:sz w:val="24"/>
                <w:highlight w:val="none"/>
                <w:lang w:val="en-US" w:eastAsia="zh-CN"/>
              </w:rPr>
              <w:t>5</w:t>
            </w:r>
            <w:r>
              <w:rPr>
                <w:rFonts w:hint="eastAsia" w:ascii="宋体" w:hAnsi="宋体" w:cs="仿宋_GB2312"/>
                <w:sz w:val="24"/>
              </w:rPr>
              <w:t>月</w:t>
            </w:r>
          </w:p>
        </w:tc>
        <w:tc>
          <w:tcPr>
            <w:tcW w:w="2268" w:type="dxa"/>
            <w:vAlign w:val="center"/>
          </w:tcPr>
          <w:p>
            <w:pPr>
              <w:spacing w:line="360" w:lineRule="auto"/>
              <w:jc w:val="center"/>
              <w:rPr>
                <w:rFonts w:ascii="宋体" w:hAnsi="宋体"/>
                <w:b/>
                <w:sz w:val="24"/>
              </w:rPr>
            </w:pPr>
            <w:r>
              <w:rPr>
                <w:rFonts w:hint="eastAsia" w:ascii="宋体" w:hAnsi="宋体" w:cs="仿宋_GB2312"/>
                <w:bCs/>
                <w:sz w:val="24"/>
              </w:rPr>
              <w:t>开工建设时间</w:t>
            </w:r>
          </w:p>
        </w:tc>
        <w:tc>
          <w:tcPr>
            <w:tcW w:w="2855" w:type="dxa"/>
            <w:gridSpan w:val="3"/>
            <w:vAlign w:val="center"/>
          </w:tcPr>
          <w:p>
            <w:pPr>
              <w:spacing w:line="360" w:lineRule="auto"/>
              <w:jc w:val="center"/>
              <w:rPr>
                <w:rFonts w:ascii="宋体" w:hAnsi="宋体"/>
                <w:bCs/>
                <w:sz w:val="24"/>
                <w:highlight w:val="yellow"/>
              </w:rPr>
            </w:pPr>
            <w:r>
              <w:rPr>
                <w:rFonts w:hint="eastAsia" w:ascii="宋体" w:hAnsi="宋体"/>
                <w:bCs/>
                <w:sz w:val="24"/>
                <w:highlight w:val="none"/>
              </w:rPr>
              <w:t>2</w:t>
            </w:r>
            <w:r>
              <w:rPr>
                <w:rFonts w:ascii="宋体" w:hAnsi="宋体"/>
                <w:bCs/>
                <w:sz w:val="24"/>
                <w:highlight w:val="none"/>
              </w:rPr>
              <w:t>0</w:t>
            </w:r>
            <w:r>
              <w:rPr>
                <w:rFonts w:hint="eastAsia" w:ascii="宋体" w:hAnsi="宋体"/>
                <w:bCs/>
                <w:sz w:val="24"/>
                <w:highlight w:val="none"/>
                <w:lang w:val="en-US" w:eastAsia="zh-CN"/>
              </w:rPr>
              <w:t>12</w:t>
            </w:r>
            <w:r>
              <w:rPr>
                <w:rFonts w:hint="eastAsia" w:ascii="宋体" w:hAnsi="宋体"/>
                <w:bCs/>
                <w:sz w:val="24"/>
                <w:highlight w:val="none"/>
              </w:rPr>
              <w:t>年</w:t>
            </w:r>
            <w:r>
              <w:rPr>
                <w:rFonts w:hint="eastAsia" w:ascii="宋体" w:hAnsi="宋体"/>
                <w:bCs/>
                <w:sz w:val="24"/>
                <w:highlight w:val="none"/>
                <w:lang w:val="en-US" w:eastAsia="zh-CN"/>
              </w:rPr>
              <w:t>6</w:t>
            </w:r>
            <w:r>
              <w:rPr>
                <w:rFonts w:hint="eastAsia" w:ascii="宋体" w:hAnsi="宋体"/>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调试时间</w:t>
            </w:r>
          </w:p>
        </w:tc>
        <w:tc>
          <w:tcPr>
            <w:tcW w:w="2162" w:type="dxa"/>
            <w:vAlign w:val="center"/>
          </w:tcPr>
          <w:p>
            <w:pPr>
              <w:spacing w:line="360" w:lineRule="auto"/>
              <w:jc w:val="center"/>
              <w:rPr>
                <w:rFonts w:ascii="宋体" w:hAnsi="宋体"/>
                <w:b/>
                <w:sz w:val="24"/>
              </w:rPr>
            </w:pPr>
            <w:r>
              <w:rPr>
                <w:rFonts w:hint="eastAsia" w:ascii="宋体" w:hAnsi="宋体" w:cs="仿宋_GB2312"/>
                <w:sz w:val="24"/>
              </w:rPr>
              <w:t>/</w:t>
            </w:r>
          </w:p>
        </w:tc>
        <w:tc>
          <w:tcPr>
            <w:tcW w:w="2268" w:type="dxa"/>
            <w:vAlign w:val="center"/>
          </w:tcPr>
          <w:p>
            <w:pPr>
              <w:spacing w:line="360" w:lineRule="auto"/>
              <w:jc w:val="center"/>
              <w:rPr>
                <w:rFonts w:ascii="宋体" w:hAnsi="宋体"/>
                <w:b/>
                <w:sz w:val="24"/>
              </w:rPr>
            </w:pPr>
            <w:r>
              <w:rPr>
                <w:rFonts w:hint="eastAsia" w:ascii="宋体" w:hAnsi="宋体" w:cs="仿宋_GB2312"/>
                <w:bCs/>
                <w:sz w:val="24"/>
              </w:rPr>
              <w:t>验收现场监测时间</w:t>
            </w:r>
          </w:p>
        </w:tc>
        <w:tc>
          <w:tcPr>
            <w:tcW w:w="2855" w:type="dxa"/>
            <w:gridSpan w:val="3"/>
            <w:vAlign w:val="center"/>
          </w:tcPr>
          <w:p>
            <w:pPr>
              <w:spacing w:line="360" w:lineRule="auto"/>
              <w:jc w:val="center"/>
              <w:rPr>
                <w:rFonts w:ascii="宋体" w:hAnsi="宋体"/>
                <w:sz w:val="24"/>
                <w:highlight w:val="yellow"/>
              </w:rPr>
            </w:pPr>
            <w:r>
              <w:rPr>
                <w:rFonts w:hint="eastAsia" w:ascii="宋体" w:hAnsi="宋体"/>
                <w:sz w:val="24"/>
                <w:lang w:val="en-US" w:eastAsia="zh-CN"/>
              </w:rPr>
              <w:t>2020年5月</w:t>
            </w:r>
            <w:r>
              <w:rPr>
                <w:rFonts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cs="仿宋_GB2312"/>
                <w:bCs/>
                <w:sz w:val="24"/>
                <w:highlight w:val="none"/>
              </w:rPr>
            </w:pPr>
            <w:r>
              <w:rPr>
                <w:rFonts w:hint="eastAsia" w:ascii="宋体" w:hAnsi="宋体" w:cs="仿宋_GB2312"/>
                <w:bCs/>
                <w:sz w:val="24"/>
                <w:highlight w:val="none"/>
                <w:lang w:val="en-US" w:eastAsia="zh-CN"/>
              </w:rPr>
              <w:t>后评价</w:t>
            </w:r>
            <w:r>
              <w:rPr>
                <w:rFonts w:hint="eastAsia" w:ascii="宋体" w:hAnsi="宋体" w:cs="仿宋_GB2312"/>
                <w:bCs/>
                <w:sz w:val="24"/>
                <w:highlight w:val="none"/>
              </w:rPr>
              <w:t>报告表</w:t>
            </w:r>
          </w:p>
          <w:p>
            <w:pPr>
              <w:spacing w:line="360" w:lineRule="auto"/>
              <w:jc w:val="center"/>
              <w:rPr>
                <w:rFonts w:ascii="宋体" w:hAnsi="宋体"/>
                <w:b/>
                <w:sz w:val="24"/>
                <w:highlight w:val="yellow"/>
              </w:rPr>
            </w:pPr>
            <w:r>
              <w:rPr>
                <w:rFonts w:hint="eastAsia" w:ascii="宋体" w:hAnsi="宋体" w:cs="仿宋_GB2312"/>
                <w:bCs/>
                <w:sz w:val="24"/>
                <w:highlight w:val="none"/>
              </w:rPr>
              <w:t>审批部门</w:t>
            </w:r>
          </w:p>
        </w:tc>
        <w:tc>
          <w:tcPr>
            <w:tcW w:w="2162" w:type="dxa"/>
            <w:vAlign w:val="center"/>
          </w:tcPr>
          <w:p>
            <w:pPr>
              <w:spacing w:line="360" w:lineRule="auto"/>
              <w:jc w:val="center"/>
              <w:rPr>
                <w:rFonts w:hint="eastAsia" w:ascii="宋体" w:hAnsi="宋体" w:eastAsia="宋体"/>
                <w:b/>
                <w:sz w:val="24"/>
                <w:highlight w:val="yellow"/>
                <w:lang w:eastAsia="zh-CN"/>
              </w:rPr>
            </w:pPr>
            <w:r>
              <w:rPr>
                <w:rFonts w:hint="eastAsia" w:ascii="宋体" w:hAnsi="宋体"/>
                <w:sz w:val="24"/>
                <w:highlight w:val="none"/>
                <w:lang w:val="en-US" w:eastAsia="zh-CN"/>
              </w:rPr>
              <w:t>/</w:t>
            </w:r>
          </w:p>
        </w:tc>
        <w:tc>
          <w:tcPr>
            <w:tcW w:w="2268" w:type="dxa"/>
            <w:vAlign w:val="center"/>
          </w:tcPr>
          <w:p>
            <w:pPr>
              <w:spacing w:line="360" w:lineRule="auto"/>
              <w:jc w:val="center"/>
              <w:rPr>
                <w:rFonts w:ascii="宋体" w:hAnsi="宋体" w:cs="仿宋_GB2312"/>
                <w:bCs/>
                <w:sz w:val="24"/>
              </w:rPr>
            </w:pPr>
            <w:r>
              <w:rPr>
                <w:rFonts w:hint="eastAsia" w:ascii="宋体" w:hAnsi="宋体" w:cs="仿宋_GB2312"/>
                <w:bCs/>
                <w:sz w:val="24"/>
                <w:lang w:val="en-US" w:eastAsia="zh-CN"/>
              </w:rPr>
              <w:t>后评价</w:t>
            </w:r>
            <w:r>
              <w:rPr>
                <w:rFonts w:hint="eastAsia" w:ascii="宋体" w:hAnsi="宋体" w:cs="仿宋_GB2312"/>
                <w:bCs/>
                <w:sz w:val="24"/>
              </w:rPr>
              <w:t>报告</w:t>
            </w:r>
          </w:p>
          <w:p>
            <w:pPr>
              <w:spacing w:line="360" w:lineRule="auto"/>
              <w:jc w:val="center"/>
              <w:rPr>
                <w:rFonts w:ascii="宋体" w:hAnsi="宋体"/>
                <w:b/>
                <w:sz w:val="24"/>
                <w:highlight w:val="yellow"/>
              </w:rPr>
            </w:pPr>
            <w:r>
              <w:rPr>
                <w:rFonts w:hint="eastAsia" w:ascii="宋体" w:hAnsi="宋体" w:cs="仿宋_GB2312"/>
                <w:bCs/>
                <w:sz w:val="24"/>
              </w:rPr>
              <w:t>编制单位</w:t>
            </w:r>
          </w:p>
        </w:tc>
        <w:tc>
          <w:tcPr>
            <w:tcW w:w="2855" w:type="dxa"/>
            <w:gridSpan w:val="3"/>
            <w:vAlign w:val="center"/>
          </w:tcPr>
          <w:p>
            <w:pPr>
              <w:spacing w:line="360" w:lineRule="auto"/>
              <w:jc w:val="center"/>
              <w:rPr>
                <w:rFonts w:hint="eastAsia" w:ascii="宋体" w:hAnsi="宋体" w:eastAsia="宋体"/>
                <w:b/>
                <w:sz w:val="24"/>
                <w:highlight w:val="yellow"/>
                <w:lang w:eastAsia="zh-CN"/>
              </w:rPr>
            </w:pPr>
            <w:r>
              <w:rPr>
                <w:rFonts w:hint="eastAsia" w:ascii="宋体" w:hAnsi="宋体" w:cs="仿宋_GB2312"/>
                <w:sz w:val="24"/>
                <w:lang w:eastAsia="zh-CN"/>
              </w:rPr>
              <w:t>安徽禹水华阳环境工程技术有限公司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环保设施设计单位</w:t>
            </w:r>
          </w:p>
        </w:tc>
        <w:tc>
          <w:tcPr>
            <w:tcW w:w="2162" w:type="dxa"/>
            <w:vAlign w:val="center"/>
          </w:tcPr>
          <w:p>
            <w:pPr>
              <w:spacing w:line="360" w:lineRule="auto"/>
              <w:jc w:val="center"/>
              <w:rPr>
                <w:rFonts w:ascii="宋体" w:hAnsi="宋体"/>
                <w:b/>
                <w:sz w:val="24"/>
              </w:rPr>
            </w:pPr>
            <w:r>
              <w:rPr>
                <w:rFonts w:hint="eastAsia" w:ascii="宋体" w:hAnsi="宋体" w:cs="仿宋_GB2312"/>
                <w:sz w:val="24"/>
              </w:rPr>
              <w:t>/</w:t>
            </w:r>
          </w:p>
        </w:tc>
        <w:tc>
          <w:tcPr>
            <w:tcW w:w="2268" w:type="dxa"/>
            <w:vAlign w:val="center"/>
          </w:tcPr>
          <w:p>
            <w:pPr>
              <w:spacing w:line="360" w:lineRule="auto"/>
              <w:jc w:val="center"/>
              <w:rPr>
                <w:rFonts w:ascii="宋体" w:hAnsi="宋体"/>
                <w:b/>
                <w:sz w:val="24"/>
              </w:rPr>
            </w:pPr>
            <w:r>
              <w:rPr>
                <w:rFonts w:hint="eastAsia" w:ascii="宋体" w:hAnsi="宋体" w:cs="仿宋_GB2312"/>
                <w:bCs/>
                <w:sz w:val="24"/>
              </w:rPr>
              <w:t>环保设施施工单位</w:t>
            </w:r>
          </w:p>
        </w:tc>
        <w:tc>
          <w:tcPr>
            <w:tcW w:w="2855" w:type="dxa"/>
            <w:gridSpan w:val="3"/>
            <w:vAlign w:val="center"/>
          </w:tcPr>
          <w:p>
            <w:pPr>
              <w:spacing w:line="360" w:lineRule="auto"/>
              <w:jc w:val="center"/>
              <w:rPr>
                <w:rFonts w:ascii="宋体" w:hAnsi="宋体"/>
                <w:b/>
                <w:sz w:val="24"/>
              </w:rPr>
            </w:pPr>
            <w:r>
              <w:rPr>
                <w:rFonts w:hint="eastAsia" w:ascii="宋体" w:hAnsi="宋体" w:cs="仿宋_GB2312"/>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投资总概算</w:t>
            </w:r>
          </w:p>
        </w:tc>
        <w:tc>
          <w:tcPr>
            <w:tcW w:w="2162" w:type="dxa"/>
            <w:vAlign w:val="center"/>
          </w:tcPr>
          <w:p>
            <w:pPr>
              <w:spacing w:line="360" w:lineRule="auto"/>
              <w:jc w:val="center"/>
              <w:rPr>
                <w:rFonts w:ascii="宋体" w:hAnsi="宋体"/>
                <w:b/>
                <w:sz w:val="24"/>
              </w:rPr>
            </w:pPr>
            <w:r>
              <w:rPr>
                <w:rFonts w:hint="eastAsia" w:ascii="宋体" w:hAnsi="宋体" w:cs="仿宋_GB2312"/>
                <w:sz w:val="24"/>
                <w:lang w:val="en-US" w:eastAsia="zh-CN"/>
              </w:rPr>
              <w:t>3200</w:t>
            </w:r>
            <w:r>
              <w:rPr>
                <w:rFonts w:hint="eastAsia" w:ascii="宋体" w:hAnsi="宋体" w:cs="仿宋_GB2312"/>
                <w:sz w:val="24"/>
              </w:rPr>
              <w:t>万元</w:t>
            </w:r>
          </w:p>
        </w:tc>
        <w:tc>
          <w:tcPr>
            <w:tcW w:w="2268" w:type="dxa"/>
            <w:vAlign w:val="center"/>
          </w:tcPr>
          <w:p>
            <w:pPr>
              <w:spacing w:line="360" w:lineRule="auto"/>
              <w:jc w:val="center"/>
              <w:rPr>
                <w:rFonts w:ascii="宋体" w:hAnsi="宋体"/>
                <w:b/>
                <w:sz w:val="24"/>
              </w:rPr>
            </w:pPr>
            <w:r>
              <w:rPr>
                <w:rFonts w:hint="eastAsia" w:ascii="宋体" w:hAnsi="宋体" w:cs="仿宋_GB2312"/>
                <w:bCs/>
                <w:sz w:val="24"/>
              </w:rPr>
              <w:t>环保投资总概算</w:t>
            </w:r>
          </w:p>
        </w:tc>
        <w:tc>
          <w:tcPr>
            <w:tcW w:w="992" w:type="dxa"/>
            <w:vAlign w:val="center"/>
          </w:tcPr>
          <w:p>
            <w:pPr>
              <w:pStyle w:val="95"/>
              <w:jc w:val="center"/>
              <w:rPr>
                <w:rFonts w:ascii="宋体" w:hAnsi="宋体" w:eastAsia="宋体"/>
                <w:sz w:val="21"/>
                <w:szCs w:val="21"/>
              </w:rPr>
            </w:pPr>
            <w:r>
              <w:rPr>
                <w:rFonts w:hint="eastAsia" w:ascii="宋体" w:hAnsi="宋体" w:eastAsia="宋体"/>
                <w:sz w:val="21"/>
                <w:szCs w:val="21"/>
                <w:lang w:val="en-US" w:eastAsia="zh-CN"/>
              </w:rPr>
              <w:t>154</w:t>
            </w:r>
            <w:r>
              <w:rPr>
                <w:rFonts w:hint="eastAsia" w:ascii="宋体" w:hAnsi="宋体" w:eastAsia="宋体" w:cs="仿宋_GB2312"/>
                <w:sz w:val="21"/>
                <w:szCs w:val="21"/>
              </w:rPr>
              <w:t>万</w:t>
            </w:r>
          </w:p>
        </w:tc>
        <w:tc>
          <w:tcPr>
            <w:tcW w:w="850" w:type="dxa"/>
            <w:vAlign w:val="center"/>
          </w:tcPr>
          <w:p>
            <w:pPr>
              <w:spacing w:line="360" w:lineRule="auto"/>
              <w:jc w:val="center"/>
              <w:rPr>
                <w:rFonts w:ascii="宋体" w:hAnsi="宋体"/>
                <w:b/>
                <w:sz w:val="24"/>
              </w:rPr>
            </w:pPr>
            <w:r>
              <w:rPr>
                <w:rFonts w:hint="eastAsia" w:ascii="宋体" w:hAnsi="宋体" w:cs="仿宋_GB2312"/>
                <w:bCs/>
                <w:sz w:val="24"/>
              </w:rPr>
              <w:t>比例</w:t>
            </w:r>
          </w:p>
        </w:tc>
        <w:tc>
          <w:tcPr>
            <w:tcW w:w="1013" w:type="dxa"/>
            <w:vAlign w:val="center"/>
          </w:tcPr>
          <w:p>
            <w:pPr>
              <w:spacing w:line="360" w:lineRule="auto"/>
              <w:jc w:val="center"/>
              <w:rPr>
                <w:rFonts w:ascii="宋体" w:hAnsi="宋体"/>
                <w:b/>
                <w:sz w:val="24"/>
              </w:rPr>
            </w:pPr>
            <w:r>
              <w:rPr>
                <w:rFonts w:hint="eastAsia" w:ascii="宋体" w:hAnsi="宋体" w:cs="仿宋_GB2312"/>
                <w:sz w:val="24"/>
                <w:lang w:val="en-US" w:eastAsia="zh-CN"/>
              </w:rPr>
              <w:t>4.8</w:t>
            </w:r>
            <w:r>
              <w:rPr>
                <w:rFonts w:ascii="宋体" w:hAnsi="宋体" w:cs="仿宋_GB2312"/>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实际总概算</w:t>
            </w:r>
          </w:p>
        </w:tc>
        <w:tc>
          <w:tcPr>
            <w:tcW w:w="2162" w:type="dxa"/>
            <w:vAlign w:val="center"/>
          </w:tcPr>
          <w:p>
            <w:pPr>
              <w:spacing w:line="360" w:lineRule="auto"/>
              <w:jc w:val="center"/>
              <w:rPr>
                <w:rFonts w:ascii="宋体" w:hAnsi="宋体"/>
                <w:bCs/>
                <w:sz w:val="24"/>
                <w:highlight w:val="none"/>
              </w:rPr>
            </w:pPr>
            <w:r>
              <w:rPr>
                <w:rFonts w:hint="eastAsia" w:ascii="宋体" w:hAnsi="宋体" w:cs="仿宋_GB2312"/>
                <w:sz w:val="24"/>
                <w:highlight w:val="none"/>
                <w:lang w:val="en-US" w:eastAsia="zh-CN"/>
              </w:rPr>
              <w:t>3200万元</w:t>
            </w:r>
          </w:p>
        </w:tc>
        <w:tc>
          <w:tcPr>
            <w:tcW w:w="2268" w:type="dxa"/>
            <w:vAlign w:val="center"/>
          </w:tcPr>
          <w:p>
            <w:pPr>
              <w:spacing w:line="360" w:lineRule="auto"/>
              <w:jc w:val="center"/>
              <w:rPr>
                <w:rFonts w:ascii="宋体" w:hAnsi="宋体"/>
                <w:b/>
                <w:sz w:val="24"/>
                <w:highlight w:val="none"/>
              </w:rPr>
            </w:pPr>
            <w:r>
              <w:rPr>
                <w:rFonts w:hint="eastAsia" w:ascii="宋体" w:hAnsi="宋体" w:cs="仿宋_GB2312"/>
                <w:bCs/>
                <w:sz w:val="24"/>
                <w:highlight w:val="none"/>
              </w:rPr>
              <w:t>环保投资</w:t>
            </w:r>
          </w:p>
        </w:tc>
        <w:tc>
          <w:tcPr>
            <w:tcW w:w="992" w:type="dxa"/>
            <w:vAlign w:val="center"/>
          </w:tcPr>
          <w:p>
            <w:pPr>
              <w:spacing w:line="360" w:lineRule="auto"/>
              <w:jc w:val="center"/>
              <w:rPr>
                <w:rFonts w:ascii="宋体" w:hAnsi="宋体"/>
                <w:bCs/>
                <w:sz w:val="24"/>
                <w:highlight w:val="none"/>
              </w:rPr>
            </w:pPr>
            <w:r>
              <w:rPr>
                <w:rFonts w:hint="eastAsia" w:ascii="宋体" w:hAnsi="宋体"/>
                <w:szCs w:val="21"/>
                <w:highlight w:val="none"/>
                <w:lang w:val="en-US" w:eastAsia="zh-CN"/>
              </w:rPr>
              <w:t>154万</w:t>
            </w:r>
          </w:p>
        </w:tc>
        <w:tc>
          <w:tcPr>
            <w:tcW w:w="850" w:type="dxa"/>
            <w:vAlign w:val="center"/>
          </w:tcPr>
          <w:p>
            <w:pPr>
              <w:spacing w:line="360" w:lineRule="auto"/>
              <w:jc w:val="center"/>
              <w:rPr>
                <w:rFonts w:ascii="宋体" w:hAnsi="宋体"/>
                <w:b/>
                <w:sz w:val="24"/>
                <w:highlight w:val="none"/>
              </w:rPr>
            </w:pPr>
            <w:r>
              <w:rPr>
                <w:rFonts w:hint="eastAsia" w:ascii="宋体" w:hAnsi="宋体" w:cs="仿宋_GB2312"/>
                <w:bCs/>
                <w:sz w:val="24"/>
                <w:highlight w:val="none"/>
              </w:rPr>
              <w:t>比例</w:t>
            </w:r>
          </w:p>
        </w:tc>
        <w:tc>
          <w:tcPr>
            <w:tcW w:w="1013" w:type="dxa"/>
            <w:vAlign w:val="center"/>
          </w:tcPr>
          <w:p>
            <w:pPr>
              <w:spacing w:line="360" w:lineRule="auto"/>
              <w:jc w:val="center"/>
              <w:rPr>
                <w:rFonts w:ascii="宋体" w:hAnsi="宋体"/>
                <w:bCs/>
                <w:sz w:val="24"/>
                <w:highlight w:val="none"/>
              </w:rPr>
            </w:pPr>
            <w:r>
              <w:rPr>
                <w:rFonts w:hint="eastAsia" w:ascii="宋体" w:hAnsi="宋体" w:cs="仿宋_GB2312"/>
                <w:sz w:val="24"/>
                <w:highlight w:val="none"/>
                <w:lang w:val="en-US" w:eastAsia="zh-CN"/>
              </w:rPr>
              <w:t>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2218" w:type="dxa"/>
            <w:vAlign w:val="center"/>
          </w:tcPr>
          <w:p>
            <w:pPr>
              <w:spacing w:line="360" w:lineRule="auto"/>
              <w:jc w:val="center"/>
              <w:rPr>
                <w:rFonts w:ascii="宋体" w:hAnsi="宋体"/>
                <w:sz w:val="24"/>
              </w:rPr>
            </w:pPr>
            <w:r>
              <w:rPr>
                <w:rFonts w:hint="eastAsia" w:ascii="宋体" w:hAnsi="宋体"/>
                <w:sz w:val="24"/>
              </w:rPr>
              <w:t>验收监测依据</w:t>
            </w:r>
          </w:p>
        </w:tc>
        <w:tc>
          <w:tcPr>
            <w:tcW w:w="7285" w:type="dxa"/>
            <w:gridSpan w:val="5"/>
            <w:vAlign w:val="center"/>
          </w:tcPr>
          <w:p>
            <w:pPr>
              <w:spacing w:line="360" w:lineRule="auto"/>
              <w:jc w:val="left"/>
              <w:rPr>
                <w:rFonts w:ascii="宋体" w:hAnsi="宋体"/>
                <w:sz w:val="24"/>
              </w:rPr>
            </w:pPr>
            <w:r>
              <w:rPr>
                <w:rFonts w:ascii="宋体" w:hAnsi="宋体"/>
                <w:sz w:val="24"/>
              </w:rPr>
              <w:t>1</w:t>
            </w:r>
            <w:r>
              <w:rPr>
                <w:rFonts w:hint="eastAsia" w:ascii="宋体" w:hAnsi="宋体"/>
                <w:sz w:val="24"/>
              </w:rPr>
              <w:t>、</w:t>
            </w:r>
            <w:r>
              <w:rPr>
                <w:rFonts w:hint="eastAsia" w:ascii="宋体" w:hAnsi="宋体" w:cs="宋体"/>
                <w:color w:val="000000"/>
                <w:sz w:val="24"/>
              </w:rPr>
              <w:t>《中华人民共和国环境保护法》（2</w:t>
            </w:r>
            <w:r>
              <w:rPr>
                <w:rFonts w:ascii="宋体" w:hAnsi="宋体" w:cs="宋体"/>
                <w:color w:val="000000"/>
                <w:sz w:val="24"/>
              </w:rPr>
              <w:t>015</w:t>
            </w:r>
            <w:r>
              <w:rPr>
                <w:rFonts w:hint="eastAsia" w:ascii="宋体" w:hAnsi="宋体" w:cs="宋体"/>
                <w:color w:val="000000"/>
                <w:sz w:val="24"/>
              </w:rPr>
              <w:t>年1月1日施行）；</w:t>
            </w:r>
          </w:p>
          <w:p>
            <w:pPr>
              <w:spacing w:line="360" w:lineRule="auto"/>
              <w:ind w:right="-197" w:rightChars="-94"/>
              <w:jc w:val="left"/>
              <w:rPr>
                <w:rFonts w:ascii="宋体" w:hAnsi="宋体"/>
                <w:sz w:val="24"/>
              </w:rPr>
            </w:pPr>
            <w:r>
              <w:rPr>
                <w:rFonts w:ascii="宋体" w:hAnsi="宋体"/>
                <w:sz w:val="24"/>
              </w:rPr>
              <w:t>2</w:t>
            </w:r>
            <w:r>
              <w:rPr>
                <w:rFonts w:hint="eastAsia" w:ascii="宋体" w:hAnsi="宋体"/>
                <w:sz w:val="24"/>
              </w:rPr>
              <w:t>、</w:t>
            </w:r>
            <w:r>
              <w:rPr>
                <w:rFonts w:hint="eastAsia" w:ascii="宋体" w:hAnsi="宋体" w:cs="宋体"/>
                <w:color w:val="000000"/>
                <w:sz w:val="24"/>
              </w:rPr>
              <w:t>《中华人民共和国水污染防治法》（2</w:t>
            </w:r>
            <w:r>
              <w:rPr>
                <w:rFonts w:ascii="宋体" w:hAnsi="宋体" w:cs="宋体"/>
                <w:color w:val="000000"/>
                <w:sz w:val="24"/>
              </w:rPr>
              <w:t>018</w:t>
            </w:r>
            <w:r>
              <w:rPr>
                <w:rFonts w:hint="eastAsia" w:ascii="宋体" w:hAnsi="宋体" w:cs="宋体"/>
                <w:color w:val="000000"/>
                <w:sz w:val="24"/>
              </w:rPr>
              <w:t>年1月1日施行）</w:t>
            </w:r>
            <w:r>
              <w:rPr>
                <w:rFonts w:hint="eastAsia" w:ascii="宋体" w:hAnsi="宋体"/>
                <w:sz w:val="24"/>
              </w:rPr>
              <w:t>；</w:t>
            </w:r>
          </w:p>
          <w:p>
            <w:pPr>
              <w:spacing w:line="360" w:lineRule="auto"/>
              <w:jc w:val="left"/>
              <w:rPr>
                <w:rFonts w:ascii="宋体" w:hAnsi="宋体"/>
                <w:sz w:val="24"/>
              </w:rPr>
            </w:pPr>
            <w:r>
              <w:rPr>
                <w:rFonts w:ascii="宋体" w:hAnsi="宋体"/>
                <w:sz w:val="24"/>
              </w:rPr>
              <w:t>3</w:t>
            </w:r>
            <w:r>
              <w:rPr>
                <w:rFonts w:hint="eastAsia" w:ascii="宋体" w:hAnsi="宋体"/>
                <w:sz w:val="24"/>
              </w:rPr>
              <w:t>、</w:t>
            </w:r>
            <w:r>
              <w:rPr>
                <w:rFonts w:hint="eastAsia" w:ascii="宋体" w:hAnsi="宋体"/>
                <w:bCs/>
                <w:sz w:val="24"/>
              </w:rPr>
              <w:t>《中华人民共和国大气污染防治法》（2018年修订）</w:t>
            </w:r>
            <w:r>
              <w:rPr>
                <w:rFonts w:hint="eastAsia" w:ascii="宋体" w:hAnsi="宋体"/>
                <w:sz w:val="24"/>
              </w:rPr>
              <w:t>；</w:t>
            </w:r>
          </w:p>
          <w:p>
            <w:pPr>
              <w:spacing w:line="360" w:lineRule="auto"/>
              <w:jc w:val="left"/>
              <w:rPr>
                <w:rFonts w:ascii="宋体" w:hAnsi="宋体"/>
                <w:bCs/>
                <w:sz w:val="24"/>
              </w:rPr>
            </w:pPr>
            <w:r>
              <w:rPr>
                <w:rFonts w:ascii="宋体" w:hAnsi="宋体"/>
                <w:sz w:val="24"/>
              </w:rPr>
              <w:t>4</w:t>
            </w:r>
            <w:r>
              <w:rPr>
                <w:rFonts w:hint="eastAsia" w:ascii="宋体" w:hAnsi="宋体"/>
                <w:sz w:val="24"/>
              </w:rPr>
              <w:t>、</w:t>
            </w:r>
            <w:r>
              <w:rPr>
                <w:rFonts w:hint="eastAsia" w:ascii="宋体" w:hAnsi="宋体"/>
                <w:bCs/>
                <w:sz w:val="24"/>
              </w:rPr>
              <w:t>《中华人民共和国环境噪声污染防治法》（2018年12月29日修订）</w:t>
            </w:r>
            <w:r>
              <w:rPr>
                <w:rFonts w:hint="eastAsia" w:ascii="宋体" w:hAnsi="宋体"/>
                <w:sz w:val="24"/>
              </w:rPr>
              <w:t>；</w:t>
            </w:r>
          </w:p>
          <w:p>
            <w:pPr>
              <w:spacing w:line="360" w:lineRule="auto"/>
              <w:jc w:val="left"/>
              <w:rPr>
                <w:rFonts w:ascii="宋体" w:hAnsi="宋体"/>
                <w:sz w:val="24"/>
              </w:rPr>
            </w:pPr>
            <w:r>
              <w:rPr>
                <w:rFonts w:ascii="宋体" w:hAnsi="宋体"/>
                <w:sz w:val="24"/>
              </w:rPr>
              <w:t>5</w:t>
            </w:r>
            <w:r>
              <w:rPr>
                <w:rFonts w:hint="eastAsia" w:ascii="宋体" w:hAnsi="宋体"/>
                <w:sz w:val="24"/>
              </w:rPr>
              <w:t>、</w:t>
            </w:r>
            <w:r>
              <w:rPr>
                <w:rFonts w:hint="eastAsia" w:ascii="宋体" w:hAnsi="宋体" w:cs="宋体"/>
                <w:color w:val="000000"/>
                <w:sz w:val="24"/>
              </w:rPr>
              <w:t>《中华人民共和国固体废物污染</w:t>
            </w:r>
            <w:r>
              <w:rPr>
                <w:rFonts w:ascii="宋体" w:hAnsi="宋体"/>
                <w:bCs/>
                <w:sz w:val="24"/>
              </w:rPr>
              <w:t>环境防治法》</w:t>
            </w:r>
            <w:r>
              <w:rPr>
                <w:rFonts w:hint="eastAsia" w:ascii="宋体" w:hAnsi="宋体"/>
                <w:bCs/>
                <w:sz w:val="24"/>
              </w:rPr>
              <w:t>（2</w:t>
            </w:r>
            <w:r>
              <w:rPr>
                <w:rFonts w:ascii="宋体" w:hAnsi="宋体"/>
                <w:bCs/>
                <w:sz w:val="24"/>
              </w:rPr>
              <w:t>016</w:t>
            </w:r>
            <w:r>
              <w:rPr>
                <w:rFonts w:hint="eastAsia" w:ascii="宋体" w:hAnsi="宋体"/>
                <w:bCs/>
                <w:sz w:val="24"/>
              </w:rPr>
              <w:t>年1</w:t>
            </w:r>
            <w:r>
              <w:rPr>
                <w:rFonts w:ascii="宋体" w:hAnsi="宋体"/>
                <w:bCs/>
                <w:sz w:val="24"/>
              </w:rPr>
              <w:t>1</w:t>
            </w:r>
            <w:r>
              <w:rPr>
                <w:rFonts w:hint="eastAsia" w:ascii="宋体" w:hAnsi="宋体"/>
                <w:bCs/>
                <w:sz w:val="24"/>
              </w:rPr>
              <w:t>月7日第四次修订）</w:t>
            </w:r>
            <w:r>
              <w:rPr>
                <w:rFonts w:hint="eastAsia" w:ascii="宋体" w:hAnsi="宋体"/>
                <w:sz w:val="24"/>
              </w:rPr>
              <w:t>；</w:t>
            </w:r>
          </w:p>
          <w:p>
            <w:pPr>
              <w:spacing w:line="360" w:lineRule="auto"/>
              <w:ind w:right="-197" w:rightChars="-94"/>
              <w:jc w:val="left"/>
              <w:rPr>
                <w:rFonts w:ascii="宋体" w:hAnsi="宋体"/>
                <w:sz w:val="24"/>
              </w:rPr>
            </w:pPr>
            <w:r>
              <w:rPr>
                <w:rFonts w:ascii="宋体" w:hAnsi="宋体"/>
                <w:sz w:val="24"/>
              </w:rPr>
              <w:t>6</w:t>
            </w:r>
            <w:r>
              <w:rPr>
                <w:rFonts w:hint="eastAsia" w:ascii="宋体" w:hAnsi="宋体"/>
                <w:sz w:val="24"/>
              </w:rPr>
              <w:t>、</w:t>
            </w:r>
            <w:r>
              <w:rPr>
                <w:rFonts w:hint="eastAsia" w:ascii="宋体" w:hAnsi="宋体"/>
                <w:bCs/>
                <w:sz w:val="24"/>
              </w:rPr>
              <w:t>《建设项目环境保护管理条例》（2</w:t>
            </w:r>
            <w:r>
              <w:rPr>
                <w:rFonts w:ascii="宋体" w:hAnsi="宋体"/>
                <w:bCs/>
                <w:sz w:val="24"/>
              </w:rPr>
              <w:t>017</w:t>
            </w:r>
            <w:r>
              <w:rPr>
                <w:rFonts w:hint="eastAsia" w:ascii="宋体" w:hAnsi="宋体"/>
                <w:bCs/>
                <w:sz w:val="24"/>
              </w:rPr>
              <w:t>年1</w:t>
            </w:r>
            <w:r>
              <w:rPr>
                <w:rFonts w:ascii="宋体" w:hAnsi="宋体"/>
                <w:bCs/>
                <w:sz w:val="24"/>
              </w:rPr>
              <w:t>0</w:t>
            </w:r>
            <w:r>
              <w:rPr>
                <w:rFonts w:hint="eastAsia" w:ascii="宋体" w:hAnsi="宋体"/>
                <w:bCs/>
                <w:sz w:val="24"/>
              </w:rPr>
              <w:t>月1日起施行）；</w:t>
            </w:r>
          </w:p>
          <w:p>
            <w:pPr>
              <w:spacing w:line="360" w:lineRule="auto"/>
              <w:jc w:val="left"/>
              <w:rPr>
                <w:rFonts w:ascii="宋体" w:hAnsi="宋体"/>
                <w:sz w:val="24"/>
              </w:rPr>
            </w:pPr>
            <w:r>
              <w:rPr>
                <w:rFonts w:ascii="宋体" w:hAnsi="宋体"/>
                <w:sz w:val="24"/>
              </w:rPr>
              <w:t>7</w:t>
            </w:r>
            <w:r>
              <w:rPr>
                <w:rFonts w:hint="eastAsia" w:ascii="宋体" w:hAnsi="宋体"/>
                <w:sz w:val="24"/>
              </w:rPr>
              <w:t>、</w:t>
            </w:r>
            <w:r>
              <w:rPr>
                <w:rFonts w:hint="eastAsia" w:ascii="宋体" w:hAnsi="宋体"/>
                <w:bCs/>
                <w:sz w:val="24"/>
              </w:rPr>
              <w:t>《建设项目竣工环境保护验收暂行办法》（2</w:t>
            </w:r>
            <w:r>
              <w:rPr>
                <w:rFonts w:ascii="宋体" w:hAnsi="宋体"/>
                <w:bCs/>
                <w:sz w:val="24"/>
              </w:rPr>
              <w:t>017</w:t>
            </w:r>
            <w:r>
              <w:rPr>
                <w:rFonts w:hint="eastAsia" w:ascii="宋体" w:hAnsi="宋体"/>
                <w:bCs/>
                <w:sz w:val="24"/>
              </w:rPr>
              <w:t>年1</w:t>
            </w:r>
            <w:r>
              <w:rPr>
                <w:rFonts w:ascii="宋体" w:hAnsi="宋体"/>
                <w:bCs/>
                <w:sz w:val="24"/>
              </w:rPr>
              <w:t>1</w:t>
            </w:r>
            <w:r>
              <w:rPr>
                <w:rFonts w:hint="eastAsia" w:ascii="宋体" w:hAnsi="宋体"/>
                <w:bCs/>
                <w:sz w:val="24"/>
              </w:rPr>
              <w:t>月2</w:t>
            </w:r>
            <w:r>
              <w:rPr>
                <w:rFonts w:ascii="宋体" w:hAnsi="宋体"/>
                <w:bCs/>
                <w:sz w:val="24"/>
              </w:rPr>
              <w:t>2</w:t>
            </w:r>
            <w:r>
              <w:rPr>
                <w:rFonts w:hint="eastAsia" w:ascii="宋体" w:hAnsi="宋体"/>
                <w:bCs/>
                <w:sz w:val="24"/>
              </w:rPr>
              <w:t>日发布实施）；</w:t>
            </w:r>
          </w:p>
          <w:p>
            <w:pPr>
              <w:spacing w:line="360" w:lineRule="auto"/>
              <w:ind w:right="225" w:rightChars="107"/>
              <w:jc w:val="left"/>
              <w:rPr>
                <w:rFonts w:ascii="宋体" w:hAnsi="宋体"/>
                <w:sz w:val="24"/>
              </w:rPr>
            </w:pPr>
            <w:r>
              <w:rPr>
                <w:rFonts w:ascii="宋体" w:hAnsi="宋体"/>
                <w:sz w:val="24"/>
              </w:rPr>
              <w:t>8</w:t>
            </w:r>
            <w:r>
              <w:rPr>
                <w:rFonts w:hint="eastAsia" w:ascii="宋体" w:hAnsi="宋体"/>
                <w:sz w:val="24"/>
              </w:rPr>
              <w:t>、</w:t>
            </w:r>
            <w:r>
              <w:rPr>
                <w:rFonts w:hint="eastAsia" w:ascii="宋体" w:hAnsi="宋体"/>
                <w:bCs/>
                <w:sz w:val="24"/>
              </w:rPr>
              <w:t>《建</w:t>
            </w:r>
            <w:r>
              <w:rPr>
                <w:rFonts w:hint="eastAsia" w:ascii="宋体" w:hAnsi="宋体" w:cs="宋体"/>
                <w:color w:val="000000"/>
                <w:sz w:val="24"/>
              </w:rPr>
              <w:t>设项目竣工环境保护验收技术指南 污染影响类》（2</w:t>
            </w:r>
            <w:r>
              <w:rPr>
                <w:rFonts w:ascii="宋体" w:hAnsi="宋体" w:cs="宋体"/>
                <w:color w:val="000000"/>
                <w:sz w:val="24"/>
              </w:rPr>
              <w:t>018</w:t>
            </w:r>
            <w:r>
              <w:rPr>
                <w:rFonts w:hint="eastAsia" w:ascii="宋体" w:hAnsi="宋体" w:cs="宋体"/>
                <w:color w:val="000000"/>
                <w:sz w:val="24"/>
              </w:rPr>
              <w:t>年5月</w:t>
            </w:r>
            <w:r>
              <w:rPr>
                <w:rFonts w:ascii="宋体" w:hAnsi="宋体" w:cs="宋体"/>
                <w:color w:val="000000"/>
                <w:sz w:val="24"/>
              </w:rPr>
              <w:t>16</w:t>
            </w:r>
            <w:r>
              <w:rPr>
                <w:rFonts w:hint="eastAsia" w:ascii="宋体" w:hAnsi="宋体" w:cs="宋体"/>
                <w:color w:val="000000"/>
                <w:sz w:val="24"/>
              </w:rPr>
              <w:t>日发布）；</w:t>
            </w:r>
          </w:p>
          <w:p>
            <w:pPr>
              <w:spacing w:line="360" w:lineRule="auto"/>
              <w:ind w:left="16" w:leftChars="0" w:right="225" w:rightChars="107" w:hanging="16" w:hangingChars="7"/>
              <w:jc w:val="left"/>
              <w:rPr>
                <w:rFonts w:hint="eastAsia" w:ascii="宋体" w:hAnsi="宋体"/>
                <w:sz w:val="24"/>
                <w:highlight w:val="none"/>
              </w:rPr>
            </w:pPr>
            <w:r>
              <w:rPr>
                <w:rFonts w:ascii="宋体" w:hAnsi="宋体"/>
                <w:sz w:val="24"/>
                <w:highlight w:val="none"/>
              </w:rPr>
              <w:t>9</w:t>
            </w:r>
            <w:r>
              <w:rPr>
                <w:rFonts w:hint="eastAsia" w:ascii="宋体" w:hAnsi="宋体"/>
                <w:sz w:val="24"/>
                <w:highlight w:val="none"/>
              </w:rPr>
              <w:t>、关于《</w:t>
            </w:r>
            <w:r>
              <w:rPr>
                <w:rFonts w:hint="eastAsia" w:ascii="宋体" w:hAnsi="宋体" w:cs="仿宋_GB2312"/>
                <w:sz w:val="24"/>
                <w:highlight w:val="none"/>
                <w:lang w:eastAsia="zh-CN"/>
              </w:rPr>
              <w:t>和县兴盛新型建材有限公司年产</w:t>
            </w:r>
            <w:r>
              <w:rPr>
                <w:rFonts w:hint="eastAsia" w:ascii="宋体" w:hAnsi="宋体" w:cs="仿宋_GB2312"/>
                <w:sz w:val="24"/>
                <w:highlight w:val="none"/>
                <w:lang w:val="en-US" w:eastAsia="zh-CN"/>
              </w:rPr>
              <w:t>1.2亿块蒸压灰砂砖项目</w:t>
            </w:r>
            <w:r>
              <w:rPr>
                <w:rFonts w:hint="eastAsia" w:ascii="宋体" w:hAnsi="宋体" w:cs="仿宋_GB2312"/>
                <w:sz w:val="24"/>
                <w:highlight w:val="none"/>
                <w:lang w:eastAsia="zh-CN"/>
              </w:rPr>
              <w:t>环境影响报告表</w:t>
            </w:r>
            <w:r>
              <w:rPr>
                <w:rFonts w:hint="eastAsia" w:ascii="宋体" w:hAnsi="宋体"/>
                <w:sz w:val="24"/>
                <w:highlight w:val="none"/>
              </w:rPr>
              <w:t>》</w:t>
            </w:r>
            <w:r>
              <w:rPr>
                <w:rFonts w:hint="eastAsia" w:ascii="宋体" w:hAnsi="宋体"/>
                <w:sz w:val="24"/>
                <w:highlight w:val="none"/>
                <w:lang w:val="en-US" w:eastAsia="zh-CN"/>
              </w:rPr>
              <w:t>的批复</w:t>
            </w:r>
            <w:r>
              <w:rPr>
                <w:rFonts w:hint="eastAsia" w:ascii="宋体" w:hAnsi="宋体"/>
                <w:sz w:val="24"/>
                <w:highlight w:val="none"/>
              </w:rPr>
              <w:t>（</w:t>
            </w:r>
            <w:r>
              <w:rPr>
                <w:rFonts w:hint="eastAsia" w:ascii="宋体" w:hAnsi="宋体"/>
                <w:sz w:val="24"/>
                <w:highlight w:val="none"/>
                <w:lang w:val="en-US" w:eastAsia="zh-CN"/>
              </w:rPr>
              <w:t>和环审[2011]34号</w:t>
            </w:r>
            <w:r>
              <w:rPr>
                <w:rFonts w:hint="eastAsia" w:ascii="宋体" w:hAnsi="宋体"/>
                <w:sz w:val="24"/>
                <w:highlight w:val="none"/>
              </w:rPr>
              <w:t>，</w:t>
            </w:r>
            <w:r>
              <w:rPr>
                <w:rFonts w:hint="eastAsia" w:ascii="宋体" w:hAnsi="宋体"/>
                <w:sz w:val="24"/>
                <w:highlight w:val="none"/>
                <w:lang w:eastAsia="zh-CN"/>
              </w:rPr>
              <w:t>和县环境保护局</w:t>
            </w:r>
            <w:r>
              <w:rPr>
                <w:rFonts w:hint="eastAsia" w:ascii="宋体" w:hAnsi="宋体"/>
                <w:sz w:val="24"/>
                <w:highlight w:val="none"/>
              </w:rPr>
              <w:t>，</w:t>
            </w:r>
            <w:r>
              <w:rPr>
                <w:rFonts w:hint="eastAsia" w:ascii="宋体" w:hAnsi="宋体"/>
                <w:sz w:val="24"/>
                <w:highlight w:val="none"/>
                <w:lang w:val="en-US" w:eastAsia="zh-CN"/>
              </w:rPr>
              <w:t>2011年8月12日</w:t>
            </w:r>
            <w:r>
              <w:rPr>
                <w:rFonts w:hint="eastAsia" w:ascii="宋体" w:hAnsi="宋体"/>
                <w:sz w:val="24"/>
                <w:highlight w:val="none"/>
              </w:rPr>
              <w:t>）；</w:t>
            </w:r>
          </w:p>
          <w:p>
            <w:pPr>
              <w:spacing w:line="360" w:lineRule="auto"/>
              <w:ind w:left="0" w:leftChars="0" w:right="225" w:rightChars="107" w:firstLine="0" w:firstLineChars="0"/>
              <w:jc w:val="left"/>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0</w:t>
            </w:r>
            <w:r>
              <w:rPr>
                <w:rFonts w:hint="eastAsia" w:ascii="宋体" w:hAnsi="宋体"/>
                <w:sz w:val="24"/>
                <w:highlight w:val="none"/>
              </w:rPr>
              <w:t>、</w:t>
            </w:r>
            <w:r>
              <w:rPr>
                <w:rFonts w:hint="eastAsia" w:ascii="宋体" w:hAnsi="宋体" w:cs="仿宋_GB2312"/>
                <w:sz w:val="24"/>
                <w:highlight w:val="none"/>
                <w:lang w:eastAsia="zh-CN"/>
              </w:rPr>
              <w:t>安徽禹水华阳环境工程技术有限公司</w:t>
            </w:r>
            <w:r>
              <w:rPr>
                <w:rFonts w:hint="eastAsia" w:ascii="宋体" w:hAnsi="宋体" w:cs="仿宋_GB2312"/>
                <w:sz w:val="24"/>
                <w:highlight w:val="none"/>
              </w:rPr>
              <w:t>编制</w:t>
            </w:r>
            <w:r>
              <w:rPr>
                <w:rFonts w:hint="eastAsia" w:ascii="宋体" w:hAnsi="宋体"/>
                <w:sz w:val="24"/>
                <w:highlight w:val="none"/>
              </w:rPr>
              <w:t>的《</w:t>
            </w:r>
            <w:r>
              <w:rPr>
                <w:rFonts w:hint="eastAsia" w:ascii="宋体" w:hAnsi="宋体"/>
                <w:sz w:val="24"/>
                <w:highlight w:val="none"/>
                <w:lang w:eastAsia="zh-CN"/>
              </w:rPr>
              <w:t>芜湖市祥兴新型建材有限责任公司年产</w:t>
            </w:r>
            <w:r>
              <w:rPr>
                <w:rFonts w:hint="eastAsia" w:ascii="宋体" w:hAnsi="宋体"/>
                <w:sz w:val="24"/>
                <w:highlight w:val="none"/>
                <w:lang w:val="en-US" w:eastAsia="zh-CN"/>
              </w:rPr>
              <w:t>1.2亿蒸压灰砂砖项目</w:t>
            </w:r>
            <w:r>
              <w:rPr>
                <w:rFonts w:hint="eastAsia" w:ascii="宋体" w:hAnsi="宋体"/>
                <w:sz w:val="24"/>
                <w:highlight w:val="none"/>
                <w:lang w:eastAsia="zh-CN"/>
              </w:rPr>
              <w:t>环境影响后评价</w:t>
            </w:r>
            <w:r>
              <w:rPr>
                <w:rFonts w:hint="eastAsia" w:ascii="宋体" w:hAnsi="宋体"/>
                <w:sz w:val="24"/>
                <w:highlight w:val="none"/>
              </w:rPr>
              <w:t>》（2</w:t>
            </w:r>
            <w:r>
              <w:rPr>
                <w:rFonts w:ascii="宋体" w:hAnsi="宋体"/>
                <w:sz w:val="24"/>
                <w:highlight w:val="none"/>
              </w:rPr>
              <w:t>0</w:t>
            </w:r>
            <w:r>
              <w:rPr>
                <w:rFonts w:hint="eastAsia" w:ascii="宋体" w:hAnsi="宋体"/>
                <w:sz w:val="24"/>
                <w:highlight w:val="none"/>
                <w:lang w:val="en-US" w:eastAsia="zh-CN"/>
              </w:rPr>
              <w:t>20</w:t>
            </w:r>
            <w:r>
              <w:rPr>
                <w:rFonts w:hint="eastAsia" w:ascii="宋体" w:hAnsi="宋体"/>
                <w:sz w:val="24"/>
                <w:highlight w:val="none"/>
              </w:rPr>
              <w:t>年</w:t>
            </w:r>
            <w:r>
              <w:rPr>
                <w:rFonts w:hint="eastAsia" w:ascii="宋体" w:hAnsi="宋体"/>
                <w:sz w:val="24"/>
                <w:highlight w:val="none"/>
                <w:lang w:val="en-US" w:eastAsia="zh-CN"/>
              </w:rPr>
              <w:t>5</w:t>
            </w:r>
            <w:r>
              <w:rPr>
                <w:rFonts w:hint="eastAsia" w:ascii="宋体" w:hAnsi="宋体"/>
                <w:sz w:val="24"/>
                <w:highlight w:val="none"/>
              </w:rPr>
              <w:t>月）。</w:t>
            </w: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right="225" w:rightChars="107"/>
              <w:jc w:val="lef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2218" w:type="dxa"/>
            <w:vAlign w:val="center"/>
          </w:tcPr>
          <w:p>
            <w:pPr>
              <w:spacing w:line="360" w:lineRule="auto"/>
              <w:jc w:val="center"/>
              <w:rPr>
                <w:rFonts w:ascii="宋体" w:hAnsi="宋体"/>
                <w:sz w:val="24"/>
              </w:rPr>
            </w:pPr>
            <w:r>
              <w:rPr>
                <w:rFonts w:hint="eastAsia" w:ascii="宋体" w:hAnsi="宋体"/>
                <w:sz w:val="24"/>
              </w:rPr>
              <w:t>验收监测评价</w:t>
            </w:r>
          </w:p>
          <w:p>
            <w:pPr>
              <w:spacing w:line="360" w:lineRule="auto"/>
              <w:jc w:val="center"/>
              <w:rPr>
                <w:rFonts w:ascii="宋体" w:hAnsi="宋体"/>
                <w:sz w:val="24"/>
              </w:rPr>
            </w:pPr>
            <w:r>
              <w:rPr>
                <w:rFonts w:hint="eastAsia" w:ascii="宋体" w:hAnsi="宋体"/>
                <w:sz w:val="24"/>
              </w:rPr>
              <w:t>标准、标号、</w:t>
            </w:r>
          </w:p>
          <w:p>
            <w:pPr>
              <w:spacing w:line="360" w:lineRule="auto"/>
              <w:jc w:val="center"/>
              <w:rPr>
                <w:rFonts w:ascii="宋体" w:hAnsi="宋体"/>
                <w:sz w:val="24"/>
              </w:rPr>
            </w:pPr>
            <w:r>
              <w:rPr>
                <w:rFonts w:hint="eastAsia" w:ascii="宋体" w:hAnsi="宋体"/>
                <w:sz w:val="24"/>
              </w:rPr>
              <w:t>级别、限值：</w:t>
            </w:r>
          </w:p>
        </w:tc>
        <w:tc>
          <w:tcPr>
            <w:tcW w:w="7285" w:type="dxa"/>
            <w:gridSpan w:val="5"/>
          </w:tcPr>
          <w:p>
            <w:pPr>
              <w:pStyle w:val="5"/>
              <w:adjustRightInd w:val="0"/>
              <w:rPr>
                <w:rFonts w:hint="default" w:ascii="宋体" w:hAnsi="宋体" w:eastAsia="宋体" w:cs="仿宋_GB2312"/>
                <w:sz w:val="24"/>
                <w:szCs w:val="24"/>
              </w:rPr>
            </w:pPr>
            <w:r>
              <w:rPr>
                <w:rFonts w:ascii="宋体" w:hAnsi="宋体" w:eastAsia="宋体" w:cs="仿宋_GB2312"/>
                <w:sz w:val="24"/>
                <w:szCs w:val="24"/>
              </w:rPr>
              <w:t>1、水污染物排放标准</w:t>
            </w:r>
          </w:p>
          <w:p>
            <w:pPr>
              <w:adjustRightInd w:val="0"/>
              <w:snapToGrid w:val="0"/>
              <w:spacing w:line="360" w:lineRule="auto"/>
              <w:ind w:firstLine="480" w:firstLineChars="200"/>
              <w:rPr>
                <w:rFonts w:hint="default" w:ascii="宋体" w:hAnsi="宋体" w:cs="宋体"/>
                <w:kern w:val="0"/>
                <w:sz w:val="24"/>
                <w:lang w:val="en-US" w:eastAsia="zh-CN"/>
              </w:rPr>
            </w:pPr>
            <w:r>
              <w:rPr>
                <w:rFonts w:hint="eastAsia" w:ascii="宋体" w:hAnsi="宋体" w:cs="宋体"/>
                <w:kern w:val="0"/>
                <w:sz w:val="24"/>
                <w:lang w:val="en-US" w:eastAsia="zh-CN"/>
              </w:rPr>
              <w:t>项目生活废水经化粪池处理后定期清掏作农肥，生产废水经沉淀池沉淀后循环使用，无废水外排。</w:t>
            </w:r>
          </w:p>
          <w:p>
            <w:pPr>
              <w:pStyle w:val="5"/>
              <w:adjustRightInd w:val="0"/>
              <w:rPr>
                <w:rFonts w:hint="default" w:ascii="宋体" w:hAnsi="宋体" w:eastAsia="宋体" w:cs="仿宋_GB2312"/>
                <w:sz w:val="24"/>
                <w:szCs w:val="24"/>
              </w:rPr>
            </w:pPr>
            <w:r>
              <w:rPr>
                <w:rFonts w:hint="default" w:ascii="宋体" w:hAnsi="宋体" w:eastAsia="宋体" w:cs="仿宋_GB2312"/>
                <w:sz w:val="24"/>
                <w:szCs w:val="24"/>
              </w:rPr>
              <w:t>2</w:t>
            </w:r>
            <w:r>
              <w:rPr>
                <w:rFonts w:ascii="宋体" w:hAnsi="宋体" w:eastAsia="宋体" w:cs="仿宋_GB2312"/>
                <w:sz w:val="24"/>
                <w:szCs w:val="24"/>
              </w:rPr>
              <w:t>、</w:t>
            </w:r>
            <w:r>
              <w:rPr>
                <w:rFonts w:hint="default" w:ascii="宋体" w:hAnsi="宋体" w:eastAsia="宋体" w:cs="仿宋_GB2312"/>
                <w:sz w:val="24"/>
                <w:szCs w:val="24"/>
              </w:rPr>
              <w:t>大气污染物排放标准</w:t>
            </w:r>
          </w:p>
          <w:p>
            <w:pPr>
              <w:spacing w:line="360" w:lineRule="auto"/>
              <w:ind w:firstLine="480" w:firstLineChars="200"/>
              <w:rPr>
                <w:rFonts w:hint="eastAsia" w:eastAsia="宋体"/>
                <w:b/>
                <w:lang w:eastAsia="zh-CN"/>
              </w:rPr>
            </w:pPr>
            <w:r>
              <w:rPr>
                <w:rFonts w:hint="eastAsia" w:ascii="宋体" w:hAnsi="宋体" w:cs="宋体"/>
                <w:bCs/>
                <w:sz w:val="24"/>
              </w:rPr>
              <w:t>项目</w:t>
            </w:r>
            <w:r>
              <w:rPr>
                <w:rFonts w:hint="eastAsia" w:ascii="宋体" w:hAnsi="宋体" w:cs="宋体"/>
                <w:bCs/>
                <w:sz w:val="24"/>
                <w:lang w:eastAsia="zh-CN"/>
              </w:rPr>
              <w:t>灰砂砖</w:t>
            </w:r>
            <w:r>
              <w:rPr>
                <w:rFonts w:hint="eastAsia" w:ascii="宋体" w:hAnsi="宋体" w:cs="宋体"/>
                <w:bCs/>
                <w:sz w:val="24"/>
              </w:rPr>
              <w:t>生产过程中</w:t>
            </w:r>
            <w:r>
              <w:rPr>
                <w:rFonts w:hint="eastAsia" w:ascii="宋体" w:hAnsi="宋体" w:cs="宋体"/>
                <w:bCs/>
                <w:sz w:val="24"/>
                <w:lang w:eastAsia="zh-CN"/>
              </w:rPr>
              <w:t>颗粒物</w:t>
            </w:r>
            <w:r>
              <w:rPr>
                <w:rFonts w:hint="eastAsia" w:ascii="宋体" w:hAnsi="宋体" w:cs="宋体"/>
                <w:bCs/>
                <w:sz w:val="24"/>
              </w:rPr>
              <w:t>排放执行《大气污染物综合排放标准》（GB16297-1996）中二级标准</w:t>
            </w:r>
            <w:r>
              <w:rPr>
                <w:rFonts w:hint="eastAsia" w:ascii="宋体" w:hAnsi="宋体" w:cs="宋体"/>
                <w:bCs/>
                <w:sz w:val="24"/>
                <w:lang w:val="en-US" w:eastAsia="zh-CN"/>
              </w:rPr>
              <w:t>及无组织限值要求</w:t>
            </w:r>
            <w:r>
              <w:rPr>
                <w:rFonts w:hint="eastAsia" w:ascii="宋体" w:hAnsi="宋体" w:cs="宋体"/>
                <w:bCs/>
                <w:sz w:val="24"/>
              </w:rPr>
              <w:t>；</w:t>
            </w:r>
            <w:r>
              <w:rPr>
                <w:rFonts w:hint="eastAsia" w:ascii="宋体" w:hAnsi="宋体" w:cs="宋体"/>
                <w:bCs/>
                <w:sz w:val="24"/>
                <w:lang w:eastAsia="zh-CN"/>
              </w:rPr>
              <w:t>生物质锅炉</w:t>
            </w:r>
            <w:r>
              <w:rPr>
                <w:rFonts w:hint="eastAsia" w:ascii="宋体" w:hAnsi="宋体" w:cs="宋体"/>
                <w:bCs/>
                <w:sz w:val="24"/>
              </w:rPr>
              <w:t>燃烧废气执行</w:t>
            </w:r>
            <w:r>
              <w:rPr>
                <w:rFonts w:hint="eastAsia" w:ascii="宋体" w:hAnsi="宋体" w:cs="宋体"/>
                <w:bCs/>
                <w:sz w:val="24"/>
                <w:lang w:eastAsia="zh-CN"/>
              </w:rPr>
              <w:t>《锅炉大气污染物排放标准》（</w:t>
            </w:r>
            <w:r>
              <w:rPr>
                <w:rFonts w:hint="eastAsia" w:ascii="宋体" w:hAnsi="宋体" w:cs="宋体"/>
                <w:bCs/>
                <w:sz w:val="24"/>
                <w:lang w:val="en-US" w:eastAsia="zh-CN"/>
              </w:rPr>
              <w:t>GB13271-2014</w:t>
            </w:r>
            <w:r>
              <w:rPr>
                <w:rFonts w:hint="eastAsia" w:ascii="宋体" w:hAnsi="宋体" w:cs="宋体"/>
                <w:bCs/>
                <w:sz w:val="24"/>
                <w:lang w:eastAsia="zh-CN"/>
              </w:rPr>
              <w:t>）大气污染物特别排放限值中的燃煤锅炉标准</w:t>
            </w:r>
            <w:r>
              <w:rPr>
                <w:rFonts w:hint="eastAsia" w:ascii="宋体" w:hAnsi="宋体" w:cs="宋体"/>
                <w:bCs/>
                <w:sz w:val="24"/>
                <w:lang w:val="en-US" w:eastAsia="zh-CN"/>
              </w:rPr>
              <w:t>，</w:t>
            </w:r>
            <w:r>
              <w:rPr>
                <w:rFonts w:hint="eastAsia" w:ascii="宋体" w:hAnsi="宋体" w:cs="宋体"/>
                <w:bCs/>
                <w:sz w:val="24"/>
              </w:rPr>
              <w:t>详见</w:t>
            </w:r>
            <w:r>
              <w:rPr>
                <w:rFonts w:hint="eastAsia" w:ascii="宋体" w:hAnsi="宋体" w:cs="宋体"/>
                <w:bCs/>
                <w:sz w:val="24"/>
                <w:lang w:val="en-US" w:eastAsia="zh-CN"/>
              </w:rPr>
              <w:t>下表</w:t>
            </w:r>
            <w:r>
              <w:rPr>
                <w:rFonts w:hint="eastAsia" w:ascii="宋体" w:hAnsi="宋体" w:cs="宋体"/>
                <w:bCs/>
                <w:sz w:val="24"/>
                <w:lang w:eastAsia="zh-CN"/>
              </w:rPr>
              <w:t>。</w:t>
            </w:r>
          </w:p>
          <w:p>
            <w:pPr>
              <w:pStyle w:val="95"/>
              <w:jc w:val="center"/>
              <w:rPr>
                <w:rFonts w:hint="eastAsia" w:ascii="宋体" w:hAnsi="宋体" w:eastAsia="宋体"/>
                <w:b/>
                <w:bCs/>
                <w:lang w:eastAsia="zh-CN"/>
              </w:rPr>
            </w:pPr>
            <w:r>
              <w:rPr>
                <w:rFonts w:hint="eastAsia" w:ascii="宋体" w:hAnsi="宋体" w:eastAsia="宋体"/>
                <w:b/>
                <w:bCs/>
              </w:rPr>
              <w:t>表1</w:t>
            </w:r>
            <w:r>
              <w:rPr>
                <w:rFonts w:ascii="宋体" w:hAnsi="宋体" w:eastAsia="宋体"/>
                <w:b/>
                <w:bCs/>
              </w:rPr>
              <w:t>-</w:t>
            </w:r>
            <w:r>
              <w:rPr>
                <w:rFonts w:hint="eastAsia" w:ascii="宋体" w:hAnsi="宋体" w:eastAsia="宋体"/>
                <w:b/>
                <w:bCs/>
                <w:lang w:val="en-US" w:eastAsia="zh-CN"/>
              </w:rPr>
              <w:t xml:space="preserve">1 </w:t>
            </w:r>
            <w:r>
              <w:rPr>
                <w:rFonts w:hint="eastAsia" w:ascii="宋体" w:hAnsi="宋体" w:eastAsia="宋体"/>
                <w:b/>
                <w:bCs/>
                <w:lang w:val="zh-CN"/>
              </w:rPr>
              <w:t>锅炉大气污染物排放标准</w:t>
            </w:r>
            <w:r>
              <w:rPr>
                <w:rFonts w:hint="eastAsia" w:ascii="宋体" w:hAnsi="宋体" w:eastAsia="宋体"/>
                <w:b/>
                <w:bCs/>
                <w:lang w:val="en-US" w:eastAsia="zh-CN"/>
              </w:rPr>
              <w:t xml:space="preserve"> 单位：mg/m</w:t>
            </w:r>
            <w:r>
              <w:rPr>
                <w:rFonts w:hint="eastAsia" w:ascii="宋体" w:hAnsi="宋体" w:eastAsia="宋体"/>
                <w:b/>
                <w:bCs/>
                <w:vertAlign w:val="superscript"/>
                <w:lang w:val="en-US" w:eastAsia="zh-CN"/>
              </w:rPr>
              <w:t>3</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648"/>
              <w:gridCol w:w="2036"/>
              <w:gridCol w:w="2036"/>
              <w:gridCol w:w="13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54" w:hRule="atLeast"/>
                <w:jc w:val="center"/>
              </w:trPr>
              <w:tc>
                <w:tcPr>
                  <w:tcW w:w="1166" w:type="pct"/>
                  <w:noWrap w:val="0"/>
                  <w:vAlign w:val="center"/>
                </w:tcPr>
                <w:p>
                  <w:pPr>
                    <w:adjustRightInd/>
                    <w:spacing w:line="240" w:lineRule="exact"/>
                    <w:jc w:val="center"/>
                    <w:textAlignment w:val="auto"/>
                    <w:rPr>
                      <w:rFonts w:ascii="Times New Roman" w:hAnsi="Times New Roman" w:eastAsia="宋体"/>
                      <w:b/>
                      <w:color w:val="auto"/>
                      <w:kern w:val="2"/>
                      <w:szCs w:val="21"/>
                      <w:highlight w:val="none"/>
                    </w:rPr>
                  </w:pPr>
                  <w:r>
                    <w:rPr>
                      <w:rFonts w:hint="eastAsia" w:ascii="Times New Roman" w:hAnsi="Times New Roman" w:eastAsia="宋体"/>
                      <w:b/>
                      <w:color w:val="auto"/>
                      <w:kern w:val="2"/>
                      <w:szCs w:val="21"/>
                      <w:highlight w:val="none"/>
                      <w:lang w:eastAsia="zh-CN"/>
                    </w:rPr>
                    <w:t>锅炉类别</w:t>
                  </w:r>
                </w:p>
              </w:tc>
              <w:tc>
                <w:tcPr>
                  <w:tcW w:w="1440" w:type="pct"/>
                  <w:noWrap w:val="0"/>
                  <w:vAlign w:val="center"/>
                </w:tcPr>
                <w:p>
                  <w:pPr>
                    <w:spacing w:line="320" w:lineRule="exact"/>
                    <w:jc w:val="center"/>
                    <w:rPr>
                      <w:rFonts w:hint="eastAsia" w:ascii="Times New Roman" w:hAnsi="Times New Roman" w:eastAsia="宋体"/>
                      <w:b/>
                      <w:bCs/>
                      <w:color w:val="auto"/>
                      <w:highlight w:val="none"/>
                      <w:lang w:eastAsia="zh-CN"/>
                    </w:rPr>
                  </w:pPr>
                  <w:r>
                    <w:rPr>
                      <w:rFonts w:hint="eastAsia" w:ascii="Times New Roman" w:hAnsi="Times New Roman" w:eastAsia="宋体"/>
                      <w:b/>
                      <w:bCs/>
                      <w:color w:val="auto"/>
                      <w:highlight w:val="none"/>
                      <w:lang w:eastAsia="zh-CN"/>
                    </w:rPr>
                    <w:t>污染物名称</w:t>
                  </w:r>
                </w:p>
              </w:tc>
              <w:tc>
                <w:tcPr>
                  <w:tcW w:w="1440" w:type="pct"/>
                  <w:noWrap w:val="0"/>
                  <w:vAlign w:val="center"/>
                </w:tcPr>
                <w:p>
                  <w:pPr>
                    <w:spacing w:line="320" w:lineRule="exact"/>
                    <w:jc w:val="center"/>
                    <w:rPr>
                      <w:rFonts w:hint="eastAsia" w:ascii="Times New Roman" w:hAnsi="Times New Roman" w:eastAsia="宋体"/>
                      <w:b/>
                      <w:bCs/>
                      <w:color w:val="auto"/>
                      <w:kern w:val="2"/>
                      <w:szCs w:val="21"/>
                      <w:highlight w:val="none"/>
                      <w:lang w:eastAsia="zh-CN"/>
                    </w:rPr>
                  </w:pPr>
                  <w:r>
                    <w:rPr>
                      <w:rFonts w:hint="eastAsia" w:ascii="Times New Roman" w:hAnsi="Times New Roman" w:eastAsia="宋体"/>
                      <w:b/>
                      <w:bCs/>
                      <w:color w:val="auto"/>
                      <w:highlight w:val="none"/>
                      <w:lang w:eastAsia="zh-CN"/>
                    </w:rPr>
                    <w:t>排放浓度</w:t>
                  </w:r>
                </w:p>
              </w:tc>
              <w:tc>
                <w:tcPr>
                  <w:tcW w:w="952" w:type="pct"/>
                  <w:noWrap w:val="0"/>
                  <w:vAlign w:val="center"/>
                </w:tcPr>
                <w:p>
                  <w:pPr>
                    <w:spacing w:line="320" w:lineRule="exact"/>
                    <w:jc w:val="center"/>
                    <w:rPr>
                      <w:rFonts w:hint="eastAsia" w:ascii="Times New Roman" w:hAnsi="Times New Roman" w:eastAsia="宋体"/>
                      <w:b/>
                      <w:bCs/>
                      <w:color w:val="auto"/>
                      <w:highlight w:val="none"/>
                      <w:lang w:eastAsia="zh-CN"/>
                    </w:rPr>
                  </w:pPr>
                  <w:r>
                    <w:rPr>
                      <w:rFonts w:hint="eastAsia" w:ascii="Times New Roman" w:hAnsi="Times New Roman" w:eastAsia="宋体"/>
                      <w:b/>
                      <w:bCs/>
                      <w:color w:val="auto"/>
                      <w:highlight w:val="none"/>
                      <w:lang w:eastAsia="zh-CN"/>
                    </w:rPr>
                    <w:t>污染物排放监控位置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54" w:hRule="atLeast"/>
                <w:jc w:val="center"/>
              </w:trPr>
              <w:tc>
                <w:tcPr>
                  <w:tcW w:w="1166" w:type="pct"/>
                  <w:vMerge w:val="restart"/>
                  <w:noWrap w:val="0"/>
                  <w:vAlign w:val="center"/>
                </w:tcPr>
                <w:p>
                  <w:pPr>
                    <w:adjustRightInd/>
                    <w:spacing w:line="240" w:lineRule="exact"/>
                    <w:jc w:val="center"/>
                    <w:textAlignment w:val="auto"/>
                    <w:rPr>
                      <w:rFonts w:hint="eastAsia" w:ascii="Times New Roman" w:hAnsi="Times New Roman" w:eastAsia="宋体"/>
                      <w:color w:val="auto"/>
                      <w:kern w:val="2"/>
                      <w:szCs w:val="21"/>
                      <w:highlight w:val="none"/>
                      <w:lang w:val="en-US" w:eastAsia="zh-CN"/>
                    </w:rPr>
                  </w:pPr>
                  <w:r>
                    <w:rPr>
                      <w:rFonts w:hint="eastAsia"/>
                      <w:color w:val="auto"/>
                      <w:kern w:val="2"/>
                      <w:szCs w:val="21"/>
                      <w:highlight w:val="none"/>
                      <w:lang w:val="en-US" w:eastAsia="zh-CN"/>
                    </w:rPr>
                    <w:t>生物质</w:t>
                  </w:r>
                  <w:r>
                    <w:rPr>
                      <w:rFonts w:hint="eastAsia" w:ascii="Times New Roman" w:hAnsi="Times New Roman" w:eastAsia="宋体"/>
                      <w:color w:val="auto"/>
                      <w:kern w:val="2"/>
                      <w:szCs w:val="21"/>
                      <w:highlight w:val="none"/>
                      <w:lang w:val="en-US" w:eastAsia="zh-CN"/>
                    </w:rPr>
                    <w:t>锅炉</w:t>
                  </w:r>
                </w:p>
              </w:tc>
              <w:tc>
                <w:tcPr>
                  <w:tcW w:w="1440" w:type="pct"/>
                  <w:noWrap w:val="0"/>
                  <w:vAlign w:val="center"/>
                </w:tcPr>
                <w:p>
                  <w:pPr>
                    <w:spacing w:line="320" w:lineRule="exact"/>
                    <w:jc w:val="center"/>
                    <w:rPr>
                      <w:rFonts w:hint="eastAsia" w:ascii="Times New Roman" w:hAnsi="Times New Roman" w:eastAsia="宋体"/>
                      <w:color w:val="auto"/>
                      <w:kern w:val="2"/>
                      <w:szCs w:val="21"/>
                      <w:highlight w:val="none"/>
                      <w:lang w:eastAsia="zh-CN"/>
                    </w:rPr>
                  </w:pPr>
                  <w:r>
                    <w:rPr>
                      <w:rFonts w:hint="eastAsia" w:ascii="Times New Roman" w:hAnsi="Times New Roman" w:eastAsia="宋体"/>
                      <w:color w:val="auto"/>
                      <w:kern w:val="2"/>
                      <w:szCs w:val="21"/>
                      <w:highlight w:val="none"/>
                      <w:lang w:eastAsia="zh-CN"/>
                    </w:rPr>
                    <w:t>颗粒物</w:t>
                  </w:r>
                </w:p>
              </w:tc>
              <w:tc>
                <w:tcPr>
                  <w:tcW w:w="1440" w:type="pct"/>
                  <w:noWrap w:val="0"/>
                  <w:vAlign w:val="center"/>
                </w:tcPr>
                <w:p>
                  <w:pPr>
                    <w:spacing w:line="320" w:lineRule="exact"/>
                    <w:jc w:val="center"/>
                    <w:rPr>
                      <w:rFonts w:hint="default" w:ascii="Times New Roman" w:hAnsi="Times New Roman" w:eastAsia="宋体"/>
                      <w:color w:val="auto"/>
                      <w:kern w:val="2"/>
                      <w:szCs w:val="21"/>
                      <w:highlight w:val="none"/>
                      <w:lang w:val="en-US"/>
                    </w:rPr>
                  </w:pPr>
                  <w:r>
                    <w:rPr>
                      <w:rFonts w:hint="eastAsia" w:ascii="Times New Roman" w:hAnsi="Times New Roman" w:eastAsia="宋体"/>
                      <w:color w:val="auto"/>
                      <w:kern w:val="2"/>
                      <w:szCs w:val="21"/>
                      <w:highlight w:val="none"/>
                      <w:lang w:val="en-US" w:eastAsia="zh-CN"/>
                    </w:rPr>
                    <w:t>30</w:t>
                  </w:r>
                </w:p>
              </w:tc>
              <w:tc>
                <w:tcPr>
                  <w:tcW w:w="952" w:type="pct"/>
                  <w:vMerge w:val="restart"/>
                  <w:noWrap w:val="0"/>
                  <w:vAlign w:val="center"/>
                </w:tcPr>
                <w:p>
                  <w:pPr>
                    <w:spacing w:line="320" w:lineRule="exact"/>
                    <w:jc w:val="center"/>
                    <w:rPr>
                      <w:rFonts w:hint="eastAsia" w:ascii="Times New Roman" w:hAnsi="Times New Roman" w:eastAsia="宋体"/>
                      <w:color w:val="auto"/>
                      <w:kern w:val="2"/>
                      <w:szCs w:val="21"/>
                      <w:highlight w:val="none"/>
                      <w:lang w:val="en-US" w:eastAsia="zh-CN"/>
                    </w:rPr>
                  </w:pPr>
                  <w:r>
                    <w:rPr>
                      <w:rFonts w:hint="eastAsia" w:ascii="Times New Roman" w:hAnsi="Times New Roman" w:eastAsia="宋体"/>
                      <w:color w:val="auto"/>
                      <w:highlight w:val="none"/>
                      <w:lang w:val="en-US" w:eastAsia="zh-CN"/>
                    </w:rPr>
                    <w:t>烟囱或烟道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54" w:hRule="atLeast"/>
                <w:jc w:val="center"/>
              </w:trPr>
              <w:tc>
                <w:tcPr>
                  <w:tcW w:w="1166" w:type="pct"/>
                  <w:vMerge w:val="continue"/>
                  <w:noWrap w:val="0"/>
                  <w:vAlign w:val="center"/>
                </w:tcPr>
                <w:p>
                  <w:pPr>
                    <w:adjustRightInd/>
                    <w:spacing w:line="240" w:lineRule="exact"/>
                    <w:jc w:val="center"/>
                    <w:textAlignment w:val="auto"/>
                    <w:rPr>
                      <w:rFonts w:hint="eastAsia" w:ascii="Times New Roman" w:hAnsi="Times New Roman" w:eastAsia="宋体"/>
                      <w:color w:val="auto"/>
                      <w:kern w:val="2"/>
                      <w:szCs w:val="21"/>
                      <w:highlight w:val="none"/>
                      <w:lang w:val="en-US" w:eastAsia="zh-CN"/>
                    </w:rPr>
                  </w:pPr>
                </w:p>
              </w:tc>
              <w:tc>
                <w:tcPr>
                  <w:tcW w:w="1440" w:type="pct"/>
                  <w:noWrap w:val="0"/>
                  <w:vAlign w:val="center"/>
                </w:tcPr>
                <w:p>
                  <w:pPr>
                    <w:spacing w:line="320" w:lineRule="exact"/>
                    <w:jc w:val="center"/>
                    <w:rPr>
                      <w:rFonts w:hint="default" w:ascii="Times New Roman" w:hAnsi="Times New Roman" w:eastAsia="宋体"/>
                      <w:color w:val="auto"/>
                      <w:kern w:val="2"/>
                      <w:szCs w:val="21"/>
                      <w:highlight w:val="none"/>
                      <w:lang w:val="en-US" w:eastAsia="zh-CN"/>
                    </w:rPr>
                  </w:pPr>
                  <w:r>
                    <w:rPr>
                      <w:rFonts w:hint="eastAsia" w:ascii="Times New Roman" w:hAnsi="Times New Roman" w:eastAsia="宋体"/>
                      <w:color w:val="auto"/>
                      <w:kern w:val="2"/>
                      <w:szCs w:val="21"/>
                      <w:highlight w:val="none"/>
                      <w:lang w:val="en-US" w:eastAsia="zh-CN"/>
                    </w:rPr>
                    <w:t>SO</w:t>
                  </w:r>
                  <w:r>
                    <w:rPr>
                      <w:rFonts w:hint="eastAsia" w:ascii="Times New Roman" w:hAnsi="Times New Roman" w:eastAsia="宋体"/>
                      <w:color w:val="auto"/>
                      <w:kern w:val="2"/>
                      <w:szCs w:val="21"/>
                      <w:highlight w:val="none"/>
                      <w:vertAlign w:val="subscript"/>
                      <w:lang w:val="en-US" w:eastAsia="zh-CN"/>
                    </w:rPr>
                    <w:t>2</w:t>
                  </w:r>
                </w:p>
              </w:tc>
              <w:tc>
                <w:tcPr>
                  <w:tcW w:w="1440" w:type="pct"/>
                  <w:noWrap w:val="0"/>
                  <w:vAlign w:val="center"/>
                </w:tcPr>
                <w:p>
                  <w:pPr>
                    <w:spacing w:line="320" w:lineRule="exact"/>
                    <w:jc w:val="center"/>
                    <w:rPr>
                      <w:rFonts w:hint="default" w:ascii="Times New Roman" w:hAnsi="Times New Roman" w:eastAsia="宋体"/>
                      <w:color w:val="auto"/>
                      <w:kern w:val="2"/>
                      <w:szCs w:val="21"/>
                      <w:highlight w:val="none"/>
                      <w:lang w:val="en-US" w:eastAsia="zh-CN"/>
                    </w:rPr>
                  </w:pPr>
                  <w:r>
                    <w:rPr>
                      <w:rFonts w:hint="eastAsia" w:ascii="Times New Roman" w:hAnsi="Times New Roman" w:eastAsia="宋体"/>
                      <w:color w:val="auto"/>
                      <w:kern w:val="2"/>
                      <w:szCs w:val="21"/>
                      <w:highlight w:val="none"/>
                      <w:lang w:val="en-US" w:eastAsia="zh-CN"/>
                    </w:rPr>
                    <w:t>200</w:t>
                  </w:r>
                </w:p>
              </w:tc>
              <w:tc>
                <w:tcPr>
                  <w:tcW w:w="952" w:type="pct"/>
                  <w:vMerge w:val="continue"/>
                  <w:noWrap w:val="0"/>
                  <w:vAlign w:val="center"/>
                </w:tcPr>
                <w:p>
                  <w:pPr>
                    <w:spacing w:line="320" w:lineRule="exact"/>
                    <w:jc w:val="center"/>
                    <w:rPr>
                      <w:rFonts w:hint="eastAsia" w:ascii="Times New Roman" w:hAnsi="Times New Roman" w:eastAsia="宋体"/>
                      <w:color w:val="auto"/>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54" w:hRule="atLeast"/>
                <w:jc w:val="center"/>
              </w:trPr>
              <w:tc>
                <w:tcPr>
                  <w:tcW w:w="1166" w:type="pct"/>
                  <w:vMerge w:val="continue"/>
                  <w:noWrap w:val="0"/>
                  <w:vAlign w:val="center"/>
                </w:tcPr>
                <w:p>
                  <w:pPr>
                    <w:adjustRightInd/>
                    <w:spacing w:line="240" w:lineRule="exact"/>
                    <w:jc w:val="center"/>
                    <w:textAlignment w:val="auto"/>
                    <w:rPr>
                      <w:rFonts w:hint="eastAsia" w:ascii="Times New Roman" w:hAnsi="Times New Roman" w:eastAsia="宋体"/>
                      <w:color w:val="auto"/>
                      <w:kern w:val="2"/>
                      <w:szCs w:val="21"/>
                      <w:highlight w:val="none"/>
                      <w:lang w:val="en-US" w:eastAsia="zh-CN"/>
                    </w:rPr>
                  </w:pPr>
                </w:p>
              </w:tc>
              <w:tc>
                <w:tcPr>
                  <w:tcW w:w="1440" w:type="pct"/>
                  <w:noWrap w:val="0"/>
                  <w:vAlign w:val="center"/>
                </w:tcPr>
                <w:p>
                  <w:pPr>
                    <w:spacing w:line="320" w:lineRule="exact"/>
                    <w:jc w:val="center"/>
                    <w:rPr>
                      <w:rFonts w:hint="default" w:ascii="Times New Roman" w:hAnsi="Times New Roman" w:eastAsia="宋体"/>
                      <w:color w:val="auto"/>
                      <w:kern w:val="2"/>
                      <w:szCs w:val="21"/>
                      <w:highlight w:val="none"/>
                      <w:lang w:val="en-US" w:eastAsia="zh-CN"/>
                    </w:rPr>
                  </w:pPr>
                  <w:r>
                    <w:rPr>
                      <w:rFonts w:hint="eastAsia" w:ascii="Times New Roman" w:hAnsi="Times New Roman" w:eastAsia="宋体"/>
                      <w:color w:val="auto"/>
                      <w:kern w:val="2"/>
                      <w:szCs w:val="21"/>
                      <w:highlight w:val="none"/>
                      <w:lang w:val="en-US" w:eastAsia="zh-CN"/>
                    </w:rPr>
                    <w:t>NOx</w:t>
                  </w:r>
                </w:p>
              </w:tc>
              <w:tc>
                <w:tcPr>
                  <w:tcW w:w="1440" w:type="pct"/>
                  <w:noWrap w:val="0"/>
                  <w:vAlign w:val="center"/>
                </w:tcPr>
                <w:p>
                  <w:pPr>
                    <w:spacing w:line="320" w:lineRule="exact"/>
                    <w:jc w:val="center"/>
                    <w:rPr>
                      <w:rFonts w:hint="default" w:ascii="Times New Roman" w:hAnsi="Times New Roman" w:eastAsia="宋体"/>
                      <w:color w:val="auto"/>
                      <w:kern w:val="2"/>
                      <w:szCs w:val="21"/>
                      <w:highlight w:val="none"/>
                      <w:lang w:val="en-US" w:eastAsia="zh-CN"/>
                    </w:rPr>
                  </w:pPr>
                  <w:r>
                    <w:rPr>
                      <w:rFonts w:hint="eastAsia" w:ascii="Times New Roman" w:hAnsi="Times New Roman" w:eastAsia="宋体"/>
                      <w:color w:val="auto"/>
                      <w:kern w:val="2"/>
                      <w:szCs w:val="21"/>
                      <w:highlight w:val="none"/>
                      <w:lang w:val="en-US" w:eastAsia="zh-CN"/>
                    </w:rPr>
                    <w:t>200</w:t>
                  </w:r>
                </w:p>
              </w:tc>
              <w:tc>
                <w:tcPr>
                  <w:tcW w:w="952" w:type="pct"/>
                  <w:vMerge w:val="continue"/>
                  <w:noWrap w:val="0"/>
                  <w:vAlign w:val="center"/>
                </w:tcPr>
                <w:p>
                  <w:pPr>
                    <w:spacing w:line="320" w:lineRule="exact"/>
                    <w:jc w:val="center"/>
                    <w:rPr>
                      <w:rFonts w:hint="eastAsia" w:ascii="Times New Roman" w:hAnsi="Times New Roman" w:eastAsia="宋体"/>
                      <w:color w:val="auto"/>
                      <w:highlight w:val="none"/>
                      <w:lang w:val="en-US" w:eastAsia="zh-CN"/>
                    </w:rPr>
                  </w:pPr>
                </w:p>
              </w:tc>
            </w:tr>
          </w:tbl>
          <w:p>
            <w:pPr>
              <w:adjustRightInd w:val="0"/>
              <w:spacing w:line="360" w:lineRule="auto"/>
              <w:jc w:val="center"/>
              <w:textAlignment w:val="baseline"/>
              <w:rPr>
                <w:rFonts w:hint="eastAsia" w:ascii="Times New Roman" w:hAnsi="Times New Roman" w:eastAsia="宋体"/>
                <w:b/>
                <w:bCs/>
                <w:color w:val="000000"/>
                <w:kern w:val="2"/>
                <w:sz w:val="24"/>
                <w:szCs w:val="24"/>
                <w:highlight w:val="none"/>
                <w:lang w:val="zh-CN"/>
              </w:rPr>
            </w:pPr>
            <w:r>
              <w:rPr>
                <w:rFonts w:hint="eastAsia" w:ascii="Times New Roman" w:hAnsi="Times New Roman" w:eastAsia="宋体"/>
                <w:b/>
                <w:bCs/>
                <w:color w:val="000000"/>
                <w:kern w:val="2"/>
                <w:sz w:val="24"/>
                <w:szCs w:val="24"/>
                <w:highlight w:val="none"/>
                <w:lang w:val="zh-CN"/>
              </w:rPr>
              <w:t>表</w:t>
            </w:r>
            <w:r>
              <w:rPr>
                <w:rFonts w:hint="default" w:ascii="Times New Roman" w:hAnsi="Times New Roman" w:eastAsia="宋体" w:cs="Times New Roman"/>
                <w:b/>
                <w:bCs/>
                <w:kern w:val="0"/>
                <w:sz w:val="24"/>
                <w:szCs w:val="24"/>
                <w:highlight w:val="none"/>
                <w:lang w:val="en-US" w:eastAsia="zh-CN" w:bidi="en-US"/>
              </w:rPr>
              <w:t>1</w:t>
            </w:r>
            <w:r>
              <w:rPr>
                <w:rFonts w:hint="eastAsia" w:eastAsia="宋体" w:cs="Times New Roman"/>
                <w:b/>
                <w:bCs/>
                <w:kern w:val="0"/>
                <w:sz w:val="24"/>
                <w:szCs w:val="24"/>
                <w:highlight w:val="none"/>
                <w:lang w:val="en-US" w:eastAsia="zh-CN" w:bidi="en-US"/>
              </w:rPr>
              <w:t>-2</w:t>
            </w:r>
            <w:r>
              <w:rPr>
                <w:rFonts w:hint="eastAsia" w:ascii="Times New Roman" w:hAnsi="Times New Roman" w:eastAsia="宋体"/>
                <w:b/>
                <w:bCs/>
                <w:color w:val="000000"/>
                <w:kern w:val="2"/>
                <w:sz w:val="24"/>
                <w:szCs w:val="24"/>
                <w:highlight w:val="none"/>
                <w:lang w:val="zh-CN"/>
              </w:rPr>
              <w:t xml:space="preserve"> 大气污染物综合排放标准</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99"/>
              <w:gridCol w:w="924"/>
              <w:gridCol w:w="1532"/>
              <w:gridCol w:w="1742"/>
              <w:gridCol w:w="19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1142" w:type="dxa"/>
                  <w:vMerge w:val="restart"/>
                  <w:noWrap w:val="0"/>
                  <w:vAlign w:val="center"/>
                </w:tcPr>
                <w:p>
                  <w:pPr>
                    <w:adjustRightInd/>
                    <w:spacing w:line="240" w:lineRule="exact"/>
                    <w:jc w:val="center"/>
                    <w:textAlignment w:val="auto"/>
                    <w:rPr>
                      <w:rFonts w:ascii="Times New Roman" w:hAnsi="Times New Roman" w:eastAsia="宋体"/>
                      <w:b/>
                      <w:kern w:val="2"/>
                      <w:szCs w:val="21"/>
                      <w:highlight w:val="none"/>
                    </w:rPr>
                  </w:pPr>
                  <w:r>
                    <w:rPr>
                      <w:rFonts w:ascii="Times New Roman" w:hAnsi="Times New Roman" w:eastAsia="宋体"/>
                      <w:b/>
                      <w:kern w:val="2"/>
                      <w:szCs w:val="21"/>
                      <w:highlight w:val="none"/>
                    </w:rPr>
                    <w:t>污染物</w:t>
                  </w:r>
                </w:p>
              </w:tc>
              <w:tc>
                <w:tcPr>
                  <w:tcW w:w="1029" w:type="dxa"/>
                  <w:vMerge w:val="restart"/>
                  <w:noWrap w:val="0"/>
                  <w:vAlign w:val="center"/>
                </w:tcPr>
                <w:p>
                  <w:pPr>
                    <w:adjustRightInd/>
                    <w:spacing w:line="240" w:lineRule="exact"/>
                    <w:jc w:val="center"/>
                    <w:textAlignment w:val="auto"/>
                    <w:rPr>
                      <w:rFonts w:ascii="Times New Roman" w:hAnsi="Times New Roman" w:eastAsia="宋体"/>
                      <w:b/>
                      <w:kern w:val="2"/>
                      <w:szCs w:val="21"/>
                      <w:highlight w:val="none"/>
                    </w:rPr>
                  </w:pPr>
                  <w:r>
                    <w:rPr>
                      <w:rFonts w:ascii="Times New Roman" w:hAnsi="Times New Roman" w:eastAsia="宋体"/>
                      <w:b/>
                      <w:kern w:val="2"/>
                      <w:szCs w:val="21"/>
                      <w:highlight w:val="none"/>
                    </w:rPr>
                    <w:t>排气筒高度（m）</w:t>
                  </w:r>
                </w:p>
              </w:tc>
              <w:tc>
                <w:tcPr>
                  <w:tcW w:w="3790" w:type="dxa"/>
                  <w:gridSpan w:val="2"/>
                  <w:noWrap w:val="0"/>
                  <w:vAlign w:val="center"/>
                </w:tcPr>
                <w:p>
                  <w:pPr>
                    <w:adjustRightInd/>
                    <w:spacing w:line="240" w:lineRule="exact"/>
                    <w:jc w:val="center"/>
                    <w:textAlignment w:val="auto"/>
                    <w:rPr>
                      <w:rFonts w:hint="eastAsia" w:ascii="Times New Roman" w:hAnsi="Times New Roman" w:eastAsia="宋体"/>
                      <w:b/>
                      <w:kern w:val="2"/>
                      <w:szCs w:val="21"/>
                      <w:highlight w:val="none"/>
                      <w:lang w:eastAsia="zh-CN"/>
                    </w:rPr>
                  </w:pPr>
                  <w:r>
                    <w:rPr>
                      <w:rFonts w:hint="eastAsia" w:ascii="Times New Roman" w:hAnsi="Times New Roman" w:eastAsia="宋体"/>
                      <w:b/>
                      <w:kern w:val="2"/>
                      <w:szCs w:val="21"/>
                      <w:highlight w:val="none"/>
                      <w:lang w:eastAsia="zh-CN"/>
                    </w:rPr>
                    <w:t>排放标准</w:t>
                  </w:r>
                </w:p>
              </w:tc>
              <w:tc>
                <w:tcPr>
                  <w:tcW w:w="2324" w:type="dxa"/>
                  <w:noWrap w:val="0"/>
                  <w:vAlign w:val="center"/>
                </w:tcPr>
                <w:p>
                  <w:pPr>
                    <w:adjustRightInd/>
                    <w:spacing w:line="240" w:lineRule="exact"/>
                    <w:jc w:val="center"/>
                    <w:textAlignment w:val="auto"/>
                    <w:rPr>
                      <w:rFonts w:ascii="Times New Roman" w:hAnsi="Times New Roman" w:eastAsia="宋体"/>
                      <w:b/>
                      <w:kern w:val="2"/>
                      <w:szCs w:val="21"/>
                      <w:highlight w:val="none"/>
                    </w:rPr>
                  </w:pPr>
                  <w:r>
                    <w:rPr>
                      <w:rFonts w:ascii="Times New Roman" w:hAnsi="Times New Roman" w:eastAsia="宋体"/>
                      <w:b/>
                      <w:kern w:val="2"/>
                      <w:szCs w:val="21"/>
                      <w:highlight w:val="none"/>
                    </w:rPr>
                    <w:t>无组织排放监控浓度值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567" w:hRule="atLeast"/>
                <w:jc w:val="center"/>
              </w:trPr>
              <w:tc>
                <w:tcPr>
                  <w:tcW w:w="1142" w:type="dxa"/>
                  <w:vMerge w:val="continue"/>
                  <w:noWrap w:val="0"/>
                  <w:vAlign w:val="center"/>
                </w:tcPr>
                <w:p>
                  <w:pPr>
                    <w:adjustRightInd/>
                    <w:spacing w:line="240" w:lineRule="exact"/>
                    <w:ind w:firstLine="422" w:firstLineChars="200"/>
                    <w:jc w:val="center"/>
                    <w:textAlignment w:val="auto"/>
                    <w:rPr>
                      <w:rFonts w:ascii="Times New Roman" w:hAnsi="Times New Roman" w:eastAsia="宋体"/>
                      <w:b/>
                      <w:kern w:val="2"/>
                      <w:szCs w:val="21"/>
                      <w:highlight w:val="none"/>
                    </w:rPr>
                  </w:pPr>
                </w:p>
              </w:tc>
              <w:tc>
                <w:tcPr>
                  <w:tcW w:w="1029" w:type="dxa"/>
                  <w:vMerge w:val="continue"/>
                  <w:noWrap w:val="0"/>
                  <w:vAlign w:val="center"/>
                </w:tcPr>
                <w:p>
                  <w:pPr>
                    <w:adjustRightInd/>
                    <w:spacing w:line="240" w:lineRule="exact"/>
                    <w:ind w:firstLine="422" w:firstLineChars="200"/>
                    <w:jc w:val="center"/>
                    <w:textAlignment w:val="auto"/>
                    <w:rPr>
                      <w:rFonts w:ascii="Times New Roman" w:hAnsi="Times New Roman" w:eastAsia="宋体"/>
                      <w:b/>
                      <w:kern w:val="2"/>
                      <w:szCs w:val="21"/>
                      <w:highlight w:val="none"/>
                    </w:rPr>
                  </w:pPr>
                </w:p>
              </w:tc>
              <w:tc>
                <w:tcPr>
                  <w:tcW w:w="1714" w:type="dxa"/>
                  <w:noWrap w:val="0"/>
                  <w:vAlign w:val="center"/>
                </w:tcPr>
                <w:p>
                  <w:pPr>
                    <w:adjustRightInd/>
                    <w:spacing w:line="240" w:lineRule="exact"/>
                    <w:jc w:val="center"/>
                    <w:textAlignment w:val="auto"/>
                    <w:rPr>
                      <w:rFonts w:ascii="Times New Roman" w:hAnsi="Times New Roman" w:eastAsia="宋体"/>
                      <w:b/>
                      <w:kern w:val="2"/>
                      <w:szCs w:val="21"/>
                      <w:highlight w:val="none"/>
                    </w:rPr>
                  </w:pPr>
                  <w:r>
                    <w:rPr>
                      <w:rFonts w:hint="eastAsia" w:ascii="Times New Roman" w:hAnsi="Times New Roman" w:eastAsia="宋体"/>
                      <w:b/>
                      <w:kern w:val="2"/>
                      <w:szCs w:val="21"/>
                      <w:highlight w:val="none"/>
                    </w:rPr>
                    <w:t>最高允许排放浓度</w:t>
                  </w:r>
                  <w:r>
                    <w:rPr>
                      <w:rFonts w:ascii="Times New Roman" w:hAnsi="Times New Roman" w:eastAsia="宋体"/>
                      <w:b/>
                      <w:kern w:val="2"/>
                      <w:szCs w:val="21"/>
                      <w:highlight w:val="none"/>
                    </w:rPr>
                    <w:t>（mg/m</w:t>
                  </w:r>
                  <w:r>
                    <w:rPr>
                      <w:rFonts w:ascii="Times New Roman" w:hAnsi="Times New Roman" w:eastAsia="宋体"/>
                      <w:b/>
                      <w:kern w:val="2"/>
                      <w:szCs w:val="21"/>
                      <w:highlight w:val="none"/>
                      <w:vertAlign w:val="superscript"/>
                    </w:rPr>
                    <w:t>3</w:t>
                  </w:r>
                  <w:r>
                    <w:rPr>
                      <w:rFonts w:ascii="Times New Roman" w:hAnsi="Times New Roman" w:eastAsia="宋体"/>
                      <w:b/>
                      <w:kern w:val="2"/>
                      <w:szCs w:val="21"/>
                      <w:highlight w:val="none"/>
                    </w:rPr>
                    <w:t>）</w:t>
                  </w:r>
                </w:p>
              </w:tc>
              <w:tc>
                <w:tcPr>
                  <w:tcW w:w="2076" w:type="dxa"/>
                  <w:noWrap w:val="0"/>
                  <w:vAlign w:val="center"/>
                </w:tcPr>
                <w:p>
                  <w:pPr>
                    <w:adjustRightInd/>
                    <w:spacing w:line="240" w:lineRule="exact"/>
                    <w:jc w:val="center"/>
                    <w:textAlignment w:val="auto"/>
                    <w:rPr>
                      <w:rFonts w:ascii="Times New Roman" w:hAnsi="Times New Roman" w:eastAsia="宋体"/>
                      <w:b/>
                      <w:kern w:val="2"/>
                      <w:szCs w:val="21"/>
                      <w:highlight w:val="none"/>
                    </w:rPr>
                  </w:pPr>
                  <w:r>
                    <w:rPr>
                      <w:rFonts w:hint="eastAsia" w:ascii="Times New Roman" w:hAnsi="Times New Roman" w:eastAsia="宋体"/>
                      <w:b/>
                      <w:kern w:val="2"/>
                      <w:szCs w:val="21"/>
                      <w:highlight w:val="none"/>
                    </w:rPr>
                    <w:t>最高允许排放速率（</w:t>
                  </w:r>
                  <w:r>
                    <w:rPr>
                      <w:rFonts w:hint="eastAsia" w:ascii="Times New Roman" w:hAnsi="Times New Roman" w:eastAsia="宋体"/>
                      <w:b/>
                      <w:kern w:val="2"/>
                      <w:szCs w:val="21"/>
                      <w:highlight w:val="none"/>
                      <w:lang w:val="en-US" w:eastAsia="zh-CN"/>
                    </w:rPr>
                    <w:t>kg/h</w:t>
                  </w:r>
                  <w:r>
                    <w:rPr>
                      <w:rFonts w:hint="eastAsia" w:ascii="Times New Roman" w:hAnsi="Times New Roman" w:eastAsia="宋体"/>
                      <w:b/>
                      <w:kern w:val="2"/>
                      <w:szCs w:val="21"/>
                      <w:highlight w:val="none"/>
                    </w:rPr>
                    <w:t>）</w:t>
                  </w:r>
                </w:p>
              </w:tc>
              <w:tc>
                <w:tcPr>
                  <w:tcW w:w="2324" w:type="dxa"/>
                  <w:noWrap w:val="0"/>
                  <w:vAlign w:val="center"/>
                </w:tcPr>
                <w:p>
                  <w:pPr>
                    <w:adjustRightInd/>
                    <w:spacing w:line="240" w:lineRule="exact"/>
                    <w:jc w:val="center"/>
                    <w:textAlignment w:val="auto"/>
                    <w:rPr>
                      <w:rFonts w:ascii="Times New Roman" w:hAnsi="Times New Roman" w:eastAsia="宋体"/>
                      <w:b/>
                      <w:kern w:val="2"/>
                      <w:szCs w:val="21"/>
                      <w:highlight w:val="none"/>
                    </w:rPr>
                  </w:pPr>
                  <w:r>
                    <w:rPr>
                      <w:rFonts w:ascii="Times New Roman" w:hAnsi="Times New Roman" w:eastAsia="宋体"/>
                      <w:b/>
                      <w:kern w:val="2"/>
                      <w:szCs w:val="21"/>
                      <w:highlight w:val="none"/>
                    </w:rPr>
                    <w:t>浓度（mg/m</w:t>
                  </w:r>
                  <w:r>
                    <w:rPr>
                      <w:rFonts w:ascii="Times New Roman" w:hAnsi="Times New Roman" w:eastAsia="宋体"/>
                      <w:b/>
                      <w:kern w:val="2"/>
                      <w:szCs w:val="21"/>
                      <w:highlight w:val="none"/>
                      <w:vertAlign w:val="superscript"/>
                    </w:rPr>
                    <w:t>3</w:t>
                  </w:r>
                  <w:r>
                    <w:rPr>
                      <w:rFonts w:ascii="Times New Roman" w:hAnsi="Times New Roman" w:eastAsia="宋体"/>
                      <w:b/>
                      <w:kern w:val="2"/>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1142" w:type="dxa"/>
                  <w:noWrap w:val="0"/>
                  <w:vAlign w:val="center"/>
                </w:tcPr>
                <w:p>
                  <w:pPr>
                    <w:adjustRightInd/>
                    <w:spacing w:line="240" w:lineRule="exact"/>
                    <w:jc w:val="center"/>
                    <w:textAlignment w:val="auto"/>
                    <w:rPr>
                      <w:rFonts w:ascii="Times New Roman" w:hAnsi="Times New Roman" w:eastAsia="宋体"/>
                      <w:kern w:val="2"/>
                      <w:szCs w:val="21"/>
                      <w:highlight w:val="none"/>
                    </w:rPr>
                  </w:pPr>
                  <w:r>
                    <w:rPr>
                      <w:rFonts w:hint="eastAsia" w:ascii="Times New Roman" w:hAnsi="Times New Roman" w:eastAsia="宋体"/>
                      <w:kern w:val="2"/>
                      <w:szCs w:val="21"/>
                      <w:highlight w:val="none"/>
                    </w:rPr>
                    <w:t>颗粒物</w:t>
                  </w:r>
                </w:p>
              </w:tc>
              <w:tc>
                <w:tcPr>
                  <w:tcW w:w="1029" w:type="dxa"/>
                  <w:noWrap w:val="0"/>
                  <w:vAlign w:val="center"/>
                </w:tcPr>
                <w:p>
                  <w:pPr>
                    <w:adjustRightInd/>
                    <w:spacing w:line="240" w:lineRule="exact"/>
                    <w:jc w:val="center"/>
                    <w:textAlignment w:val="auto"/>
                    <w:rPr>
                      <w:rFonts w:hint="eastAsia" w:ascii="Times New Roman" w:hAnsi="Times New Roman" w:eastAsia="宋体"/>
                      <w:kern w:val="2"/>
                      <w:szCs w:val="21"/>
                      <w:highlight w:val="none"/>
                      <w:lang w:val="en-US" w:eastAsia="zh-CN"/>
                    </w:rPr>
                  </w:pPr>
                  <w:r>
                    <w:rPr>
                      <w:rFonts w:hint="eastAsia" w:ascii="Times New Roman" w:hAnsi="Times New Roman" w:eastAsia="宋体"/>
                      <w:kern w:val="2"/>
                      <w:szCs w:val="21"/>
                      <w:highlight w:val="none"/>
                      <w:lang w:val="en-US" w:eastAsia="zh-CN"/>
                    </w:rPr>
                    <w:t>15</w:t>
                  </w:r>
                </w:p>
              </w:tc>
              <w:tc>
                <w:tcPr>
                  <w:tcW w:w="1714" w:type="dxa"/>
                  <w:noWrap w:val="0"/>
                  <w:vAlign w:val="center"/>
                </w:tcPr>
                <w:p>
                  <w:pPr>
                    <w:adjustRightInd/>
                    <w:spacing w:line="240" w:lineRule="exact"/>
                    <w:jc w:val="center"/>
                    <w:textAlignment w:val="auto"/>
                    <w:rPr>
                      <w:rFonts w:hint="eastAsia" w:ascii="Times New Roman" w:hAnsi="Times New Roman" w:eastAsia="宋体"/>
                      <w:kern w:val="2"/>
                      <w:szCs w:val="21"/>
                      <w:highlight w:val="none"/>
                      <w:lang w:val="en-US" w:eastAsia="zh-CN"/>
                    </w:rPr>
                  </w:pPr>
                  <w:r>
                    <w:rPr>
                      <w:rFonts w:hint="eastAsia" w:ascii="Times New Roman" w:hAnsi="Times New Roman" w:eastAsia="宋体"/>
                      <w:kern w:val="2"/>
                      <w:szCs w:val="21"/>
                      <w:highlight w:val="none"/>
                      <w:lang w:val="en-US" w:eastAsia="zh-CN"/>
                    </w:rPr>
                    <w:t>120</w:t>
                  </w:r>
                </w:p>
              </w:tc>
              <w:tc>
                <w:tcPr>
                  <w:tcW w:w="2076" w:type="dxa"/>
                  <w:noWrap w:val="0"/>
                  <w:vAlign w:val="center"/>
                </w:tcPr>
                <w:p>
                  <w:pPr>
                    <w:adjustRightInd/>
                    <w:spacing w:line="240" w:lineRule="exact"/>
                    <w:jc w:val="center"/>
                    <w:textAlignment w:val="auto"/>
                    <w:rPr>
                      <w:rFonts w:ascii="Times New Roman" w:hAnsi="Times New Roman" w:eastAsia="宋体"/>
                      <w:kern w:val="2"/>
                      <w:szCs w:val="21"/>
                      <w:highlight w:val="none"/>
                    </w:rPr>
                  </w:pPr>
                  <w:r>
                    <w:rPr>
                      <w:rFonts w:hint="eastAsia" w:ascii="Times New Roman" w:hAnsi="Times New Roman" w:eastAsia="宋体"/>
                      <w:kern w:val="2"/>
                      <w:szCs w:val="21"/>
                      <w:highlight w:val="none"/>
                    </w:rPr>
                    <w:t>3.5</w:t>
                  </w:r>
                </w:p>
              </w:tc>
              <w:tc>
                <w:tcPr>
                  <w:tcW w:w="2324" w:type="dxa"/>
                  <w:noWrap w:val="0"/>
                  <w:vAlign w:val="center"/>
                </w:tcPr>
                <w:p>
                  <w:pPr>
                    <w:adjustRightInd/>
                    <w:spacing w:line="240" w:lineRule="exact"/>
                    <w:jc w:val="center"/>
                    <w:textAlignment w:val="auto"/>
                    <w:rPr>
                      <w:rFonts w:ascii="Times New Roman" w:hAnsi="Times New Roman" w:eastAsia="宋体"/>
                      <w:kern w:val="2"/>
                      <w:szCs w:val="21"/>
                      <w:highlight w:val="none"/>
                    </w:rPr>
                  </w:pPr>
                  <w:r>
                    <w:rPr>
                      <w:rFonts w:hint="eastAsia" w:ascii="Times New Roman" w:hAnsi="Times New Roman" w:eastAsia="宋体"/>
                      <w:kern w:val="2"/>
                      <w:szCs w:val="21"/>
                      <w:highlight w:val="none"/>
                    </w:rPr>
                    <w:t>1.0</w:t>
                  </w:r>
                </w:p>
              </w:tc>
            </w:tr>
          </w:tbl>
          <w:p>
            <w:pPr>
              <w:pStyle w:val="5"/>
              <w:adjustRightInd w:val="0"/>
              <w:rPr>
                <w:rFonts w:hint="default" w:ascii="宋体" w:hAnsi="宋体" w:eastAsia="宋体" w:cs="仿宋_GB2312"/>
                <w:sz w:val="24"/>
                <w:szCs w:val="24"/>
              </w:rPr>
            </w:pPr>
            <w:r>
              <w:rPr>
                <w:rFonts w:ascii="宋体" w:hAnsi="宋体" w:eastAsia="宋体" w:cs="仿宋_GB2312"/>
                <w:sz w:val="24"/>
                <w:szCs w:val="24"/>
              </w:rPr>
              <w:t>3、噪声</w:t>
            </w:r>
            <w:r>
              <w:rPr>
                <w:rFonts w:hint="default" w:ascii="宋体" w:hAnsi="宋体" w:eastAsia="宋体" w:cs="仿宋_GB2312"/>
                <w:sz w:val="24"/>
                <w:szCs w:val="24"/>
              </w:rPr>
              <w:t>排放标准</w:t>
            </w:r>
          </w:p>
          <w:p>
            <w:pPr>
              <w:spacing w:line="360" w:lineRule="auto"/>
              <w:ind w:firstLine="480" w:firstLineChars="200"/>
              <w:rPr>
                <w:rFonts w:ascii="宋体" w:hAnsi="宋体"/>
                <w:sz w:val="24"/>
              </w:rPr>
            </w:pPr>
            <w:r>
              <w:rPr>
                <w:rFonts w:hint="eastAsia" w:ascii="宋体" w:hAnsi="宋体"/>
                <w:sz w:val="24"/>
                <w:lang w:val="en-US" w:eastAsia="zh-CN"/>
              </w:rPr>
              <w:t>本</w:t>
            </w:r>
            <w:r>
              <w:rPr>
                <w:rFonts w:hint="eastAsia" w:ascii="宋体" w:hAnsi="宋体"/>
                <w:sz w:val="24"/>
              </w:rPr>
              <w:t>项目</w:t>
            </w:r>
            <w:r>
              <w:rPr>
                <w:rFonts w:hint="eastAsia" w:ascii="宋体" w:hAnsi="宋体"/>
                <w:sz w:val="24"/>
                <w:lang w:val="en-US" w:eastAsia="zh-CN"/>
              </w:rPr>
              <w:t>生产厂房</w:t>
            </w:r>
            <w:r>
              <w:rPr>
                <w:rFonts w:hint="eastAsia" w:ascii="宋体" w:hAnsi="宋体"/>
                <w:sz w:val="24"/>
              </w:rPr>
              <w:t>厂界噪声排放执行《工业企业厂界环境噪声排放标准》(GB12348-2008)</w:t>
            </w:r>
            <w:r>
              <w:rPr>
                <w:rFonts w:hint="eastAsia" w:ascii="宋体" w:hAnsi="宋体"/>
                <w:sz w:val="24"/>
                <w:lang w:val="en-US" w:eastAsia="zh-CN"/>
              </w:rPr>
              <w:t>3</w:t>
            </w:r>
            <w:r>
              <w:rPr>
                <w:rFonts w:hint="eastAsia" w:ascii="宋体" w:hAnsi="宋体"/>
                <w:sz w:val="24"/>
              </w:rPr>
              <w:t>类标准，</w:t>
            </w:r>
            <w:r>
              <w:rPr>
                <w:rFonts w:hint="eastAsia" w:ascii="宋体" w:hAnsi="宋体"/>
                <w:sz w:val="24"/>
                <w:lang w:eastAsia="zh-CN"/>
              </w:rPr>
              <w:t>附近敏感点执行</w:t>
            </w:r>
            <w:r>
              <w:rPr>
                <w:rFonts w:hint="eastAsia" w:ascii="宋体" w:hAnsi="宋体"/>
                <w:sz w:val="24"/>
                <w:lang w:val="en-US" w:eastAsia="zh-CN"/>
              </w:rPr>
              <w:t>2类标准</w:t>
            </w:r>
            <w:r>
              <w:rPr>
                <w:rFonts w:hint="eastAsia" w:ascii="宋体" w:hAnsi="宋体"/>
                <w:sz w:val="24"/>
              </w:rPr>
              <w:t>。</w:t>
            </w:r>
          </w:p>
          <w:p>
            <w:pPr>
              <w:spacing w:line="360" w:lineRule="auto"/>
              <w:ind w:firstLine="482" w:firstLineChars="200"/>
              <w:rPr>
                <w:rFonts w:ascii="宋体" w:hAnsi="宋体"/>
                <w:b/>
                <w:sz w:val="24"/>
              </w:rPr>
            </w:pPr>
            <w:r>
              <w:rPr>
                <w:rFonts w:ascii="宋体" w:hAnsi="宋体" w:cs="仿宋_GB2312"/>
                <w:b/>
                <w:sz w:val="24"/>
              </w:rPr>
              <w:t>表1-3《</w:t>
            </w:r>
            <w:r>
              <w:rPr>
                <w:rFonts w:hint="eastAsia" w:ascii="宋体" w:hAnsi="宋体"/>
                <w:b/>
                <w:sz w:val="24"/>
              </w:rPr>
              <w:t>工业企业厂界环境噪声排放标准</w:t>
            </w:r>
            <w:r>
              <w:rPr>
                <w:rFonts w:ascii="宋体" w:hAnsi="宋体" w:cs="仿宋_GB2312"/>
                <w:b/>
                <w:sz w:val="24"/>
              </w:rPr>
              <w:t>》(</w:t>
            </w:r>
            <w:r>
              <w:rPr>
                <w:rFonts w:hint="eastAsia" w:ascii="宋体" w:hAnsi="宋体"/>
                <w:b/>
                <w:sz w:val="24"/>
              </w:rPr>
              <w:t>GB</w:t>
            </w:r>
            <w:r>
              <w:rPr>
                <w:rFonts w:ascii="宋体" w:hAnsi="宋体"/>
                <w:b/>
                <w:sz w:val="24"/>
              </w:rPr>
              <w:t xml:space="preserve"> </w:t>
            </w:r>
            <w:r>
              <w:rPr>
                <w:rFonts w:hint="eastAsia" w:ascii="宋体" w:hAnsi="宋体"/>
                <w:b/>
                <w:sz w:val="24"/>
              </w:rPr>
              <w:t>12348-2008</w:t>
            </w:r>
            <w:r>
              <w:rPr>
                <w:rFonts w:ascii="宋体" w:hAnsi="宋体" w:cs="仿宋_GB2312"/>
                <w:b/>
                <w:sz w:val="24"/>
              </w:rPr>
              <w:t>)</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95"/>
              <w:gridCol w:w="2419"/>
              <w:gridCol w:w="28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86" w:type="dxa"/>
                  <w:noWrap w:val="0"/>
                  <w:vAlign w:val="center"/>
                </w:tcPr>
                <w:p>
                  <w:pPr>
                    <w:adjustRightInd/>
                    <w:spacing w:line="320" w:lineRule="exact"/>
                    <w:jc w:val="center"/>
                    <w:textAlignment w:val="auto"/>
                    <w:rPr>
                      <w:rFonts w:ascii="Times New Roman" w:hAnsi="Times New Roman" w:eastAsia="宋体"/>
                      <w:b/>
                      <w:bCs/>
                      <w:kern w:val="2"/>
                      <w:szCs w:val="21"/>
                      <w:highlight w:val="none"/>
                    </w:rPr>
                  </w:pPr>
                  <w:r>
                    <w:rPr>
                      <w:rFonts w:ascii="Times New Roman" w:hAnsi="Times New Roman" w:eastAsia="宋体"/>
                      <w:b/>
                      <w:bCs/>
                      <w:kern w:val="2"/>
                      <w:szCs w:val="21"/>
                      <w:highlight w:val="none"/>
                    </w:rPr>
                    <w:t>类别</w:t>
                  </w:r>
                </w:p>
              </w:tc>
              <w:tc>
                <w:tcPr>
                  <w:tcW w:w="3013" w:type="dxa"/>
                  <w:noWrap w:val="0"/>
                  <w:vAlign w:val="center"/>
                </w:tcPr>
                <w:p>
                  <w:pPr>
                    <w:adjustRightInd/>
                    <w:spacing w:line="320" w:lineRule="exact"/>
                    <w:jc w:val="center"/>
                    <w:textAlignment w:val="auto"/>
                    <w:rPr>
                      <w:rFonts w:ascii="Times New Roman" w:hAnsi="Times New Roman" w:eastAsia="宋体"/>
                      <w:b/>
                      <w:bCs/>
                      <w:kern w:val="2"/>
                      <w:szCs w:val="21"/>
                      <w:highlight w:val="none"/>
                    </w:rPr>
                  </w:pPr>
                  <w:r>
                    <w:rPr>
                      <w:rFonts w:ascii="Times New Roman" w:hAnsi="Times New Roman" w:eastAsia="宋体"/>
                      <w:b/>
                      <w:bCs/>
                      <w:kern w:val="2"/>
                      <w:szCs w:val="21"/>
                      <w:highlight w:val="none"/>
                    </w:rPr>
                    <w:t>昼间dB(A)</w:t>
                  </w:r>
                </w:p>
              </w:tc>
              <w:tc>
                <w:tcPr>
                  <w:tcW w:w="3606" w:type="dxa"/>
                  <w:noWrap w:val="0"/>
                  <w:vAlign w:val="center"/>
                </w:tcPr>
                <w:p>
                  <w:pPr>
                    <w:adjustRightInd/>
                    <w:spacing w:line="320" w:lineRule="exact"/>
                    <w:jc w:val="center"/>
                    <w:textAlignment w:val="auto"/>
                    <w:rPr>
                      <w:rFonts w:ascii="Times New Roman" w:hAnsi="Times New Roman" w:eastAsia="宋体"/>
                      <w:b/>
                      <w:bCs/>
                      <w:kern w:val="2"/>
                      <w:szCs w:val="21"/>
                      <w:highlight w:val="none"/>
                    </w:rPr>
                  </w:pPr>
                  <w:r>
                    <w:rPr>
                      <w:rFonts w:ascii="Times New Roman" w:hAnsi="Times New Roman" w:eastAsia="宋体"/>
                      <w:b/>
                      <w:bCs/>
                      <w:kern w:val="2"/>
                      <w:szCs w:val="21"/>
                      <w:highlight w:val="none"/>
                    </w:rPr>
                    <w:t>夜间dB(A)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86" w:type="dxa"/>
                  <w:noWrap w:val="0"/>
                  <w:vAlign w:val="center"/>
                </w:tcPr>
                <w:p>
                  <w:pPr>
                    <w:adjustRightInd/>
                    <w:spacing w:line="320" w:lineRule="exact"/>
                    <w:jc w:val="center"/>
                    <w:textAlignment w:val="auto"/>
                    <w:rPr>
                      <w:rFonts w:ascii="Times New Roman" w:hAnsi="Times New Roman" w:eastAsia="宋体"/>
                      <w:bCs/>
                      <w:kern w:val="2"/>
                      <w:szCs w:val="21"/>
                      <w:highlight w:val="none"/>
                    </w:rPr>
                  </w:pPr>
                  <w:r>
                    <w:rPr>
                      <w:rFonts w:hint="eastAsia" w:ascii="Times New Roman" w:hAnsi="Times New Roman" w:eastAsia="宋体"/>
                      <w:kern w:val="2"/>
                      <w:szCs w:val="21"/>
                      <w:highlight w:val="none"/>
                      <w:lang w:val="en-US" w:eastAsia="zh-CN"/>
                    </w:rPr>
                    <w:t>3</w:t>
                  </w:r>
                  <w:r>
                    <w:rPr>
                      <w:rFonts w:ascii="Times New Roman" w:hAnsi="Times New Roman" w:eastAsia="宋体"/>
                      <w:kern w:val="2"/>
                      <w:szCs w:val="21"/>
                      <w:highlight w:val="none"/>
                    </w:rPr>
                    <w:t>类</w:t>
                  </w:r>
                </w:p>
              </w:tc>
              <w:tc>
                <w:tcPr>
                  <w:tcW w:w="3013" w:type="dxa"/>
                  <w:noWrap w:val="0"/>
                  <w:vAlign w:val="center"/>
                </w:tcPr>
                <w:p>
                  <w:pPr>
                    <w:adjustRightInd/>
                    <w:spacing w:line="320" w:lineRule="exact"/>
                    <w:jc w:val="center"/>
                    <w:textAlignment w:val="auto"/>
                    <w:rPr>
                      <w:rFonts w:hint="default" w:ascii="Times New Roman" w:hAnsi="Times New Roman" w:eastAsia="宋体"/>
                      <w:bCs/>
                      <w:kern w:val="2"/>
                      <w:szCs w:val="21"/>
                      <w:highlight w:val="none"/>
                      <w:lang w:val="en-US" w:eastAsia="zh-CN"/>
                    </w:rPr>
                  </w:pPr>
                  <w:r>
                    <w:rPr>
                      <w:rFonts w:hint="eastAsia" w:ascii="Times New Roman" w:hAnsi="Times New Roman" w:eastAsia="宋体"/>
                      <w:bCs/>
                      <w:kern w:val="2"/>
                      <w:szCs w:val="21"/>
                      <w:highlight w:val="none"/>
                      <w:lang w:val="en-US" w:eastAsia="zh-CN"/>
                    </w:rPr>
                    <w:t>65</w:t>
                  </w:r>
                </w:p>
              </w:tc>
              <w:tc>
                <w:tcPr>
                  <w:tcW w:w="3606" w:type="dxa"/>
                  <w:noWrap w:val="0"/>
                  <w:vAlign w:val="center"/>
                </w:tcPr>
                <w:p>
                  <w:pPr>
                    <w:adjustRightInd/>
                    <w:spacing w:line="320" w:lineRule="exact"/>
                    <w:jc w:val="center"/>
                    <w:textAlignment w:val="auto"/>
                    <w:rPr>
                      <w:rFonts w:hint="default" w:ascii="Times New Roman" w:hAnsi="Times New Roman" w:eastAsia="宋体"/>
                      <w:bCs/>
                      <w:kern w:val="2"/>
                      <w:szCs w:val="21"/>
                      <w:highlight w:val="none"/>
                      <w:lang w:val="en-US" w:eastAsia="zh-CN"/>
                    </w:rPr>
                  </w:pPr>
                  <w:r>
                    <w:rPr>
                      <w:rFonts w:hint="eastAsia" w:ascii="Times New Roman" w:hAnsi="Times New Roman" w:eastAsia="宋体"/>
                      <w:bCs/>
                      <w:kern w:val="2"/>
                      <w:szCs w:val="21"/>
                      <w:highlight w:val="none"/>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86" w:type="dxa"/>
                  <w:noWrap w:val="0"/>
                  <w:vAlign w:val="center"/>
                </w:tcPr>
                <w:p>
                  <w:pPr>
                    <w:adjustRightInd/>
                    <w:spacing w:line="320" w:lineRule="exact"/>
                    <w:jc w:val="center"/>
                    <w:textAlignment w:val="auto"/>
                    <w:rPr>
                      <w:rFonts w:hint="default" w:ascii="Times New Roman" w:hAnsi="Times New Roman" w:eastAsia="宋体"/>
                      <w:kern w:val="2"/>
                      <w:szCs w:val="21"/>
                      <w:highlight w:val="none"/>
                      <w:lang w:val="en-US" w:eastAsia="zh-CN"/>
                    </w:rPr>
                  </w:pPr>
                  <w:r>
                    <w:rPr>
                      <w:rFonts w:hint="eastAsia" w:ascii="Times New Roman" w:hAnsi="Times New Roman" w:eastAsia="宋体"/>
                      <w:kern w:val="2"/>
                      <w:szCs w:val="21"/>
                      <w:highlight w:val="none"/>
                      <w:lang w:val="en-US" w:eastAsia="zh-CN"/>
                    </w:rPr>
                    <w:t>2类</w:t>
                  </w:r>
                </w:p>
              </w:tc>
              <w:tc>
                <w:tcPr>
                  <w:tcW w:w="3013" w:type="dxa"/>
                  <w:noWrap w:val="0"/>
                  <w:vAlign w:val="center"/>
                </w:tcPr>
                <w:p>
                  <w:pPr>
                    <w:adjustRightInd/>
                    <w:spacing w:line="320" w:lineRule="exact"/>
                    <w:jc w:val="center"/>
                    <w:textAlignment w:val="auto"/>
                    <w:rPr>
                      <w:rFonts w:hint="default" w:ascii="Times New Roman" w:hAnsi="Times New Roman" w:eastAsia="宋体"/>
                      <w:bCs/>
                      <w:kern w:val="2"/>
                      <w:szCs w:val="21"/>
                      <w:highlight w:val="none"/>
                      <w:lang w:val="en-US" w:eastAsia="zh-CN"/>
                    </w:rPr>
                  </w:pPr>
                  <w:r>
                    <w:rPr>
                      <w:rFonts w:hint="eastAsia" w:ascii="Times New Roman" w:hAnsi="Times New Roman" w:eastAsia="宋体"/>
                      <w:bCs/>
                      <w:kern w:val="2"/>
                      <w:szCs w:val="21"/>
                      <w:highlight w:val="none"/>
                      <w:lang w:val="en-US" w:eastAsia="zh-CN"/>
                    </w:rPr>
                    <w:t>60</w:t>
                  </w:r>
                </w:p>
              </w:tc>
              <w:tc>
                <w:tcPr>
                  <w:tcW w:w="3606" w:type="dxa"/>
                  <w:noWrap w:val="0"/>
                  <w:vAlign w:val="center"/>
                </w:tcPr>
                <w:p>
                  <w:pPr>
                    <w:adjustRightInd/>
                    <w:spacing w:line="320" w:lineRule="exact"/>
                    <w:jc w:val="center"/>
                    <w:textAlignment w:val="auto"/>
                    <w:rPr>
                      <w:rFonts w:hint="default" w:ascii="Times New Roman" w:hAnsi="Times New Roman" w:eastAsia="宋体"/>
                      <w:bCs/>
                      <w:kern w:val="2"/>
                      <w:szCs w:val="21"/>
                      <w:highlight w:val="none"/>
                      <w:lang w:val="en-US" w:eastAsia="zh-CN"/>
                    </w:rPr>
                  </w:pPr>
                  <w:r>
                    <w:rPr>
                      <w:rFonts w:hint="eastAsia" w:ascii="Times New Roman" w:hAnsi="Times New Roman" w:eastAsia="宋体"/>
                      <w:bCs/>
                      <w:kern w:val="2"/>
                      <w:szCs w:val="21"/>
                      <w:highlight w:val="none"/>
                      <w:lang w:val="en-US" w:eastAsia="zh-CN"/>
                    </w:rPr>
                    <w:t>50</w:t>
                  </w:r>
                </w:p>
              </w:tc>
            </w:tr>
          </w:tbl>
          <w:p>
            <w:pPr>
              <w:pStyle w:val="5"/>
              <w:adjustRightInd w:val="0"/>
              <w:rPr>
                <w:rFonts w:hint="default" w:ascii="宋体" w:hAnsi="宋体" w:eastAsia="宋体" w:cs="仿宋_GB2312"/>
                <w:sz w:val="24"/>
                <w:szCs w:val="24"/>
              </w:rPr>
            </w:pPr>
            <w:r>
              <w:rPr>
                <w:rFonts w:hint="default" w:ascii="宋体" w:hAnsi="宋体" w:eastAsia="宋体" w:cs="仿宋_GB2312"/>
                <w:sz w:val="24"/>
                <w:szCs w:val="24"/>
              </w:rPr>
              <w:t>4</w:t>
            </w:r>
            <w:r>
              <w:rPr>
                <w:rFonts w:ascii="宋体" w:hAnsi="宋体" w:eastAsia="宋体" w:cs="仿宋_GB2312"/>
                <w:sz w:val="24"/>
                <w:szCs w:val="24"/>
              </w:rPr>
              <w:t>、固体废物</w:t>
            </w:r>
          </w:p>
          <w:p>
            <w:pPr>
              <w:spacing w:line="360" w:lineRule="auto"/>
              <w:ind w:firstLine="480" w:firstLineChars="200"/>
              <w:jc w:val="left"/>
              <w:rPr>
                <w:rFonts w:hint="eastAsia" w:ascii="Times New Roman" w:hAnsi="Times New Roman" w:cs="Times New Roman"/>
                <w:color w:val="auto"/>
                <w:kern w:val="0"/>
                <w:sz w:val="24"/>
                <w:highlight w:val="none"/>
              </w:rPr>
            </w:pPr>
            <w:r>
              <w:rPr>
                <w:rFonts w:hint="eastAsia" w:ascii="宋体" w:hAnsi="宋体" w:cs="Times New Roman"/>
                <w:sz w:val="24"/>
              </w:rPr>
              <w:t>企业产生的一般工业固体废物执行《一般工业固体废物贮存、处置场污染控制标准》（GB18599—2001）及其修改单。</w:t>
            </w:r>
            <w:r>
              <w:rPr>
                <w:rFonts w:hint="eastAsia" w:ascii="宋体" w:hAnsi="宋体" w:cs="Times New Roman"/>
                <w:sz w:val="24"/>
                <w:lang w:eastAsia="zh-CN"/>
              </w:rPr>
              <w:t>生活垃圾的管理执行《中华人民共和国固体废物污染防治法》（</w:t>
            </w:r>
            <w:r>
              <w:rPr>
                <w:rFonts w:hint="eastAsia" w:ascii="宋体" w:hAnsi="宋体" w:cs="Times New Roman"/>
                <w:sz w:val="24"/>
                <w:lang w:val="en-US" w:eastAsia="zh-CN"/>
              </w:rPr>
              <w:t>2016.11.7修订</w:t>
            </w:r>
            <w:r>
              <w:rPr>
                <w:rFonts w:hint="eastAsia" w:ascii="宋体" w:hAnsi="宋体" w:cs="Times New Roman"/>
                <w:sz w:val="24"/>
                <w:lang w:eastAsia="zh-CN"/>
              </w:rPr>
              <w:t>）等有关规定。</w:t>
            </w:r>
          </w:p>
          <w:p>
            <w:pPr>
              <w:spacing w:line="360" w:lineRule="auto"/>
              <w:rPr>
                <w:rFonts w:ascii="宋体" w:hAnsi="宋体"/>
                <w:b/>
                <w:sz w:val="24"/>
              </w:rPr>
            </w:pPr>
            <w:r>
              <w:rPr>
                <w:rFonts w:hint="eastAsia" w:ascii="宋体" w:hAnsi="宋体"/>
                <w:b/>
                <w:sz w:val="24"/>
              </w:rPr>
              <w:t>5、总量控制指标</w:t>
            </w:r>
          </w:p>
          <w:p>
            <w:pPr>
              <w:spacing w:line="360" w:lineRule="auto"/>
              <w:ind w:firstLine="480" w:firstLineChars="200"/>
              <w:rPr>
                <w:rFonts w:ascii="宋体" w:hAnsi="宋体"/>
                <w:bCs/>
                <w:color w:val="000000"/>
                <w:sz w:val="24"/>
              </w:rPr>
            </w:pPr>
            <w:r>
              <w:rPr>
                <w:rFonts w:hint="eastAsia" w:ascii="宋体" w:hAnsi="宋体"/>
                <w:bCs/>
                <w:color w:val="000000"/>
                <w:sz w:val="24"/>
              </w:rPr>
              <w:t>（1）废气</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项目大气污染物总量控制指标</w:t>
            </w:r>
            <w:r>
              <w:rPr>
                <w:rFonts w:hint="default" w:ascii="Times New Roman" w:hAnsi="Times New Roman" w:eastAsia="宋体" w:cs="Times New Roman"/>
                <w:kern w:val="2"/>
                <w:sz w:val="24"/>
                <w:szCs w:val="24"/>
                <w:lang w:val="en-US" w:eastAsia="zh-CN" w:bidi="ar-SA"/>
              </w:rPr>
              <w:t>SO</w:t>
            </w:r>
            <w:r>
              <w:rPr>
                <w:rFonts w:hint="default" w:ascii="Times New Roman" w:hAnsi="Times New Roman" w:eastAsia="宋体" w:cs="Times New Roman"/>
                <w:kern w:val="2"/>
                <w:sz w:val="24"/>
                <w:szCs w:val="24"/>
                <w:vertAlign w:val="subscript"/>
                <w:lang w:val="en-US" w:eastAsia="zh-CN" w:bidi="ar-SA"/>
              </w:rPr>
              <w:t>2</w:t>
            </w:r>
            <w:r>
              <w:rPr>
                <w:rFonts w:hint="eastAsia" w:cs="Times New Roman"/>
                <w:kern w:val="2"/>
                <w:sz w:val="24"/>
                <w:szCs w:val="24"/>
                <w:vertAlign w:val="subscript"/>
                <w:lang w:val="en-US" w:eastAsia="zh-CN" w:bidi="ar-SA"/>
              </w:rPr>
              <w:t xml:space="preserve">  </w:t>
            </w:r>
            <w:r>
              <w:rPr>
                <w:rFonts w:hint="eastAsia" w:cs="Times New Roman"/>
                <w:kern w:val="2"/>
                <w:sz w:val="24"/>
                <w:szCs w:val="24"/>
                <w:vertAlign w:val="baseline"/>
                <w:lang w:val="en-US" w:eastAsia="zh-CN" w:bidi="ar-SA"/>
              </w:rPr>
              <w:t>2.736t/a</w:t>
            </w:r>
            <w:r>
              <w:rPr>
                <w:rFonts w:hint="default" w:ascii="Times New Roman" w:hAnsi="Times New Roman" w:eastAsia="宋体" w:cs="Times New Roman"/>
                <w:kern w:val="2"/>
                <w:sz w:val="24"/>
                <w:szCs w:val="24"/>
                <w:lang w:val="en-US" w:eastAsia="zh-CN" w:bidi="ar-SA"/>
              </w:rPr>
              <w:t>、NOx</w:t>
            </w:r>
            <w:r>
              <w:rPr>
                <w:rFonts w:hint="eastAsia" w:cs="Times New Roman"/>
                <w:kern w:val="2"/>
                <w:sz w:val="24"/>
                <w:szCs w:val="24"/>
                <w:lang w:val="en-US" w:eastAsia="zh-CN" w:bidi="ar-SA"/>
              </w:rPr>
              <w:t xml:space="preserve">  2.818t/a</w:t>
            </w:r>
            <w:r>
              <w:rPr>
                <w:rFonts w:hint="default" w:ascii="Times New Roman" w:hAnsi="Times New Roman" w:eastAsia="宋体" w:cs="Times New Roman"/>
                <w:kern w:val="2"/>
                <w:sz w:val="24"/>
                <w:szCs w:val="24"/>
                <w:lang w:val="en-US" w:eastAsia="zh-CN" w:bidi="ar-SA"/>
              </w:rPr>
              <w:t>、烟（粉）尘</w:t>
            </w:r>
            <w:r>
              <w:rPr>
                <w:rFonts w:hint="eastAsia" w:cs="Times New Roman"/>
                <w:kern w:val="2"/>
                <w:sz w:val="24"/>
                <w:szCs w:val="24"/>
                <w:lang w:val="en-US" w:eastAsia="zh-CN" w:bidi="ar-SA"/>
              </w:rPr>
              <w:t xml:space="preserve">  2.596t/a</w:t>
            </w:r>
            <w:r>
              <w:rPr>
                <w:rFonts w:hint="eastAsia" w:ascii="宋体" w:hAnsi="宋体"/>
                <w:bCs/>
                <w:color w:val="000000"/>
                <w:sz w:val="24"/>
              </w:rPr>
              <w:t>。</w:t>
            </w:r>
          </w:p>
          <w:p>
            <w:pPr>
              <w:spacing w:line="360" w:lineRule="auto"/>
              <w:ind w:firstLine="480" w:firstLineChars="200"/>
              <w:rPr>
                <w:rFonts w:ascii="宋体" w:hAnsi="宋体"/>
                <w:bCs/>
                <w:color w:val="000000"/>
                <w:sz w:val="24"/>
              </w:rPr>
            </w:pPr>
            <w:r>
              <w:rPr>
                <w:rFonts w:hint="eastAsia" w:ascii="宋体" w:hAnsi="宋体"/>
                <w:bCs/>
                <w:color w:val="000000"/>
                <w:sz w:val="24"/>
              </w:rPr>
              <w:t>（2）废水</w:t>
            </w:r>
          </w:p>
          <w:p>
            <w:pPr>
              <w:spacing w:line="360" w:lineRule="auto"/>
              <w:ind w:firstLine="480" w:firstLineChars="200"/>
              <w:rPr>
                <w:rFonts w:hint="default" w:ascii="宋体" w:hAnsi="宋体"/>
                <w:sz w:val="24"/>
                <w:lang w:val="en-US"/>
              </w:rPr>
            </w:pPr>
            <w:r>
              <w:rPr>
                <w:rFonts w:hint="eastAsia" w:ascii="宋体" w:hAnsi="宋体"/>
                <w:sz w:val="24"/>
                <w:lang w:val="en-US" w:eastAsia="zh-CN"/>
              </w:rPr>
              <w:t>项目生活废水经化粪池处理后定期清掏作农肥，生产废水经沉淀池沉淀后循环使用，无废水外排，无总量控制指标。</w:t>
            </w:r>
          </w:p>
        </w:tc>
      </w:tr>
    </w:tbl>
    <w:p>
      <w:pPr>
        <w:rPr>
          <w:b/>
          <w:sz w:val="28"/>
          <w:szCs w:val="28"/>
        </w:rPr>
        <w:sectPr>
          <w:footerReference r:id="rId5"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rPr>
      </w:pPr>
      <w:r>
        <w:rPr>
          <w:rFonts w:hint="eastAsia"/>
          <w:b/>
          <w:sz w:val="28"/>
          <w:szCs w:val="28"/>
        </w:rPr>
        <w:t>表二</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0" w:hRule="atLeast"/>
          <w:jc w:val="center"/>
        </w:trPr>
        <w:tc>
          <w:tcPr>
            <w:tcW w:w="9503" w:type="dxa"/>
            <w:vAlign w:val="center"/>
          </w:tcPr>
          <w:p>
            <w:pPr>
              <w:spacing w:line="360" w:lineRule="auto"/>
              <w:jc w:val="left"/>
              <w:rPr>
                <w:rFonts w:ascii="宋体" w:hAnsi="宋体"/>
                <w:b/>
                <w:sz w:val="28"/>
                <w:szCs w:val="28"/>
              </w:rPr>
            </w:pPr>
            <w:bookmarkStart w:id="1" w:name="_Hlk8392378"/>
            <w:r>
              <w:rPr>
                <w:rFonts w:hint="eastAsia" w:ascii="宋体" w:hAnsi="宋体"/>
                <w:b/>
                <w:sz w:val="28"/>
                <w:szCs w:val="28"/>
              </w:rPr>
              <w:t>工程建设内容：</w:t>
            </w:r>
          </w:p>
          <w:p>
            <w:pPr>
              <w:spacing w:line="360" w:lineRule="auto"/>
              <w:jc w:val="left"/>
              <w:rPr>
                <w:rFonts w:ascii="宋体" w:hAnsi="宋体"/>
                <w:b/>
                <w:sz w:val="28"/>
                <w:szCs w:val="28"/>
              </w:rPr>
            </w:pPr>
            <w:r>
              <w:rPr>
                <w:rFonts w:hint="eastAsia" w:ascii="宋体" w:hAnsi="宋体"/>
                <w:b/>
                <w:sz w:val="28"/>
                <w:szCs w:val="28"/>
              </w:rPr>
              <w:t>1、工程基本情况</w:t>
            </w:r>
          </w:p>
          <w:p>
            <w:pPr>
              <w:adjustRightInd w:val="0"/>
              <w:snapToGrid w:val="0"/>
              <w:spacing w:line="360" w:lineRule="auto"/>
              <w:ind w:firstLine="480" w:firstLineChars="200"/>
              <w:rPr>
                <w:rFonts w:hint="eastAsia" w:ascii="宋体" w:hAnsi="宋体"/>
                <w:sz w:val="24"/>
                <w:highlight w:val="none"/>
                <w:lang w:val="en-US" w:eastAsia="zh-CN"/>
              </w:rPr>
            </w:pPr>
            <w:r>
              <w:rPr>
                <w:rFonts w:hint="eastAsia" w:ascii="宋体" w:hAnsi="宋体"/>
                <w:sz w:val="24"/>
                <w:lang w:eastAsia="zh-CN"/>
              </w:rPr>
              <w:t>芜湖市祥兴新型建材有限责任公司</w:t>
            </w:r>
            <w:r>
              <w:rPr>
                <w:rFonts w:hint="eastAsia" w:ascii="宋体" w:hAnsi="宋体"/>
                <w:sz w:val="24"/>
              </w:rPr>
              <w:t>坐落于</w:t>
            </w:r>
            <w:r>
              <w:rPr>
                <w:rFonts w:hint="eastAsia" w:ascii="宋体" w:hAnsi="宋体"/>
                <w:sz w:val="24"/>
                <w:lang w:eastAsia="zh-CN"/>
              </w:rPr>
              <w:t>芜湖市沈巷镇保圩村</w:t>
            </w:r>
            <w:r>
              <w:rPr>
                <w:rFonts w:hint="eastAsia" w:ascii="宋体" w:hAnsi="宋体"/>
                <w:sz w:val="24"/>
              </w:rPr>
              <w:t>，主要从事</w:t>
            </w:r>
            <w:r>
              <w:rPr>
                <w:rFonts w:hint="eastAsia" w:ascii="宋体" w:hAnsi="宋体"/>
                <w:sz w:val="24"/>
                <w:lang w:val="en-US" w:eastAsia="zh-CN"/>
              </w:rPr>
              <w:t>蒸压灰砂砖</w:t>
            </w:r>
            <w:r>
              <w:rPr>
                <w:rFonts w:hint="eastAsia" w:ascii="宋体" w:hAnsi="宋体"/>
                <w:sz w:val="24"/>
              </w:rPr>
              <w:t>的生产加工。本项目于</w:t>
            </w:r>
            <w:r>
              <w:rPr>
                <w:rFonts w:hint="eastAsia" w:ascii="宋体" w:hAnsi="宋体"/>
                <w:sz w:val="24"/>
                <w:lang w:val="en-US" w:eastAsia="zh-CN"/>
              </w:rPr>
              <w:t>2011</w:t>
            </w:r>
            <w:r>
              <w:rPr>
                <w:rFonts w:hint="eastAsia" w:ascii="宋体" w:hAnsi="宋体"/>
                <w:sz w:val="24"/>
              </w:rPr>
              <w:t>年</w:t>
            </w:r>
            <w:r>
              <w:rPr>
                <w:rFonts w:hint="eastAsia" w:ascii="宋体" w:hAnsi="宋体"/>
                <w:sz w:val="24"/>
                <w:lang w:val="en-US" w:eastAsia="zh-CN"/>
              </w:rPr>
              <w:t>8</w:t>
            </w:r>
            <w:r>
              <w:rPr>
                <w:rFonts w:hint="eastAsia" w:ascii="宋体" w:hAnsi="宋体"/>
                <w:sz w:val="24"/>
              </w:rPr>
              <w:t>月通过</w:t>
            </w:r>
            <w:r>
              <w:rPr>
                <w:rFonts w:hint="eastAsia" w:ascii="宋体" w:hAnsi="宋体"/>
                <w:sz w:val="24"/>
                <w:lang w:val="en-US" w:eastAsia="zh-CN"/>
              </w:rPr>
              <w:t>和县发展和改革委员会的项目备案（发改行审【2011】23号）</w:t>
            </w:r>
            <w:r>
              <w:rPr>
                <w:rFonts w:hint="eastAsia" w:ascii="宋体" w:hAnsi="宋体"/>
                <w:sz w:val="24"/>
              </w:rPr>
              <w:t>，</w:t>
            </w:r>
            <w:r>
              <w:rPr>
                <w:rFonts w:hint="eastAsia" w:ascii="宋体" w:hAnsi="宋体"/>
                <w:sz w:val="24"/>
                <w:lang w:val="en-US" w:eastAsia="zh-CN"/>
              </w:rPr>
              <w:t>2011年8月委托安徽师范大学编制了《和县兴盛新型建材有限公司年产1.2亿块蒸压灰砂砖项目环境影响报告表》，</w:t>
            </w:r>
            <w:r>
              <w:rPr>
                <w:rFonts w:hint="eastAsia" w:ascii="宋体" w:hAnsi="宋体"/>
                <w:sz w:val="24"/>
                <w:highlight w:val="none"/>
                <w:lang w:val="en-US" w:eastAsia="zh-CN"/>
              </w:rPr>
              <w:t>和县环境保护局于2011年8月12以“和环审[2011]34号”文对报告表进行了审批并批复，并于2014年9月15日以“环验[2014]70号”文对该项目进行了验收并批复。2011年11月22号和县兴盛新型建材有限责任公司企业名称变更为芜湖市祥兴新型建材有限责任公司。</w:t>
            </w:r>
          </w:p>
          <w:p>
            <w:pPr>
              <w:adjustRightInd w:val="0"/>
              <w:snapToGrid w:val="0"/>
              <w:spacing w:line="360" w:lineRule="auto"/>
              <w:ind w:firstLine="480" w:firstLineChars="200"/>
              <w:rPr>
                <w:rFonts w:hint="eastAsia" w:ascii="宋体" w:hAnsi="宋体"/>
                <w:sz w:val="24"/>
                <w:lang w:val="en-US" w:eastAsia="zh-CN"/>
              </w:rPr>
            </w:pPr>
            <w:r>
              <w:rPr>
                <w:rFonts w:hint="eastAsia" w:ascii="宋体" w:hAnsi="宋体"/>
                <w:sz w:val="24"/>
              </w:rPr>
              <w:t>项目</w:t>
            </w:r>
            <w:r>
              <w:rPr>
                <w:rFonts w:hint="eastAsia" w:ascii="宋体" w:hAnsi="宋体"/>
                <w:sz w:val="24"/>
                <w:lang w:val="en-US" w:eastAsia="zh-CN"/>
              </w:rPr>
              <w:t>原有</w:t>
            </w:r>
            <w:r>
              <w:rPr>
                <w:rFonts w:hint="eastAsia" w:ascii="宋体" w:hAnsi="宋体"/>
                <w:sz w:val="24"/>
              </w:rPr>
              <w:t>建设内容为</w:t>
            </w:r>
            <w:r>
              <w:rPr>
                <w:rFonts w:hint="eastAsia" w:ascii="宋体" w:hAnsi="宋体"/>
                <w:sz w:val="24"/>
                <w:lang w:val="en-US" w:eastAsia="zh-CN"/>
              </w:rPr>
              <w:t>建设</w:t>
            </w:r>
            <w:r>
              <w:rPr>
                <w:rFonts w:hint="eastAsia" w:ascii="宋体" w:hAnsi="宋体"/>
                <w:sz w:val="24"/>
              </w:rPr>
              <w:t>年产1.2亿块蒸压灰砂砖项目</w:t>
            </w:r>
            <w:r>
              <w:rPr>
                <w:rFonts w:hint="eastAsia" w:ascii="宋体" w:hAnsi="宋体"/>
                <w:sz w:val="24"/>
                <w:lang w:eastAsia="zh-CN"/>
              </w:rPr>
              <w:t>，</w:t>
            </w:r>
            <w:r>
              <w:rPr>
                <w:rFonts w:hint="eastAsia" w:ascii="宋体" w:hAnsi="宋体"/>
                <w:sz w:val="24"/>
              </w:rPr>
              <w:t>并配备相应的生产设备。近年来，</w:t>
            </w:r>
            <w:r>
              <w:rPr>
                <w:rFonts w:hint="eastAsia" w:ascii="宋体" w:hAnsi="宋体"/>
                <w:sz w:val="24"/>
                <w:lang w:eastAsia="zh-CN"/>
              </w:rPr>
              <w:t>墙体砖建筑材料销售</w:t>
            </w:r>
            <w:r>
              <w:rPr>
                <w:rFonts w:hint="eastAsia" w:ascii="宋体" w:hAnsi="宋体"/>
                <w:sz w:val="24"/>
              </w:rPr>
              <w:t>市场广阔，为谋求更大的市场空间，提升公司的效益，在产品规模不变的前提下，</w:t>
            </w:r>
            <w:r>
              <w:rPr>
                <w:rFonts w:hint="eastAsia" w:ascii="宋体" w:hAnsi="宋体"/>
                <w:sz w:val="24"/>
                <w:lang w:val="en-US" w:eastAsia="zh-CN"/>
              </w:rPr>
              <w:t>芜湖市祥兴新型建材有限责任公司新增尾砂、江砂、河砂、山砂等原材料制砖工艺，原有的燃煤锅炉变更为生物质锅炉</w:t>
            </w:r>
            <w:r>
              <w:rPr>
                <w:rFonts w:hint="eastAsia" w:ascii="宋体" w:hAnsi="宋体"/>
                <w:sz w:val="24"/>
              </w:rPr>
              <w:t>。</w:t>
            </w:r>
            <w:r>
              <w:rPr>
                <w:rFonts w:hint="eastAsia" w:ascii="宋体" w:hAnsi="宋体"/>
                <w:sz w:val="24"/>
                <w:lang w:val="en-US" w:eastAsia="zh-CN"/>
              </w:rPr>
              <w:t>所以企业于2020年5月委托安徽禹水华阳环境工程技术有限公司编制了《芜湖市祥兴新型建材有限责任公司年产1.2亿蒸压灰砂砖项目环境影响后评价》。</w:t>
            </w:r>
          </w:p>
          <w:p>
            <w:pPr>
              <w:adjustRightInd w:val="0"/>
              <w:snapToGrid w:val="0"/>
              <w:spacing w:line="360" w:lineRule="auto"/>
              <w:ind w:firstLine="480" w:firstLineChars="200"/>
              <w:rPr>
                <w:rFonts w:ascii="宋体" w:hAnsi="宋体" w:cs="宋体"/>
                <w:color w:val="FF0000"/>
                <w:sz w:val="24"/>
                <w:highlight w:val="none"/>
              </w:rPr>
            </w:pPr>
            <w:r>
              <w:rPr>
                <w:rFonts w:hint="eastAsia" w:ascii="宋体" w:hAnsi="宋体"/>
                <w:sz w:val="24"/>
                <w:lang w:val="en-US" w:eastAsia="zh-CN"/>
              </w:rPr>
              <w:t>针对此次后评价内容，企业委托我单位开展了相应的验收工作，在接受委托之后，我单位立即组织人员进行了现场查看、搜集相关资料，在此基础上编制完成了《芜湖市祥兴新型建材有限责任公司年产1.2亿块蒸压灰砂砖项目竣工环境保护验收监测报告表》。</w:t>
            </w:r>
          </w:p>
          <w:p>
            <w:pPr>
              <w:spacing w:line="360" w:lineRule="auto"/>
              <w:ind w:firstLine="480" w:firstLineChars="200"/>
              <w:jc w:val="left"/>
              <w:rPr>
                <w:rFonts w:ascii="宋体" w:hAnsi="宋体"/>
                <w:sz w:val="24"/>
                <w:highlight w:val="none"/>
              </w:rPr>
            </w:pPr>
            <w:r>
              <w:rPr>
                <w:rFonts w:hint="eastAsia" w:ascii="宋体" w:hAnsi="宋体"/>
                <w:sz w:val="24"/>
                <w:highlight w:val="none"/>
              </w:rPr>
              <w:t>项目实际总投资</w:t>
            </w:r>
            <w:r>
              <w:rPr>
                <w:rFonts w:hint="eastAsia" w:ascii="宋体" w:hAnsi="宋体"/>
                <w:sz w:val="24"/>
                <w:highlight w:val="none"/>
                <w:lang w:val="en-US" w:eastAsia="zh-CN"/>
              </w:rPr>
              <w:t>3200</w:t>
            </w:r>
            <w:r>
              <w:rPr>
                <w:rFonts w:hint="eastAsia" w:ascii="宋体" w:hAnsi="宋体"/>
                <w:sz w:val="24"/>
                <w:highlight w:val="none"/>
              </w:rPr>
              <w:t>万</w:t>
            </w:r>
            <w:r>
              <w:rPr>
                <w:rFonts w:ascii="宋体" w:hAnsi="宋体"/>
                <w:sz w:val="24"/>
                <w:highlight w:val="none"/>
              </w:rPr>
              <w:t>元</w:t>
            </w:r>
            <w:r>
              <w:rPr>
                <w:rFonts w:hint="eastAsia" w:ascii="宋体" w:hAnsi="宋体"/>
                <w:sz w:val="24"/>
                <w:highlight w:val="none"/>
              </w:rPr>
              <w:t>，其中环保投资</w:t>
            </w:r>
            <w:r>
              <w:rPr>
                <w:rFonts w:hint="eastAsia" w:ascii="宋体" w:hAnsi="宋体"/>
                <w:sz w:val="24"/>
                <w:highlight w:val="none"/>
                <w:lang w:val="en-US" w:eastAsia="zh-CN"/>
              </w:rPr>
              <w:t>154</w:t>
            </w:r>
            <w:r>
              <w:rPr>
                <w:rFonts w:hint="eastAsia" w:ascii="宋体" w:hAnsi="宋体"/>
                <w:sz w:val="24"/>
                <w:highlight w:val="none"/>
              </w:rPr>
              <w:t>万元，占总投资比例为</w:t>
            </w:r>
            <w:r>
              <w:rPr>
                <w:rFonts w:hint="eastAsia" w:ascii="宋体" w:hAnsi="宋体"/>
                <w:sz w:val="24"/>
                <w:highlight w:val="none"/>
                <w:lang w:val="en-US" w:eastAsia="zh-CN"/>
              </w:rPr>
              <w:t>4.8</w:t>
            </w:r>
            <w:r>
              <w:rPr>
                <w:rFonts w:ascii="宋体" w:hAnsi="宋体"/>
                <w:sz w:val="24"/>
                <w:highlight w:val="none"/>
              </w:rPr>
              <w:t>%</w:t>
            </w:r>
            <w:r>
              <w:rPr>
                <w:rFonts w:hint="eastAsia" w:ascii="宋体" w:hAnsi="宋体"/>
                <w:sz w:val="24"/>
                <w:highlight w:val="none"/>
              </w:rPr>
              <w:t>。本项目员工</w:t>
            </w:r>
            <w:r>
              <w:rPr>
                <w:rFonts w:hint="eastAsia" w:ascii="宋体" w:hAnsi="宋体"/>
                <w:sz w:val="24"/>
                <w:highlight w:val="none"/>
                <w:lang w:val="en-US" w:eastAsia="zh-CN"/>
              </w:rPr>
              <w:t>15</w:t>
            </w:r>
            <w:r>
              <w:rPr>
                <w:rFonts w:hint="eastAsia" w:ascii="宋体" w:hAnsi="宋体"/>
                <w:sz w:val="24"/>
                <w:highlight w:val="none"/>
              </w:rPr>
              <w:t>人，工作制度为</w:t>
            </w:r>
            <w:r>
              <w:rPr>
                <w:rFonts w:hint="eastAsia" w:ascii="宋体" w:hAnsi="宋体"/>
                <w:sz w:val="24"/>
                <w:highlight w:val="none"/>
                <w:lang w:val="en-US" w:eastAsia="zh-CN"/>
              </w:rPr>
              <w:t>单班制</w:t>
            </w:r>
            <w:r>
              <w:rPr>
                <w:rFonts w:hint="eastAsia" w:ascii="宋体" w:hAnsi="宋体"/>
                <w:sz w:val="24"/>
                <w:highlight w:val="none"/>
              </w:rPr>
              <w:t>，每班工作8小时，年工作</w:t>
            </w:r>
            <w:r>
              <w:rPr>
                <w:rFonts w:hint="eastAsia" w:ascii="宋体" w:hAnsi="宋体"/>
                <w:sz w:val="24"/>
                <w:highlight w:val="none"/>
                <w:lang w:val="en-US" w:eastAsia="zh-CN"/>
              </w:rPr>
              <w:t>300</w:t>
            </w:r>
            <w:r>
              <w:rPr>
                <w:rFonts w:hint="eastAsia" w:ascii="宋体" w:hAnsi="宋体"/>
                <w:sz w:val="24"/>
                <w:highlight w:val="none"/>
              </w:rPr>
              <w:t>天。</w:t>
            </w:r>
          </w:p>
          <w:p>
            <w:pPr>
              <w:spacing w:line="360" w:lineRule="auto"/>
              <w:jc w:val="left"/>
              <w:rPr>
                <w:rFonts w:ascii="宋体" w:hAnsi="宋体"/>
                <w:b/>
                <w:sz w:val="28"/>
                <w:szCs w:val="28"/>
              </w:rPr>
            </w:pPr>
            <w:r>
              <w:rPr>
                <w:rFonts w:hint="eastAsia" w:ascii="宋体" w:hAnsi="宋体"/>
                <w:b/>
                <w:sz w:val="28"/>
                <w:szCs w:val="28"/>
              </w:rPr>
              <w:t>2、地理位置及平面布置</w:t>
            </w:r>
          </w:p>
          <w:p>
            <w:pPr>
              <w:spacing w:line="360" w:lineRule="auto"/>
              <w:ind w:firstLine="480" w:firstLineChars="200"/>
              <w:jc w:val="left"/>
              <w:rPr>
                <w:rFonts w:ascii="宋体" w:hAnsi="宋体"/>
                <w:b/>
                <w:sz w:val="24"/>
              </w:rPr>
            </w:pPr>
            <w:r>
              <w:rPr>
                <w:rFonts w:hint="eastAsia" w:ascii="宋体" w:hAnsi="宋体"/>
                <w:sz w:val="24"/>
              </w:rPr>
              <w:t>本项目位于</w:t>
            </w:r>
            <w:r>
              <w:rPr>
                <w:rFonts w:hint="eastAsia" w:ascii="宋体" w:hAnsi="宋体"/>
                <w:sz w:val="24"/>
                <w:lang w:eastAsia="zh-CN"/>
              </w:rPr>
              <w:t>芜湖市沈巷镇保圩村</w:t>
            </w:r>
            <w:r>
              <w:rPr>
                <w:rFonts w:hint="eastAsia" w:ascii="宋体" w:hAnsi="宋体"/>
                <w:sz w:val="24"/>
              </w:rPr>
              <w:t>，</w:t>
            </w:r>
            <w:r>
              <w:rPr>
                <w:rFonts w:hint="eastAsia" w:ascii="宋体" w:hAnsi="宋体"/>
                <w:sz w:val="24"/>
                <w:lang w:val="en-US" w:eastAsia="zh-CN"/>
              </w:rPr>
              <w:t>占地面积</w:t>
            </w:r>
            <w:r>
              <w:rPr>
                <w:rFonts w:hint="eastAsia" w:ascii="Times New Roman" w:hAnsi="Times New Roman" w:eastAsia="宋体"/>
                <w:sz w:val="24"/>
                <w:highlight w:val="none"/>
                <w:lang w:val="en-US" w:eastAsia="zh-CN"/>
              </w:rPr>
              <w:t>21334</w:t>
            </w:r>
            <w:r>
              <w:rPr>
                <w:rFonts w:hint="eastAsia" w:ascii="Times New Roman" w:hAnsi="Times New Roman" w:eastAsia="宋体"/>
                <w:kern w:val="2"/>
                <w:sz w:val="24"/>
                <w:szCs w:val="24"/>
                <w:highlight w:val="none"/>
                <w:lang w:val="en-US" w:eastAsia="zh-CN"/>
              </w:rPr>
              <w:t xml:space="preserve"> </w:t>
            </w:r>
            <w:r>
              <w:rPr>
                <w:rFonts w:hint="eastAsia" w:ascii="Times New Roman" w:hAnsi="Times New Roman" w:eastAsia="宋体"/>
                <w:kern w:val="2"/>
                <w:sz w:val="24"/>
                <w:szCs w:val="24"/>
                <w:highlight w:val="none"/>
              </w:rPr>
              <w:t>m</w:t>
            </w:r>
            <w:r>
              <w:rPr>
                <w:rFonts w:hint="eastAsia" w:ascii="Times New Roman" w:hAnsi="Times New Roman" w:eastAsia="宋体"/>
                <w:kern w:val="2"/>
                <w:sz w:val="24"/>
                <w:szCs w:val="24"/>
                <w:highlight w:val="none"/>
                <w:vertAlign w:val="superscript"/>
              </w:rPr>
              <w:t>2</w:t>
            </w:r>
            <w:r>
              <w:rPr>
                <w:rFonts w:hint="eastAsia" w:ascii="宋体" w:hAnsi="宋体"/>
                <w:sz w:val="24"/>
                <w:lang w:val="en-US" w:eastAsia="zh-CN"/>
              </w:rPr>
              <w:t>。项目北侧为</w:t>
            </w:r>
            <w:r>
              <w:rPr>
                <w:rFonts w:hint="default" w:ascii="Times New Roman" w:hAnsi="Times New Roman" w:cs="Times New Roman"/>
                <w:sz w:val="24"/>
                <w:lang w:val="en-US" w:eastAsia="zh-CN"/>
              </w:rPr>
              <w:t>030</w:t>
            </w:r>
            <w:r>
              <w:rPr>
                <w:rFonts w:hint="eastAsia" w:ascii="宋体" w:hAnsi="宋体"/>
                <w:sz w:val="24"/>
                <w:lang w:val="en-US" w:eastAsia="zh-CN"/>
              </w:rPr>
              <w:t>县道，隔路为农田和居民区；西侧为农田；西南侧为金明珠包装有限公司；南侧为空地；东侧为农田和少量居民区。</w:t>
            </w:r>
            <w:r>
              <w:rPr>
                <w:rFonts w:hint="eastAsia" w:ascii="宋体" w:hAnsi="宋体"/>
                <w:color w:val="000000" w:themeColor="text1"/>
                <w:sz w:val="24"/>
                <w:highlight w:val="none"/>
                <w:lang w:val="en-US" w:eastAsia="zh-CN"/>
                <w14:textFill>
                  <w14:solidFill>
                    <w14:schemeClr w14:val="tx1"/>
                  </w14:solidFill>
                </w14:textFill>
              </w:rPr>
              <w:t>项目厂区西侧布置了原料仓库用于堆放原辅材料</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厂区南侧布置了破碎车间，东侧布置了锅炉房，北侧主要为办公生活区，项目配料车间位于厂区中部，布置了三斗配料系统。</w:t>
            </w:r>
            <w:r>
              <w:rPr>
                <w:rFonts w:hint="eastAsia" w:ascii="宋体" w:hAnsi="宋体"/>
                <w:sz w:val="24"/>
              </w:rPr>
              <w:t>厂区平面布置有利于项目生产运行过程中各部门的生产协作，提高生产效率。总体来说，项目的总平面布置基本合理。详见</w:t>
            </w:r>
            <w:r>
              <w:rPr>
                <w:rFonts w:hint="eastAsia" w:ascii="宋体" w:hAnsi="宋体"/>
                <w:b/>
                <w:sz w:val="24"/>
              </w:rPr>
              <w:t>附图1、附图</w:t>
            </w:r>
            <w:r>
              <w:rPr>
                <w:rFonts w:ascii="宋体" w:hAnsi="宋体"/>
                <w:b/>
                <w:sz w:val="24"/>
              </w:rPr>
              <w:t>2</w:t>
            </w:r>
            <w:r>
              <w:rPr>
                <w:rFonts w:hint="eastAsia" w:ascii="宋体" w:hAnsi="宋体"/>
                <w:b/>
                <w:sz w:val="24"/>
              </w:rPr>
              <w:t>。</w:t>
            </w:r>
          </w:p>
          <w:p>
            <w:pPr>
              <w:spacing w:line="360" w:lineRule="auto"/>
              <w:jc w:val="left"/>
              <w:rPr>
                <w:rFonts w:ascii="宋体" w:hAnsi="宋体"/>
                <w:b/>
                <w:sz w:val="28"/>
                <w:szCs w:val="28"/>
              </w:rPr>
            </w:pPr>
            <w:r>
              <w:rPr>
                <w:rFonts w:hint="eastAsia" w:ascii="宋体" w:hAnsi="宋体"/>
                <w:b/>
                <w:sz w:val="28"/>
                <w:szCs w:val="28"/>
              </w:rPr>
              <w:t>3、项目建设情况</w:t>
            </w:r>
          </w:p>
          <w:p>
            <w:pPr>
              <w:spacing w:line="360" w:lineRule="auto"/>
              <w:ind w:firstLine="480" w:firstLineChars="200"/>
              <w:jc w:val="left"/>
              <w:rPr>
                <w:rFonts w:ascii="宋体" w:hAnsi="宋体"/>
                <w:sz w:val="24"/>
              </w:rPr>
            </w:pPr>
            <w:r>
              <w:rPr>
                <w:rFonts w:hint="eastAsia" w:ascii="宋体" w:hAnsi="宋体"/>
                <w:sz w:val="24"/>
              </w:rPr>
              <w:t>项目建设主体、公用、环保工程详见表2-1</w:t>
            </w:r>
          </w:p>
          <w:p>
            <w:pPr>
              <w:spacing w:line="360" w:lineRule="auto"/>
              <w:ind w:firstLine="482" w:firstLineChars="200"/>
              <w:jc w:val="center"/>
              <w:rPr>
                <w:rFonts w:hint="eastAsia" w:ascii="宋体" w:hAnsi="宋体"/>
                <w:b/>
                <w:sz w:val="24"/>
              </w:rPr>
            </w:pPr>
            <w:r>
              <w:rPr>
                <w:rFonts w:hint="eastAsia" w:ascii="宋体" w:hAnsi="宋体"/>
                <w:b/>
                <w:sz w:val="24"/>
              </w:rPr>
              <w:t>表</w:t>
            </w:r>
            <w:r>
              <w:rPr>
                <w:rFonts w:ascii="宋体" w:hAnsi="宋体"/>
                <w:b/>
                <w:sz w:val="24"/>
              </w:rPr>
              <w:t>2-</w:t>
            </w:r>
            <w:r>
              <w:rPr>
                <w:rFonts w:hint="eastAsia" w:ascii="宋体" w:hAnsi="宋体"/>
                <w:b/>
                <w:sz w:val="24"/>
              </w:rPr>
              <w:t>1</w:t>
            </w:r>
            <w:r>
              <w:rPr>
                <w:rFonts w:hint="eastAsia" w:ascii="宋体" w:hAnsi="宋体"/>
                <w:b/>
                <w:sz w:val="24"/>
              </w:rPr>
              <w:tab/>
            </w:r>
            <w:r>
              <w:rPr>
                <w:rFonts w:ascii="宋体" w:hAnsi="宋体"/>
                <w:b/>
                <w:sz w:val="24"/>
              </w:rPr>
              <w:t xml:space="preserve"> </w:t>
            </w:r>
            <w:r>
              <w:rPr>
                <w:rFonts w:hint="eastAsia" w:ascii="宋体" w:hAnsi="宋体"/>
                <w:b/>
                <w:sz w:val="24"/>
              </w:rPr>
              <w:t>建设项目组成一览表</w:t>
            </w:r>
          </w:p>
          <w:tbl>
            <w:tblPr>
              <w:tblStyle w:val="33"/>
              <w:tblW w:w="90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1499"/>
              <w:gridCol w:w="2908"/>
              <w:gridCol w:w="2490"/>
              <w:gridCol w:w="11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060" w:type="dxa"/>
                  <w:noWrap w:val="0"/>
                  <w:vAlign w:val="center"/>
                </w:tcPr>
                <w:p>
                  <w:pPr>
                    <w:adjustRightInd/>
                    <w:spacing w:line="240" w:lineRule="auto"/>
                    <w:jc w:val="center"/>
                    <w:textAlignment w:val="auto"/>
                    <w:rPr>
                      <w:rFonts w:hint="default" w:ascii="Times New Roman" w:hAnsi="Times New Roman" w:eastAsia="宋体" w:cs="Times New Roman"/>
                      <w:b/>
                      <w:color w:val="000000"/>
                      <w:kern w:val="2"/>
                      <w:sz w:val="21"/>
                      <w:szCs w:val="21"/>
                      <w:highlight w:val="none"/>
                    </w:rPr>
                  </w:pPr>
                  <w:r>
                    <w:rPr>
                      <w:rFonts w:hint="default" w:ascii="Times New Roman" w:hAnsi="Times New Roman" w:eastAsia="宋体" w:cs="Times New Roman"/>
                      <w:b/>
                      <w:color w:val="000000"/>
                      <w:kern w:val="2"/>
                      <w:sz w:val="21"/>
                      <w:szCs w:val="21"/>
                      <w:highlight w:val="none"/>
                    </w:rPr>
                    <w:t>工程分类</w:t>
                  </w:r>
                </w:p>
              </w:tc>
              <w:tc>
                <w:tcPr>
                  <w:tcW w:w="1499" w:type="dxa"/>
                  <w:noWrap w:val="0"/>
                  <w:vAlign w:val="center"/>
                </w:tcPr>
                <w:p>
                  <w:pPr>
                    <w:snapToGrid w:val="0"/>
                    <w:spacing w:line="240" w:lineRule="auto"/>
                    <w:jc w:val="center"/>
                    <w:rPr>
                      <w:rFonts w:hint="default" w:ascii="Times New Roman" w:hAnsi="Times New Roman" w:eastAsia="宋体" w:cs="Times New Roman"/>
                      <w:b/>
                      <w:color w:val="000000"/>
                      <w:kern w:val="2"/>
                      <w:sz w:val="21"/>
                      <w:szCs w:val="21"/>
                      <w:highlight w:val="none"/>
                    </w:rPr>
                  </w:pPr>
                  <w:r>
                    <w:rPr>
                      <w:rFonts w:hint="default" w:ascii="Times New Roman" w:hAnsi="Times New Roman" w:eastAsia="宋体" w:cs="Times New Roman"/>
                      <w:b/>
                      <w:color w:val="000000"/>
                      <w:kern w:val="2"/>
                      <w:sz w:val="21"/>
                      <w:szCs w:val="21"/>
                      <w:highlight w:val="none"/>
                    </w:rPr>
                    <w:t>建设内容</w:t>
                  </w:r>
                </w:p>
              </w:tc>
              <w:tc>
                <w:tcPr>
                  <w:tcW w:w="2908" w:type="dxa"/>
                  <w:noWrap w:val="0"/>
                  <w:vAlign w:val="center"/>
                </w:tcPr>
                <w:p>
                  <w:pPr>
                    <w:adjustRightInd/>
                    <w:spacing w:line="240" w:lineRule="auto"/>
                    <w:jc w:val="center"/>
                    <w:textAlignment w:val="auto"/>
                    <w:rPr>
                      <w:rFonts w:hint="default" w:ascii="Times New Roman" w:hAnsi="Times New Roman" w:eastAsia="宋体" w:cs="Times New Roman"/>
                      <w:b/>
                      <w:color w:val="000000"/>
                      <w:kern w:val="2"/>
                      <w:sz w:val="21"/>
                      <w:szCs w:val="21"/>
                      <w:highlight w:val="none"/>
                    </w:rPr>
                  </w:pPr>
                  <w:r>
                    <w:rPr>
                      <w:rFonts w:hint="default" w:ascii="Times New Roman" w:hAnsi="Times New Roman" w:eastAsia="宋体" w:cs="Times New Roman"/>
                      <w:b/>
                      <w:color w:val="000000"/>
                      <w:kern w:val="2"/>
                      <w:sz w:val="21"/>
                      <w:szCs w:val="21"/>
                      <w:highlight w:val="none"/>
                      <w:lang w:val="en-US" w:eastAsia="zh-CN"/>
                    </w:rPr>
                    <w:t>后评价建设内容及规模</w:t>
                  </w:r>
                </w:p>
              </w:tc>
              <w:tc>
                <w:tcPr>
                  <w:tcW w:w="2490" w:type="dxa"/>
                  <w:noWrap w:val="0"/>
                  <w:vAlign w:val="center"/>
                </w:tcPr>
                <w:p>
                  <w:pPr>
                    <w:adjustRightInd/>
                    <w:spacing w:line="240" w:lineRule="auto"/>
                    <w:jc w:val="center"/>
                    <w:textAlignment w:val="auto"/>
                    <w:rPr>
                      <w:rFonts w:hint="default" w:ascii="Times New Roman" w:hAnsi="Times New Roman" w:eastAsia="宋体" w:cs="Times New Roman"/>
                      <w:b/>
                      <w:color w:val="000000"/>
                      <w:kern w:val="2"/>
                      <w:sz w:val="21"/>
                      <w:szCs w:val="21"/>
                      <w:highlight w:val="none"/>
                    </w:rPr>
                  </w:pPr>
                  <w:r>
                    <w:rPr>
                      <w:rFonts w:hint="default" w:ascii="Times New Roman" w:hAnsi="Times New Roman" w:eastAsia="宋体" w:cs="Times New Roman"/>
                      <w:b/>
                      <w:color w:val="000000"/>
                      <w:kern w:val="2"/>
                      <w:sz w:val="21"/>
                      <w:szCs w:val="21"/>
                      <w:highlight w:val="none"/>
                      <w:lang w:val="en-US" w:eastAsia="zh-CN"/>
                    </w:rPr>
                    <w:t>实际建设内容及规模</w:t>
                  </w:r>
                </w:p>
              </w:tc>
              <w:tc>
                <w:tcPr>
                  <w:tcW w:w="1100" w:type="dxa"/>
                  <w:noWrap w:val="0"/>
                  <w:vAlign w:val="center"/>
                </w:tcPr>
                <w:p>
                  <w:pPr>
                    <w:adjustRightInd/>
                    <w:spacing w:line="240" w:lineRule="auto"/>
                    <w:jc w:val="center"/>
                    <w:textAlignment w:val="auto"/>
                    <w:rPr>
                      <w:rFonts w:hint="default" w:ascii="Times New Roman" w:hAnsi="Times New Roman" w:eastAsia="宋体" w:cs="Times New Roman"/>
                      <w:b/>
                      <w:color w:val="000000"/>
                      <w:kern w:val="2"/>
                      <w:sz w:val="21"/>
                      <w:szCs w:val="21"/>
                      <w:highlight w:val="none"/>
                      <w:lang w:val="en-US" w:eastAsia="zh-CN"/>
                    </w:rPr>
                  </w:pPr>
                  <w:r>
                    <w:rPr>
                      <w:rFonts w:hint="default" w:ascii="Times New Roman" w:hAnsi="Times New Roman" w:eastAsia="宋体" w:cs="Times New Roman"/>
                      <w:b/>
                      <w:color w:val="000000"/>
                      <w:kern w:val="2"/>
                      <w:sz w:val="21"/>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1060" w:type="dxa"/>
                  <w:noWrap w:val="0"/>
                  <w:vAlign w:val="center"/>
                </w:tcPr>
                <w:p>
                  <w:pPr>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kern w:val="0"/>
                      <w:sz w:val="21"/>
                      <w:szCs w:val="21"/>
                      <w:highlight w:val="none"/>
                    </w:rPr>
                    <w:t>主体工程</w:t>
                  </w:r>
                </w:p>
              </w:tc>
              <w:tc>
                <w:tcPr>
                  <w:tcW w:w="1499" w:type="dxa"/>
                  <w:noWrap w:val="0"/>
                  <w:vAlign w:val="center"/>
                </w:tcPr>
                <w:p>
                  <w:pPr>
                    <w:spacing w:line="300" w:lineRule="exact"/>
                    <w:jc w:val="center"/>
                    <w:rPr>
                      <w:rFonts w:hint="eastAsia" w:ascii="Times New Roman" w:hAnsi="Times New Roman" w:eastAsia="宋体" w:cs="Times New Roman"/>
                      <w:bCs/>
                      <w:sz w:val="21"/>
                      <w:szCs w:val="21"/>
                      <w:highlight w:val="none"/>
                      <w:lang w:eastAsia="zh-CN"/>
                    </w:rPr>
                  </w:pPr>
                  <w:r>
                    <w:rPr>
                      <w:rFonts w:hint="eastAsia" w:ascii="Times New Roman" w:hAnsi="Times New Roman" w:eastAsia="宋体" w:cs="Times New Roman"/>
                      <w:sz w:val="21"/>
                      <w:szCs w:val="21"/>
                      <w:highlight w:val="none"/>
                      <w:lang w:eastAsia="zh-CN"/>
                    </w:rPr>
                    <w:t>灰砂砖生产线</w:t>
                  </w:r>
                </w:p>
              </w:tc>
              <w:tc>
                <w:tcPr>
                  <w:tcW w:w="2908" w:type="dxa"/>
                  <w:noWrap w:val="0"/>
                  <w:vAlign w:val="center"/>
                </w:tcPr>
                <w:p>
                  <w:pPr>
                    <w:spacing w:line="300" w:lineRule="exact"/>
                    <w:jc w:val="center"/>
                    <w:rPr>
                      <w:rFonts w:hint="default" w:ascii="Times New Roman" w:hAnsi="Times New Roman" w:eastAsia="宋体" w:cs="Times New Roman"/>
                      <w:bCs/>
                      <w:sz w:val="21"/>
                      <w:szCs w:val="21"/>
                      <w:highlight w:val="none"/>
                      <w:lang w:val="en-US" w:eastAsia="zh-CN"/>
                    </w:rPr>
                  </w:pPr>
                  <w:r>
                    <w:rPr>
                      <w:rFonts w:hint="eastAsia" w:ascii="Times New Roman" w:hAnsi="Times New Roman" w:eastAsia="宋体" w:cs="Times New Roman"/>
                      <w:sz w:val="21"/>
                      <w:szCs w:val="21"/>
                      <w:highlight w:val="none"/>
                      <w:lang w:eastAsia="zh-CN"/>
                    </w:rPr>
                    <w:t>建设一条</w:t>
                  </w:r>
                  <w:r>
                    <w:rPr>
                      <w:rFonts w:hint="eastAsia" w:ascii="Times New Roman" w:hAnsi="Times New Roman" w:eastAsia="宋体" w:cs="Times New Roman"/>
                      <w:sz w:val="21"/>
                      <w:szCs w:val="21"/>
                      <w:highlight w:val="none"/>
                      <w:lang w:val="en-US" w:eastAsia="zh-CN"/>
                    </w:rPr>
                    <w:t>1.2亿块蒸压灰砂砖生产线，配备石灰破碎粉磨、配料工段、消化轮碾成型养护工段、空压机房及其他设施</w:t>
                  </w:r>
                </w:p>
              </w:tc>
              <w:tc>
                <w:tcPr>
                  <w:tcW w:w="2490" w:type="dxa"/>
                  <w:noWrap w:val="0"/>
                  <w:vAlign w:val="center"/>
                </w:tcPr>
                <w:p>
                  <w:pPr>
                    <w:snapToGrid w:val="0"/>
                    <w:spacing w:line="240" w:lineRule="auto"/>
                    <w:jc w:val="center"/>
                    <w:textAlignment w:val="auto"/>
                    <w:rPr>
                      <w:rFonts w:hint="default"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color w:val="000000"/>
                      <w:kern w:val="2"/>
                      <w:sz w:val="21"/>
                      <w:szCs w:val="21"/>
                      <w:highlight w:val="none"/>
                      <w:lang w:eastAsia="zh-CN"/>
                    </w:rPr>
                    <w:t>建设一条</w:t>
                  </w:r>
                  <w:r>
                    <w:rPr>
                      <w:rFonts w:hint="eastAsia" w:ascii="Times New Roman" w:hAnsi="Times New Roman" w:eastAsia="宋体" w:cs="Times New Roman"/>
                      <w:color w:val="000000"/>
                      <w:kern w:val="2"/>
                      <w:sz w:val="21"/>
                      <w:szCs w:val="21"/>
                      <w:highlight w:val="none"/>
                      <w:lang w:val="en-US" w:eastAsia="zh-CN"/>
                    </w:rPr>
                    <w:t>1.2亿块蒸压灰砂砖生产线，配备石灰破碎粉磨、配料工段、消化轮碾成型养护工段、空压机房及其他设施</w:t>
                  </w:r>
                </w:p>
              </w:tc>
              <w:tc>
                <w:tcPr>
                  <w:tcW w:w="1100" w:type="dxa"/>
                  <w:noWrap w:val="0"/>
                  <w:vAlign w:val="center"/>
                </w:tcPr>
                <w:p>
                  <w:pPr>
                    <w:snapToGrid w:val="0"/>
                    <w:spacing w:line="240" w:lineRule="auto"/>
                    <w:jc w:val="center"/>
                    <w:textAlignment w:val="auto"/>
                    <w:rPr>
                      <w:rFonts w:hint="eastAsia"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color w:val="000000"/>
                      <w:kern w:val="2"/>
                      <w:sz w:val="21"/>
                      <w:szCs w:val="21"/>
                      <w:highlight w:val="none"/>
                      <w:lang w:val="en-US" w:eastAsia="zh-CN"/>
                    </w:rPr>
                    <w:t>与</w:t>
                  </w:r>
                  <w:r>
                    <w:rPr>
                      <w:rFonts w:hint="eastAsia" w:eastAsia="宋体" w:cs="Times New Roman"/>
                      <w:color w:val="000000"/>
                      <w:kern w:val="2"/>
                      <w:sz w:val="21"/>
                      <w:szCs w:val="21"/>
                      <w:highlight w:val="none"/>
                      <w:lang w:val="en-US" w:eastAsia="zh-CN"/>
                    </w:rPr>
                    <w:t>后评价</w:t>
                  </w:r>
                  <w:r>
                    <w:rPr>
                      <w:rFonts w:hint="eastAsia" w:ascii="Times New Roman" w:hAnsi="Times New Roman" w:eastAsia="宋体" w:cs="Times New Roman"/>
                      <w:color w:val="000000"/>
                      <w:kern w:val="2"/>
                      <w:sz w:val="21"/>
                      <w:szCs w:val="21"/>
                      <w:highlight w:val="none"/>
                      <w:lang w:val="en-US"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60" w:type="dxa"/>
                  <w:vMerge w:val="restart"/>
                  <w:noWrap w:val="0"/>
                  <w:vAlign w:val="center"/>
                </w:tcPr>
                <w:p>
                  <w:pPr>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kern w:val="0"/>
                      <w:sz w:val="21"/>
                      <w:szCs w:val="21"/>
                      <w:highlight w:val="none"/>
                    </w:rPr>
                    <w:t>辅助工程</w:t>
                  </w:r>
                </w:p>
              </w:tc>
              <w:tc>
                <w:tcPr>
                  <w:tcW w:w="1499" w:type="dxa"/>
                  <w:noWrap w:val="0"/>
                  <w:vAlign w:val="center"/>
                </w:tcPr>
                <w:p>
                  <w:pPr>
                    <w:spacing w:line="300" w:lineRule="exact"/>
                    <w:jc w:val="center"/>
                    <w:rPr>
                      <w:rFonts w:hint="eastAsia" w:ascii="Times New Roman" w:hAnsi="Times New Roman" w:eastAsia="宋体" w:cs="Times New Roman"/>
                      <w:color w:val="000000"/>
                      <w:kern w:val="2"/>
                      <w:sz w:val="21"/>
                      <w:szCs w:val="21"/>
                      <w:highlight w:val="none"/>
                      <w:lang w:eastAsia="zh-CN"/>
                    </w:rPr>
                  </w:pPr>
                  <w:r>
                    <w:rPr>
                      <w:rFonts w:hint="default" w:ascii="Times New Roman" w:hAnsi="Times New Roman" w:eastAsia="宋体" w:cs="Times New Roman"/>
                      <w:sz w:val="21"/>
                      <w:szCs w:val="21"/>
                      <w:highlight w:val="none"/>
                    </w:rPr>
                    <w:t>办公</w:t>
                  </w:r>
                  <w:r>
                    <w:rPr>
                      <w:rFonts w:hint="eastAsia" w:ascii="Times New Roman" w:hAnsi="Times New Roman" w:eastAsia="宋体" w:cs="Times New Roman"/>
                      <w:sz w:val="21"/>
                      <w:szCs w:val="21"/>
                      <w:highlight w:val="none"/>
                      <w:lang w:eastAsia="zh-CN"/>
                    </w:rPr>
                    <w:t>室</w:t>
                  </w:r>
                </w:p>
              </w:tc>
              <w:tc>
                <w:tcPr>
                  <w:tcW w:w="2908" w:type="dxa"/>
                  <w:noWrap w:val="0"/>
                  <w:vAlign w:val="center"/>
                </w:tcPr>
                <w:p>
                  <w:pPr>
                    <w:spacing w:line="300" w:lineRule="exact"/>
                    <w:jc w:val="center"/>
                    <w:rPr>
                      <w:rFonts w:hint="eastAsia"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sz w:val="21"/>
                      <w:szCs w:val="21"/>
                      <w:highlight w:val="none"/>
                      <w:lang w:eastAsia="zh-CN"/>
                    </w:rPr>
                    <w:t>用于员工办公及休息</w:t>
                  </w:r>
                </w:p>
              </w:tc>
              <w:tc>
                <w:tcPr>
                  <w:tcW w:w="2490" w:type="dxa"/>
                  <w:noWrap w:val="0"/>
                  <w:vAlign w:val="center"/>
                </w:tcPr>
                <w:p>
                  <w:pPr>
                    <w:snapToGrid w:val="0"/>
                    <w:spacing w:line="240" w:lineRule="auto"/>
                    <w:jc w:val="center"/>
                    <w:textAlignment w:val="auto"/>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lang w:eastAsia="zh-CN"/>
                    </w:rPr>
                    <w:t>用于员工办公及休息</w:t>
                  </w:r>
                </w:p>
              </w:tc>
              <w:tc>
                <w:tcPr>
                  <w:tcW w:w="1100" w:type="dxa"/>
                  <w:noWrap w:val="0"/>
                  <w:vAlign w:val="center"/>
                </w:tcPr>
                <w:p>
                  <w:pPr>
                    <w:snapToGrid w:val="0"/>
                    <w:spacing w:line="240" w:lineRule="auto"/>
                    <w:jc w:val="center"/>
                    <w:textAlignment w:val="auto"/>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lang w:val="en-US" w:eastAsia="zh-CN"/>
                    </w:rPr>
                    <w:t>与后评价一致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60" w:type="dxa"/>
                  <w:vMerge w:val="continue"/>
                  <w:noWrap w:val="0"/>
                  <w:vAlign w:val="center"/>
                </w:tcPr>
                <w:p>
                  <w:pPr>
                    <w:jc w:val="center"/>
                    <w:rPr>
                      <w:rFonts w:hint="default" w:ascii="Times New Roman" w:hAnsi="Times New Roman" w:eastAsia="宋体" w:cs="Times New Roman"/>
                      <w:color w:val="000000"/>
                      <w:kern w:val="2"/>
                      <w:sz w:val="21"/>
                      <w:szCs w:val="21"/>
                      <w:highlight w:val="none"/>
                    </w:rPr>
                  </w:pPr>
                </w:p>
              </w:tc>
              <w:tc>
                <w:tcPr>
                  <w:tcW w:w="1499" w:type="dxa"/>
                  <w:noWrap w:val="0"/>
                  <w:vAlign w:val="center"/>
                </w:tcPr>
                <w:p>
                  <w:pPr>
                    <w:spacing w:line="3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锅炉房</w:t>
                  </w:r>
                </w:p>
              </w:tc>
              <w:tc>
                <w:tcPr>
                  <w:tcW w:w="2908" w:type="dxa"/>
                  <w:noWrap w:val="0"/>
                  <w:vAlign w:val="center"/>
                </w:tcPr>
                <w:p>
                  <w:pPr>
                    <w:spacing w:line="300" w:lineRule="exact"/>
                    <w:jc w:val="center"/>
                    <w:rPr>
                      <w:rFonts w:hint="eastAsia" w:ascii="Times New Roman" w:hAnsi="Times New Roman" w:eastAsia="宋体" w:cs="Times New Roman"/>
                      <w:bCs/>
                      <w:sz w:val="21"/>
                      <w:szCs w:val="21"/>
                      <w:highlight w:val="none"/>
                      <w:lang w:eastAsia="zh-CN"/>
                    </w:rPr>
                  </w:pPr>
                  <w:r>
                    <w:rPr>
                      <w:rFonts w:hint="eastAsia" w:ascii="Times New Roman" w:hAnsi="Times New Roman" w:eastAsia="宋体" w:cs="Times New Roman"/>
                      <w:sz w:val="21"/>
                      <w:szCs w:val="21"/>
                      <w:highlight w:val="none"/>
                      <w:lang w:eastAsia="zh-CN"/>
                    </w:rPr>
                    <w:t>位于车间内锅炉生产</w:t>
                  </w:r>
                </w:p>
              </w:tc>
              <w:tc>
                <w:tcPr>
                  <w:tcW w:w="2490" w:type="dxa"/>
                  <w:noWrap w:val="0"/>
                  <w:vAlign w:val="center"/>
                </w:tcPr>
                <w:p>
                  <w:pPr>
                    <w:snapToGrid w:val="0"/>
                    <w:spacing w:line="240" w:lineRule="auto"/>
                    <w:jc w:val="center"/>
                    <w:textAlignment w:val="auto"/>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sz w:val="21"/>
                      <w:szCs w:val="21"/>
                      <w:highlight w:val="none"/>
                      <w:lang w:eastAsia="zh-CN"/>
                    </w:rPr>
                    <w:t>位于车间内锅炉生产</w:t>
                  </w:r>
                </w:p>
              </w:tc>
              <w:tc>
                <w:tcPr>
                  <w:tcW w:w="1100" w:type="dxa"/>
                  <w:noWrap w:val="0"/>
                  <w:vAlign w:val="center"/>
                </w:tcPr>
                <w:p>
                  <w:pPr>
                    <w:snapToGrid w:val="0"/>
                    <w:spacing w:line="240" w:lineRule="auto"/>
                    <w:jc w:val="center"/>
                    <w:textAlignment w:val="auto"/>
                    <w:rPr>
                      <w:rFonts w:hint="default" w:ascii="Times New Roman" w:hAnsi="Times New Roman" w:eastAsia="宋体" w:cs="Times New Roman"/>
                      <w:color w:val="000000"/>
                      <w:sz w:val="21"/>
                      <w:szCs w:val="21"/>
                      <w:highlight w:val="none"/>
                      <w:lang w:val="en-US"/>
                    </w:rPr>
                  </w:pPr>
                  <w:r>
                    <w:rPr>
                      <w:rFonts w:hint="eastAsia" w:cs="Times New Roman"/>
                      <w:color w:val="000000"/>
                      <w:sz w:val="21"/>
                      <w:szCs w:val="21"/>
                      <w:highlight w:val="none"/>
                      <w:lang w:val="en-US" w:eastAsia="zh-CN"/>
                    </w:rPr>
                    <w:t>项目淘汰原有燃煤锅炉，新建合格规范的生物质锅炉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60" w:type="dxa"/>
                  <w:vMerge w:val="restart"/>
                  <w:noWrap w:val="0"/>
                  <w:vAlign w:val="center"/>
                </w:tcPr>
                <w:p>
                  <w:pPr>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kern w:val="0"/>
                      <w:sz w:val="21"/>
                      <w:szCs w:val="21"/>
                      <w:highlight w:val="none"/>
                    </w:rPr>
                    <w:t>公用工程</w:t>
                  </w:r>
                </w:p>
              </w:tc>
              <w:tc>
                <w:tcPr>
                  <w:tcW w:w="1499" w:type="dxa"/>
                  <w:noWrap w:val="0"/>
                  <w:vAlign w:val="center"/>
                </w:tcPr>
                <w:p>
                  <w:pPr>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kern w:val="0"/>
                      <w:sz w:val="21"/>
                      <w:szCs w:val="21"/>
                      <w:highlight w:val="none"/>
                    </w:rPr>
                    <w:t>供电</w:t>
                  </w:r>
                </w:p>
              </w:tc>
              <w:tc>
                <w:tcPr>
                  <w:tcW w:w="2908" w:type="dxa"/>
                  <w:noWrap w:val="0"/>
                  <w:vAlign w:val="center"/>
                </w:tcPr>
                <w:p>
                  <w:pPr>
                    <w:widowControl/>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bCs/>
                      <w:sz w:val="21"/>
                      <w:szCs w:val="21"/>
                      <w:highlight w:val="none"/>
                      <w:lang w:eastAsia="zh-CN"/>
                    </w:rPr>
                    <w:t>沈巷镇供电</w:t>
                  </w:r>
                  <w:r>
                    <w:rPr>
                      <w:rFonts w:hint="default" w:ascii="Times New Roman" w:hAnsi="Times New Roman" w:eastAsia="宋体" w:cs="Times New Roman"/>
                      <w:bCs/>
                      <w:sz w:val="21"/>
                      <w:szCs w:val="21"/>
                      <w:highlight w:val="none"/>
                    </w:rPr>
                    <w:t>，</w:t>
                  </w:r>
                  <w:r>
                    <w:rPr>
                      <w:rFonts w:hint="eastAsia" w:ascii="Times New Roman" w:hAnsi="Times New Roman" w:eastAsia="宋体"/>
                      <w:sz w:val="21"/>
                      <w:szCs w:val="21"/>
                      <w:highlight w:val="none"/>
                      <w:lang w:val="en-US" w:eastAsia="zh-CN"/>
                    </w:rPr>
                    <w:t>50</w:t>
                  </w:r>
                  <w:r>
                    <w:rPr>
                      <w:rFonts w:hint="eastAsia" w:ascii="Times New Roman" w:hAnsi="Times New Roman" w:eastAsia="宋体"/>
                      <w:sz w:val="21"/>
                      <w:szCs w:val="21"/>
                      <w:highlight w:val="none"/>
                      <w:lang w:eastAsia="zh-CN"/>
                    </w:rPr>
                    <w:t>万</w:t>
                  </w:r>
                  <w:r>
                    <w:rPr>
                      <w:rFonts w:ascii="Times New Roman" w:hAnsi="Times New Roman" w:eastAsia="宋体"/>
                      <w:sz w:val="21"/>
                      <w:szCs w:val="21"/>
                      <w:highlight w:val="none"/>
                    </w:rPr>
                    <w:t>kW</w:t>
                  </w:r>
                  <w:r>
                    <w:rPr>
                      <w:rFonts w:hint="default" w:ascii="Times New Roman" w:hAnsi="Times New Roman" w:eastAsia="宋体" w:cs="Times New Roman"/>
                      <w:sz w:val="21"/>
                      <w:szCs w:val="21"/>
                      <w:highlight w:val="none"/>
                    </w:rPr>
                    <w:t>·</w:t>
                  </w:r>
                  <w:r>
                    <w:rPr>
                      <w:rFonts w:ascii="Times New Roman" w:hAnsi="Times New Roman" w:eastAsia="宋体"/>
                      <w:sz w:val="21"/>
                      <w:szCs w:val="21"/>
                      <w:highlight w:val="none"/>
                    </w:rPr>
                    <w:t>h</w:t>
                  </w:r>
                  <w:r>
                    <w:rPr>
                      <w:rFonts w:hint="eastAsia" w:ascii="Times New Roman" w:hAnsi="Times New Roman" w:eastAsia="宋体"/>
                      <w:sz w:val="21"/>
                      <w:szCs w:val="21"/>
                      <w:highlight w:val="none"/>
                      <w:lang w:val="en-US" w:eastAsia="zh-CN"/>
                    </w:rPr>
                    <w:t>/a</w:t>
                  </w:r>
                </w:p>
              </w:tc>
              <w:tc>
                <w:tcPr>
                  <w:tcW w:w="2490" w:type="dxa"/>
                  <w:noWrap w:val="0"/>
                  <w:vAlign w:val="center"/>
                </w:tcPr>
                <w:p>
                  <w:pPr>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eastAsia="zh-CN"/>
                    </w:rPr>
                    <w:t>沈巷镇供电</w:t>
                  </w:r>
                  <w:r>
                    <w:rPr>
                      <w:rFonts w:hint="default" w:ascii="Times New Roman" w:hAnsi="Times New Roman" w:eastAsia="宋体" w:cs="Times New Roman"/>
                      <w:color w:val="000000"/>
                      <w:sz w:val="21"/>
                      <w:szCs w:val="21"/>
                      <w:highlight w:val="none"/>
                    </w:rPr>
                    <w:t>，</w:t>
                  </w:r>
                  <w:r>
                    <w:rPr>
                      <w:rFonts w:hint="default" w:ascii="Times New Roman" w:hAnsi="Times New Roman" w:eastAsia="宋体" w:cs="Times New Roman"/>
                      <w:color w:val="000000"/>
                      <w:sz w:val="21"/>
                      <w:szCs w:val="21"/>
                      <w:highlight w:val="none"/>
                      <w:lang w:val="en-US" w:eastAsia="zh-CN"/>
                    </w:rPr>
                    <w:t>50</w:t>
                  </w:r>
                  <w:r>
                    <w:rPr>
                      <w:rFonts w:hint="default" w:ascii="Times New Roman" w:hAnsi="Times New Roman" w:eastAsia="宋体" w:cs="Times New Roman"/>
                      <w:color w:val="000000"/>
                      <w:sz w:val="21"/>
                      <w:szCs w:val="21"/>
                      <w:highlight w:val="none"/>
                      <w:lang w:eastAsia="zh-CN"/>
                    </w:rPr>
                    <w:t>万</w:t>
                  </w:r>
                  <w:r>
                    <w:rPr>
                      <w:rFonts w:hint="default" w:ascii="Times New Roman" w:hAnsi="Times New Roman" w:eastAsia="宋体" w:cs="Times New Roman"/>
                      <w:color w:val="000000"/>
                      <w:sz w:val="21"/>
                      <w:szCs w:val="21"/>
                      <w:highlight w:val="none"/>
                    </w:rPr>
                    <w:t>kW·h</w:t>
                  </w:r>
                  <w:r>
                    <w:rPr>
                      <w:rFonts w:hint="default" w:ascii="Times New Roman" w:hAnsi="Times New Roman" w:eastAsia="宋体" w:cs="Times New Roman"/>
                      <w:color w:val="000000"/>
                      <w:sz w:val="21"/>
                      <w:szCs w:val="21"/>
                      <w:highlight w:val="none"/>
                      <w:lang w:val="en-US" w:eastAsia="zh-CN"/>
                    </w:rPr>
                    <w:t>/a</w:t>
                  </w:r>
                </w:p>
              </w:tc>
              <w:tc>
                <w:tcPr>
                  <w:tcW w:w="1100" w:type="dxa"/>
                  <w:noWrap w:val="0"/>
                  <w:vAlign w:val="center"/>
                </w:tcPr>
                <w:p>
                  <w:pPr>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与后评价一致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060" w:type="dxa"/>
                  <w:vMerge w:val="continue"/>
                  <w:noWrap w:val="0"/>
                  <w:vAlign w:val="center"/>
                </w:tcPr>
                <w:p>
                  <w:pPr>
                    <w:jc w:val="center"/>
                    <w:rPr>
                      <w:rFonts w:hint="default" w:ascii="Times New Roman" w:hAnsi="Times New Roman" w:eastAsia="宋体" w:cs="Times New Roman"/>
                      <w:color w:val="000000"/>
                      <w:kern w:val="2"/>
                      <w:sz w:val="21"/>
                      <w:szCs w:val="21"/>
                      <w:highlight w:val="none"/>
                    </w:rPr>
                  </w:pPr>
                </w:p>
              </w:tc>
              <w:tc>
                <w:tcPr>
                  <w:tcW w:w="1499" w:type="dxa"/>
                  <w:noWrap w:val="0"/>
                  <w:vAlign w:val="center"/>
                </w:tcPr>
                <w:p>
                  <w:pPr>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kern w:val="0"/>
                      <w:sz w:val="21"/>
                      <w:szCs w:val="21"/>
                      <w:highlight w:val="none"/>
                    </w:rPr>
                    <w:t>供水</w:t>
                  </w:r>
                </w:p>
              </w:tc>
              <w:tc>
                <w:tcPr>
                  <w:tcW w:w="2908" w:type="dxa"/>
                  <w:noWrap w:val="0"/>
                  <w:vAlign w:val="center"/>
                </w:tcPr>
                <w:p>
                  <w:pPr>
                    <w:jc w:val="center"/>
                    <w:rPr>
                      <w:rFonts w:hint="eastAsia"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color w:val="000000"/>
                      <w:kern w:val="2"/>
                      <w:sz w:val="21"/>
                      <w:szCs w:val="21"/>
                      <w:highlight w:val="none"/>
                      <w:lang w:eastAsia="zh-CN"/>
                    </w:rPr>
                    <w:t>园区供水管网，供水量</w:t>
                  </w:r>
                  <w:r>
                    <w:rPr>
                      <w:rFonts w:hint="eastAsia" w:ascii="Times New Roman" w:hAnsi="Times New Roman" w:eastAsia="宋体" w:cs="Times New Roman"/>
                      <w:bCs/>
                      <w:sz w:val="21"/>
                      <w:szCs w:val="21"/>
                      <w:highlight w:val="none"/>
                      <w:lang w:val="en-US" w:eastAsia="zh-CN"/>
                    </w:rPr>
                    <w:t xml:space="preserve">0.51万 </w:t>
                  </w:r>
                  <w:r>
                    <w:rPr>
                      <w:rFonts w:hint="default" w:ascii="Times New Roman" w:hAnsi="Times New Roman" w:eastAsia="宋体" w:cs="Times New Roman"/>
                      <w:bCs/>
                      <w:sz w:val="21"/>
                      <w:szCs w:val="21"/>
                      <w:highlight w:val="none"/>
                    </w:rPr>
                    <w:t>t/a</w:t>
                  </w:r>
                </w:p>
              </w:tc>
              <w:tc>
                <w:tcPr>
                  <w:tcW w:w="2490" w:type="dxa"/>
                  <w:noWrap w:val="0"/>
                  <w:vAlign w:val="center"/>
                </w:tcPr>
                <w:p>
                  <w:pPr>
                    <w:jc w:val="center"/>
                    <w:rPr>
                      <w:rFonts w:hint="default" w:ascii="Times New Roman" w:hAnsi="Times New Roman" w:eastAsia="宋体" w:cs="Times New Roman"/>
                      <w:color w:val="000000"/>
                      <w:kern w:val="2"/>
                      <w:sz w:val="21"/>
                      <w:szCs w:val="21"/>
                      <w:highlight w:val="none"/>
                    </w:rPr>
                  </w:pPr>
                  <w:r>
                    <w:rPr>
                      <w:rFonts w:hint="eastAsia" w:ascii="Times New Roman" w:hAnsi="Times New Roman" w:eastAsia="宋体" w:cs="Times New Roman"/>
                      <w:color w:val="000000"/>
                      <w:kern w:val="2"/>
                      <w:sz w:val="21"/>
                      <w:szCs w:val="21"/>
                      <w:highlight w:val="none"/>
                      <w:lang w:eastAsia="zh-CN"/>
                    </w:rPr>
                    <w:t>园区供水管网，供水量</w:t>
                  </w:r>
                  <w:r>
                    <w:rPr>
                      <w:rFonts w:hint="eastAsia" w:cs="Times New Roman"/>
                      <w:bCs/>
                      <w:sz w:val="21"/>
                      <w:szCs w:val="21"/>
                      <w:highlight w:val="none"/>
                      <w:lang w:val="en-US" w:eastAsia="zh-CN"/>
                    </w:rPr>
                    <w:t>0.29</w:t>
                  </w:r>
                  <w:r>
                    <w:rPr>
                      <w:rFonts w:hint="eastAsia" w:ascii="Times New Roman" w:hAnsi="Times New Roman" w:eastAsia="宋体" w:cs="Times New Roman"/>
                      <w:bCs/>
                      <w:sz w:val="21"/>
                      <w:szCs w:val="21"/>
                      <w:highlight w:val="none"/>
                      <w:lang w:val="en-US" w:eastAsia="zh-CN"/>
                    </w:rPr>
                    <w:t xml:space="preserve">万 </w:t>
                  </w:r>
                  <w:r>
                    <w:rPr>
                      <w:rFonts w:hint="default" w:ascii="Times New Roman" w:hAnsi="Times New Roman" w:eastAsia="宋体" w:cs="Times New Roman"/>
                      <w:bCs/>
                      <w:sz w:val="21"/>
                      <w:szCs w:val="21"/>
                      <w:highlight w:val="none"/>
                    </w:rPr>
                    <w:t>t/a</w:t>
                  </w:r>
                </w:p>
              </w:tc>
              <w:tc>
                <w:tcPr>
                  <w:tcW w:w="1100" w:type="dxa"/>
                  <w:noWrap w:val="0"/>
                  <w:vAlign w:val="center"/>
                </w:tcPr>
                <w:p>
                  <w:pPr>
                    <w:spacing w:line="240" w:lineRule="auto"/>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lang w:val="en-US" w:eastAsia="zh-CN"/>
                    </w:rPr>
                    <w:t>与后评价一致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60" w:type="dxa"/>
                  <w:vMerge w:val="continue"/>
                  <w:noWrap w:val="0"/>
                  <w:vAlign w:val="center"/>
                </w:tcPr>
                <w:p>
                  <w:pPr>
                    <w:jc w:val="center"/>
                    <w:rPr>
                      <w:rFonts w:hint="default" w:ascii="Times New Roman" w:hAnsi="Times New Roman" w:eastAsia="宋体" w:cs="Times New Roman"/>
                      <w:color w:val="000000"/>
                      <w:kern w:val="2"/>
                      <w:sz w:val="21"/>
                      <w:szCs w:val="21"/>
                      <w:highlight w:val="none"/>
                    </w:rPr>
                  </w:pPr>
                </w:p>
              </w:tc>
              <w:tc>
                <w:tcPr>
                  <w:tcW w:w="1499" w:type="dxa"/>
                  <w:noWrap w:val="0"/>
                  <w:vAlign w:val="center"/>
                </w:tcPr>
                <w:p>
                  <w:pPr>
                    <w:ind w:left="-105" w:leftChars="-50" w:right="-105" w:rightChars="-5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bCs/>
                      <w:sz w:val="21"/>
                      <w:szCs w:val="21"/>
                      <w:highlight w:val="none"/>
                    </w:rPr>
                    <w:t>排水</w:t>
                  </w:r>
                </w:p>
              </w:tc>
              <w:tc>
                <w:tcPr>
                  <w:tcW w:w="2908" w:type="dxa"/>
                  <w:noWrap w:val="0"/>
                  <w:vAlign w:val="center"/>
                </w:tcPr>
                <w:p>
                  <w:pPr>
                    <w:jc w:val="center"/>
                    <w:rPr>
                      <w:rFonts w:hint="default" w:ascii="Times New Roman" w:hAnsi="Times New Roman" w:eastAsia="宋体" w:cs="Times New Roman"/>
                      <w:color w:val="000000"/>
                      <w:kern w:val="2"/>
                      <w:sz w:val="21"/>
                      <w:szCs w:val="21"/>
                      <w:highlight w:val="none"/>
                    </w:rPr>
                  </w:pPr>
                  <w:r>
                    <w:rPr>
                      <w:rFonts w:hint="eastAsia" w:ascii="Times New Roman" w:hAnsi="Times New Roman" w:eastAsia="宋体" w:cs="Times New Roman"/>
                      <w:bCs/>
                      <w:sz w:val="21"/>
                      <w:szCs w:val="21"/>
                      <w:highlight w:val="none"/>
                      <w:lang w:eastAsia="zh-CN"/>
                    </w:rPr>
                    <w:t>雨污分流，清污分流</w:t>
                  </w:r>
                </w:p>
              </w:tc>
              <w:tc>
                <w:tcPr>
                  <w:tcW w:w="2490" w:type="dxa"/>
                  <w:noWrap w:val="0"/>
                  <w:vAlign w:val="center"/>
                </w:tcPr>
                <w:p>
                  <w:pPr>
                    <w:jc w:val="center"/>
                    <w:rPr>
                      <w:rFonts w:hint="default" w:ascii="Times New Roman" w:hAnsi="Times New Roman" w:eastAsia="宋体" w:cs="Times New Roman"/>
                      <w:color w:val="000000"/>
                      <w:kern w:val="2"/>
                      <w:sz w:val="21"/>
                      <w:szCs w:val="21"/>
                      <w:highlight w:val="none"/>
                    </w:rPr>
                  </w:pPr>
                  <w:r>
                    <w:rPr>
                      <w:rFonts w:hint="eastAsia" w:ascii="Times New Roman" w:hAnsi="Times New Roman" w:eastAsia="宋体" w:cs="Times New Roman"/>
                      <w:bCs/>
                      <w:sz w:val="21"/>
                      <w:szCs w:val="21"/>
                      <w:highlight w:val="none"/>
                      <w:lang w:eastAsia="zh-CN"/>
                    </w:rPr>
                    <w:t>雨污分流，清污分流</w:t>
                  </w:r>
                </w:p>
              </w:tc>
              <w:tc>
                <w:tcPr>
                  <w:tcW w:w="1100" w:type="dxa"/>
                  <w:noWrap w:val="0"/>
                  <w:vAlign w:val="center"/>
                </w:tcPr>
                <w:p>
                  <w:pPr>
                    <w:spacing w:line="240" w:lineRule="auto"/>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lang w:val="en-US" w:eastAsia="zh-CN"/>
                    </w:rPr>
                    <w:t>与后评价一致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60" w:type="dxa"/>
                  <w:noWrap w:val="0"/>
                  <w:vAlign w:val="center"/>
                </w:tcPr>
                <w:p>
                  <w:pPr>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kern w:val="0"/>
                      <w:sz w:val="21"/>
                      <w:szCs w:val="21"/>
                      <w:highlight w:val="none"/>
                    </w:rPr>
                    <w:t>储运工程</w:t>
                  </w:r>
                </w:p>
              </w:tc>
              <w:tc>
                <w:tcPr>
                  <w:tcW w:w="1499" w:type="dxa"/>
                  <w:noWrap w:val="0"/>
                  <w:vAlign w:val="center"/>
                </w:tcPr>
                <w:p>
                  <w:pPr>
                    <w:jc w:val="center"/>
                    <w:rPr>
                      <w:rFonts w:hint="eastAsia"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sz w:val="21"/>
                      <w:szCs w:val="21"/>
                      <w:highlight w:val="none"/>
                      <w:lang w:eastAsia="zh-CN"/>
                    </w:rPr>
                    <w:t>原料堆场</w:t>
                  </w:r>
                </w:p>
              </w:tc>
              <w:tc>
                <w:tcPr>
                  <w:tcW w:w="2908" w:type="dxa"/>
                  <w:noWrap w:val="0"/>
                  <w:vAlign w:val="center"/>
                </w:tcPr>
                <w:p>
                  <w:pPr>
                    <w:jc w:val="center"/>
                    <w:rPr>
                      <w:rFonts w:hint="eastAsia"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sz w:val="21"/>
                      <w:szCs w:val="21"/>
                      <w:highlight w:val="none"/>
                      <w:lang w:eastAsia="zh-CN"/>
                    </w:rPr>
                    <w:t>用于原材料砂日常堆放</w:t>
                  </w:r>
                </w:p>
              </w:tc>
              <w:tc>
                <w:tcPr>
                  <w:tcW w:w="2490" w:type="dxa"/>
                  <w:noWrap w:val="0"/>
                  <w:vAlign w:val="center"/>
                </w:tcPr>
                <w:p>
                  <w:pPr>
                    <w:jc w:val="center"/>
                    <w:rPr>
                      <w:rFonts w:hint="default" w:ascii="Times New Roman" w:hAnsi="Times New Roman" w:eastAsia="宋体" w:cs="Times New Roman"/>
                      <w:color w:val="000000"/>
                      <w:kern w:val="2"/>
                      <w:sz w:val="21"/>
                      <w:szCs w:val="21"/>
                      <w:highlight w:val="none"/>
                    </w:rPr>
                  </w:pPr>
                  <w:r>
                    <w:rPr>
                      <w:rFonts w:hint="eastAsia" w:ascii="Times New Roman" w:hAnsi="Times New Roman" w:eastAsia="宋体" w:cs="Times New Roman"/>
                      <w:sz w:val="21"/>
                      <w:szCs w:val="21"/>
                      <w:highlight w:val="none"/>
                      <w:lang w:eastAsia="zh-CN"/>
                    </w:rPr>
                    <w:t>用于原材料砂日常堆放</w:t>
                  </w:r>
                </w:p>
              </w:tc>
              <w:tc>
                <w:tcPr>
                  <w:tcW w:w="1100" w:type="dxa"/>
                  <w:noWrap w:val="0"/>
                  <w:vAlign w:val="center"/>
                </w:tcPr>
                <w:p>
                  <w:pPr>
                    <w:snapToGrid w:val="0"/>
                    <w:spacing w:line="240" w:lineRule="auto"/>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lang w:val="en-US" w:eastAsia="zh-CN"/>
                    </w:rPr>
                    <w:t>与后评价一致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1060" w:type="dxa"/>
                  <w:vMerge w:val="restart"/>
                  <w:noWrap w:val="0"/>
                  <w:vAlign w:val="center"/>
                </w:tcPr>
                <w:p>
                  <w:pPr>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kern w:val="0"/>
                      <w:sz w:val="21"/>
                      <w:szCs w:val="21"/>
                      <w:highlight w:val="none"/>
                    </w:rPr>
                    <w:t>环保工程</w:t>
                  </w:r>
                </w:p>
              </w:tc>
              <w:tc>
                <w:tcPr>
                  <w:tcW w:w="1499" w:type="dxa"/>
                  <w:noWrap w:val="0"/>
                  <w:vAlign w:val="center"/>
                </w:tcPr>
                <w:p>
                  <w:pPr>
                    <w:spacing w:line="300" w:lineRule="exact"/>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sz w:val="21"/>
                      <w:szCs w:val="21"/>
                      <w:highlight w:val="none"/>
                    </w:rPr>
                    <w:t>废气</w:t>
                  </w:r>
                </w:p>
              </w:tc>
              <w:tc>
                <w:tcPr>
                  <w:tcW w:w="2908" w:type="dxa"/>
                  <w:noWrap w:val="0"/>
                  <w:vAlign w:val="center"/>
                </w:tcPr>
                <w:p>
                  <w:pPr>
                    <w:spacing w:line="300" w:lineRule="exact"/>
                    <w:jc w:val="center"/>
                    <w:rPr>
                      <w:rFonts w:hint="eastAsia"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sz w:val="21"/>
                      <w:szCs w:val="21"/>
                      <w:highlight w:val="none"/>
                      <w:lang w:eastAsia="zh-CN"/>
                    </w:rPr>
                    <w:t>生物质锅炉产生的废气经陶瓷多管除尘器处理后外排、破碎及配料搅拌工序废气经除尘器处理后以无组织形式外排</w:t>
                  </w:r>
                </w:p>
              </w:tc>
              <w:tc>
                <w:tcPr>
                  <w:tcW w:w="2490" w:type="dxa"/>
                  <w:noWrap w:val="0"/>
                  <w:vAlign w:val="center"/>
                </w:tcPr>
                <w:p>
                  <w:pPr>
                    <w:spacing w:line="300" w:lineRule="exact"/>
                    <w:jc w:val="center"/>
                    <w:rPr>
                      <w:rFonts w:hint="eastAsia"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sz w:val="21"/>
                      <w:szCs w:val="21"/>
                      <w:highlight w:val="none"/>
                      <w:lang w:eastAsia="zh-CN"/>
                    </w:rPr>
                    <w:t>锅炉产生的</w:t>
                  </w:r>
                  <w:r>
                    <w:rPr>
                      <w:rFonts w:hint="eastAsia" w:cs="Times New Roman"/>
                      <w:sz w:val="21"/>
                      <w:szCs w:val="21"/>
                      <w:highlight w:val="none"/>
                      <w:lang w:val="en-US" w:eastAsia="zh-CN"/>
                    </w:rPr>
                    <w:t>烟尘</w:t>
                  </w:r>
                  <w:r>
                    <w:rPr>
                      <w:rFonts w:hint="eastAsia" w:ascii="Times New Roman" w:hAnsi="Times New Roman" w:eastAsia="宋体" w:cs="Times New Roman"/>
                      <w:sz w:val="21"/>
                      <w:szCs w:val="21"/>
                      <w:highlight w:val="none"/>
                      <w:lang w:eastAsia="zh-CN"/>
                    </w:rPr>
                    <w:t>经</w:t>
                  </w:r>
                  <w:r>
                    <w:rPr>
                      <w:rFonts w:hint="eastAsia" w:cs="Times New Roman"/>
                      <w:sz w:val="21"/>
                      <w:szCs w:val="21"/>
                      <w:highlight w:val="none"/>
                      <w:lang w:val="en-US" w:eastAsia="zh-CN"/>
                    </w:rPr>
                    <w:t>脉冲式布袋</w:t>
                  </w:r>
                  <w:r>
                    <w:rPr>
                      <w:rFonts w:hint="eastAsia" w:ascii="Times New Roman" w:hAnsi="Times New Roman" w:eastAsia="宋体" w:cs="Times New Roman"/>
                      <w:sz w:val="21"/>
                      <w:szCs w:val="21"/>
                      <w:highlight w:val="none"/>
                      <w:lang w:eastAsia="zh-CN"/>
                    </w:rPr>
                    <w:t>除尘器处理后</w:t>
                  </w:r>
                  <w:r>
                    <w:rPr>
                      <w:rFonts w:hint="eastAsia" w:cs="Times New Roman"/>
                      <w:sz w:val="21"/>
                      <w:szCs w:val="21"/>
                      <w:highlight w:val="none"/>
                      <w:lang w:val="en-US" w:eastAsia="zh-CN"/>
                    </w:rPr>
                    <w:t>由30米高1#排气筒排放；</w:t>
                  </w:r>
                  <w:r>
                    <w:rPr>
                      <w:rFonts w:hint="eastAsia" w:ascii="Times New Roman" w:hAnsi="Times New Roman" w:eastAsia="宋体" w:cs="Times New Roman"/>
                      <w:sz w:val="21"/>
                      <w:szCs w:val="21"/>
                      <w:highlight w:val="none"/>
                      <w:lang w:eastAsia="zh-CN"/>
                    </w:rPr>
                    <w:t>破碎</w:t>
                  </w:r>
                  <w:r>
                    <w:rPr>
                      <w:rFonts w:hint="eastAsia" w:cs="Times New Roman"/>
                      <w:sz w:val="21"/>
                      <w:szCs w:val="21"/>
                      <w:highlight w:val="none"/>
                      <w:lang w:val="en-US" w:eastAsia="zh-CN"/>
                    </w:rPr>
                    <w:t>产生的粉尘经脉冲式布袋除尘器处理后由15米高2#排气筒排放；</w:t>
                  </w:r>
                  <w:r>
                    <w:rPr>
                      <w:rFonts w:hint="eastAsia" w:ascii="Times New Roman" w:hAnsi="Times New Roman" w:eastAsia="宋体" w:cs="Times New Roman"/>
                      <w:sz w:val="21"/>
                      <w:szCs w:val="21"/>
                      <w:highlight w:val="none"/>
                      <w:lang w:eastAsia="zh-CN"/>
                    </w:rPr>
                    <w:t>配料搅拌工序废气</w:t>
                  </w:r>
                  <w:r>
                    <w:rPr>
                      <w:rFonts w:hint="eastAsia" w:ascii="Times New Roman" w:hAnsi="Times New Roman" w:eastAsia="宋体" w:cs="Times New Roman"/>
                      <w:sz w:val="21"/>
                      <w:szCs w:val="21"/>
                      <w:highlight w:val="none"/>
                      <w:lang w:val="en-US" w:eastAsia="zh-CN"/>
                    </w:rPr>
                    <w:t>经脉冲式布袋除尘器</w:t>
                  </w:r>
                  <w:r>
                    <w:rPr>
                      <w:rFonts w:hint="eastAsia" w:ascii="Times New Roman" w:hAnsi="Times New Roman" w:eastAsia="宋体" w:cs="Times New Roman"/>
                      <w:sz w:val="21"/>
                      <w:szCs w:val="21"/>
                      <w:highlight w:val="none"/>
                      <w:lang w:eastAsia="zh-CN"/>
                    </w:rPr>
                    <w:t>处理后以无组织形式外排</w:t>
                  </w:r>
                </w:p>
              </w:tc>
              <w:tc>
                <w:tcPr>
                  <w:tcW w:w="1100" w:type="dxa"/>
                  <w:noWrap w:val="0"/>
                  <w:vAlign w:val="center"/>
                </w:tcPr>
                <w:p>
                  <w:pPr>
                    <w:snapToGrid w:val="0"/>
                    <w:spacing w:line="240" w:lineRule="auto"/>
                    <w:jc w:val="center"/>
                    <w:textAlignment w:val="auto"/>
                    <w:rPr>
                      <w:rFonts w:hint="default" w:ascii="Times New Roman" w:hAnsi="Times New Roman" w:eastAsia="宋体" w:cs="Times New Roman"/>
                      <w:color w:val="000000"/>
                      <w:kern w:val="2"/>
                      <w:sz w:val="21"/>
                      <w:szCs w:val="21"/>
                      <w:highlight w:val="none"/>
                      <w:lang w:val="en-US"/>
                    </w:rPr>
                  </w:pPr>
                  <w:r>
                    <w:rPr>
                      <w:rFonts w:hint="eastAsia" w:eastAsia="宋体" w:cs="Times New Roman"/>
                      <w:color w:val="000000"/>
                      <w:kern w:val="2"/>
                      <w:sz w:val="21"/>
                      <w:szCs w:val="21"/>
                      <w:highlight w:val="none"/>
                      <w:lang w:val="en-US" w:eastAsia="zh-CN"/>
                    </w:rPr>
                    <w:t>项目除尘设施均为脉冲式布袋除尘器，破碎车间增加2#排气筒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060" w:type="dxa"/>
                  <w:vMerge w:val="continue"/>
                  <w:noWrap w:val="0"/>
                  <w:vAlign w:val="center"/>
                </w:tcPr>
                <w:p>
                  <w:pPr>
                    <w:jc w:val="center"/>
                    <w:rPr>
                      <w:rFonts w:hint="default" w:ascii="Times New Roman" w:hAnsi="Times New Roman" w:eastAsia="宋体" w:cs="Times New Roman"/>
                      <w:color w:val="000000"/>
                      <w:kern w:val="2"/>
                      <w:sz w:val="21"/>
                      <w:szCs w:val="21"/>
                      <w:highlight w:val="none"/>
                    </w:rPr>
                  </w:pPr>
                </w:p>
              </w:tc>
              <w:tc>
                <w:tcPr>
                  <w:tcW w:w="1499" w:type="dxa"/>
                  <w:noWrap w:val="0"/>
                  <w:vAlign w:val="center"/>
                </w:tcPr>
                <w:p>
                  <w:pPr>
                    <w:spacing w:line="300" w:lineRule="exact"/>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sz w:val="21"/>
                      <w:szCs w:val="21"/>
                      <w:highlight w:val="none"/>
                    </w:rPr>
                    <w:t>废水</w:t>
                  </w:r>
                </w:p>
              </w:tc>
              <w:tc>
                <w:tcPr>
                  <w:tcW w:w="2908" w:type="dxa"/>
                  <w:noWrap w:val="0"/>
                  <w:vAlign w:val="center"/>
                </w:tcPr>
                <w:p>
                  <w:pPr>
                    <w:spacing w:line="300" w:lineRule="exact"/>
                    <w:jc w:val="center"/>
                    <w:rPr>
                      <w:rFonts w:hint="default" w:ascii="Times New Roman" w:hAnsi="Times New Roman" w:eastAsia="宋体" w:cs="Times New Roman"/>
                      <w:color w:val="000000"/>
                      <w:kern w:val="2"/>
                      <w:sz w:val="21"/>
                      <w:szCs w:val="21"/>
                      <w:highlight w:val="none"/>
                    </w:rPr>
                  </w:pPr>
                  <w:r>
                    <w:rPr>
                      <w:rFonts w:hint="eastAsia" w:ascii="Times New Roman" w:hAnsi="Times New Roman" w:eastAsia="宋体" w:cs="Times New Roman"/>
                      <w:sz w:val="21"/>
                      <w:szCs w:val="21"/>
                      <w:highlight w:val="none"/>
                      <w:lang w:eastAsia="zh-CN"/>
                    </w:rPr>
                    <w:t>生活污水</w:t>
                  </w:r>
                  <w:r>
                    <w:rPr>
                      <w:rFonts w:hint="default" w:ascii="Times New Roman" w:hAnsi="Times New Roman" w:eastAsia="宋体" w:cs="Times New Roman"/>
                      <w:sz w:val="21"/>
                      <w:szCs w:val="21"/>
                      <w:highlight w:val="none"/>
                    </w:rPr>
                    <w:t>通过</w:t>
                  </w:r>
                  <w:r>
                    <w:rPr>
                      <w:rFonts w:hint="eastAsia" w:ascii="Times New Roman" w:hAnsi="Times New Roman" w:eastAsia="宋体" w:cs="Times New Roman"/>
                      <w:sz w:val="21"/>
                      <w:szCs w:val="21"/>
                      <w:highlight w:val="none"/>
                      <w:lang w:eastAsia="zh-CN"/>
                    </w:rPr>
                    <w:t>化粪池处置后定期清掏作农肥</w:t>
                  </w:r>
                </w:p>
              </w:tc>
              <w:tc>
                <w:tcPr>
                  <w:tcW w:w="2490" w:type="dxa"/>
                  <w:noWrap w:val="0"/>
                  <w:vAlign w:val="center"/>
                </w:tcPr>
                <w:p>
                  <w:pPr>
                    <w:spacing w:line="300" w:lineRule="exact"/>
                    <w:jc w:val="center"/>
                    <w:rPr>
                      <w:rFonts w:hint="default" w:ascii="Times New Roman" w:hAnsi="Times New Roman" w:eastAsia="宋体" w:cs="Times New Roman"/>
                      <w:color w:val="000000"/>
                      <w:kern w:val="2"/>
                      <w:sz w:val="21"/>
                      <w:szCs w:val="21"/>
                      <w:highlight w:val="none"/>
                      <w:lang w:val="en-US" w:eastAsia="zh-CN"/>
                    </w:rPr>
                  </w:pPr>
                  <w:r>
                    <w:rPr>
                      <w:rFonts w:hint="eastAsia" w:ascii="Times New Roman" w:hAnsi="Times New Roman" w:eastAsia="宋体" w:cs="Times New Roman"/>
                      <w:sz w:val="21"/>
                      <w:szCs w:val="21"/>
                      <w:highlight w:val="none"/>
                      <w:lang w:eastAsia="zh-CN"/>
                    </w:rPr>
                    <w:t>生活污水</w:t>
                  </w:r>
                  <w:r>
                    <w:rPr>
                      <w:rFonts w:hint="default" w:ascii="Times New Roman" w:hAnsi="Times New Roman" w:eastAsia="宋体" w:cs="Times New Roman"/>
                      <w:sz w:val="21"/>
                      <w:szCs w:val="21"/>
                      <w:highlight w:val="none"/>
                    </w:rPr>
                    <w:t>通过</w:t>
                  </w:r>
                  <w:r>
                    <w:rPr>
                      <w:rFonts w:hint="eastAsia" w:ascii="Times New Roman" w:hAnsi="Times New Roman" w:eastAsia="宋体" w:cs="Times New Roman"/>
                      <w:sz w:val="21"/>
                      <w:szCs w:val="21"/>
                      <w:highlight w:val="none"/>
                      <w:lang w:eastAsia="zh-CN"/>
                    </w:rPr>
                    <w:t>化粪池处置后定期清掏作农肥</w:t>
                  </w:r>
                  <w:r>
                    <w:rPr>
                      <w:rFonts w:hint="eastAsia" w:cs="Times New Roman"/>
                      <w:sz w:val="21"/>
                      <w:szCs w:val="21"/>
                      <w:highlight w:val="none"/>
                      <w:lang w:eastAsia="zh-CN"/>
                    </w:rPr>
                    <w:t>，</w:t>
                  </w:r>
                  <w:r>
                    <w:rPr>
                      <w:rFonts w:hint="eastAsia" w:cs="Times New Roman"/>
                      <w:sz w:val="21"/>
                      <w:szCs w:val="21"/>
                      <w:highlight w:val="none"/>
                      <w:lang w:val="en-US" w:eastAsia="zh-CN"/>
                    </w:rPr>
                    <w:t>生产废水经沉淀池处理后循环使用</w:t>
                  </w:r>
                </w:p>
              </w:tc>
              <w:tc>
                <w:tcPr>
                  <w:tcW w:w="1100" w:type="dxa"/>
                  <w:noWrap w:val="0"/>
                  <w:vAlign w:val="center"/>
                </w:tcPr>
                <w:p>
                  <w:pPr>
                    <w:snapToGrid w:val="0"/>
                    <w:spacing w:line="240" w:lineRule="auto"/>
                    <w:jc w:val="center"/>
                    <w:textAlignment w:val="auto"/>
                    <w:rPr>
                      <w:rFonts w:hint="default" w:ascii="Times New Roman" w:hAnsi="Times New Roman" w:eastAsia="宋体" w:cs="Times New Roman"/>
                      <w:color w:val="000000"/>
                      <w:kern w:val="2"/>
                      <w:sz w:val="21"/>
                      <w:szCs w:val="21"/>
                      <w:highlight w:val="none"/>
                      <w:lang w:val="en-US" w:eastAsia="zh-CN"/>
                    </w:rPr>
                  </w:pPr>
                  <w:r>
                    <w:rPr>
                      <w:rFonts w:hint="eastAsia" w:eastAsia="宋体" w:cs="Times New Roman"/>
                      <w:color w:val="000000"/>
                      <w:kern w:val="2"/>
                      <w:sz w:val="21"/>
                      <w:szCs w:val="21"/>
                      <w:highlight w:val="none"/>
                      <w:lang w:val="en-US" w:eastAsia="zh-CN"/>
                    </w:rPr>
                    <w:t>废水均不外排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060" w:type="dxa"/>
                  <w:vMerge w:val="continue"/>
                  <w:noWrap w:val="0"/>
                  <w:vAlign w:val="center"/>
                </w:tcPr>
                <w:p>
                  <w:pPr>
                    <w:jc w:val="center"/>
                    <w:rPr>
                      <w:rFonts w:hint="default" w:ascii="Times New Roman" w:hAnsi="Times New Roman" w:eastAsia="宋体" w:cs="Times New Roman"/>
                      <w:color w:val="000000"/>
                      <w:kern w:val="2"/>
                      <w:sz w:val="21"/>
                      <w:szCs w:val="21"/>
                      <w:highlight w:val="none"/>
                    </w:rPr>
                  </w:pPr>
                </w:p>
              </w:tc>
              <w:tc>
                <w:tcPr>
                  <w:tcW w:w="1499" w:type="dxa"/>
                  <w:noWrap w:val="0"/>
                  <w:vAlign w:val="center"/>
                </w:tcPr>
                <w:p>
                  <w:pPr>
                    <w:spacing w:line="300" w:lineRule="exact"/>
                    <w:jc w:val="center"/>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sz w:val="21"/>
                      <w:szCs w:val="21"/>
                      <w:highlight w:val="none"/>
                    </w:rPr>
                    <w:t>噪声</w:t>
                  </w:r>
                </w:p>
              </w:tc>
              <w:tc>
                <w:tcPr>
                  <w:tcW w:w="2908" w:type="dxa"/>
                  <w:noWrap w:val="0"/>
                  <w:vAlign w:val="center"/>
                </w:tcPr>
                <w:p>
                  <w:pPr>
                    <w:spacing w:line="3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选择低噪声设备，采取隔声、基础减振等措施</w:t>
                  </w:r>
                </w:p>
              </w:tc>
              <w:tc>
                <w:tcPr>
                  <w:tcW w:w="2490" w:type="dxa"/>
                  <w:noWrap w:val="0"/>
                  <w:vAlign w:val="center"/>
                </w:tcPr>
                <w:p>
                  <w:pPr>
                    <w:spacing w:line="300" w:lineRule="exact"/>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sz w:val="21"/>
                      <w:szCs w:val="21"/>
                      <w:highlight w:val="none"/>
                    </w:rPr>
                    <w:t>选择低噪声设备，采取隔声、基础减振等措施</w:t>
                  </w:r>
                </w:p>
              </w:tc>
              <w:tc>
                <w:tcPr>
                  <w:tcW w:w="1100" w:type="dxa"/>
                  <w:noWrap w:val="0"/>
                  <w:vAlign w:val="center"/>
                </w:tcPr>
                <w:p>
                  <w:pPr>
                    <w:snapToGrid w:val="0"/>
                    <w:spacing w:line="240" w:lineRule="auto"/>
                    <w:jc w:val="center"/>
                    <w:textAlignment w:val="auto"/>
                    <w:rPr>
                      <w:rFonts w:hint="eastAsia" w:ascii="Times New Roman" w:hAnsi="Times New Roman" w:eastAsia="宋体" w:cs="宋体"/>
                      <w:color w:val="000000"/>
                      <w:sz w:val="21"/>
                      <w:szCs w:val="21"/>
                      <w:highlight w:val="none"/>
                    </w:rPr>
                  </w:pPr>
                  <w:r>
                    <w:rPr>
                      <w:rFonts w:hint="eastAsia" w:ascii="Times New Roman" w:hAnsi="Times New Roman" w:eastAsia="宋体" w:cs="宋体"/>
                      <w:color w:val="000000"/>
                      <w:sz w:val="21"/>
                      <w:szCs w:val="21"/>
                      <w:highlight w:val="none"/>
                      <w:lang w:val="en-US" w:eastAsia="zh-CN"/>
                    </w:rPr>
                    <w:t>与后评价一致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060" w:type="dxa"/>
                  <w:vMerge w:val="continue"/>
                  <w:noWrap w:val="0"/>
                  <w:vAlign w:val="center"/>
                </w:tcPr>
                <w:p>
                  <w:pPr>
                    <w:jc w:val="center"/>
                    <w:rPr>
                      <w:rFonts w:hint="default" w:ascii="Times New Roman" w:hAnsi="Times New Roman" w:eastAsia="宋体" w:cs="Times New Roman"/>
                      <w:color w:val="000000"/>
                      <w:kern w:val="2"/>
                      <w:sz w:val="21"/>
                      <w:szCs w:val="21"/>
                      <w:highlight w:val="none"/>
                    </w:rPr>
                  </w:pPr>
                </w:p>
              </w:tc>
              <w:tc>
                <w:tcPr>
                  <w:tcW w:w="1499" w:type="dxa"/>
                  <w:noWrap w:val="0"/>
                  <w:vAlign w:val="center"/>
                </w:tcPr>
                <w:p>
                  <w:pPr>
                    <w:spacing w:line="300" w:lineRule="exact"/>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sz w:val="21"/>
                      <w:szCs w:val="21"/>
                      <w:highlight w:val="none"/>
                    </w:rPr>
                    <w:t>固废</w:t>
                  </w:r>
                </w:p>
              </w:tc>
              <w:tc>
                <w:tcPr>
                  <w:tcW w:w="2908" w:type="dxa"/>
                  <w:noWrap w:val="0"/>
                  <w:vAlign w:val="center"/>
                </w:tcPr>
                <w:p>
                  <w:pPr>
                    <w:spacing w:line="300" w:lineRule="exact"/>
                    <w:jc w:val="center"/>
                    <w:rPr>
                      <w:rFonts w:hint="eastAsia" w:ascii="Times New Roman" w:hAnsi="Times New Roman" w:eastAsia="宋体" w:cs="Times New Roman"/>
                      <w:color w:val="000000"/>
                      <w:kern w:val="2"/>
                      <w:sz w:val="21"/>
                      <w:szCs w:val="21"/>
                      <w:highlight w:val="none"/>
                      <w:lang w:eastAsia="zh-CN"/>
                    </w:rPr>
                  </w:pPr>
                  <w:r>
                    <w:rPr>
                      <w:rFonts w:hint="default" w:ascii="Times New Roman" w:hAnsi="Times New Roman" w:eastAsia="宋体" w:cs="Times New Roman"/>
                      <w:sz w:val="21"/>
                      <w:szCs w:val="21"/>
                      <w:highlight w:val="none"/>
                    </w:rPr>
                    <w:t>设置</w:t>
                  </w:r>
                  <w:r>
                    <w:rPr>
                      <w:rFonts w:hint="eastAsia" w:ascii="Times New Roman" w:hAnsi="Times New Roman" w:eastAsia="宋体" w:cs="Times New Roman"/>
                      <w:sz w:val="21"/>
                      <w:szCs w:val="21"/>
                      <w:highlight w:val="none"/>
                      <w:lang w:eastAsia="zh-CN"/>
                    </w:rPr>
                    <w:t>固废收集点</w:t>
                  </w:r>
                </w:p>
              </w:tc>
              <w:tc>
                <w:tcPr>
                  <w:tcW w:w="2490" w:type="dxa"/>
                  <w:noWrap w:val="0"/>
                  <w:vAlign w:val="center"/>
                </w:tcPr>
                <w:p>
                  <w:pPr>
                    <w:spacing w:line="300" w:lineRule="exact"/>
                    <w:jc w:val="center"/>
                    <w:rPr>
                      <w:rFonts w:hint="eastAsia" w:ascii="Times New Roman" w:hAnsi="Times New Roman" w:eastAsia="宋体" w:cs="Times New Roman"/>
                      <w:color w:val="000000"/>
                      <w:kern w:val="2"/>
                      <w:sz w:val="21"/>
                      <w:szCs w:val="21"/>
                      <w:highlight w:val="none"/>
                      <w:lang w:val="en-US" w:eastAsia="zh-CN"/>
                    </w:rPr>
                  </w:pPr>
                  <w:r>
                    <w:rPr>
                      <w:rFonts w:hint="default" w:ascii="Times New Roman" w:hAnsi="Times New Roman" w:eastAsia="宋体" w:cs="Times New Roman"/>
                      <w:sz w:val="21"/>
                      <w:szCs w:val="21"/>
                      <w:highlight w:val="none"/>
                    </w:rPr>
                    <w:t>设置</w:t>
                  </w:r>
                  <w:r>
                    <w:rPr>
                      <w:rFonts w:hint="eastAsia" w:ascii="Times New Roman" w:hAnsi="Times New Roman" w:eastAsia="宋体" w:cs="Times New Roman"/>
                      <w:sz w:val="21"/>
                      <w:szCs w:val="21"/>
                      <w:highlight w:val="none"/>
                      <w:lang w:eastAsia="zh-CN"/>
                    </w:rPr>
                    <w:t>固废收集点</w:t>
                  </w:r>
                </w:p>
              </w:tc>
              <w:tc>
                <w:tcPr>
                  <w:tcW w:w="1100" w:type="dxa"/>
                  <w:noWrap w:val="0"/>
                  <w:vAlign w:val="center"/>
                </w:tcPr>
                <w:p>
                  <w:pPr>
                    <w:snapToGrid w:val="0"/>
                    <w:spacing w:line="240" w:lineRule="auto"/>
                    <w:jc w:val="center"/>
                    <w:textAlignment w:val="auto"/>
                    <w:rPr>
                      <w:rFonts w:hint="eastAsia" w:ascii="Times New Roman" w:hAnsi="Times New Roman" w:eastAsia="宋体" w:cs="Times New Roman"/>
                      <w:color w:val="000000"/>
                      <w:kern w:val="2"/>
                      <w:sz w:val="21"/>
                      <w:szCs w:val="21"/>
                      <w:highlight w:val="none"/>
                      <w:lang w:eastAsia="zh-CN"/>
                    </w:rPr>
                  </w:pPr>
                  <w:r>
                    <w:rPr>
                      <w:rFonts w:hint="eastAsia" w:ascii="Times New Roman" w:hAnsi="Times New Roman" w:eastAsia="宋体" w:cs="Times New Roman"/>
                      <w:color w:val="000000"/>
                      <w:kern w:val="2"/>
                      <w:sz w:val="21"/>
                      <w:szCs w:val="21"/>
                      <w:highlight w:val="none"/>
                      <w:lang w:val="en-US" w:eastAsia="zh-CN"/>
                    </w:rPr>
                    <w:t>与后评价一致</w:t>
                  </w:r>
                </w:p>
              </w:tc>
            </w:tr>
          </w:tbl>
          <w:p>
            <w:pPr>
              <w:spacing w:line="360" w:lineRule="auto"/>
              <w:jc w:val="left"/>
              <w:rPr>
                <w:rFonts w:ascii="宋体" w:hAnsi="宋体"/>
                <w:b w:val="0"/>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原辅材料消耗及水平衡：</w:t>
            </w:r>
          </w:p>
          <w:p>
            <w:pPr>
              <w:spacing w:line="360" w:lineRule="auto"/>
              <w:jc w:val="left"/>
              <w:rPr>
                <w:rFonts w:ascii="宋体" w:hAnsi="宋体"/>
                <w:b/>
                <w:sz w:val="28"/>
                <w:szCs w:val="28"/>
                <w:highlight w:val="none"/>
              </w:rPr>
            </w:pPr>
            <w:r>
              <w:rPr>
                <w:rFonts w:hint="eastAsia" w:ascii="宋体" w:hAnsi="宋体"/>
                <w:b/>
                <w:sz w:val="28"/>
                <w:szCs w:val="28"/>
                <w:highlight w:val="none"/>
              </w:rPr>
              <w:t>1、主要原辅材料</w:t>
            </w:r>
          </w:p>
          <w:p>
            <w:pPr>
              <w:spacing w:line="360" w:lineRule="auto"/>
              <w:jc w:val="center"/>
              <w:rPr>
                <w:rFonts w:hint="eastAsia" w:ascii="Times New Roman" w:hAnsi="Times New Roman" w:cs="Times New Roman"/>
                <w:color w:val="auto"/>
                <w:sz w:val="24"/>
                <w:highlight w:val="none"/>
                <w:lang w:val="en-US" w:eastAsia="zh-CN"/>
              </w:rPr>
            </w:pPr>
            <w:r>
              <w:rPr>
                <w:rFonts w:hint="eastAsia" w:ascii="宋体" w:hAnsi="宋体"/>
                <w:b/>
                <w:sz w:val="24"/>
                <w:highlight w:val="none"/>
              </w:rPr>
              <w:t>表2</w:t>
            </w:r>
            <w:r>
              <w:rPr>
                <w:rFonts w:ascii="宋体" w:hAnsi="宋体"/>
                <w:b/>
                <w:sz w:val="24"/>
                <w:highlight w:val="none"/>
              </w:rPr>
              <w:t>-2</w:t>
            </w:r>
            <w:r>
              <w:rPr>
                <w:rFonts w:hint="eastAsia" w:ascii="宋体" w:hAnsi="宋体"/>
                <w:b/>
                <w:sz w:val="24"/>
                <w:highlight w:val="none"/>
              </w:rPr>
              <w:tab/>
            </w:r>
            <w:bookmarkStart w:id="2" w:name="_Hlk22905799"/>
            <w:r>
              <w:rPr>
                <w:rFonts w:hint="eastAsia" w:ascii="宋体" w:hAnsi="宋体"/>
                <w:b/>
                <w:sz w:val="24"/>
                <w:highlight w:val="none"/>
              </w:rPr>
              <w:t>项目原辅材料</w:t>
            </w:r>
            <w:bookmarkEnd w:id="2"/>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9"/>
              <w:gridCol w:w="2335"/>
              <w:gridCol w:w="1418"/>
              <w:gridCol w:w="2426"/>
              <w:gridCol w:w="16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b/>
                      <w:kern w:val="2"/>
                      <w:sz w:val="21"/>
                      <w:szCs w:val="21"/>
                      <w:highlight w:val="none"/>
                    </w:rPr>
                  </w:pPr>
                  <w:r>
                    <w:rPr>
                      <w:rFonts w:hint="eastAsia" w:ascii="Times New Roman" w:hAnsi="Times New Roman" w:eastAsia="宋体"/>
                      <w:b/>
                      <w:kern w:val="2"/>
                      <w:sz w:val="21"/>
                      <w:szCs w:val="21"/>
                      <w:highlight w:val="none"/>
                    </w:rPr>
                    <w:t>序号</w:t>
                  </w:r>
                </w:p>
              </w:tc>
              <w:tc>
                <w:tcPr>
                  <w:tcW w:w="2335" w:type="dxa"/>
                  <w:noWrap w:val="0"/>
                  <w:vAlign w:val="center"/>
                </w:tcPr>
                <w:p>
                  <w:pPr>
                    <w:spacing w:line="240" w:lineRule="auto"/>
                    <w:ind w:right="-80" w:rightChars="-38"/>
                    <w:jc w:val="center"/>
                    <w:rPr>
                      <w:rFonts w:ascii="Times New Roman" w:hAnsi="Times New Roman" w:eastAsia="宋体"/>
                      <w:b/>
                      <w:kern w:val="2"/>
                      <w:sz w:val="21"/>
                      <w:szCs w:val="21"/>
                      <w:highlight w:val="none"/>
                    </w:rPr>
                  </w:pPr>
                  <w:r>
                    <w:rPr>
                      <w:rFonts w:hint="eastAsia" w:ascii="Times New Roman" w:hAnsi="Times New Roman" w:eastAsia="宋体"/>
                      <w:b/>
                      <w:kern w:val="2"/>
                      <w:sz w:val="21"/>
                      <w:szCs w:val="21"/>
                      <w:highlight w:val="none"/>
                    </w:rPr>
                    <w:t>名称</w:t>
                  </w:r>
                </w:p>
              </w:tc>
              <w:tc>
                <w:tcPr>
                  <w:tcW w:w="1418" w:type="dxa"/>
                  <w:noWrap w:val="0"/>
                  <w:vAlign w:val="center"/>
                </w:tcPr>
                <w:p>
                  <w:pPr>
                    <w:spacing w:line="240" w:lineRule="auto"/>
                    <w:ind w:right="-80" w:rightChars="-38"/>
                    <w:jc w:val="center"/>
                    <w:rPr>
                      <w:rFonts w:ascii="Times New Roman" w:hAnsi="Times New Roman" w:eastAsia="宋体"/>
                      <w:b/>
                      <w:kern w:val="2"/>
                      <w:sz w:val="21"/>
                      <w:szCs w:val="21"/>
                      <w:highlight w:val="none"/>
                    </w:rPr>
                  </w:pPr>
                  <w:r>
                    <w:rPr>
                      <w:rFonts w:hint="eastAsia" w:ascii="Times New Roman" w:hAnsi="Times New Roman" w:eastAsia="宋体"/>
                      <w:b/>
                      <w:kern w:val="2"/>
                      <w:sz w:val="21"/>
                      <w:szCs w:val="21"/>
                      <w:highlight w:val="none"/>
                    </w:rPr>
                    <w:t>单位</w:t>
                  </w:r>
                </w:p>
              </w:tc>
              <w:tc>
                <w:tcPr>
                  <w:tcW w:w="2426" w:type="dxa"/>
                  <w:noWrap w:val="0"/>
                  <w:vAlign w:val="center"/>
                </w:tcPr>
                <w:p>
                  <w:pPr>
                    <w:adjustRightInd/>
                    <w:spacing w:line="240" w:lineRule="auto"/>
                    <w:ind w:right="-80" w:rightChars="-38"/>
                    <w:jc w:val="center"/>
                    <w:textAlignment w:val="auto"/>
                    <w:rPr>
                      <w:rFonts w:hint="eastAsia" w:ascii="Times New Roman" w:hAnsi="Times New Roman" w:eastAsia="宋体"/>
                      <w:b/>
                      <w:kern w:val="2"/>
                      <w:sz w:val="21"/>
                      <w:szCs w:val="21"/>
                      <w:highlight w:val="none"/>
                    </w:rPr>
                  </w:pPr>
                  <w:r>
                    <w:rPr>
                      <w:rFonts w:hint="eastAsia" w:eastAsia="宋体"/>
                      <w:b/>
                      <w:kern w:val="2"/>
                      <w:sz w:val="21"/>
                      <w:szCs w:val="21"/>
                      <w:highlight w:val="none"/>
                      <w:lang w:val="en-US" w:eastAsia="zh-CN"/>
                    </w:rPr>
                    <w:t>后评价</w:t>
                  </w:r>
                  <w:r>
                    <w:rPr>
                      <w:rFonts w:hint="eastAsia" w:ascii="Times New Roman" w:hAnsi="Times New Roman" w:eastAsia="宋体"/>
                      <w:b/>
                      <w:kern w:val="2"/>
                      <w:sz w:val="21"/>
                      <w:szCs w:val="21"/>
                      <w:highlight w:val="none"/>
                      <w:lang w:val="en-US" w:eastAsia="zh-CN"/>
                    </w:rPr>
                    <w:t>用量</w:t>
                  </w:r>
                </w:p>
              </w:tc>
              <w:tc>
                <w:tcPr>
                  <w:tcW w:w="1619" w:type="dxa"/>
                  <w:noWrap w:val="0"/>
                  <w:vAlign w:val="center"/>
                </w:tcPr>
                <w:p>
                  <w:pPr>
                    <w:adjustRightInd/>
                    <w:spacing w:line="240" w:lineRule="auto"/>
                    <w:ind w:right="-80" w:rightChars="-38"/>
                    <w:jc w:val="center"/>
                    <w:textAlignment w:val="auto"/>
                    <w:rPr>
                      <w:rFonts w:hint="eastAsia" w:ascii="Times New Roman" w:hAnsi="Times New Roman" w:eastAsia="宋体"/>
                      <w:b/>
                      <w:kern w:val="2"/>
                      <w:sz w:val="21"/>
                      <w:szCs w:val="21"/>
                      <w:highlight w:val="none"/>
                    </w:rPr>
                  </w:pPr>
                  <w:r>
                    <w:rPr>
                      <w:rFonts w:hint="eastAsia" w:ascii="Times New Roman" w:hAnsi="Times New Roman" w:eastAsia="宋体"/>
                      <w:b/>
                      <w:kern w:val="2"/>
                      <w:sz w:val="21"/>
                      <w:szCs w:val="21"/>
                      <w:highlight w:val="none"/>
                      <w:lang w:val="en-US" w:eastAsia="zh-CN"/>
                    </w:rPr>
                    <w:t>实际用量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1</w:t>
                  </w:r>
                </w:p>
              </w:tc>
              <w:tc>
                <w:tcPr>
                  <w:tcW w:w="2335" w:type="dxa"/>
                  <w:noWrap w:val="0"/>
                  <w:vAlign w:val="center"/>
                </w:tcPr>
                <w:p>
                  <w:pPr>
                    <w:jc w:val="center"/>
                    <w:rPr>
                      <w:rFonts w:hint="eastAsia" w:ascii="Times New Roman" w:hAnsi="Times New Roman" w:eastAsia="宋体"/>
                      <w:kern w:val="2"/>
                      <w:sz w:val="21"/>
                      <w:szCs w:val="21"/>
                      <w:highlight w:val="none"/>
                      <w:lang w:eastAsia="zh-CN"/>
                    </w:rPr>
                  </w:pPr>
                  <w:r>
                    <w:rPr>
                      <w:rFonts w:hint="eastAsia" w:ascii="Times New Roman" w:hAnsi="Times New Roman" w:eastAsia="宋体"/>
                      <w:sz w:val="21"/>
                      <w:szCs w:val="21"/>
                      <w:highlight w:val="none"/>
                      <w:lang w:eastAsia="zh-CN"/>
                    </w:rPr>
                    <w:t>尾砂</w:t>
                  </w:r>
                </w:p>
              </w:tc>
              <w:tc>
                <w:tcPr>
                  <w:tcW w:w="1418" w:type="dxa"/>
                  <w:noWrap w:val="0"/>
                  <w:vAlign w:val="center"/>
                </w:tcPr>
                <w:p>
                  <w:pPr>
                    <w:widowControl/>
                    <w:jc w:val="center"/>
                    <w:rPr>
                      <w:rFonts w:hint="eastAsia" w:ascii="Times New Roman" w:hAnsi="Times New Roman" w:eastAsia="宋体"/>
                      <w:kern w:val="2"/>
                      <w:sz w:val="21"/>
                      <w:szCs w:val="21"/>
                      <w:highlight w:val="none"/>
                    </w:rPr>
                  </w:pPr>
                  <w:r>
                    <w:rPr>
                      <w:rFonts w:hint="eastAsia" w:ascii="Times New Roman" w:hAnsi="Times New Roman" w:eastAsia="宋体"/>
                      <w:kern w:val="0"/>
                      <w:sz w:val="21"/>
                      <w:szCs w:val="21"/>
                      <w:highlight w:val="none"/>
                    </w:rPr>
                    <w:t>t</w:t>
                  </w:r>
                  <w:r>
                    <w:rPr>
                      <w:rFonts w:ascii="Times New Roman" w:hAnsi="Times New Roman" w:eastAsia="宋体"/>
                      <w:kern w:val="0"/>
                      <w:sz w:val="21"/>
                      <w:szCs w:val="21"/>
                      <w:highlight w:val="none"/>
                    </w:rPr>
                    <w:t>/a</w:t>
                  </w:r>
                </w:p>
              </w:tc>
              <w:tc>
                <w:tcPr>
                  <w:tcW w:w="2426" w:type="dxa"/>
                  <w:noWrap w:val="0"/>
                  <w:vAlign w:val="center"/>
                </w:tcPr>
                <w:p>
                  <w:pPr>
                    <w:adjustRightInd/>
                    <w:spacing w:line="240" w:lineRule="auto"/>
                    <w:ind w:right="-80" w:rightChars="-38"/>
                    <w:jc w:val="center"/>
                    <w:textAlignment w:val="auto"/>
                    <w:rPr>
                      <w:rFonts w:hint="default" w:ascii="Times New Roman" w:hAnsi="Times New Roman" w:eastAsia="宋体"/>
                      <w:kern w:val="2"/>
                      <w:sz w:val="21"/>
                      <w:szCs w:val="21"/>
                      <w:highlight w:val="none"/>
                      <w:lang w:val="en-US" w:eastAsia="zh-CN"/>
                    </w:rPr>
                  </w:pPr>
                  <w:r>
                    <w:rPr>
                      <w:rFonts w:hint="eastAsia" w:ascii="Times New Roman" w:hAnsi="Times New Roman" w:eastAsia="宋体"/>
                      <w:sz w:val="21"/>
                      <w:szCs w:val="21"/>
                      <w:highlight w:val="none"/>
                      <w:lang w:val="en-US" w:eastAsia="zh-CN"/>
                    </w:rPr>
                    <w:t>46700</w:t>
                  </w:r>
                </w:p>
              </w:tc>
              <w:tc>
                <w:tcPr>
                  <w:tcW w:w="1619" w:type="dxa"/>
                  <w:noWrap w:val="0"/>
                  <w:vAlign w:val="center"/>
                </w:tcPr>
                <w:p>
                  <w:pPr>
                    <w:adjustRightInd/>
                    <w:spacing w:line="240" w:lineRule="auto"/>
                    <w:ind w:right="-80" w:rightChars="-38"/>
                    <w:jc w:val="center"/>
                    <w:textAlignment w:val="auto"/>
                    <w:rPr>
                      <w:rFonts w:hint="default" w:ascii="Times New Roman" w:hAnsi="Times New Roman" w:eastAsia="宋体"/>
                      <w:kern w:val="2"/>
                      <w:sz w:val="21"/>
                      <w:szCs w:val="21"/>
                      <w:highlight w:val="none"/>
                      <w:lang w:val="en-US" w:eastAsia="zh-CN"/>
                    </w:rPr>
                  </w:pPr>
                  <w:r>
                    <w:rPr>
                      <w:rFonts w:hint="eastAsia"/>
                      <w:sz w:val="21"/>
                      <w:szCs w:val="21"/>
                      <w:highlight w:val="none"/>
                      <w:lang w:val="en-US" w:eastAsia="zh-CN"/>
                    </w:rPr>
                    <w:t>46000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2</w:t>
                  </w:r>
                </w:p>
              </w:tc>
              <w:tc>
                <w:tcPr>
                  <w:tcW w:w="2335" w:type="dxa"/>
                  <w:noWrap w:val="0"/>
                  <w:vAlign w:val="center"/>
                </w:tcPr>
                <w:p>
                  <w:pPr>
                    <w:jc w:val="center"/>
                    <w:rPr>
                      <w:rFonts w:hint="eastAsia" w:ascii="Times New Roman" w:hAnsi="Times New Roman" w:eastAsia="宋体"/>
                      <w:kern w:val="2"/>
                      <w:sz w:val="21"/>
                      <w:szCs w:val="21"/>
                      <w:highlight w:val="none"/>
                      <w:lang w:eastAsia="zh-CN"/>
                    </w:rPr>
                  </w:pPr>
                  <w:r>
                    <w:rPr>
                      <w:rFonts w:hint="eastAsia" w:ascii="Times New Roman" w:hAnsi="Times New Roman" w:eastAsia="宋体"/>
                      <w:kern w:val="2"/>
                      <w:sz w:val="21"/>
                      <w:szCs w:val="21"/>
                      <w:highlight w:val="none"/>
                      <w:lang w:eastAsia="zh-CN"/>
                    </w:rPr>
                    <w:t>江砂</w:t>
                  </w:r>
                </w:p>
              </w:tc>
              <w:tc>
                <w:tcPr>
                  <w:tcW w:w="1418" w:type="dxa"/>
                  <w:noWrap w:val="0"/>
                  <w:vAlign w:val="center"/>
                </w:tcPr>
                <w:p>
                  <w:pPr>
                    <w:widowControl/>
                    <w:jc w:val="center"/>
                    <w:rPr>
                      <w:rFonts w:hint="eastAsia" w:ascii="Times New Roman" w:hAnsi="Times New Roman" w:eastAsia="宋体"/>
                      <w:kern w:val="2"/>
                      <w:sz w:val="21"/>
                      <w:szCs w:val="21"/>
                      <w:highlight w:val="none"/>
                    </w:rPr>
                  </w:pPr>
                  <w:r>
                    <w:rPr>
                      <w:rFonts w:hint="eastAsia" w:ascii="Times New Roman" w:hAnsi="Times New Roman" w:eastAsia="宋体"/>
                      <w:kern w:val="0"/>
                      <w:sz w:val="21"/>
                      <w:szCs w:val="21"/>
                      <w:highlight w:val="none"/>
                    </w:rPr>
                    <w:t>t</w:t>
                  </w:r>
                  <w:r>
                    <w:rPr>
                      <w:rFonts w:ascii="Times New Roman" w:hAnsi="Times New Roman" w:eastAsia="宋体"/>
                      <w:kern w:val="0"/>
                      <w:sz w:val="21"/>
                      <w:szCs w:val="21"/>
                      <w:highlight w:val="none"/>
                    </w:rPr>
                    <w:t>/a</w:t>
                  </w:r>
                </w:p>
              </w:tc>
              <w:tc>
                <w:tcPr>
                  <w:tcW w:w="2426" w:type="dxa"/>
                  <w:noWrap w:val="0"/>
                  <w:vAlign w:val="center"/>
                </w:tcPr>
                <w:p>
                  <w:pPr>
                    <w:adjustRightInd/>
                    <w:spacing w:line="240" w:lineRule="auto"/>
                    <w:ind w:right="-80" w:rightChars="-38"/>
                    <w:jc w:val="center"/>
                    <w:textAlignment w:val="auto"/>
                    <w:rPr>
                      <w:rFonts w:hint="default" w:ascii="Times New Roman" w:hAnsi="Times New Roman" w:eastAsia="宋体"/>
                      <w:kern w:val="2"/>
                      <w:sz w:val="21"/>
                      <w:szCs w:val="21"/>
                      <w:highlight w:val="none"/>
                      <w:lang w:val="en-US" w:eastAsia="zh-CN"/>
                    </w:rPr>
                  </w:pPr>
                  <w:r>
                    <w:rPr>
                      <w:rFonts w:hint="eastAsia" w:ascii="Times New Roman" w:hAnsi="Times New Roman" w:eastAsia="宋体"/>
                      <w:sz w:val="21"/>
                      <w:szCs w:val="21"/>
                      <w:highlight w:val="none"/>
                      <w:lang w:val="en-US" w:eastAsia="zh-CN"/>
                    </w:rPr>
                    <w:t>4100</w:t>
                  </w:r>
                </w:p>
              </w:tc>
              <w:tc>
                <w:tcPr>
                  <w:tcW w:w="1619" w:type="dxa"/>
                  <w:noWrap w:val="0"/>
                  <w:vAlign w:val="center"/>
                </w:tcPr>
                <w:p>
                  <w:pPr>
                    <w:adjustRightInd/>
                    <w:spacing w:line="240" w:lineRule="auto"/>
                    <w:ind w:right="-80" w:rightChars="-38"/>
                    <w:jc w:val="center"/>
                    <w:textAlignment w:val="auto"/>
                    <w:rPr>
                      <w:rFonts w:hint="default" w:ascii="Times New Roman" w:hAnsi="Times New Roman" w:eastAsia="宋体"/>
                      <w:kern w:val="2"/>
                      <w:sz w:val="21"/>
                      <w:szCs w:val="21"/>
                      <w:highlight w:val="none"/>
                      <w:lang w:val="en-US"/>
                    </w:rPr>
                  </w:pPr>
                  <w:r>
                    <w:rPr>
                      <w:rFonts w:hint="eastAsia"/>
                      <w:sz w:val="21"/>
                      <w:szCs w:val="21"/>
                      <w:highlight w:val="none"/>
                      <w:lang w:val="en-US" w:eastAsia="zh-CN"/>
                    </w:rPr>
                    <w:t>4000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3</w:t>
                  </w:r>
                </w:p>
              </w:tc>
              <w:tc>
                <w:tcPr>
                  <w:tcW w:w="2335" w:type="dxa"/>
                  <w:noWrap w:val="0"/>
                  <w:vAlign w:val="center"/>
                </w:tcPr>
                <w:p>
                  <w:pPr>
                    <w:jc w:val="center"/>
                    <w:rPr>
                      <w:rFonts w:hint="eastAsia" w:ascii="Times New Roman" w:hAnsi="Times New Roman" w:eastAsia="宋体"/>
                      <w:kern w:val="2"/>
                      <w:sz w:val="21"/>
                      <w:szCs w:val="21"/>
                      <w:highlight w:val="none"/>
                      <w:lang w:eastAsia="zh-CN"/>
                    </w:rPr>
                  </w:pPr>
                  <w:r>
                    <w:rPr>
                      <w:rFonts w:hint="eastAsia" w:ascii="Times New Roman" w:hAnsi="Times New Roman" w:eastAsia="宋体"/>
                      <w:sz w:val="21"/>
                      <w:szCs w:val="21"/>
                      <w:highlight w:val="none"/>
                      <w:lang w:eastAsia="zh-CN"/>
                    </w:rPr>
                    <w:t>河砂</w:t>
                  </w:r>
                </w:p>
              </w:tc>
              <w:tc>
                <w:tcPr>
                  <w:tcW w:w="1418" w:type="dxa"/>
                  <w:noWrap w:val="0"/>
                  <w:vAlign w:val="center"/>
                </w:tcPr>
                <w:p>
                  <w:pPr>
                    <w:widowControl/>
                    <w:jc w:val="center"/>
                    <w:rPr>
                      <w:rFonts w:hint="eastAsia" w:ascii="Times New Roman" w:hAnsi="Times New Roman" w:eastAsia="宋体"/>
                      <w:kern w:val="2"/>
                      <w:sz w:val="21"/>
                      <w:szCs w:val="21"/>
                      <w:highlight w:val="none"/>
                    </w:rPr>
                  </w:pPr>
                  <w:r>
                    <w:rPr>
                      <w:rFonts w:hint="eastAsia" w:ascii="Times New Roman" w:hAnsi="Times New Roman" w:eastAsia="宋体"/>
                      <w:kern w:val="0"/>
                      <w:sz w:val="21"/>
                      <w:szCs w:val="21"/>
                      <w:highlight w:val="none"/>
                    </w:rPr>
                    <w:t>t</w:t>
                  </w:r>
                  <w:r>
                    <w:rPr>
                      <w:rFonts w:ascii="Times New Roman" w:hAnsi="Times New Roman" w:eastAsia="宋体"/>
                      <w:kern w:val="0"/>
                      <w:sz w:val="21"/>
                      <w:szCs w:val="21"/>
                      <w:highlight w:val="none"/>
                    </w:rPr>
                    <w:t>/a</w:t>
                  </w:r>
                </w:p>
              </w:tc>
              <w:tc>
                <w:tcPr>
                  <w:tcW w:w="2426" w:type="dxa"/>
                  <w:noWrap w:val="0"/>
                  <w:vAlign w:val="center"/>
                </w:tcPr>
                <w:p>
                  <w:pPr>
                    <w:jc w:val="center"/>
                    <w:rPr>
                      <w:rFonts w:hint="default" w:ascii="Times New Roman" w:hAnsi="Times New Roman" w:eastAsia="宋体"/>
                      <w:kern w:val="2"/>
                      <w:sz w:val="21"/>
                      <w:szCs w:val="21"/>
                      <w:highlight w:val="none"/>
                      <w:lang w:val="en-US" w:eastAsia="zh-CN"/>
                    </w:rPr>
                  </w:pPr>
                  <w:r>
                    <w:rPr>
                      <w:rFonts w:hint="eastAsia" w:ascii="Times New Roman" w:hAnsi="Times New Roman" w:eastAsia="宋体"/>
                      <w:sz w:val="21"/>
                      <w:szCs w:val="21"/>
                      <w:highlight w:val="none"/>
                      <w:lang w:val="en-US" w:eastAsia="zh-CN"/>
                    </w:rPr>
                    <w:t>4100</w:t>
                  </w:r>
                </w:p>
              </w:tc>
              <w:tc>
                <w:tcPr>
                  <w:tcW w:w="1619" w:type="dxa"/>
                  <w:noWrap w:val="0"/>
                  <w:vAlign w:val="center"/>
                </w:tcPr>
                <w:p>
                  <w:pPr>
                    <w:jc w:val="center"/>
                    <w:rPr>
                      <w:rFonts w:hint="default" w:ascii="Times New Roman" w:hAnsi="Times New Roman" w:eastAsia="宋体"/>
                      <w:kern w:val="2"/>
                      <w:sz w:val="21"/>
                      <w:szCs w:val="21"/>
                      <w:highlight w:val="none"/>
                      <w:lang w:val="en-US"/>
                    </w:rPr>
                  </w:pPr>
                  <w:r>
                    <w:rPr>
                      <w:rFonts w:hint="eastAsia"/>
                      <w:sz w:val="21"/>
                      <w:szCs w:val="21"/>
                      <w:highlight w:val="none"/>
                      <w:lang w:val="en-US" w:eastAsia="zh-CN"/>
                    </w:rPr>
                    <w:t>4000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4</w:t>
                  </w:r>
                </w:p>
              </w:tc>
              <w:tc>
                <w:tcPr>
                  <w:tcW w:w="2335" w:type="dxa"/>
                  <w:noWrap w:val="0"/>
                  <w:vAlign w:val="center"/>
                </w:tcPr>
                <w:p>
                  <w:pPr>
                    <w:jc w:val="center"/>
                    <w:rPr>
                      <w:rFonts w:hint="eastAsia" w:ascii="Times New Roman" w:hAnsi="Times New Roman" w:eastAsia="宋体"/>
                      <w:kern w:val="2"/>
                      <w:sz w:val="21"/>
                      <w:szCs w:val="21"/>
                      <w:highlight w:val="none"/>
                      <w:lang w:eastAsia="zh-CN"/>
                    </w:rPr>
                  </w:pPr>
                  <w:r>
                    <w:rPr>
                      <w:rFonts w:hint="eastAsia" w:ascii="Times New Roman" w:hAnsi="Times New Roman" w:eastAsia="宋体"/>
                      <w:sz w:val="21"/>
                      <w:szCs w:val="21"/>
                      <w:highlight w:val="none"/>
                      <w:lang w:eastAsia="zh-CN"/>
                    </w:rPr>
                    <w:t>山砂</w:t>
                  </w:r>
                </w:p>
              </w:tc>
              <w:tc>
                <w:tcPr>
                  <w:tcW w:w="1418" w:type="dxa"/>
                  <w:noWrap w:val="0"/>
                  <w:vAlign w:val="center"/>
                </w:tcPr>
                <w:p>
                  <w:pPr>
                    <w:widowControl/>
                    <w:jc w:val="center"/>
                    <w:rPr>
                      <w:rFonts w:hint="eastAsia" w:ascii="Times New Roman" w:hAnsi="Times New Roman" w:eastAsia="宋体"/>
                      <w:kern w:val="2"/>
                      <w:sz w:val="21"/>
                      <w:szCs w:val="21"/>
                      <w:highlight w:val="none"/>
                    </w:rPr>
                  </w:pPr>
                  <w:r>
                    <w:rPr>
                      <w:rFonts w:hint="eastAsia" w:ascii="Times New Roman" w:hAnsi="Times New Roman" w:eastAsia="宋体"/>
                      <w:kern w:val="0"/>
                      <w:sz w:val="21"/>
                      <w:szCs w:val="21"/>
                      <w:highlight w:val="none"/>
                    </w:rPr>
                    <w:t>t</w:t>
                  </w:r>
                  <w:r>
                    <w:rPr>
                      <w:rFonts w:ascii="Times New Roman" w:hAnsi="Times New Roman" w:eastAsia="宋体"/>
                      <w:kern w:val="0"/>
                      <w:sz w:val="21"/>
                      <w:szCs w:val="21"/>
                      <w:highlight w:val="none"/>
                    </w:rPr>
                    <w:t>/a</w:t>
                  </w:r>
                </w:p>
              </w:tc>
              <w:tc>
                <w:tcPr>
                  <w:tcW w:w="2426" w:type="dxa"/>
                  <w:noWrap w:val="0"/>
                  <w:vAlign w:val="center"/>
                </w:tcPr>
                <w:p>
                  <w:pPr>
                    <w:jc w:val="center"/>
                    <w:rPr>
                      <w:rFonts w:hint="default" w:ascii="Times New Roman" w:hAnsi="Times New Roman" w:eastAsia="宋体"/>
                      <w:kern w:val="2"/>
                      <w:sz w:val="21"/>
                      <w:szCs w:val="21"/>
                      <w:highlight w:val="none"/>
                      <w:lang w:val="en-US" w:eastAsia="zh-CN"/>
                    </w:rPr>
                  </w:pPr>
                  <w:r>
                    <w:rPr>
                      <w:rFonts w:hint="eastAsia" w:ascii="Times New Roman" w:hAnsi="Times New Roman" w:eastAsia="宋体"/>
                      <w:sz w:val="21"/>
                      <w:szCs w:val="21"/>
                      <w:highlight w:val="none"/>
                      <w:lang w:val="en-US" w:eastAsia="zh-CN"/>
                    </w:rPr>
                    <w:t>4100</w:t>
                  </w:r>
                </w:p>
              </w:tc>
              <w:tc>
                <w:tcPr>
                  <w:tcW w:w="1619" w:type="dxa"/>
                  <w:noWrap w:val="0"/>
                  <w:vAlign w:val="center"/>
                </w:tcPr>
                <w:p>
                  <w:pPr>
                    <w:jc w:val="center"/>
                    <w:rPr>
                      <w:rFonts w:hint="default" w:ascii="Times New Roman" w:hAnsi="Times New Roman" w:eastAsia="宋体"/>
                      <w:kern w:val="2"/>
                      <w:sz w:val="21"/>
                      <w:szCs w:val="21"/>
                      <w:highlight w:val="none"/>
                      <w:lang w:val="en-US"/>
                    </w:rPr>
                  </w:pPr>
                  <w:r>
                    <w:rPr>
                      <w:rFonts w:hint="eastAsia"/>
                      <w:sz w:val="21"/>
                      <w:szCs w:val="21"/>
                      <w:highlight w:val="none"/>
                      <w:lang w:val="en-US" w:eastAsia="zh-CN"/>
                    </w:rPr>
                    <w:t>4000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5</w:t>
                  </w:r>
                </w:p>
              </w:tc>
              <w:tc>
                <w:tcPr>
                  <w:tcW w:w="2335" w:type="dxa"/>
                  <w:noWrap w:val="0"/>
                  <w:vAlign w:val="center"/>
                </w:tcPr>
                <w:p>
                  <w:pPr>
                    <w:jc w:val="center"/>
                    <w:rPr>
                      <w:rFonts w:hint="eastAsia" w:ascii="Times New Roman" w:hAnsi="Times New Roman" w:eastAsia="宋体"/>
                      <w:sz w:val="21"/>
                      <w:szCs w:val="21"/>
                      <w:highlight w:val="none"/>
                      <w:lang w:eastAsia="zh-CN"/>
                    </w:rPr>
                  </w:pPr>
                  <w:r>
                    <w:rPr>
                      <w:rFonts w:hint="eastAsia" w:ascii="Times New Roman" w:hAnsi="Times New Roman" w:eastAsia="宋体"/>
                      <w:sz w:val="21"/>
                      <w:szCs w:val="21"/>
                      <w:highlight w:val="none"/>
                      <w:lang w:eastAsia="zh-CN"/>
                    </w:rPr>
                    <w:t>机制砂</w:t>
                  </w:r>
                </w:p>
              </w:tc>
              <w:tc>
                <w:tcPr>
                  <w:tcW w:w="1418" w:type="dxa"/>
                  <w:noWrap w:val="0"/>
                  <w:vAlign w:val="center"/>
                </w:tcPr>
                <w:p>
                  <w:pPr>
                    <w:widowControl/>
                    <w:jc w:val="center"/>
                    <w:rPr>
                      <w:rFonts w:hint="default" w:ascii="Times New Roman" w:hAnsi="Times New Roman" w:eastAsia="宋体"/>
                      <w:kern w:val="0"/>
                      <w:sz w:val="21"/>
                      <w:szCs w:val="21"/>
                      <w:highlight w:val="none"/>
                      <w:lang w:val="en-US" w:eastAsia="zh-CN"/>
                    </w:rPr>
                  </w:pPr>
                  <w:r>
                    <w:rPr>
                      <w:rFonts w:hint="eastAsia" w:ascii="Times New Roman" w:hAnsi="Times New Roman" w:eastAsia="宋体"/>
                      <w:kern w:val="0"/>
                      <w:sz w:val="21"/>
                      <w:szCs w:val="21"/>
                      <w:highlight w:val="none"/>
                      <w:lang w:val="en-US" w:eastAsia="zh-CN"/>
                    </w:rPr>
                    <w:t>t/a</w:t>
                  </w:r>
                </w:p>
              </w:tc>
              <w:tc>
                <w:tcPr>
                  <w:tcW w:w="2426" w:type="dxa"/>
                  <w:noWrap w:val="0"/>
                  <w:vAlign w:val="center"/>
                </w:tcPr>
                <w:p>
                  <w:pPr>
                    <w:jc w:val="center"/>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47500</w:t>
                  </w:r>
                </w:p>
              </w:tc>
              <w:tc>
                <w:tcPr>
                  <w:tcW w:w="1619" w:type="dxa"/>
                  <w:noWrap w:val="0"/>
                  <w:vAlign w:val="center"/>
                </w:tcPr>
                <w:p>
                  <w:pPr>
                    <w:jc w:val="center"/>
                    <w:rPr>
                      <w:rFonts w:hint="default" w:ascii="Times New Roman" w:hAnsi="Times New Roman" w:eastAsia="宋体"/>
                      <w:sz w:val="21"/>
                      <w:szCs w:val="21"/>
                      <w:highlight w:val="none"/>
                      <w:lang w:val="en-US" w:eastAsia="zh-CN"/>
                    </w:rPr>
                  </w:pPr>
                  <w:r>
                    <w:rPr>
                      <w:rFonts w:hint="eastAsia"/>
                      <w:sz w:val="21"/>
                      <w:szCs w:val="21"/>
                      <w:highlight w:val="none"/>
                      <w:lang w:val="en-US" w:eastAsia="zh-CN"/>
                    </w:rPr>
                    <w:t>47000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6</w:t>
                  </w:r>
                </w:p>
              </w:tc>
              <w:tc>
                <w:tcPr>
                  <w:tcW w:w="2335" w:type="dxa"/>
                  <w:noWrap w:val="0"/>
                  <w:vAlign w:val="center"/>
                </w:tcPr>
                <w:p>
                  <w:pPr>
                    <w:jc w:val="center"/>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鹅卵石</w:t>
                  </w:r>
                </w:p>
              </w:tc>
              <w:tc>
                <w:tcPr>
                  <w:tcW w:w="1418" w:type="dxa"/>
                  <w:noWrap w:val="0"/>
                  <w:vAlign w:val="center"/>
                </w:tcPr>
                <w:p>
                  <w:pPr>
                    <w:widowControl/>
                    <w:jc w:val="center"/>
                    <w:rPr>
                      <w:rFonts w:hint="default" w:ascii="Times New Roman" w:hAnsi="Times New Roman" w:eastAsia="宋体"/>
                      <w:kern w:val="0"/>
                      <w:sz w:val="21"/>
                      <w:szCs w:val="21"/>
                      <w:highlight w:val="none"/>
                      <w:lang w:val="en-US" w:eastAsia="zh-CN"/>
                    </w:rPr>
                  </w:pPr>
                  <w:r>
                    <w:rPr>
                      <w:rFonts w:hint="eastAsia" w:ascii="Times New Roman" w:hAnsi="Times New Roman" w:eastAsia="宋体"/>
                      <w:kern w:val="0"/>
                      <w:sz w:val="21"/>
                      <w:szCs w:val="21"/>
                      <w:highlight w:val="none"/>
                      <w:lang w:val="en-US" w:eastAsia="zh-CN"/>
                    </w:rPr>
                    <w:t>t/a</w:t>
                  </w:r>
                </w:p>
              </w:tc>
              <w:tc>
                <w:tcPr>
                  <w:tcW w:w="2426" w:type="dxa"/>
                  <w:noWrap w:val="0"/>
                  <w:vAlign w:val="center"/>
                </w:tcPr>
                <w:p>
                  <w:pPr>
                    <w:jc w:val="center"/>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5000</w:t>
                  </w:r>
                </w:p>
              </w:tc>
              <w:tc>
                <w:tcPr>
                  <w:tcW w:w="1619" w:type="dxa"/>
                  <w:noWrap w:val="0"/>
                  <w:vAlign w:val="center"/>
                </w:tcPr>
                <w:p>
                  <w:pPr>
                    <w:jc w:val="center"/>
                    <w:rPr>
                      <w:rFonts w:hint="default" w:ascii="Times New Roman" w:hAnsi="Times New Roman" w:eastAsia="宋体"/>
                      <w:sz w:val="21"/>
                      <w:szCs w:val="21"/>
                      <w:highlight w:val="none"/>
                      <w:lang w:val="en-US" w:eastAsia="zh-CN"/>
                    </w:rPr>
                  </w:pPr>
                  <w:r>
                    <w:rPr>
                      <w:rFonts w:hint="eastAsia"/>
                      <w:sz w:val="21"/>
                      <w:szCs w:val="21"/>
                      <w:highlight w:val="none"/>
                      <w:lang w:val="en-US" w:eastAsia="zh-CN"/>
                    </w:rPr>
                    <w:t>4900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7</w:t>
                  </w:r>
                </w:p>
              </w:tc>
              <w:tc>
                <w:tcPr>
                  <w:tcW w:w="2335" w:type="dxa"/>
                  <w:noWrap w:val="0"/>
                  <w:vAlign w:val="center"/>
                </w:tcPr>
                <w:p>
                  <w:pPr>
                    <w:jc w:val="center"/>
                    <w:rPr>
                      <w:rFonts w:hint="eastAsia" w:ascii="Times New Roman" w:hAnsi="Times New Roman" w:eastAsia="宋体"/>
                      <w:sz w:val="21"/>
                      <w:szCs w:val="21"/>
                      <w:highlight w:val="none"/>
                      <w:lang w:eastAsia="zh-CN"/>
                    </w:rPr>
                  </w:pPr>
                  <w:r>
                    <w:rPr>
                      <w:rFonts w:hint="eastAsia" w:ascii="Times New Roman" w:hAnsi="Times New Roman" w:eastAsia="宋体"/>
                      <w:sz w:val="21"/>
                      <w:szCs w:val="21"/>
                      <w:highlight w:val="none"/>
                      <w:lang w:eastAsia="zh-CN"/>
                    </w:rPr>
                    <w:t>其他砂石</w:t>
                  </w:r>
                </w:p>
              </w:tc>
              <w:tc>
                <w:tcPr>
                  <w:tcW w:w="1418" w:type="dxa"/>
                  <w:noWrap w:val="0"/>
                  <w:vAlign w:val="center"/>
                </w:tcPr>
                <w:p>
                  <w:pPr>
                    <w:widowControl/>
                    <w:jc w:val="center"/>
                    <w:rPr>
                      <w:rFonts w:hint="eastAsia" w:ascii="Times New Roman" w:hAnsi="Times New Roman" w:eastAsia="宋体"/>
                      <w:kern w:val="0"/>
                      <w:sz w:val="21"/>
                      <w:szCs w:val="21"/>
                      <w:highlight w:val="none"/>
                      <w:lang w:val="en-US" w:eastAsia="zh-CN"/>
                    </w:rPr>
                  </w:pPr>
                  <w:r>
                    <w:rPr>
                      <w:rFonts w:hint="eastAsia" w:ascii="Times New Roman" w:hAnsi="Times New Roman" w:eastAsia="宋体"/>
                      <w:kern w:val="0"/>
                      <w:sz w:val="21"/>
                      <w:szCs w:val="21"/>
                      <w:highlight w:val="none"/>
                      <w:lang w:val="en-US" w:eastAsia="zh-CN"/>
                    </w:rPr>
                    <w:t>t/a</w:t>
                  </w:r>
                </w:p>
              </w:tc>
              <w:tc>
                <w:tcPr>
                  <w:tcW w:w="2426" w:type="dxa"/>
                  <w:noWrap w:val="0"/>
                  <w:vAlign w:val="center"/>
                </w:tcPr>
                <w:p>
                  <w:pPr>
                    <w:jc w:val="center"/>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5000</w:t>
                  </w:r>
                </w:p>
              </w:tc>
              <w:tc>
                <w:tcPr>
                  <w:tcW w:w="1619" w:type="dxa"/>
                  <w:noWrap w:val="0"/>
                  <w:vAlign w:val="center"/>
                </w:tcPr>
                <w:p>
                  <w:pPr>
                    <w:jc w:val="center"/>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5000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8</w:t>
                  </w:r>
                </w:p>
              </w:tc>
              <w:tc>
                <w:tcPr>
                  <w:tcW w:w="2335" w:type="dxa"/>
                  <w:noWrap w:val="0"/>
                  <w:vAlign w:val="center"/>
                </w:tcPr>
                <w:p>
                  <w:pPr>
                    <w:jc w:val="center"/>
                    <w:rPr>
                      <w:rFonts w:hint="eastAsia" w:ascii="Times New Roman" w:hAnsi="Times New Roman" w:eastAsia="宋体"/>
                      <w:sz w:val="21"/>
                      <w:szCs w:val="21"/>
                      <w:highlight w:val="none"/>
                      <w:lang w:eastAsia="zh-CN"/>
                    </w:rPr>
                  </w:pPr>
                  <w:r>
                    <w:rPr>
                      <w:rFonts w:hint="eastAsia" w:ascii="Times New Roman" w:hAnsi="Times New Roman" w:eastAsia="宋体"/>
                      <w:sz w:val="21"/>
                      <w:szCs w:val="21"/>
                      <w:highlight w:val="none"/>
                      <w:lang w:eastAsia="zh-CN"/>
                    </w:rPr>
                    <w:t>电石泥</w:t>
                  </w:r>
                </w:p>
              </w:tc>
              <w:tc>
                <w:tcPr>
                  <w:tcW w:w="1418" w:type="dxa"/>
                  <w:noWrap w:val="0"/>
                  <w:vAlign w:val="center"/>
                </w:tcPr>
                <w:p>
                  <w:pPr>
                    <w:widowControl/>
                    <w:jc w:val="center"/>
                    <w:rPr>
                      <w:rFonts w:hint="eastAsia" w:ascii="Times New Roman" w:hAnsi="Times New Roman" w:eastAsia="宋体"/>
                      <w:kern w:val="0"/>
                      <w:sz w:val="21"/>
                      <w:szCs w:val="21"/>
                      <w:highlight w:val="none"/>
                    </w:rPr>
                  </w:pPr>
                  <w:r>
                    <w:rPr>
                      <w:rFonts w:hint="eastAsia" w:ascii="Times New Roman" w:hAnsi="Times New Roman" w:eastAsia="宋体"/>
                      <w:kern w:val="0"/>
                      <w:sz w:val="21"/>
                      <w:szCs w:val="21"/>
                      <w:highlight w:val="none"/>
                    </w:rPr>
                    <w:t>t</w:t>
                  </w:r>
                  <w:r>
                    <w:rPr>
                      <w:rFonts w:ascii="Times New Roman" w:hAnsi="Times New Roman" w:eastAsia="宋体"/>
                      <w:kern w:val="0"/>
                      <w:sz w:val="21"/>
                      <w:szCs w:val="21"/>
                      <w:highlight w:val="none"/>
                    </w:rPr>
                    <w:t>/a</w:t>
                  </w:r>
                </w:p>
              </w:tc>
              <w:tc>
                <w:tcPr>
                  <w:tcW w:w="2426" w:type="dxa"/>
                  <w:noWrap w:val="0"/>
                  <w:vAlign w:val="center"/>
                </w:tcPr>
                <w:p>
                  <w:pPr>
                    <w:jc w:val="center"/>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13500</w:t>
                  </w:r>
                </w:p>
              </w:tc>
              <w:tc>
                <w:tcPr>
                  <w:tcW w:w="1619" w:type="dxa"/>
                  <w:noWrap w:val="0"/>
                  <w:vAlign w:val="center"/>
                </w:tcPr>
                <w:p>
                  <w:pPr>
                    <w:jc w:val="center"/>
                    <w:rPr>
                      <w:rFonts w:hint="default" w:ascii="Times New Roman" w:hAnsi="Times New Roman" w:eastAsia="宋体"/>
                      <w:sz w:val="21"/>
                      <w:szCs w:val="21"/>
                      <w:highlight w:val="none"/>
                      <w:lang w:val="en-US" w:eastAsia="zh-CN"/>
                    </w:rPr>
                  </w:pPr>
                  <w:r>
                    <w:rPr>
                      <w:rFonts w:hint="eastAsia"/>
                      <w:sz w:val="21"/>
                      <w:szCs w:val="21"/>
                      <w:highlight w:val="none"/>
                      <w:lang w:val="en-US" w:eastAsia="zh-CN"/>
                    </w:rPr>
                    <w:t>13300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9</w:t>
                  </w:r>
                </w:p>
              </w:tc>
              <w:tc>
                <w:tcPr>
                  <w:tcW w:w="2335" w:type="dxa"/>
                  <w:noWrap w:val="0"/>
                  <w:vAlign w:val="center"/>
                </w:tcPr>
                <w:p>
                  <w:pPr>
                    <w:jc w:val="center"/>
                    <w:rPr>
                      <w:rFonts w:hint="eastAsia" w:ascii="Times New Roman" w:hAnsi="Times New Roman" w:eastAsia="宋体"/>
                      <w:sz w:val="21"/>
                      <w:szCs w:val="21"/>
                      <w:highlight w:val="none"/>
                      <w:lang w:eastAsia="zh-CN"/>
                    </w:rPr>
                  </w:pPr>
                  <w:r>
                    <w:rPr>
                      <w:rFonts w:hint="eastAsia" w:ascii="Times New Roman" w:hAnsi="Times New Roman" w:eastAsia="宋体"/>
                      <w:sz w:val="21"/>
                      <w:szCs w:val="21"/>
                      <w:highlight w:val="none"/>
                      <w:lang w:eastAsia="zh-CN"/>
                    </w:rPr>
                    <w:t>粉煤灰</w:t>
                  </w:r>
                </w:p>
              </w:tc>
              <w:tc>
                <w:tcPr>
                  <w:tcW w:w="1418" w:type="dxa"/>
                  <w:noWrap w:val="0"/>
                  <w:vAlign w:val="center"/>
                </w:tcPr>
                <w:p>
                  <w:pPr>
                    <w:widowControl/>
                    <w:jc w:val="center"/>
                    <w:rPr>
                      <w:rFonts w:hint="eastAsia" w:ascii="Times New Roman" w:hAnsi="Times New Roman" w:eastAsia="宋体"/>
                      <w:kern w:val="0"/>
                      <w:sz w:val="21"/>
                      <w:szCs w:val="21"/>
                      <w:highlight w:val="none"/>
                    </w:rPr>
                  </w:pPr>
                  <w:r>
                    <w:rPr>
                      <w:rFonts w:hint="eastAsia" w:ascii="Times New Roman" w:hAnsi="Times New Roman" w:eastAsia="宋体"/>
                      <w:kern w:val="0"/>
                      <w:sz w:val="21"/>
                      <w:szCs w:val="21"/>
                      <w:highlight w:val="none"/>
                    </w:rPr>
                    <w:t>t</w:t>
                  </w:r>
                  <w:r>
                    <w:rPr>
                      <w:rFonts w:ascii="Times New Roman" w:hAnsi="Times New Roman" w:eastAsia="宋体"/>
                      <w:kern w:val="0"/>
                      <w:sz w:val="21"/>
                      <w:szCs w:val="21"/>
                      <w:highlight w:val="none"/>
                    </w:rPr>
                    <w:t>/a</w:t>
                  </w:r>
                </w:p>
              </w:tc>
              <w:tc>
                <w:tcPr>
                  <w:tcW w:w="2426" w:type="dxa"/>
                  <w:noWrap w:val="0"/>
                  <w:vAlign w:val="center"/>
                </w:tcPr>
                <w:p>
                  <w:pPr>
                    <w:jc w:val="center"/>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2700</w:t>
                  </w:r>
                </w:p>
              </w:tc>
              <w:tc>
                <w:tcPr>
                  <w:tcW w:w="1619" w:type="dxa"/>
                  <w:noWrap w:val="0"/>
                  <w:vAlign w:val="center"/>
                </w:tcPr>
                <w:p>
                  <w:pPr>
                    <w:jc w:val="center"/>
                    <w:rPr>
                      <w:rFonts w:hint="default" w:ascii="Times New Roman" w:hAnsi="Times New Roman" w:eastAsia="宋体"/>
                      <w:sz w:val="21"/>
                      <w:szCs w:val="21"/>
                      <w:highlight w:val="none"/>
                      <w:lang w:val="en-US" w:eastAsia="zh-CN"/>
                    </w:rPr>
                  </w:pPr>
                  <w:r>
                    <w:rPr>
                      <w:rFonts w:hint="eastAsia"/>
                      <w:sz w:val="21"/>
                      <w:szCs w:val="21"/>
                      <w:highlight w:val="none"/>
                      <w:lang w:val="en-US" w:eastAsia="zh-CN"/>
                    </w:rPr>
                    <w:t>2650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10</w:t>
                  </w:r>
                </w:p>
              </w:tc>
              <w:tc>
                <w:tcPr>
                  <w:tcW w:w="2335" w:type="dxa"/>
                  <w:noWrap w:val="0"/>
                  <w:vAlign w:val="center"/>
                </w:tcPr>
                <w:p>
                  <w:pPr>
                    <w:jc w:val="center"/>
                    <w:rPr>
                      <w:rFonts w:hint="eastAsia" w:ascii="Times New Roman" w:hAnsi="Times New Roman" w:eastAsia="宋体"/>
                      <w:sz w:val="21"/>
                      <w:szCs w:val="21"/>
                      <w:highlight w:val="none"/>
                      <w:lang w:eastAsia="zh-CN"/>
                    </w:rPr>
                  </w:pPr>
                  <w:r>
                    <w:rPr>
                      <w:rFonts w:hint="eastAsia" w:ascii="Times New Roman" w:hAnsi="Times New Roman" w:eastAsia="宋体"/>
                      <w:sz w:val="21"/>
                      <w:szCs w:val="21"/>
                      <w:highlight w:val="none"/>
                      <w:lang w:eastAsia="zh-CN"/>
                    </w:rPr>
                    <w:t>脱硫石膏</w:t>
                  </w:r>
                </w:p>
              </w:tc>
              <w:tc>
                <w:tcPr>
                  <w:tcW w:w="1418" w:type="dxa"/>
                  <w:noWrap w:val="0"/>
                  <w:vAlign w:val="center"/>
                </w:tcPr>
                <w:p>
                  <w:pPr>
                    <w:widowControl/>
                    <w:jc w:val="center"/>
                    <w:rPr>
                      <w:rFonts w:hint="eastAsia" w:ascii="Times New Roman" w:hAnsi="Times New Roman" w:eastAsia="宋体"/>
                      <w:kern w:val="0"/>
                      <w:sz w:val="21"/>
                      <w:szCs w:val="21"/>
                      <w:highlight w:val="none"/>
                    </w:rPr>
                  </w:pPr>
                  <w:r>
                    <w:rPr>
                      <w:rFonts w:hint="eastAsia" w:ascii="Times New Roman" w:hAnsi="Times New Roman" w:eastAsia="宋体"/>
                      <w:kern w:val="0"/>
                      <w:sz w:val="21"/>
                      <w:szCs w:val="21"/>
                      <w:highlight w:val="none"/>
                    </w:rPr>
                    <w:t>t</w:t>
                  </w:r>
                  <w:r>
                    <w:rPr>
                      <w:rFonts w:ascii="Times New Roman" w:hAnsi="Times New Roman" w:eastAsia="宋体"/>
                      <w:kern w:val="0"/>
                      <w:sz w:val="21"/>
                      <w:szCs w:val="21"/>
                      <w:highlight w:val="none"/>
                    </w:rPr>
                    <w:t>/a</w:t>
                  </w:r>
                </w:p>
              </w:tc>
              <w:tc>
                <w:tcPr>
                  <w:tcW w:w="2426" w:type="dxa"/>
                  <w:noWrap w:val="0"/>
                  <w:vAlign w:val="center"/>
                </w:tcPr>
                <w:p>
                  <w:pPr>
                    <w:jc w:val="center"/>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2700</w:t>
                  </w:r>
                </w:p>
              </w:tc>
              <w:tc>
                <w:tcPr>
                  <w:tcW w:w="1619" w:type="dxa"/>
                  <w:noWrap w:val="0"/>
                  <w:vAlign w:val="center"/>
                </w:tcPr>
                <w:p>
                  <w:pPr>
                    <w:jc w:val="center"/>
                    <w:rPr>
                      <w:rFonts w:hint="default" w:ascii="Times New Roman" w:hAnsi="Times New Roman" w:eastAsia="宋体"/>
                      <w:sz w:val="21"/>
                      <w:szCs w:val="21"/>
                      <w:highlight w:val="none"/>
                      <w:lang w:val="en-US" w:eastAsia="zh-CN"/>
                    </w:rPr>
                  </w:pPr>
                  <w:r>
                    <w:rPr>
                      <w:rFonts w:hint="eastAsia"/>
                      <w:sz w:val="21"/>
                      <w:szCs w:val="21"/>
                      <w:highlight w:val="none"/>
                      <w:lang w:val="en-US" w:eastAsia="zh-CN"/>
                    </w:rPr>
                    <w:t>2650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39"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11</w:t>
                  </w:r>
                </w:p>
              </w:tc>
              <w:tc>
                <w:tcPr>
                  <w:tcW w:w="2335" w:type="dxa"/>
                  <w:noWrap w:val="0"/>
                  <w:vAlign w:val="center"/>
                </w:tcPr>
                <w:p>
                  <w:pPr>
                    <w:jc w:val="center"/>
                    <w:rPr>
                      <w:rFonts w:hint="eastAsia" w:ascii="Times New Roman" w:hAnsi="Times New Roman" w:eastAsia="宋体"/>
                      <w:sz w:val="21"/>
                      <w:szCs w:val="21"/>
                      <w:highlight w:val="none"/>
                      <w:lang w:eastAsia="zh-CN"/>
                    </w:rPr>
                  </w:pPr>
                  <w:r>
                    <w:rPr>
                      <w:rFonts w:hint="eastAsia" w:ascii="Times New Roman" w:hAnsi="Times New Roman" w:eastAsia="宋体"/>
                      <w:sz w:val="21"/>
                      <w:szCs w:val="21"/>
                      <w:highlight w:val="none"/>
                      <w:lang w:eastAsia="zh-CN"/>
                    </w:rPr>
                    <w:t>废矿渣</w:t>
                  </w:r>
                </w:p>
              </w:tc>
              <w:tc>
                <w:tcPr>
                  <w:tcW w:w="1418" w:type="dxa"/>
                  <w:noWrap w:val="0"/>
                  <w:vAlign w:val="center"/>
                </w:tcPr>
                <w:p>
                  <w:pPr>
                    <w:widowControl/>
                    <w:jc w:val="center"/>
                    <w:rPr>
                      <w:rFonts w:hint="eastAsia" w:ascii="Times New Roman" w:hAnsi="Times New Roman" w:eastAsia="宋体"/>
                      <w:kern w:val="0"/>
                      <w:sz w:val="21"/>
                      <w:szCs w:val="21"/>
                      <w:highlight w:val="none"/>
                    </w:rPr>
                  </w:pPr>
                  <w:r>
                    <w:rPr>
                      <w:rFonts w:hint="eastAsia" w:ascii="Times New Roman" w:hAnsi="Times New Roman" w:eastAsia="宋体"/>
                      <w:kern w:val="0"/>
                      <w:sz w:val="21"/>
                      <w:szCs w:val="21"/>
                      <w:highlight w:val="none"/>
                    </w:rPr>
                    <w:t>t</w:t>
                  </w:r>
                  <w:r>
                    <w:rPr>
                      <w:rFonts w:ascii="Times New Roman" w:hAnsi="Times New Roman" w:eastAsia="宋体"/>
                      <w:kern w:val="0"/>
                      <w:sz w:val="21"/>
                      <w:szCs w:val="21"/>
                      <w:highlight w:val="none"/>
                    </w:rPr>
                    <w:t>/a</w:t>
                  </w:r>
                </w:p>
              </w:tc>
              <w:tc>
                <w:tcPr>
                  <w:tcW w:w="2426" w:type="dxa"/>
                  <w:noWrap w:val="0"/>
                  <w:vAlign w:val="center"/>
                </w:tcPr>
                <w:p>
                  <w:pPr>
                    <w:jc w:val="center"/>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8100</w:t>
                  </w:r>
                </w:p>
              </w:tc>
              <w:tc>
                <w:tcPr>
                  <w:tcW w:w="1619" w:type="dxa"/>
                  <w:noWrap w:val="0"/>
                  <w:vAlign w:val="center"/>
                </w:tcPr>
                <w:p>
                  <w:pPr>
                    <w:jc w:val="center"/>
                    <w:rPr>
                      <w:rFonts w:hint="default" w:ascii="Times New Roman" w:hAnsi="Times New Roman" w:eastAsia="宋体"/>
                      <w:sz w:val="21"/>
                      <w:szCs w:val="21"/>
                      <w:highlight w:val="none"/>
                      <w:lang w:val="en-US" w:eastAsia="zh-CN"/>
                    </w:rPr>
                  </w:pPr>
                  <w:r>
                    <w:rPr>
                      <w:rFonts w:hint="eastAsia"/>
                      <w:sz w:val="21"/>
                      <w:szCs w:val="21"/>
                      <w:highlight w:val="none"/>
                      <w:lang w:val="en-US" w:eastAsia="zh-CN"/>
                    </w:rPr>
                    <w:t>8000</w:t>
                  </w:r>
                </w:p>
              </w:tc>
            </w:tr>
          </w:tbl>
          <w:p>
            <w:pPr>
              <w:spacing w:line="360" w:lineRule="auto"/>
              <w:jc w:val="left"/>
              <w:rPr>
                <w:rFonts w:ascii="宋体" w:hAnsi="宋体"/>
                <w:b/>
                <w:sz w:val="28"/>
                <w:szCs w:val="28"/>
                <w:highlight w:val="none"/>
              </w:rPr>
            </w:pPr>
            <w:r>
              <w:rPr>
                <w:rFonts w:hint="eastAsia" w:ascii="宋体" w:hAnsi="宋体"/>
                <w:b/>
                <w:sz w:val="28"/>
                <w:szCs w:val="28"/>
                <w:highlight w:val="none"/>
              </w:rPr>
              <w:t>2、主要设备</w:t>
            </w:r>
          </w:p>
          <w:p>
            <w:pPr>
              <w:spacing w:line="360" w:lineRule="auto"/>
              <w:jc w:val="center"/>
              <w:rPr>
                <w:rFonts w:hint="eastAsia" w:ascii="宋体" w:hAnsi="宋体"/>
                <w:b/>
                <w:sz w:val="24"/>
                <w:highlight w:val="none"/>
              </w:rPr>
            </w:pPr>
            <w:bookmarkStart w:id="3" w:name="_Hlk22905781"/>
            <w:r>
              <w:rPr>
                <w:rFonts w:hint="eastAsia" w:ascii="宋体" w:hAnsi="宋体"/>
                <w:b/>
                <w:sz w:val="24"/>
                <w:highlight w:val="none"/>
              </w:rPr>
              <w:t>表2</w:t>
            </w:r>
            <w:r>
              <w:rPr>
                <w:rFonts w:ascii="宋体" w:hAnsi="宋体"/>
                <w:b/>
                <w:sz w:val="24"/>
                <w:highlight w:val="none"/>
              </w:rPr>
              <w:t>-3</w:t>
            </w:r>
            <w:r>
              <w:rPr>
                <w:rFonts w:hint="eastAsia" w:ascii="宋体" w:hAnsi="宋体"/>
                <w:b/>
                <w:sz w:val="24"/>
                <w:highlight w:val="none"/>
              </w:rPr>
              <w:tab/>
            </w:r>
            <w:r>
              <w:rPr>
                <w:rFonts w:hint="eastAsia" w:ascii="宋体" w:hAnsi="宋体"/>
                <w:b/>
                <w:sz w:val="24"/>
                <w:highlight w:val="none"/>
              </w:rPr>
              <w:t>项目</w:t>
            </w:r>
            <w:bookmarkStart w:id="4" w:name="_Hlk20139463"/>
            <w:r>
              <w:rPr>
                <w:rFonts w:hint="eastAsia" w:ascii="宋体" w:hAnsi="宋体"/>
                <w:b/>
                <w:sz w:val="24"/>
                <w:highlight w:val="none"/>
              </w:rPr>
              <w:t>设备清单</w:t>
            </w:r>
            <w:bookmarkEnd w:id="4"/>
          </w:p>
          <w:tbl>
            <w:tblPr>
              <w:tblStyle w:val="33"/>
              <w:tblW w:w="937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3"/>
              <w:gridCol w:w="3113"/>
              <w:gridCol w:w="1975"/>
              <w:gridCol w:w="936"/>
              <w:gridCol w:w="1333"/>
              <w:gridCol w:w="12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adjustRightInd/>
                    <w:spacing w:line="240" w:lineRule="auto"/>
                    <w:jc w:val="center"/>
                    <w:textAlignment w:val="auto"/>
                    <w:rPr>
                      <w:rFonts w:ascii="Times New Roman" w:hAnsi="Times New Roman" w:eastAsia="宋体"/>
                      <w:b/>
                      <w:bCs w:val="0"/>
                      <w:kern w:val="2"/>
                      <w:szCs w:val="21"/>
                      <w:highlight w:val="none"/>
                    </w:rPr>
                  </w:pPr>
                  <w:r>
                    <w:rPr>
                      <w:rFonts w:hint="eastAsia" w:ascii="Times New Roman" w:hAnsi="Times New Roman" w:eastAsia="宋体"/>
                      <w:b/>
                      <w:bCs w:val="0"/>
                      <w:kern w:val="2"/>
                      <w:szCs w:val="21"/>
                      <w:highlight w:val="none"/>
                    </w:rPr>
                    <w:t>序号</w:t>
                  </w:r>
                </w:p>
              </w:tc>
              <w:tc>
                <w:tcPr>
                  <w:tcW w:w="1660" w:type="pct"/>
                  <w:tcBorders>
                    <w:tl2br w:val="nil"/>
                    <w:tr2bl w:val="nil"/>
                  </w:tcBorders>
                  <w:noWrap w:val="0"/>
                  <w:vAlign w:val="center"/>
                </w:tcPr>
                <w:p>
                  <w:pPr>
                    <w:adjustRightInd/>
                    <w:spacing w:line="240" w:lineRule="auto"/>
                    <w:ind w:firstLine="420"/>
                    <w:jc w:val="center"/>
                    <w:textAlignment w:val="auto"/>
                    <w:rPr>
                      <w:rFonts w:ascii="Times New Roman" w:hAnsi="Times New Roman" w:eastAsia="宋体"/>
                      <w:b/>
                      <w:bCs w:val="0"/>
                      <w:kern w:val="2"/>
                      <w:szCs w:val="21"/>
                      <w:highlight w:val="none"/>
                    </w:rPr>
                  </w:pPr>
                  <w:r>
                    <w:rPr>
                      <w:rFonts w:hint="eastAsia" w:ascii="Times New Roman" w:hAnsi="Times New Roman" w:eastAsia="宋体"/>
                      <w:b/>
                      <w:bCs w:val="0"/>
                      <w:kern w:val="2"/>
                      <w:szCs w:val="21"/>
                      <w:highlight w:val="none"/>
                    </w:rPr>
                    <w:t>设备名称</w:t>
                  </w:r>
                </w:p>
              </w:tc>
              <w:tc>
                <w:tcPr>
                  <w:tcW w:w="1053" w:type="pct"/>
                  <w:tcBorders>
                    <w:tl2br w:val="nil"/>
                    <w:tr2bl w:val="nil"/>
                  </w:tcBorders>
                  <w:noWrap w:val="0"/>
                  <w:vAlign w:val="center"/>
                </w:tcPr>
                <w:p>
                  <w:pPr>
                    <w:adjustRightInd/>
                    <w:spacing w:line="240" w:lineRule="auto"/>
                    <w:jc w:val="center"/>
                    <w:textAlignment w:val="auto"/>
                    <w:rPr>
                      <w:rFonts w:hint="eastAsia" w:ascii="Times New Roman" w:hAnsi="Times New Roman" w:eastAsia="宋体"/>
                      <w:b/>
                      <w:bCs w:val="0"/>
                      <w:kern w:val="2"/>
                      <w:szCs w:val="21"/>
                      <w:highlight w:val="none"/>
                      <w:lang w:eastAsia="zh-CN"/>
                    </w:rPr>
                  </w:pPr>
                  <w:r>
                    <w:rPr>
                      <w:rFonts w:hint="eastAsia" w:ascii="Times New Roman" w:hAnsi="Times New Roman" w:eastAsia="宋体"/>
                      <w:b/>
                      <w:bCs w:val="0"/>
                      <w:kern w:val="2"/>
                      <w:szCs w:val="21"/>
                      <w:highlight w:val="none"/>
                      <w:lang w:eastAsia="zh-CN"/>
                    </w:rPr>
                    <w:t>规格型号</w:t>
                  </w:r>
                </w:p>
              </w:tc>
              <w:tc>
                <w:tcPr>
                  <w:tcW w:w="499" w:type="pct"/>
                  <w:tcBorders>
                    <w:tl2br w:val="nil"/>
                    <w:tr2bl w:val="nil"/>
                  </w:tcBorders>
                  <w:noWrap w:val="0"/>
                  <w:vAlign w:val="center"/>
                </w:tcPr>
                <w:p>
                  <w:pPr>
                    <w:jc w:val="center"/>
                    <w:rPr>
                      <w:rFonts w:hint="default" w:eastAsia="宋体"/>
                      <w:b/>
                      <w:bCs w:val="0"/>
                      <w:kern w:val="2"/>
                      <w:szCs w:val="21"/>
                      <w:highlight w:val="none"/>
                      <w:lang w:val="en-US" w:eastAsia="zh-CN"/>
                    </w:rPr>
                  </w:pPr>
                  <w:r>
                    <w:rPr>
                      <w:rFonts w:hint="eastAsia" w:eastAsia="宋体"/>
                      <w:b/>
                      <w:bCs w:val="0"/>
                      <w:kern w:val="2"/>
                      <w:szCs w:val="21"/>
                      <w:highlight w:val="none"/>
                      <w:lang w:val="en-US" w:eastAsia="zh-CN"/>
                    </w:rPr>
                    <w:t>单位</w:t>
                  </w:r>
                </w:p>
              </w:tc>
              <w:tc>
                <w:tcPr>
                  <w:tcW w:w="710" w:type="pct"/>
                  <w:tcBorders>
                    <w:tl2br w:val="nil"/>
                    <w:tr2bl w:val="nil"/>
                  </w:tcBorders>
                  <w:noWrap w:val="0"/>
                  <w:vAlign w:val="center"/>
                </w:tcPr>
                <w:p>
                  <w:pPr>
                    <w:jc w:val="center"/>
                    <w:rPr>
                      <w:rFonts w:hint="eastAsia" w:ascii="Times New Roman" w:hAnsi="Times New Roman" w:eastAsia="宋体"/>
                      <w:b/>
                      <w:bCs w:val="0"/>
                      <w:kern w:val="2"/>
                      <w:szCs w:val="21"/>
                      <w:highlight w:val="none"/>
                    </w:rPr>
                  </w:pPr>
                  <w:r>
                    <w:rPr>
                      <w:rFonts w:hint="eastAsia" w:eastAsia="宋体"/>
                      <w:b/>
                      <w:bCs w:val="0"/>
                      <w:kern w:val="2"/>
                      <w:szCs w:val="21"/>
                      <w:highlight w:val="none"/>
                      <w:lang w:val="en-US" w:eastAsia="zh-CN"/>
                    </w:rPr>
                    <w:t>后评价</w:t>
                  </w:r>
                  <w:r>
                    <w:rPr>
                      <w:rFonts w:hint="eastAsia" w:ascii="宋体" w:hAnsi="宋体"/>
                      <w:b/>
                      <w:bCs w:val="0"/>
                      <w:szCs w:val="21"/>
                      <w:highlight w:val="none"/>
                    </w:rPr>
                    <w:t>数量</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hint="eastAsia" w:ascii="宋体" w:hAnsi="宋体"/>
                      <w:b/>
                      <w:bCs w:val="0"/>
                      <w:szCs w:val="21"/>
                      <w:highlight w:val="none"/>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ascii="Times New Roman" w:hAnsi="Times New Roman" w:eastAsia="宋体"/>
                      <w:b w:val="0"/>
                      <w:bCs/>
                      <w:highlight w:val="none"/>
                    </w:rPr>
                    <w:t>一</w:t>
                  </w:r>
                </w:p>
              </w:tc>
              <w:tc>
                <w:tcPr>
                  <w:tcW w:w="4571" w:type="pct"/>
                  <w:gridSpan w:val="5"/>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highlight w:val="none"/>
                      <w:lang w:eastAsia="zh-CN"/>
                    </w:rPr>
                    <w:t>石灰破碎粉磨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ascii="Times New Roman" w:hAnsi="Times New Roman" w:eastAsia="宋体"/>
                      <w:b w:val="0"/>
                      <w:bCs/>
                    </w:rPr>
                    <w:t>1</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kern w:val="2"/>
                      <w:szCs w:val="21"/>
                      <w:highlight w:val="none"/>
                      <w:lang w:eastAsia="zh-CN"/>
                    </w:rPr>
                    <w:t>破碎机受料斗</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2700*1600</w:t>
                  </w:r>
                </w:p>
              </w:tc>
              <w:tc>
                <w:tcPr>
                  <w:tcW w:w="499"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kern w:val="2"/>
                      <w:szCs w:val="21"/>
                      <w:highlight w:val="none"/>
                    </w:rPr>
                  </w:pPr>
                  <w:r>
                    <w:rPr>
                      <w:rFonts w:hint="eastAsia" w:ascii="Times New Roman" w:hAnsi="Times New Roman" w:eastAsia="宋体"/>
                      <w:b w:val="0"/>
                      <w:bCs/>
                      <w:lang w:val="en-US" w:eastAsia="zh-CN"/>
                    </w:rPr>
                    <w:t>2</w:t>
                  </w:r>
                </w:p>
              </w:tc>
              <w:tc>
                <w:tcPr>
                  <w:tcW w:w="1660" w:type="pct"/>
                  <w:tcBorders>
                    <w:tl2br w:val="nil"/>
                    <w:tr2bl w:val="nil"/>
                  </w:tcBorders>
                  <w:noWrap w:val="0"/>
                  <w:vAlign w:val="center"/>
                </w:tcPr>
                <w:p>
                  <w:pPr>
                    <w:jc w:val="center"/>
                    <w:rPr>
                      <w:rFonts w:ascii="Times New Roman" w:hAnsi="Times New Roman" w:eastAsia="宋体"/>
                      <w:b w:val="0"/>
                      <w:bCs/>
                      <w:kern w:val="2"/>
                      <w:szCs w:val="21"/>
                      <w:highlight w:val="none"/>
                    </w:rPr>
                  </w:pPr>
                  <w:r>
                    <w:rPr>
                      <w:rFonts w:hint="eastAsia" w:ascii="Times New Roman" w:hAnsi="Times New Roman" w:eastAsia="宋体"/>
                      <w:b w:val="0"/>
                      <w:bCs/>
                      <w:lang w:val="en-US" w:eastAsia="zh-CN"/>
                    </w:rPr>
                    <w:t>颚式破碎机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PEX250*270</w:t>
                  </w:r>
                </w:p>
              </w:tc>
              <w:tc>
                <w:tcPr>
                  <w:tcW w:w="499"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kern w:val="2"/>
                      <w:szCs w:val="21"/>
                      <w:highlight w:val="none"/>
                    </w:rPr>
                  </w:pPr>
                  <w:r>
                    <w:rPr>
                      <w:rFonts w:hint="eastAsia" w:ascii="Times New Roman" w:hAnsi="Times New Roman" w:eastAsia="宋体"/>
                      <w:b w:val="0"/>
                      <w:bCs/>
                      <w:lang w:val="en-US" w:eastAsia="zh-CN"/>
                    </w:rPr>
                    <w:t>3</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hint="eastAsia" w:ascii="Times New Roman" w:hAnsi="Times New Roman" w:eastAsia="宋体"/>
                      <w:b w:val="0"/>
                      <w:bCs/>
                      <w:lang w:eastAsia="zh-CN"/>
                    </w:rPr>
                    <w:t>斗式提升机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TD315sh-28.02m</w:t>
                  </w:r>
                </w:p>
              </w:tc>
              <w:tc>
                <w:tcPr>
                  <w:tcW w:w="499" w:type="pct"/>
                  <w:tcBorders>
                    <w:tl2br w:val="nil"/>
                    <w:tr2bl w:val="nil"/>
                  </w:tcBorders>
                  <w:noWrap w:val="0"/>
                  <w:vAlign w:val="center"/>
                </w:tcPr>
                <w:p>
                  <w:pPr>
                    <w:jc w:val="center"/>
                    <w:rPr>
                      <w:rFonts w:hint="eastAsia" w:ascii="Times New Roman" w:hAnsi="Times New Roman" w:eastAsia="宋体"/>
                      <w:b w:val="0"/>
                      <w:bCs/>
                      <w:lang w:val="en-US" w:eastAsia="zh-CN"/>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kern w:val="2"/>
                      <w:szCs w:val="21"/>
                      <w:highlight w:val="none"/>
                    </w:rPr>
                  </w:pPr>
                  <w:r>
                    <w:rPr>
                      <w:rFonts w:hint="eastAsia" w:ascii="Times New Roman" w:hAnsi="Times New Roman" w:eastAsia="宋体"/>
                      <w:b w:val="0"/>
                      <w:bCs/>
                      <w:lang w:val="en-US" w:eastAsia="zh-CN"/>
                    </w:rPr>
                    <w:t>4</w:t>
                  </w:r>
                </w:p>
              </w:tc>
              <w:tc>
                <w:tcPr>
                  <w:tcW w:w="1660" w:type="pct"/>
                  <w:tcBorders>
                    <w:tl2br w:val="nil"/>
                    <w:tr2bl w:val="nil"/>
                  </w:tcBorders>
                  <w:noWrap w:val="0"/>
                  <w:vAlign w:val="center"/>
                </w:tcPr>
                <w:p>
                  <w:pPr>
                    <w:jc w:val="center"/>
                    <w:rPr>
                      <w:rFonts w:ascii="Times New Roman" w:hAnsi="Times New Roman" w:eastAsia="宋体"/>
                      <w:b w:val="0"/>
                      <w:bCs/>
                      <w:kern w:val="2"/>
                      <w:szCs w:val="21"/>
                      <w:highlight w:val="none"/>
                    </w:rPr>
                  </w:pPr>
                  <w:r>
                    <w:rPr>
                      <w:rFonts w:hint="eastAsia" w:ascii="Times New Roman" w:hAnsi="Times New Roman" w:eastAsia="宋体"/>
                      <w:b w:val="0"/>
                      <w:bCs/>
                      <w:lang w:eastAsia="zh-CN"/>
                    </w:rPr>
                    <w:t>斗式提升机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TD250zh-21.02m</w:t>
                  </w:r>
                </w:p>
              </w:tc>
              <w:tc>
                <w:tcPr>
                  <w:tcW w:w="499" w:type="pct"/>
                  <w:tcBorders>
                    <w:tl2br w:val="nil"/>
                    <w:tr2bl w:val="nil"/>
                  </w:tcBorders>
                  <w:noWrap w:val="0"/>
                  <w:vAlign w:val="center"/>
                </w:tcPr>
                <w:p>
                  <w:pPr>
                    <w:jc w:val="center"/>
                    <w:rPr>
                      <w:rFonts w:hint="eastAsia" w:ascii="Times New Roman" w:hAnsi="Times New Roman" w:eastAsia="宋体"/>
                      <w:b w:val="0"/>
                      <w:bCs/>
                      <w:lang w:val="en-US" w:eastAsia="zh-CN"/>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eastAsia="宋体"/>
                      <w:b w:val="0"/>
                      <w:bCs/>
                      <w:kern w:val="2"/>
                      <w:szCs w:val="21"/>
                      <w:highlight w:val="none"/>
                      <w:lang w:val="en-US" w:eastAsia="zh-CN"/>
                    </w:rPr>
                    <w:t>5</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eastAsia="zh-CN"/>
                    </w:rPr>
                    <w:t>仓壁振动器</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ZFB-6</w:t>
                  </w:r>
                </w:p>
              </w:tc>
              <w:tc>
                <w:tcPr>
                  <w:tcW w:w="499" w:type="pct"/>
                  <w:tcBorders>
                    <w:tl2br w:val="nil"/>
                    <w:tr2bl w:val="nil"/>
                  </w:tcBorders>
                  <w:noWrap w:val="0"/>
                  <w:vAlign w:val="center"/>
                </w:tcPr>
                <w:p>
                  <w:pPr>
                    <w:jc w:val="center"/>
                    <w:rPr>
                      <w:rFonts w:hint="eastAsia" w:ascii="Times New Roman" w:hAnsi="Times New Roman" w:eastAsia="宋体"/>
                      <w:b w:val="0"/>
                      <w:bCs/>
                      <w:lang w:val="en-US" w:eastAsia="zh-CN"/>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eastAsia="宋体"/>
                      <w:b w:val="0"/>
                      <w:bCs/>
                      <w:kern w:val="2"/>
                      <w:szCs w:val="21"/>
                      <w:highlight w:val="none"/>
                      <w:lang w:val="en-US" w:eastAsia="zh-CN"/>
                    </w:rPr>
                    <w:t>6</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eastAsia="zh-CN"/>
                    </w:rPr>
                    <w:t>单行螺旋闸门</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DN400</w:t>
                  </w:r>
                </w:p>
              </w:tc>
              <w:tc>
                <w:tcPr>
                  <w:tcW w:w="499"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eastAsia="宋体"/>
                      <w:b w:val="0"/>
                      <w:bCs/>
                      <w:kern w:val="2"/>
                      <w:szCs w:val="21"/>
                      <w:highlight w:val="none"/>
                      <w:lang w:val="en-US" w:eastAsia="zh-CN"/>
                    </w:rPr>
                    <w:t>7</w:t>
                  </w:r>
                </w:p>
              </w:tc>
              <w:tc>
                <w:tcPr>
                  <w:tcW w:w="1660"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球磨机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1.2*4.5m</w:t>
                  </w:r>
                </w:p>
              </w:tc>
              <w:tc>
                <w:tcPr>
                  <w:tcW w:w="499" w:type="pct"/>
                  <w:tcBorders>
                    <w:tl2br w:val="nil"/>
                    <w:tr2bl w:val="nil"/>
                  </w:tcBorders>
                  <w:noWrap w:val="0"/>
                  <w:vAlign w:val="center"/>
                </w:tcPr>
                <w:p>
                  <w:pPr>
                    <w:jc w:val="center"/>
                    <w:rPr>
                      <w:rFonts w:hint="eastAsia" w:ascii="Times New Roman" w:hAnsi="Times New Roman" w:eastAsia="宋体"/>
                      <w:b w:val="0"/>
                      <w:bCs/>
                      <w:lang w:val="en-US" w:eastAsia="zh-CN"/>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eastAsia="宋体"/>
                      <w:b w:val="0"/>
                      <w:bCs/>
                      <w:kern w:val="2"/>
                      <w:szCs w:val="21"/>
                      <w:highlight w:val="none"/>
                      <w:lang w:val="en-US" w:eastAsia="zh-CN"/>
                    </w:rPr>
                    <w:t>8</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eastAsia="zh-CN"/>
                    </w:rPr>
                    <w:t>离心通风机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4-72-11</w:t>
                  </w:r>
                </w:p>
              </w:tc>
              <w:tc>
                <w:tcPr>
                  <w:tcW w:w="499" w:type="pct"/>
                  <w:tcBorders>
                    <w:tl2br w:val="nil"/>
                    <w:tr2bl w:val="nil"/>
                  </w:tcBorders>
                  <w:noWrap w:val="0"/>
                  <w:vAlign w:val="center"/>
                </w:tcPr>
                <w:p>
                  <w:pPr>
                    <w:jc w:val="center"/>
                    <w:rPr>
                      <w:rFonts w:hint="eastAsia" w:ascii="Times New Roman" w:hAnsi="Times New Roman" w:eastAsia="宋体"/>
                      <w:b w:val="0"/>
                      <w:bCs/>
                      <w:lang w:val="en-US" w:eastAsia="zh-CN"/>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eastAsia="宋体"/>
                      <w:b w:val="0"/>
                      <w:bCs/>
                      <w:kern w:val="2"/>
                      <w:szCs w:val="21"/>
                      <w:highlight w:val="none"/>
                      <w:lang w:val="en-US" w:eastAsia="zh-CN"/>
                    </w:rPr>
                    <w:t>9</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eastAsia="zh-CN"/>
                    </w:rPr>
                    <w:t>装载机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w:t>
                  </w:r>
                </w:p>
              </w:tc>
              <w:tc>
                <w:tcPr>
                  <w:tcW w:w="499" w:type="pct"/>
                  <w:tcBorders>
                    <w:tl2br w:val="nil"/>
                    <w:tr2bl w:val="nil"/>
                  </w:tcBorders>
                  <w:noWrap w:val="0"/>
                  <w:vAlign w:val="center"/>
                </w:tcPr>
                <w:p>
                  <w:pPr>
                    <w:jc w:val="center"/>
                    <w:rPr>
                      <w:rFonts w:hint="eastAsia" w:ascii="Times New Roman" w:hAnsi="Times New Roman" w:eastAsia="宋体"/>
                      <w:b w:val="0"/>
                      <w:bCs/>
                      <w:lang w:val="en-US" w:eastAsia="zh-CN"/>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highlight w:val="none"/>
                      <w:lang w:eastAsia="zh-CN"/>
                    </w:rPr>
                    <w:t>二</w:t>
                  </w:r>
                </w:p>
              </w:tc>
              <w:tc>
                <w:tcPr>
                  <w:tcW w:w="4571" w:type="pct"/>
                  <w:gridSpan w:val="5"/>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eastAsia="zh-CN"/>
                    </w:rPr>
                    <w:t>配料工段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eastAsia="宋体"/>
                      <w:b w:val="0"/>
                      <w:bCs/>
                      <w:kern w:val="2"/>
                      <w:szCs w:val="21"/>
                      <w:highlight w:val="none"/>
                      <w:lang w:val="en-US" w:eastAsia="zh-CN"/>
                    </w:rPr>
                    <w:t>1</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破拱料斗</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300型</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eastAsia="宋体"/>
                      <w:b w:val="0"/>
                      <w:bCs/>
                      <w:kern w:val="2"/>
                      <w:szCs w:val="21"/>
                      <w:highlight w:val="none"/>
                      <w:lang w:val="en-US" w:eastAsia="zh-CN"/>
                    </w:rPr>
                    <w:t>2</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eastAsia="zh-CN"/>
                    </w:rPr>
                    <w:t>螺旋给料机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LSY160</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eastAsia="宋体"/>
                      <w:b w:val="0"/>
                      <w:bCs/>
                      <w:highlight w:val="none"/>
                      <w:lang w:val="en-US" w:eastAsia="zh-CN"/>
                    </w:rPr>
                    <w:t>3</w:t>
                  </w:r>
                </w:p>
              </w:tc>
              <w:tc>
                <w:tcPr>
                  <w:tcW w:w="1660"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计量秤斗</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0.4立方米</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eastAsia="宋体"/>
                      <w:b w:val="0"/>
                      <w:bCs/>
                      <w:highlight w:val="none"/>
                      <w:lang w:val="en-US" w:eastAsia="zh-CN"/>
                    </w:rPr>
                    <w:t>4</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水计量秤斗</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0.4立方米</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eastAsia="宋体"/>
                      <w:b w:val="0"/>
                      <w:bCs/>
                      <w:highlight w:val="none"/>
                      <w:lang w:val="en-US" w:eastAsia="zh-CN"/>
                    </w:rPr>
                    <w:t>5</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三斗配料系统</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eastAsia="宋体"/>
                      <w:b w:val="0"/>
                      <w:bCs/>
                      <w:kern w:val="2"/>
                      <w:szCs w:val="21"/>
                      <w:highlight w:val="none"/>
                      <w:lang w:val="en-US" w:eastAsia="zh-CN"/>
                    </w:rPr>
                    <w:t>6</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highlight w:val="none"/>
                      <w:lang w:eastAsia="zh-CN"/>
                    </w:rPr>
                    <w:t>振动筛</w:t>
                  </w:r>
                </w:p>
              </w:tc>
              <w:tc>
                <w:tcPr>
                  <w:tcW w:w="1053"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YA1236</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highlight w:val="none"/>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eastAsia="宋体"/>
                      <w:b w:val="0"/>
                      <w:bCs/>
                      <w:highlight w:val="none"/>
                      <w:lang w:val="en-US" w:eastAsia="zh-CN"/>
                    </w:rPr>
                    <w:t>7</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混合料储料斗</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2立方米</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eastAsia="宋体"/>
                      <w:b w:val="0"/>
                      <w:bCs/>
                      <w:highlight w:val="none"/>
                      <w:lang w:val="en-US" w:eastAsia="zh-CN"/>
                    </w:rPr>
                    <w:t>8</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立式紊流搅拌机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LJ20A</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三</w:t>
                  </w:r>
                </w:p>
              </w:tc>
              <w:tc>
                <w:tcPr>
                  <w:tcW w:w="4571" w:type="pct"/>
                  <w:gridSpan w:val="5"/>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szCs w:val="21"/>
                      <w:lang w:eastAsia="zh-CN"/>
                    </w:rPr>
                    <w:t>消化轮碾成型养护工段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皮带输送机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2</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2</w:t>
                  </w:r>
                </w:p>
              </w:tc>
              <w:tc>
                <w:tcPr>
                  <w:tcW w:w="166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eastAsia="zh-CN"/>
                    </w:rPr>
                    <w:t>轮碾机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XLH2500</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3</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除铁器</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1</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4</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成品秤斗</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1</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5</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液压砖机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HF1100C</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1</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6</w:t>
                  </w:r>
                </w:p>
              </w:tc>
              <w:tc>
                <w:tcPr>
                  <w:tcW w:w="1660"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模具</w:t>
                  </w:r>
                </w:p>
              </w:tc>
              <w:tc>
                <w:tcPr>
                  <w:tcW w:w="1053" w:type="pct"/>
                  <w:tcBorders>
                    <w:tl2br w:val="nil"/>
                    <w:tr2bl w:val="nil"/>
                  </w:tcBorders>
                  <w:noWrap w:val="0"/>
                  <w:vAlign w:val="center"/>
                </w:tcPr>
                <w:p>
                  <w:pPr>
                    <w:jc w:val="center"/>
                    <w:rPr>
                      <w:rFonts w:hint="eastAsia" w:ascii="Times New Roman" w:hAnsi="Times New Roman" w:eastAsia="宋体"/>
                      <w:b w:val="0"/>
                      <w:bCs/>
                      <w:lang w:eastAsia="zh-CN"/>
                    </w:rPr>
                  </w:pPr>
                  <w:r>
                    <w:rPr>
                      <w:rFonts w:hint="eastAsia" w:ascii="Times New Roman" w:hAnsi="Times New Roman" w:eastAsia="宋体"/>
                      <w:b w:val="0"/>
                      <w:bCs/>
                      <w:lang w:eastAsia="zh-CN"/>
                    </w:rPr>
                    <w:t>标准码</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1</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7</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换模小车</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8</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载重摆渡车</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BC650</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9</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蒸压小车</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110</w:t>
                  </w:r>
                </w:p>
              </w:tc>
              <w:tc>
                <w:tcPr>
                  <w:tcW w:w="648"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eastAsia="宋体"/>
                      <w:b w:val="0"/>
                      <w:bCs/>
                      <w:highlight w:val="none"/>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highlight w:val="none"/>
                      <w:lang w:val="en-US"/>
                    </w:rPr>
                  </w:pPr>
                  <w:r>
                    <w:rPr>
                      <w:rFonts w:hint="eastAsia" w:ascii="Times New Roman" w:hAnsi="Times New Roman" w:eastAsia="宋体"/>
                      <w:b w:val="0"/>
                      <w:bCs/>
                      <w:lang w:val="en-US" w:eastAsia="zh-CN"/>
                    </w:rPr>
                    <w:t>10</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蒸压釜</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2.5*28.5m</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3</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color w:val="000000"/>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highlight w:val="none"/>
                      <w:lang w:val="en-US"/>
                    </w:rPr>
                  </w:pPr>
                  <w:r>
                    <w:rPr>
                      <w:rFonts w:hint="eastAsia" w:ascii="Times New Roman" w:hAnsi="Times New Roman" w:eastAsia="宋体"/>
                      <w:b w:val="0"/>
                      <w:bCs/>
                      <w:lang w:val="en-US" w:eastAsia="zh-CN"/>
                    </w:rPr>
                    <w:t>11</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eastAsia="zh-CN"/>
                    </w:rPr>
                    <w:t>固定式卷扬机</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5t</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highlight w:val="none"/>
                      <w:lang w:val="en-US"/>
                    </w:rPr>
                  </w:pPr>
                  <w:r>
                    <w:rPr>
                      <w:rFonts w:hint="eastAsia" w:ascii="Times New Roman" w:hAnsi="Times New Roman" w:eastAsia="宋体"/>
                      <w:b w:val="0"/>
                      <w:bCs/>
                      <w:lang w:val="en-US" w:eastAsia="zh-CN"/>
                    </w:rPr>
                    <w:t>12</w:t>
                  </w:r>
                </w:p>
              </w:tc>
              <w:tc>
                <w:tcPr>
                  <w:tcW w:w="1660"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转盘</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ZP130</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6</w:t>
                  </w:r>
                </w:p>
              </w:tc>
              <w:tc>
                <w:tcPr>
                  <w:tcW w:w="648" w:type="pct"/>
                  <w:tcBorders>
                    <w:tl2br w:val="nil"/>
                    <w:tr2bl w:val="nil"/>
                  </w:tcBorders>
                  <w:noWrap w:val="0"/>
                  <w:vAlign w:val="center"/>
                </w:tcPr>
                <w:p>
                  <w:pPr>
                    <w:jc w:val="center"/>
                    <w:rPr>
                      <w:rFonts w:ascii="Times New Roman" w:hAnsi="Times New Roman" w:eastAsia="宋体"/>
                      <w:b w:val="0"/>
                      <w:bCs/>
                      <w:highlight w:val="none"/>
                    </w:rPr>
                  </w:pPr>
                  <w:r>
                    <w:rPr>
                      <w:rFonts w:hint="eastAsia" w:ascii="Times New Roman" w:hAnsi="Times New Roman" w:eastAsia="宋体"/>
                      <w:b w:val="0"/>
                      <w:bCs/>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highlight w:val="none"/>
                      <w:lang w:eastAsia="zh-CN"/>
                    </w:rPr>
                    <w:t>四</w:t>
                  </w:r>
                </w:p>
              </w:tc>
              <w:tc>
                <w:tcPr>
                  <w:tcW w:w="4571" w:type="pct"/>
                  <w:gridSpan w:val="5"/>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highlight w:val="none"/>
                      <w:lang w:eastAsia="zh-CN"/>
                    </w:rPr>
                    <w:t>空压机房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highlight w:val="none"/>
                      <w:lang w:val="en-US" w:eastAsia="zh-CN"/>
                    </w:rPr>
                    <w:t>1</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highlight w:val="none"/>
                      <w:lang w:eastAsia="zh-CN"/>
                    </w:rPr>
                    <w:t>单螺杆空压</w:t>
                  </w:r>
                </w:p>
              </w:tc>
              <w:tc>
                <w:tcPr>
                  <w:tcW w:w="1053" w:type="pct"/>
                  <w:tcBorders>
                    <w:tl2br w:val="nil"/>
                    <w:tr2bl w:val="nil"/>
                  </w:tcBorders>
                  <w:noWrap w:val="0"/>
                  <w:vAlign w:val="center"/>
                </w:tcPr>
                <w:p>
                  <w:pPr>
                    <w:jc w:val="center"/>
                    <w:rPr>
                      <w:rFonts w:hint="default" w:ascii="Times New Roman" w:hAnsi="Times New Roman" w:eastAsia="宋体"/>
                      <w:b w:val="0"/>
                      <w:bCs/>
                      <w:highlight w:val="none"/>
                      <w:lang w:val="en-US" w:eastAsia="zh-CN"/>
                    </w:rPr>
                  </w:pPr>
                  <w:r>
                    <w:rPr>
                      <w:rFonts w:hint="eastAsia" w:ascii="Times New Roman" w:hAnsi="Times New Roman" w:eastAsia="宋体"/>
                      <w:b w:val="0"/>
                      <w:bCs/>
                      <w:highlight w:val="none"/>
                      <w:lang w:val="en-US" w:eastAsia="zh-CN"/>
                    </w:rPr>
                    <w:t>OGLC15A</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highlight w:val="none"/>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hint="eastAsia" w:ascii="Times New Roman" w:hAnsi="Times New Roman" w:eastAsia="宋体"/>
                      <w:b w:val="0"/>
                      <w:bCs/>
                      <w:color w:val="000000"/>
                      <w:lang w:val="en-US" w:eastAsia="zh-CN"/>
                    </w:rPr>
                    <w:t>2</w:t>
                  </w:r>
                </w:p>
              </w:tc>
              <w:tc>
                <w:tcPr>
                  <w:tcW w:w="1660"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冷冻式干燥机</w:t>
                  </w:r>
                </w:p>
              </w:tc>
              <w:tc>
                <w:tcPr>
                  <w:tcW w:w="1053" w:type="pct"/>
                  <w:tcBorders>
                    <w:tl2br w:val="nil"/>
                    <w:tr2bl w:val="nil"/>
                  </w:tcBorders>
                  <w:noWrap w:val="0"/>
                  <w:vAlign w:val="center"/>
                </w:tcPr>
                <w:p>
                  <w:pPr>
                    <w:jc w:val="center"/>
                    <w:rPr>
                      <w:rFonts w:hint="default" w:ascii="Times New Roman" w:hAnsi="Times New Roman" w:eastAsia="宋体"/>
                      <w:b w:val="0"/>
                      <w:bCs/>
                      <w:color w:val="000000"/>
                      <w:lang w:val="en-US" w:eastAsia="zh-CN"/>
                    </w:rPr>
                  </w:pPr>
                  <w:r>
                    <w:rPr>
                      <w:rFonts w:hint="eastAsia" w:ascii="Times New Roman" w:hAnsi="Times New Roman" w:eastAsia="宋体"/>
                      <w:b w:val="0"/>
                      <w:bCs/>
                      <w:color w:val="000000"/>
                      <w:lang w:val="en-US" w:eastAsia="zh-CN"/>
                    </w:rPr>
                    <w:t>LC-2AC</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color w:val="000000"/>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color w:val="000000"/>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3</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eastAsia="zh-CN"/>
                    </w:rPr>
                    <w:t>储气罐</w:t>
                  </w:r>
                </w:p>
              </w:tc>
              <w:tc>
                <w:tcPr>
                  <w:tcW w:w="1053" w:type="pct"/>
                  <w:tcBorders>
                    <w:tl2br w:val="nil"/>
                    <w:tr2bl w:val="nil"/>
                  </w:tcBorders>
                  <w:noWrap w:val="0"/>
                  <w:vAlign w:val="center"/>
                </w:tcPr>
                <w:p>
                  <w:pPr>
                    <w:jc w:val="center"/>
                    <w:rPr>
                      <w:rFonts w:hint="eastAsia" w:ascii="Times New Roman" w:hAnsi="Times New Roman" w:eastAsia="宋体"/>
                      <w:b w:val="0"/>
                      <w:bCs/>
                      <w:lang w:val="en-US" w:eastAsia="zh-CN"/>
                    </w:rPr>
                  </w:pPr>
                  <w:r>
                    <w:rPr>
                      <w:rFonts w:hint="eastAsia" w:ascii="Times New Roman" w:hAnsi="Times New Roman" w:eastAsia="宋体"/>
                      <w:b w:val="0"/>
                      <w:bCs/>
                      <w:lang w:val="en-US" w:eastAsia="zh-CN"/>
                    </w:rPr>
                    <w:t>1立方米</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color w:val="auto"/>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color w:val="auto"/>
                      <w:kern w:val="2"/>
                      <w:szCs w:val="21"/>
                      <w:highlight w:val="none"/>
                      <w:lang w:eastAsia="zh-CN"/>
                    </w:rPr>
                  </w:pPr>
                  <w:r>
                    <w:rPr>
                      <w:rFonts w:hint="eastAsia" w:ascii="Times New Roman" w:hAnsi="Times New Roman" w:eastAsia="宋体"/>
                      <w:b w:val="0"/>
                      <w:bCs/>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eastAsia="zh-CN"/>
                    </w:rPr>
                    <w:t>五</w:t>
                  </w:r>
                </w:p>
              </w:tc>
              <w:tc>
                <w:tcPr>
                  <w:tcW w:w="4571" w:type="pct"/>
                  <w:gridSpan w:val="5"/>
                  <w:tcBorders>
                    <w:tl2br w:val="nil"/>
                    <w:tr2bl w:val="nil"/>
                  </w:tcBorders>
                  <w:noWrap w:val="0"/>
                  <w:vAlign w:val="center"/>
                </w:tcPr>
                <w:p>
                  <w:pPr>
                    <w:jc w:val="center"/>
                    <w:rPr>
                      <w:rFonts w:hint="eastAsia" w:ascii="Times New Roman" w:hAnsi="Times New Roman" w:eastAsia="宋体"/>
                      <w:b w:val="0"/>
                      <w:bCs/>
                      <w:color w:val="auto"/>
                      <w:kern w:val="2"/>
                      <w:szCs w:val="21"/>
                      <w:highlight w:val="none"/>
                      <w:lang w:eastAsia="zh-CN"/>
                    </w:rPr>
                  </w:pPr>
                  <w:r>
                    <w:rPr>
                      <w:rFonts w:hint="eastAsia" w:ascii="Times New Roman" w:hAnsi="Times New Roman" w:eastAsia="宋体"/>
                      <w:b w:val="0"/>
                      <w:bCs/>
                      <w:lang w:eastAsia="zh-CN"/>
                    </w:rPr>
                    <w:t>其他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hint="eastAsia" w:ascii="Times New Roman" w:hAnsi="Times New Roman" w:eastAsia="宋体"/>
                      <w:b w:val="0"/>
                      <w:bCs/>
                      <w:lang w:val="en-US" w:eastAsia="zh-CN"/>
                    </w:rPr>
                    <w:t>1</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eastAsia="zh-CN"/>
                    </w:rPr>
                    <w:t>水环式真空泵</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2BE1153-0</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lang w:eastAsia="zh-CN"/>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2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hint="eastAsia" w:ascii="Times New Roman" w:hAnsi="Times New Roman" w:eastAsia="宋体"/>
                      <w:b w:val="0"/>
                      <w:bCs/>
                      <w:lang w:val="en-US" w:eastAsia="zh-CN"/>
                    </w:rPr>
                    <w:t>2</w:t>
                  </w:r>
                </w:p>
              </w:tc>
              <w:tc>
                <w:tcPr>
                  <w:tcW w:w="1660" w:type="pct"/>
                  <w:tcBorders>
                    <w:tl2br w:val="nil"/>
                    <w:tr2bl w:val="nil"/>
                  </w:tcBorders>
                  <w:noWrap w:val="0"/>
                  <w:vAlign w:val="center"/>
                </w:tcPr>
                <w:p>
                  <w:pPr>
                    <w:jc w:val="center"/>
                    <w:rPr>
                      <w:rFonts w:hint="eastAsia"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冷却塔</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35立方米/小时</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1"/>
                      <w:highlight w:val="none"/>
                      <w:lang w:val="en-US" w:eastAsia="zh-CN" w:bidi="ar-SA"/>
                    </w:rPr>
                  </w:pPr>
                  <w:r>
                    <w:rPr>
                      <w:rFonts w:hint="eastAsia" w:ascii="Times New Roman" w:hAnsi="Times New Roman" w:eastAsia="宋体"/>
                      <w:b w:val="0"/>
                      <w:bCs/>
                      <w:kern w:val="2"/>
                      <w:szCs w:val="21"/>
                      <w:highlight w:val="none"/>
                      <w:lang w:val="en-US" w:eastAsia="zh-CN"/>
                    </w:rPr>
                    <w:t>台</w:t>
                  </w:r>
                </w:p>
              </w:tc>
              <w:tc>
                <w:tcPr>
                  <w:tcW w:w="710"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hint="eastAsia" w:ascii="Times New Roman" w:hAnsi="Times New Roman" w:eastAsia="宋体"/>
                      <w:b w:val="0"/>
                      <w:bCs/>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28"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rPr>
                  </w:pPr>
                  <w:r>
                    <w:rPr>
                      <w:rFonts w:hint="eastAsia" w:ascii="Times New Roman" w:hAnsi="Times New Roman" w:eastAsia="宋体"/>
                      <w:b w:val="0"/>
                      <w:bCs/>
                      <w:lang w:val="en-US" w:eastAsia="zh-CN"/>
                    </w:rPr>
                    <w:t>3</w:t>
                  </w:r>
                </w:p>
              </w:tc>
              <w:tc>
                <w:tcPr>
                  <w:tcW w:w="1660"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ascii="Times New Roman" w:hAnsi="Times New Roman" w:eastAsia="宋体"/>
                      <w:b w:val="0"/>
                      <w:bCs/>
                      <w:lang w:val="en-US" w:eastAsia="zh-CN"/>
                    </w:rPr>
                    <w:t>PLC控制系统</w:t>
                  </w:r>
                </w:p>
              </w:tc>
              <w:tc>
                <w:tcPr>
                  <w:tcW w:w="1053" w:type="pct"/>
                  <w:tcBorders>
                    <w:tl2br w:val="nil"/>
                    <w:tr2bl w:val="nil"/>
                  </w:tcBorders>
                  <w:noWrap w:val="0"/>
                  <w:vAlign w:val="center"/>
                </w:tcPr>
                <w:p>
                  <w:pPr>
                    <w:jc w:val="center"/>
                    <w:rPr>
                      <w:rFonts w:hint="default" w:ascii="Times New Roman" w:hAnsi="Times New Roman" w:eastAsia="宋体"/>
                      <w:b w:val="0"/>
                      <w:bCs/>
                      <w:lang w:val="en-US" w:eastAsia="zh-CN"/>
                    </w:rPr>
                  </w:pPr>
                  <w:r>
                    <w:rPr>
                      <w:rFonts w:hint="eastAsia" w:ascii="Times New Roman" w:hAnsi="Times New Roman" w:eastAsia="宋体"/>
                      <w:b w:val="0"/>
                      <w:bCs/>
                      <w:lang w:val="en-US" w:eastAsia="zh-CN"/>
                    </w:rPr>
                    <w:t>/</w:t>
                  </w:r>
                </w:p>
              </w:tc>
              <w:tc>
                <w:tcPr>
                  <w:tcW w:w="499" w:type="pct"/>
                  <w:tcBorders>
                    <w:tl2br w:val="nil"/>
                    <w:tr2bl w:val="nil"/>
                  </w:tcBorders>
                  <w:noWrap w:val="0"/>
                  <w:vAlign w:val="center"/>
                </w:tcPr>
                <w:p>
                  <w:pPr>
                    <w:jc w:val="center"/>
                    <w:rPr>
                      <w:rFonts w:hint="eastAsia" w:ascii="Times New Roman" w:hAnsi="Times New Roman" w:eastAsia="宋体" w:cs="Times New Roman"/>
                      <w:b w:val="0"/>
                      <w:bCs/>
                      <w:kern w:val="2"/>
                      <w:sz w:val="21"/>
                      <w:szCs w:val="24"/>
                      <w:lang w:val="en-US" w:eastAsia="zh-CN" w:bidi="ar-SA"/>
                    </w:rPr>
                  </w:pPr>
                  <w:r>
                    <w:rPr>
                      <w:rFonts w:hint="eastAsia" w:ascii="Times New Roman" w:hAnsi="Times New Roman" w:eastAsia="宋体"/>
                      <w:b w:val="0"/>
                      <w:bCs/>
                      <w:lang w:val="en-US" w:eastAsia="zh-CN"/>
                    </w:rPr>
                    <w:t>台</w:t>
                  </w:r>
                </w:p>
              </w:tc>
              <w:tc>
                <w:tcPr>
                  <w:tcW w:w="710" w:type="pct"/>
                  <w:tcBorders>
                    <w:tl2br w:val="nil"/>
                    <w:tr2bl w:val="nil"/>
                  </w:tcBorders>
                  <w:noWrap w:val="0"/>
                  <w:vAlign w:val="center"/>
                </w:tcPr>
                <w:p>
                  <w:pPr>
                    <w:jc w:val="center"/>
                    <w:rPr>
                      <w:rFonts w:hint="default" w:ascii="Times New Roman" w:hAnsi="Times New Roman" w:eastAsia="宋体"/>
                      <w:b w:val="0"/>
                      <w:bCs/>
                      <w:kern w:val="2"/>
                      <w:szCs w:val="21"/>
                      <w:highlight w:val="none"/>
                      <w:lang w:val="en-US" w:eastAsia="zh-CN"/>
                    </w:rPr>
                  </w:pPr>
                  <w:r>
                    <w:rPr>
                      <w:rFonts w:hint="eastAsia" w:ascii="Times New Roman" w:hAnsi="Times New Roman" w:eastAsia="宋体"/>
                      <w:b w:val="0"/>
                      <w:bCs/>
                      <w:kern w:val="2"/>
                      <w:szCs w:val="21"/>
                      <w:highlight w:val="none"/>
                      <w:lang w:val="en-US" w:eastAsia="zh-CN"/>
                    </w:rPr>
                    <w:t>1</w:t>
                  </w:r>
                </w:p>
              </w:tc>
              <w:tc>
                <w:tcPr>
                  <w:tcW w:w="648" w:type="pct"/>
                  <w:tcBorders>
                    <w:tl2br w:val="nil"/>
                    <w:tr2bl w:val="nil"/>
                  </w:tcBorders>
                  <w:noWrap w:val="0"/>
                  <w:vAlign w:val="center"/>
                </w:tcPr>
                <w:p>
                  <w:pPr>
                    <w:jc w:val="center"/>
                    <w:rPr>
                      <w:rFonts w:hint="eastAsia" w:ascii="Times New Roman" w:hAnsi="Times New Roman" w:eastAsia="宋体"/>
                      <w:b w:val="0"/>
                      <w:bCs/>
                      <w:kern w:val="2"/>
                      <w:szCs w:val="21"/>
                      <w:highlight w:val="none"/>
                    </w:rPr>
                  </w:pPr>
                  <w:r>
                    <w:rPr>
                      <w:rFonts w:hint="eastAsia" w:ascii="Times New Roman" w:hAnsi="Times New Roman" w:eastAsia="宋体"/>
                      <w:b w:val="0"/>
                      <w:bCs/>
                      <w:lang w:val="en-US" w:eastAsia="zh-CN"/>
                    </w:rPr>
                    <w:t>1</w:t>
                  </w:r>
                </w:p>
              </w:tc>
            </w:tr>
            <w:bookmarkEnd w:id="3"/>
          </w:tbl>
          <w:p>
            <w:pPr>
              <w:spacing w:line="360" w:lineRule="auto"/>
              <w:jc w:val="left"/>
              <w:rPr>
                <w:rFonts w:ascii="宋体" w:hAnsi="宋体"/>
                <w:b/>
                <w:sz w:val="28"/>
                <w:szCs w:val="28"/>
                <w:highlight w:val="none"/>
              </w:rPr>
            </w:pPr>
            <w:r>
              <w:rPr>
                <w:rFonts w:hint="eastAsia" w:ascii="宋体" w:hAnsi="宋体"/>
                <w:b/>
                <w:sz w:val="28"/>
                <w:szCs w:val="28"/>
                <w:highlight w:val="none"/>
              </w:rPr>
              <w:t>3、用水及水平衡</w:t>
            </w:r>
          </w:p>
          <w:p>
            <w:pPr>
              <w:adjustRightInd w:val="0"/>
              <w:spacing w:line="360" w:lineRule="auto"/>
              <w:ind w:firstLine="480" w:firstLineChars="200"/>
              <w:jc w:val="left"/>
              <w:rPr>
                <w:rFonts w:hint="default" w:ascii="Times New Roman" w:hAnsi="Times New Roman" w:eastAsia="宋体"/>
                <w:sz w:val="24"/>
                <w:szCs w:val="24"/>
                <w:highlight w:val="none"/>
                <w:lang w:val="en-US" w:eastAsia="zh-CN"/>
              </w:rPr>
            </w:pPr>
            <w:r>
              <w:rPr>
                <w:rFonts w:hint="eastAsia" w:ascii="Times New Roman" w:hAnsi="Times New Roman" w:eastAsia="宋体"/>
                <w:sz w:val="24"/>
                <w:szCs w:val="24"/>
                <w:highlight w:val="none"/>
              </w:rPr>
              <w:t>本项目用水主要为</w:t>
            </w:r>
            <w:r>
              <w:rPr>
                <w:rFonts w:ascii="Times New Roman" w:hAnsi="Times New Roman" w:eastAsia="宋体"/>
                <w:sz w:val="24"/>
                <w:highlight w:val="none"/>
              </w:rPr>
              <w:t>生产用水、生活用水</w:t>
            </w:r>
            <w:r>
              <w:rPr>
                <w:rFonts w:hint="eastAsia" w:ascii="Times New Roman" w:hAnsi="Times New Roman" w:eastAsia="宋体"/>
                <w:sz w:val="24"/>
                <w:highlight w:val="none"/>
                <w:lang w:eastAsia="zh-CN"/>
              </w:rPr>
              <w:t>，</w:t>
            </w:r>
            <w:r>
              <w:rPr>
                <w:rFonts w:ascii="Times New Roman" w:hAnsi="Times New Roman" w:eastAsia="宋体"/>
                <w:sz w:val="24"/>
                <w:highlight w:val="none"/>
              </w:rPr>
              <w:t>其中生产用水主要有</w:t>
            </w:r>
            <w:r>
              <w:rPr>
                <w:rFonts w:hint="eastAsia" w:eastAsia="宋体"/>
                <w:sz w:val="24"/>
                <w:highlight w:val="none"/>
                <w:lang w:val="en-US" w:eastAsia="zh-CN"/>
              </w:rPr>
              <w:t>设备循环用水</w:t>
            </w:r>
            <w:r>
              <w:rPr>
                <w:rFonts w:ascii="Times New Roman" w:hAnsi="Times New Roman" w:eastAsia="宋体"/>
                <w:sz w:val="24"/>
                <w:highlight w:val="none"/>
              </w:rPr>
              <w:t>、锅炉用水</w:t>
            </w:r>
            <w:r>
              <w:rPr>
                <w:rFonts w:hint="eastAsia" w:ascii="Times New Roman" w:hAnsi="Times New Roman" w:eastAsia="宋体"/>
                <w:sz w:val="24"/>
                <w:szCs w:val="24"/>
                <w:highlight w:val="none"/>
              </w:rPr>
              <w:t>。</w:t>
            </w:r>
            <w:r>
              <w:rPr>
                <w:rFonts w:hint="eastAsia" w:ascii="Times New Roman" w:hAnsi="Times New Roman" w:eastAsia="宋体"/>
                <w:sz w:val="24"/>
                <w:szCs w:val="24"/>
                <w:highlight w:val="none"/>
                <w:lang w:eastAsia="zh-CN"/>
              </w:rPr>
              <w:t>生产用水</w:t>
            </w:r>
            <w:r>
              <w:rPr>
                <w:rFonts w:hint="eastAsia" w:eastAsia="宋体"/>
                <w:sz w:val="24"/>
                <w:szCs w:val="24"/>
                <w:highlight w:val="none"/>
                <w:lang w:val="en-US" w:eastAsia="zh-CN"/>
              </w:rPr>
              <w:t>循环使用，</w:t>
            </w:r>
            <w:r>
              <w:rPr>
                <w:rFonts w:hint="eastAsia" w:ascii="Times New Roman" w:hAnsi="Times New Roman" w:eastAsia="宋体"/>
                <w:sz w:val="24"/>
                <w:szCs w:val="24"/>
                <w:highlight w:val="none"/>
                <w:lang w:eastAsia="zh-CN"/>
              </w:rPr>
              <w:t>不外排</w:t>
            </w:r>
            <w:r>
              <w:rPr>
                <w:rFonts w:hint="eastAsia" w:eastAsia="宋体"/>
                <w:sz w:val="24"/>
                <w:szCs w:val="24"/>
                <w:highlight w:val="none"/>
                <w:lang w:eastAsia="zh-CN"/>
              </w:rPr>
              <w:t>。</w:t>
            </w:r>
            <w:r>
              <w:rPr>
                <w:rFonts w:hint="eastAsia" w:ascii="Times New Roman" w:hAnsi="Times New Roman" w:eastAsia="宋体"/>
                <w:sz w:val="24"/>
                <w:szCs w:val="24"/>
                <w:highlight w:val="none"/>
                <w:lang w:eastAsia="zh-CN"/>
              </w:rPr>
              <w:t>污水产生主要为生活污水</w:t>
            </w:r>
            <w:r>
              <w:rPr>
                <w:rFonts w:hint="eastAsia" w:eastAsia="宋体"/>
                <w:sz w:val="24"/>
                <w:szCs w:val="24"/>
                <w:highlight w:val="none"/>
                <w:lang w:eastAsia="zh-CN"/>
              </w:rPr>
              <w:t>，</w:t>
            </w:r>
            <w:r>
              <w:rPr>
                <w:rFonts w:hint="eastAsia" w:eastAsia="宋体"/>
                <w:sz w:val="24"/>
                <w:szCs w:val="24"/>
                <w:highlight w:val="none"/>
                <w:lang w:val="en-US" w:eastAsia="zh-CN"/>
              </w:rPr>
              <w:t>生活污水通过化粪池处置后定期清掏作农肥</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本项目新鲜用水量为</w:t>
            </w:r>
            <w:r>
              <w:rPr>
                <w:rFonts w:hint="eastAsia" w:eastAsia="宋体"/>
                <w:sz w:val="24"/>
                <w:szCs w:val="24"/>
                <w:highlight w:val="none"/>
                <w:lang w:val="en-US" w:eastAsia="zh-CN"/>
              </w:rPr>
              <w:t>2925t</w:t>
            </w:r>
            <w:r>
              <w:rPr>
                <w:rFonts w:hint="eastAsia" w:ascii="Times New Roman" w:hAnsi="Times New Roman" w:eastAsia="宋体"/>
                <w:sz w:val="24"/>
                <w:szCs w:val="24"/>
                <w:highlight w:val="none"/>
              </w:rPr>
              <w:t>/a，排水量为</w:t>
            </w:r>
            <w:r>
              <w:rPr>
                <w:rFonts w:hint="eastAsia" w:eastAsia="宋体"/>
                <w:sz w:val="24"/>
                <w:szCs w:val="24"/>
                <w:highlight w:val="none"/>
                <w:lang w:val="en-US" w:eastAsia="zh-CN"/>
              </w:rPr>
              <w:t>180t</w:t>
            </w:r>
            <w:r>
              <w:rPr>
                <w:rFonts w:hint="eastAsia" w:ascii="Times New Roman" w:hAnsi="Times New Roman" w:eastAsia="宋体"/>
                <w:sz w:val="24"/>
                <w:szCs w:val="24"/>
                <w:highlight w:val="none"/>
              </w:rPr>
              <w:t>/a</w:t>
            </w:r>
            <w:r>
              <w:rPr>
                <w:rFonts w:hint="eastAsia" w:eastAsia="宋体"/>
                <w:sz w:val="24"/>
                <w:szCs w:val="24"/>
                <w:highlight w:val="none"/>
                <w:lang w:eastAsia="zh-CN"/>
              </w:rPr>
              <w:t>，</w:t>
            </w:r>
            <w:r>
              <w:rPr>
                <w:rFonts w:hint="eastAsia" w:eastAsia="宋体"/>
                <w:sz w:val="24"/>
                <w:szCs w:val="24"/>
                <w:highlight w:val="none"/>
                <w:lang w:val="en-US" w:eastAsia="zh-CN"/>
              </w:rPr>
              <w:t>详见下表。</w:t>
            </w:r>
          </w:p>
          <w:p>
            <w:pPr>
              <w:autoSpaceDE w:val="0"/>
              <w:autoSpaceDN w:val="0"/>
              <w:adjustRightInd w:val="0"/>
              <w:spacing w:line="360" w:lineRule="auto"/>
              <w:ind w:firstLine="480"/>
              <w:jc w:val="center"/>
              <w:textAlignment w:val="auto"/>
              <w:rPr>
                <w:rFonts w:hint="eastAsia" w:ascii="Times New Roman" w:hAnsi="Times New Roman" w:eastAsia="宋体"/>
                <w:kern w:val="0"/>
                <w:sz w:val="24"/>
                <w:szCs w:val="24"/>
                <w:highlight w:val="none"/>
                <w:lang w:val="en-US" w:eastAsia="zh-CN"/>
              </w:rPr>
            </w:pPr>
            <w:r>
              <w:rPr>
                <w:rFonts w:hint="eastAsia" w:ascii="Times New Roman" w:hAnsi="Times New Roman" w:eastAsia="宋体"/>
                <w:b/>
                <w:kern w:val="0"/>
                <w:sz w:val="24"/>
                <w:szCs w:val="24"/>
                <w:highlight w:val="none"/>
              </w:rPr>
              <w:t>表</w:t>
            </w:r>
            <w:r>
              <w:rPr>
                <w:rFonts w:hint="eastAsia" w:eastAsia="宋体"/>
                <w:b/>
                <w:kern w:val="0"/>
                <w:sz w:val="24"/>
                <w:szCs w:val="24"/>
                <w:highlight w:val="none"/>
                <w:lang w:val="en-US" w:eastAsia="zh-CN"/>
              </w:rPr>
              <w:t>2-4</w:t>
            </w:r>
            <w:r>
              <w:rPr>
                <w:rFonts w:hint="eastAsia" w:ascii="Times New Roman" w:hAnsi="Times New Roman" w:eastAsia="宋体"/>
                <w:b/>
                <w:kern w:val="0"/>
                <w:sz w:val="24"/>
                <w:szCs w:val="24"/>
                <w:highlight w:val="none"/>
              </w:rPr>
              <w:t xml:space="preserve">  废水污染物产生情况表</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2842"/>
              <w:gridCol w:w="3203"/>
              <w:gridCol w:w="16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190" w:type="dxa"/>
                  <w:noWrap w:val="0"/>
                  <w:vAlign w:val="center"/>
                </w:tcPr>
                <w:p>
                  <w:pPr>
                    <w:adjustRightInd/>
                    <w:spacing w:line="240" w:lineRule="auto"/>
                    <w:ind w:right="-80" w:rightChars="-38"/>
                    <w:jc w:val="center"/>
                    <w:textAlignment w:val="auto"/>
                    <w:rPr>
                      <w:rFonts w:hint="eastAsia" w:ascii="Times New Roman" w:hAnsi="Times New Roman" w:eastAsia="宋体"/>
                      <w:b/>
                      <w:kern w:val="2"/>
                      <w:sz w:val="21"/>
                      <w:szCs w:val="21"/>
                      <w:highlight w:val="none"/>
                      <w:lang w:eastAsia="zh-CN"/>
                    </w:rPr>
                  </w:pPr>
                  <w:r>
                    <w:rPr>
                      <w:rFonts w:hint="eastAsia" w:ascii="Times New Roman" w:hAnsi="Times New Roman" w:eastAsia="宋体"/>
                      <w:b/>
                      <w:kern w:val="2"/>
                      <w:sz w:val="21"/>
                      <w:szCs w:val="21"/>
                      <w:highlight w:val="none"/>
                      <w:lang w:val="en-US" w:eastAsia="zh-CN"/>
                    </w:rPr>
                    <w:t>序号</w:t>
                  </w:r>
                </w:p>
              </w:tc>
              <w:tc>
                <w:tcPr>
                  <w:tcW w:w="2842" w:type="dxa"/>
                  <w:noWrap w:val="0"/>
                  <w:vAlign w:val="center"/>
                </w:tcPr>
                <w:p>
                  <w:pPr>
                    <w:adjustRightInd/>
                    <w:spacing w:line="240" w:lineRule="auto"/>
                    <w:ind w:right="-80" w:rightChars="-38"/>
                    <w:jc w:val="center"/>
                    <w:textAlignment w:val="auto"/>
                    <w:rPr>
                      <w:rFonts w:hint="eastAsia" w:ascii="Times New Roman" w:hAnsi="Times New Roman" w:eastAsia="宋体"/>
                      <w:b/>
                      <w:kern w:val="2"/>
                      <w:sz w:val="21"/>
                      <w:szCs w:val="21"/>
                      <w:highlight w:val="none"/>
                      <w:lang w:eastAsia="zh-CN"/>
                    </w:rPr>
                  </w:pPr>
                  <w:r>
                    <w:rPr>
                      <w:rFonts w:hint="eastAsia" w:ascii="Times New Roman" w:hAnsi="Times New Roman" w:eastAsia="宋体"/>
                      <w:b/>
                      <w:kern w:val="2"/>
                      <w:sz w:val="21"/>
                      <w:szCs w:val="21"/>
                      <w:highlight w:val="none"/>
                      <w:lang w:val="en-US" w:eastAsia="zh-CN"/>
                    </w:rPr>
                    <w:t>名称</w:t>
                  </w:r>
                </w:p>
              </w:tc>
              <w:tc>
                <w:tcPr>
                  <w:tcW w:w="3203" w:type="dxa"/>
                  <w:noWrap w:val="0"/>
                  <w:vAlign w:val="center"/>
                </w:tcPr>
                <w:p>
                  <w:pPr>
                    <w:adjustRightInd/>
                    <w:spacing w:line="240" w:lineRule="auto"/>
                    <w:ind w:right="-80" w:rightChars="-38"/>
                    <w:jc w:val="center"/>
                    <w:textAlignment w:val="auto"/>
                    <w:rPr>
                      <w:rFonts w:hint="eastAsia" w:ascii="Times New Roman" w:hAnsi="Times New Roman" w:eastAsia="宋体"/>
                      <w:b/>
                      <w:kern w:val="2"/>
                      <w:sz w:val="21"/>
                      <w:szCs w:val="21"/>
                      <w:highlight w:val="none"/>
                      <w:lang w:val="en-US" w:eastAsia="zh-CN"/>
                    </w:rPr>
                  </w:pPr>
                  <w:r>
                    <w:rPr>
                      <w:rFonts w:hint="eastAsia" w:ascii="Times New Roman" w:hAnsi="Times New Roman" w:eastAsia="宋体"/>
                      <w:b/>
                      <w:kern w:val="2"/>
                      <w:sz w:val="21"/>
                      <w:szCs w:val="21"/>
                      <w:highlight w:val="none"/>
                      <w:lang w:val="en-US" w:eastAsia="zh-CN"/>
                    </w:rPr>
                    <w:t>用水标准</w:t>
                  </w:r>
                </w:p>
              </w:tc>
              <w:tc>
                <w:tcPr>
                  <w:tcW w:w="1683" w:type="dxa"/>
                  <w:noWrap w:val="0"/>
                  <w:vAlign w:val="center"/>
                </w:tcPr>
                <w:p>
                  <w:pPr>
                    <w:adjustRightInd/>
                    <w:spacing w:line="240" w:lineRule="auto"/>
                    <w:ind w:right="-80" w:rightChars="-38"/>
                    <w:jc w:val="center"/>
                    <w:textAlignment w:val="auto"/>
                    <w:rPr>
                      <w:rFonts w:hint="eastAsia" w:ascii="Times New Roman" w:hAnsi="Times New Roman" w:eastAsia="宋体"/>
                      <w:b/>
                      <w:kern w:val="2"/>
                      <w:sz w:val="21"/>
                      <w:szCs w:val="21"/>
                      <w:highlight w:val="none"/>
                      <w:lang w:val="en-US" w:eastAsia="zh-CN"/>
                    </w:rPr>
                  </w:pPr>
                  <w:r>
                    <w:rPr>
                      <w:rFonts w:hint="eastAsia" w:ascii="Times New Roman" w:hAnsi="Times New Roman" w:eastAsia="宋体"/>
                      <w:b/>
                      <w:kern w:val="2"/>
                      <w:sz w:val="21"/>
                      <w:szCs w:val="21"/>
                      <w:highlight w:val="none"/>
                      <w:lang w:val="en-US" w:eastAsia="zh-CN"/>
                    </w:rPr>
                    <w:t>日用水量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90" w:type="dxa"/>
                  <w:noWrap w:val="0"/>
                  <w:vAlign w:val="center"/>
                </w:tcPr>
                <w:p>
                  <w:pPr>
                    <w:adjustRightInd w:val="0"/>
                    <w:spacing w:line="240" w:lineRule="auto"/>
                    <w:ind w:right="-80" w:rightChars="-38"/>
                    <w:jc w:val="center"/>
                    <w:textAlignment w:val="baseline"/>
                    <w:rPr>
                      <w:rFonts w:hint="eastAsia" w:ascii="Times New Roman" w:hAnsi="Times New Roman" w:eastAsia="宋体"/>
                      <w:kern w:val="2"/>
                      <w:sz w:val="21"/>
                      <w:szCs w:val="21"/>
                      <w:highlight w:val="none"/>
                      <w:lang w:eastAsia="zh-CN"/>
                    </w:rPr>
                  </w:pPr>
                  <w:r>
                    <w:rPr>
                      <w:rFonts w:hint="eastAsia" w:ascii="Times New Roman" w:hAnsi="Times New Roman" w:eastAsia="宋体"/>
                      <w:kern w:val="2"/>
                      <w:sz w:val="21"/>
                      <w:szCs w:val="21"/>
                      <w:highlight w:val="none"/>
                      <w:lang w:val="en-US" w:eastAsia="zh-CN"/>
                    </w:rPr>
                    <w:t>1</w:t>
                  </w:r>
                </w:p>
              </w:tc>
              <w:tc>
                <w:tcPr>
                  <w:tcW w:w="2842"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eastAsia="zh-CN"/>
                    </w:rPr>
                  </w:pPr>
                  <w:r>
                    <w:rPr>
                      <w:rFonts w:hint="eastAsia" w:ascii="Times New Roman" w:hAnsi="Times New Roman" w:eastAsia="宋体"/>
                      <w:kern w:val="2"/>
                      <w:sz w:val="21"/>
                      <w:szCs w:val="21"/>
                      <w:highlight w:val="none"/>
                      <w:lang w:val="en-US" w:eastAsia="zh-CN"/>
                    </w:rPr>
                    <w:t>生活用水</w:t>
                  </w:r>
                </w:p>
              </w:tc>
              <w:tc>
                <w:tcPr>
                  <w:tcW w:w="3203" w:type="dxa"/>
                  <w:noWrap w:val="0"/>
                  <w:vAlign w:val="center"/>
                </w:tcPr>
                <w:p>
                  <w:pPr>
                    <w:adjustRightInd w:val="0"/>
                    <w:spacing w:line="312" w:lineRule="atLeast"/>
                    <w:jc w:val="center"/>
                    <w:textAlignment w:val="baseline"/>
                    <w:rPr>
                      <w:rFonts w:hint="eastAsia" w:ascii="Times New Roman" w:hAnsi="Times New Roman" w:eastAsia="宋体"/>
                      <w:kern w:val="0"/>
                      <w:sz w:val="21"/>
                      <w:szCs w:val="21"/>
                      <w:highlight w:val="none"/>
                      <w:lang w:eastAsia="zh-CN"/>
                    </w:rPr>
                  </w:pPr>
                  <w:r>
                    <w:rPr>
                      <w:rFonts w:hint="eastAsia" w:ascii="Times New Roman" w:hAnsi="Times New Roman" w:eastAsia="宋体"/>
                      <w:kern w:val="0"/>
                      <w:sz w:val="21"/>
                      <w:szCs w:val="21"/>
                      <w:highlight w:val="none"/>
                      <w:lang w:val="en-US" w:eastAsia="zh-CN"/>
                    </w:rPr>
                    <w:t>50 L/p</w:t>
                  </w:r>
                  <w:r>
                    <w:rPr>
                      <w:rFonts w:hint="default" w:ascii="Times New Roman" w:hAnsi="Times New Roman" w:eastAsia="宋体" w:cs="Times New Roman"/>
                      <w:kern w:val="0"/>
                      <w:sz w:val="21"/>
                      <w:szCs w:val="21"/>
                      <w:highlight w:val="none"/>
                      <w:lang w:val="en-US" w:eastAsia="zh-CN"/>
                    </w:rPr>
                    <w:t>·</w:t>
                  </w:r>
                  <w:r>
                    <w:rPr>
                      <w:rFonts w:hint="eastAsia" w:ascii="Times New Roman" w:hAnsi="Times New Roman" w:eastAsia="宋体"/>
                      <w:kern w:val="0"/>
                      <w:sz w:val="21"/>
                      <w:szCs w:val="21"/>
                      <w:highlight w:val="none"/>
                      <w:lang w:val="en-US" w:eastAsia="zh-CN"/>
                    </w:rPr>
                    <w:t>d（</w:t>
                  </w:r>
                  <w:r>
                    <w:rPr>
                      <w:rFonts w:hint="eastAsia" w:eastAsia="宋体"/>
                      <w:kern w:val="0"/>
                      <w:sz w:val="21"/>
                      <w:szCs w:val="21"/>
                      <w:highlight w:val="none"/>
                      <w:lang w:val="en-US" w:eastAsia="zh-CN"/>
                    </w:rPr>
                    <w:t>15</w:t>
                  </w:r>
                  <w:r>
                    <w:rPr>
                      <w:rFonts w:hint="eastAsia" w:ascii="Times New Roman" w:hAnsi="Times New Roman" w:eastAsia="宋体"/>
                      <w:kern w:val="0"/>
                      <w:sz w:val="21"/>
                      <w:szCs w:val="21"/>
                      <w:highlight w:val="none"/>
                      <w:lang w:val="en-US" w:eastAsia="zh-CN"/>
                    </w:rPr>
                    <w:t>人）</w:t>
                  </w:r>
                </w:p>
              </w:tc>
              <w:tc>
                <w:tcPr>
                  <w:tcW w:w="1683"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rPr>
                  </w:pPr>
                  <w:r>
                    <w:rPr>
                      <w:rFonts w:hint="eastAsia" w:eastAsia="宋体"/>
                      <w:kern w:val="2"/>
                      <w:sz w:val="21"/>
                      <w:szCs w:val="21"/>
                      <w:highlight w:val="none"/>
                      <w:lang w:val="en-US" w:eastAsia="zh-CN"/>
                    </w:rPr>
                    <w:t>0.75</w:t>
                  </w:r>
                  <w:r>
                    <w:rPr>
                      <w:rFonts w:hint="eastAsia" w:ascii="Times New Roman" w:hAnsi="Times New Roman" w:eastAsia="宋体"/>
                      <w:kern w:val="2"/>
                      <w:sz w:val="21"/>
                      <w:szCs w:val="21"/>
                      <w:highlight w:val="none"/>
                      <w:lang w:val="en-US" w:eastAsia="zh-CN"/>
                    </w:rPr>
                    <w:t xml:space="preserve"> </w:t>
                  </w:r>
                  <w:r>
                    <w:rPr>
                      <w:rFonts w:ascii="Times New Roman" w:hAnsi="Times New Roman" w:eastAsia="宋体"/>
                      <w:kern w:val="0"/>
                      <w:sz w:val="21"/>
                      <w:szCs w:val="21"/>
                      <w:highlight w:val="none"/>
                    </w:rPr>
                    <w:t>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90" w:type="dxa"/>
                  <w:noWrap w:val="0"/>
                  <w:vAlign w:val="center"/>
                </w:tcPr>
                <w:p>
                  <w:pPr>
                    <w:adjustRightInd w:val="0"/>
                    <w:spacing w:line="240" w:lineRule="auto"/>
                    <w:ind w:right="-80" w:rightChars="-38"/>
                    <w:jc w:val="center"/>
                    <w:textAlignment w:val="baseline"/>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2</w:t>
                  </w:r>
                </w:p>
              </w:tc>
              <w:tc>
                <w:tcPr>
                  <w:tcW w:w="2842"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0"/>
                      <w:sz w:val="21"/>
                      <w:szCs w:val="21"/>
                      <w:highlight w:val="none"/>
                      <w:lang w:val="en-US" w:eastAsia="zh-CN"/>
                    </w:rPr>
                    <w:t>设备循环用水</w:t>
                  </w:r>
                </w:p>
              </w:tc>
              <w:tc>
                <w:tcPr>
                  <w:tcW w:w="3203" w:type="dxa"/>
                  <w:noWrap w:val="0"/>
                  <w:vAlign w:val="center"/>
                </w:tcPr>
                <w:p>
                  <w:pPr>
                    <w:adjustRightInd w:val="0"/>
                    <w:spacing w:line="312" w:lineRule="atLeast"/>
                    <w:jc w:val="center"/>
                    <w:textAlignment w:val="baseline"/>
                    <w:rPr>
                      <w:rFonts w:hint="eastAsia" w:ascii="Times New Roman" w:hAnsi="Times New Roman" w:eastAsia="宋体"/>
                      <w:kern w:val="0"/>
                      <w:sz w:val="21"/>
                      <w:szCs w:val="21"/>
                      <w:highlight w:val="none"/>
                    </w:rPr>
                  </w:pPr>
                  <w:r>
                    <w:rPr>
                      <w:rFonts w:hint="eastAsia" w:eastAsia="宋体"/>
                      <w:kern w:val="0"/>
                      <w:sz w:val="21"/>
                      <w:szCs w:val="21"/>
                      <w:highlight w:val="none"/>
                      <w:lang w:val="en-US" w:eastAsia="zh-CN"/>
                    </w:rPr>
                    <w:t>1</w:t>
                  </w:r>
                  <w:r>
                    <w:rPr>
                      <w:rFonts w:ascii="Times New Roman" w:hAnsi="Times New Roman" w:eastAsia="宋体"/>
                      <w:kern w:val="0"/>
                      <w:sz w:val="21"/>
                      <w:szCs w:val="21"/>
                      <w:highlight w:val="none"/>
                    </w:rPr>
                    <w:t>t/d</w:t>
                  </w:r>
                </w:p>
              </w:tc>
              <w:tc>
                <w:tcPr>
                  <w:tcW w:w="1683"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rPr>
                  </w:pPr>
                  <w:r>
                    <w:rPr>
                      <w:rFonts w:hint="eastAsia" w:eastAsia="宋体"/>
                      <w:kern w:val="0"/>
                      <w:sz w:val="21"/>
                      <w:szCs w:val="21"/>
                      <w:highlight w:val="none"/>
                      <w:lang w:val="en-US" w:eastAsia="zh-CN"/>
                    </w:rPr>
                    <w:t>1</w:t>
                  </w:r>
                  <w:r>
                    <w:rPr>
                      <w:rFonts w:ascii="Times New Roman" w:hAnsi="Times New Roman" w:eastAsia="宋体"/>
                      <w:kern w:val="0"/>
                      <w:sz w:val="21"/>
                      <w:szCs w:val="21"/>
                      <w:highlight w:val="none"/>
                    </w:rPr>
                    <w:t>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90" w:type="dxa"/>
                  <w:noWrap w:val="0"/>
                  <w:vAlign w:val="center"/>
                </w:tcPr>
                <w:p>
                  <w:pPr>
                    <w:adjustRightInd w:val="0"/>
                    <w:spacing w:line="240" w:lineRule="auto"/>
                    <w:ind w:right="-80" w:rightChars="-38"/>
                    <w:jc w:val="center"/>
                    <w:textAlignment w:val="baseline"/>
                    <w:rPr>
                      <w:rFonts w:hint="eastAsia" w:ascii="Times New Roman" w:hAnsi="Times New Roman" w:eastAsia="宋体"/>
                      <w:kern w:val="2"/>
                      <w:sz w:val="21"/>
                      <w:szCs w:val="21"/>
                      <w:highlight w:val="none"/>
                      <w:lang w:val="en-US" w:eastAsia="zh-CN"/>
                    </w:rPr>
                  </w:pPr>
                  <w:r>
                    <w:rPr>
                      <w:rFonts w:hint="eastAsia" w:eastAsia="宋体"/>
                      <w:kern w:val="2"/>
                      <w:sz w:val="21"/>
                      <w:szCs w:val="21"/>
                      <w:highlight w:val="none"/>
                      <w:lang w:val="en-US" w:eastAsia="zh-CN"/>
                    </w:rPr>
                    <w:t>3</w:t>
                  </w:r>
                </w:p>
              </w:tc>
              <w:tc>
                <w:tcPr>
                  <w:tcW w:w="2842" w:type="dxa"/>
                  <w:noWrap w:val="0"/>
                  <w:vAlign w:val="center"/>
                </w:tcPr>
                <w:p>
                  <w:pPr>
                    <w:adjustRightInd/>
                    <w:spacing w:line="240" w:lineRule="auto"/>
                    <w:ind w:right="-80" w:rightChars="-38"/>
                    <w:jc w:val="center"/>
                    <w:textAlignment w:val="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0"/>
                      <w:sz w:val="21"/>
                      <w:szCs w:val="21"/>
                      <w:highlight w:val="none"/>
                      <w:lang w:eastAsia="zh-CN"/>
                    </w:rPr>
                    <w:t>锅炉用水</w:t>
                  </w:r>
                </w:p>
              </w:tc>
              <w:tc>
                <w:tcPr>
                  <w:tcW w:w="3203" w:type="dxa"/>
                  <w:noWrap w:val="0"/>
                  <w:vAlign w:val="center"/>
                </w:tcPr>
                <w:p>
                  <w:pPr>
                    <w:adjustRightInd w:val="0"/>
                    <w:spacing w:line="312" w:lineRule="atLeast"/>
                    <w:jc w:val="center"/>
                    <w:textAlignment w:val="baseline"/>
                    <w:rPr>
                      <w:rFonts w:hint="eastAsia" w:ascii="Times New Roman" w:hAnsi="Times New Roman" w:eastAsia="宋体"/>
                      <w:kern w:val="0"/>
                      <w:sz w:val="21"/>
                      <w:szCs w:val="21"/>
                      <w:highlight w:val="none"/>
                      <w:lang w:val="en-US" w:eastAsia="zh-CN"/>
                    </w:rPr>
                  </w:pPr>
                  <w:r>
                    <w:rPr>
                      <w:rFonts w:hint="eastAsia" w:ascii="Times New Roman" w:hAnsi="Times New Roman" w:eastAsia="宋体"/>
                      <w:kern w:val="0"/>
                      <w:sz w:val="21"/>
                      <w:szCs w:val="21"/>
                      <w:highlight w:val="none"/>
                      <w:lang w:val="en-US" w:eastAsia="zh-CN"/>
                    </w:rPr>
                    <w:t xml:space="preserve">8 </w:t>
                  </w:r>
                  <w:r>
                    <w:rPr>
                      <w:rFonts w:ascii="Times New Roman" w:hAnsi="Times New Roman" w:eastAsia="宋体"/>
                      <w:kern w:val="0"/>
                      <w:sz w:val="21"/>
                      <w:szCs w:val="21"/>
                      <w:highlight w:val="none"/>
                    </w:rPr>
                    <w:t>t/d</w:t>
                  </w:r>
                </w:p>
              </w:tc>
              <w:tc>
                <w:tcPr>
                  <w:tcW w:w="1683" w:type="dxa"/>
                  <w:noWrap w:val="0"/>
                  <w:vAlign w:val="center"/>
                </w:tcPr>
                <w:p>
                  <w:pPr>
                    <w:adjustRightInd w:val="0"/>
                    <w:spacing w:line="312" w:lineRule="atLeast"/>
                    <w:jc w:val="center"/>
                    <w:textAlignment w:val="baseline"/>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0"/>
                      <w:sz w:val="21"/>
                      <w:szCs w:val="21"/>
                      <w:highlight w:val="none"/>
                      <w:lang w:val="en-US" w:eastAsia="zh-CN"/>
                    </w:rPr>
                    <w:t xml:space="preserve">8 </w:t>
                  </w:r>
                  <w:r>
                    <w:rPr>
                      <w:rFonts w:ascii="Times New Roman" w:hAnsi="Times New Roman" w:eastAsia="宋体"/>
                      <w:kern w:val="0"/>
                      <w:sz w:val="21"/>
                      <w:szCs w:val="21"/>
                      <w:highlight w:val="none"/>
                    </w:rPr>
                    <w:t>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235" w:type="dxa"/>
                  <w:gridSpan w:val="3"/>
                  <w:noWrap w:val="0"/>
                  <w:vAlign w:val="center"/>
                </w:tcPr>
                <w:p>
                  <w:pPr>
                    <w:adjustRightInd w:val="0"/>
                    <w:spacing w:line="312" w:lineRule="atLeast"/>
                    <w:jc w:val="center"/>
                    <w:textAlignment w:val="baseline"/>
                    <w:rPr>
                      <w:rFonts w:hint="eastAsia" w:ascii="Times New Roman" w:hAnsi="Times New Roman" w:eastAsia="宋体"/>
                      <w:kern w:val="0"/>
                      <w:sz w:val="21"/>
                      <w:szCs w:val="21"/>
                      <w:highlight w:val="none"/>
                      <w:lang w:val="en-US"/>
                    </w:rPr>
                  </w:pPr>
                  <w:r>
                    <w:rPr>
                      <w:rFonts w:hint="eastAsia" w:ascii="Times New Roman" w:hAnsi="Times New Roman" w:eastAsia="宋体"/>
                      <w:kern w:val="2"/>
                      <w:sz w:val="21"/>
                      <w:szCs w:val="21"/>
                      <w:highlight w:val="none"/>
                      <w:lang w:val="en-US" w:eastAsia="zh-CN"/>
                    </w:rPr>
                    <w:t>总用水量</w:t>
                  </w:r>
                </w:p>
              </w:tc>
              <w:tc>
                <w:tcPr>
                  <w:tcW w:w="1683" w:type="dxa"/>
                  <w:noWrap w:val="0"/>
                  <w:vAlign w:val="center"/>
                </w:tcPr>
                <w:p>
                  <w:pPr>
                    <w:adjustRightInd/>
                    <w:spacing w:line="240" w:lineRule="auto"/>
                    <w:ind w:right="-80" w:rightChars="-38"/>
                    <w:jc w:val="center"/>
                    <w:textAlignment w:val="auto"/>
                    <w:rPr>
                      <w:rFonts w:hint="default" w:ascii="Times New Roman" w:hAnsi="Times New Roman" w:eastAsia="宋体"/>
                      <w:kern w:val="2"/>
                      <w:sz w:val="21"/>
                      <w:szCs w:val="21"/>
                      <w:highlight w:val="none"/>
                      <w:lang w:val="en-US" w:eastAsia="zh-CN"/>
                    </w:rPr>
                  </w:pPr>
                  <w:r>
                    <w:rPr>
                      <w:rFonts w:hint="eastAsia" w:eastAsia="宋体"/>
                      <w:kern w:val="2"/>
                      <w:sz w:val="21"/>
                      <w:szCs w:val="21"/>
                      <w:highlight w:val="none"/>
                      <w:lang w:val="en-US" w:eastAsia="zh-CN"/>
                    </w:rPr>
                    <w:t>9.75</w:t>
                  </w:r>
                </w:p>
              </w:tc>
            </w:tr>
          </w:tbl>
          <w:p>
            <w:pPr>
              <w:pStyle w:val="2"/>
            </w:pPr>
          </w:p>
          <w:p>
            <w:pPr>
              <w:adjustRightInd w:val="0"/>
              <w:spacing w:line="360" w:lineRule="auto"/>
              <w:ind w:firstLine="480" w:firstLineChars="200"/>
              <w:jc w:val="left"/>
              <w:rPr>
                <w:rFonts w:hint="eastAsia" w:ascii="Times New Roman" w:hAnsi="Times New Roman" w:eastAsia="宋体" w:cs="Times New Roman"/>
                <w:color w:val="auto"/>
                <w:kern w:val="2"/>
                <w:sz w:val="24"/>
                <w:szCs w:val="24"/>
                <w:highlight w:val="none"/>
                <w:lang w:val="en-US" w:eastAsia="zh-CN" w:bidi="ar-SA"/>
              </w:rPr>
            </w:pPr>
            <w:r>
              <w:rPr>
                <w:rFonts w:hint="eastAsia"/>
                <w:color w:val="000000" w:themeColor="text1"/>
                <w:kern w:val="0"/>
                <w:sz w:val="24"/>
                <w:szCs w:val="23"/>
                <w:highlight w:val="none"/>
                <w14:textFill>
                  <w14:solidFill>
                    <w14:schemeClr w14:val="tx1"/>
                  </w14:solidFill>
                </w14:textFill>
              </w:rPr>
              <w:t>本项目全厂水平衡图见图2-1。</w:t>
            </w:r>
          </w:p>
          <w:p>
            <w:pPr>
              <w:adjustRightInd w:val="0"/>
              <w:spacing w:line="520" w:lineRule="exact"/>
              <w:ind w:firstLine="561"/>
              <w:textAlignment w:val="baseline"/>
              <w:rPr>
                <w:rFonts w:ascii="Times New Roman" w:hAnsi="Times New Roman" w:eastAsia="宋体"/>
                <w:kern w:val="0"/>
                <w:sz w:val="24"/>
                <w:szCs w:val="20"/>
                <w:highlight w:val="none"/>
              </w:rPr>
            </w:pPr>
            <w:r>
              <w:rPr>
                <w:rFonts w:ascii="Times New Roman" w:hAnsi="Times New Roman" w:eastAsia="宋体"/>
                <w:b/>
                <w:kern w:val="0"/>
                <w:sz w:val="28"/>
                <w:szCs w:val="20"/>
                <w:highlight w:val="none"/>
              </w:rPr>
              <mc:AlternateContent>
                <mc:Choice Requires="wps">
                  <w:drawing>
                    <wp:anchor distT="0" distB="0" distL="114300" distR="114300" simplePos="0" relativeHeight="251722752" behindDoc="0" locked="0" layoutInCell="1" allowOverlap="1">
                      <wp:simplePos x="0" y="0"/>
                      <wp:positionH relativeFrom="column">
                        <wp:posOffset>1517015</wp:posOffset>
                      </wp:positionH>
                      <wp:positionV relativeFrom="paragraph">
                        <wp:posOffset>72390</wp:posOffset>
                      </wp:positionV>
                      <wp:extent cx="600075" cy="29718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600075" cy="297180"/>
                              </a:xfrm>
                              <a:prstGeom prst="rect">
                                <a:avLst/>
                              </a:prstGeom>
                              <a:noFill/>
                              <a:ln>
                                <a:noFill/>
                              </a:ln>
                            </wps:spPr>
                            <wps:txb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0.15</w:t>
                                  </w:r>
                                </w:p>
                              </w:txbxContent>
                            </wps:txbx>
                            <wps:bodyPr upright="1"/>
                          </wps:wsp>
                        </a:graphicData>
                      </a:graphic>
                    </wp:anchor>
                  </w:drawing>
                </mc:Choice>
                <mc:Fallback>
                  <w:pict>
                    <v:shape id="_x0000_s1026" o:spid="_x0000_s1026" o:spt="202" type="#_x0000_t202" style="position:absolute;left:0pt;margin-left:119.45pt;margin-top:5.7pt;height:23.4pt;width:47.25pt;z-index:251722752;mso-width-relative:page;mso-height-relative:page;" filled="f" stroked="f" coordsize="21600,21600" o:gfxdata="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CJTBud1wAAAAkBAAAPAAAAAAAAAAEAIAAAACIAAABkcnMvZG93&#10;bnJldi54bWxQSwECFAAUAAAACACHTuJAOfOgj48BAAABAwAADgAAAAAAAAABACAAAAAmAQAAZHJz&#10;L2Uyb0RvYy54bWxQSwUGAAAAAAYABgBZAQAAJwUAAAAA&#10;">
                      <v:fill on="f" focussize="0,0"/>
                      <v:stroke on="f"/>
                      <v:imagedata o:title=""/>
                      <o:lock v:ext="edit" aspectratio="f"/>
                      <v:textbo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0.15</w:t>
                            </w:r>
                          </w:p>
                        </w:txbxContent>
                      </v:textbox>
                    </v:shape>
                  </w:pict>
                </mc:Fallback>
              </mc:AlternateContent>
            </w:r>
            <w:r>
              <w:rPr>
                <w:rFonts w:ascii="Times New Roman" w:hAnsi="Times New Roman" w:eastAsia="宋体"/>
                <w:b/>
                <w:kern w:val="0"/>
                <w:sz w:val="28"/>
                <w:szCs w:val="20"/>
                <w:highlight w:val="none"/>
              </w:rPr>
              <mc:AlternateContent>
                <mc:Choice Requires="wps">
                  <w:drawing>
                    <wp:anchor distT="0" distB="0" distL="114300" distR="114300" simplePos="0" relativeHeight="251721728" behindDoc="0" locked="0" layoutInCell="1" allowOverlap="1">
                      <wp:simplePos x="0" y="0"/>
                      <wp:positionH relativeFrom="column">
                        <wp:posOffset>1463040</wp:posOffset>
                      </wp:positionH>
                      <wp:positionV relativeFrom="paragraph">
                        <wp:posOffset>265430</wp:posOffset>
                      </wp:positionV>
                      <wp:extent cx="333375" cy="198120"/>
                      <wp:effectExtent l="5080" t="6985" r="4445" b="4445"/>
                      <wp:wrapNone/>
                      <wp:docPr id="61" name="下弧形箭头 61"/>
                      <wp:cNvGraphicFramePr/>
                      <a:graphic xmlns:a="http://schemas.openxmlformats.org/drawingml/2006/main">
                        <a:graphicData uri="http://schemas.microsoft.com/office/word/2010/wordprocessingShape">
                          <wps:wsp>
                            <wps:cNvSpPr/>
                            <wps:spPr>
                              <a:xfrm>
                                <a:off x="0" y="0"/>
                                <a:ext cx="333375" cy="198120"/>
                              </a:xfrm>
                              <a:prstGeom prst="curvedUpArrow">
                                <a:avLst>
                                  <a:gd name="adj1" fmla="val 33653"/>
                                  <a:gd name="adj2" fmla="val 67307"/>
                                  <a:gd name="adj3" fmla="val 33333"/>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lIns="0" tIns="0" rIns="0" bIns="0" upright="1"/>
                          </wps:wsp>
                        </a:graphicData>
                      </a:graphic>
                    </wp:anchor>
                  </w:drawing>
                </mc:Choice>
                <mc:Fallback>
                  <w:pict>
                    <v:shape id="_x0000_s1026" o:spid="_x0000_s1026" o:spt="104" type="#_x0000_t104" style="position:absolute;left:0pt;margin-left:115.2pt;margin-top:20.9pt;height:15.6pt;width:26.25pt;z-index:251721728;mso-width-relative:page;mso-height-relative:page;" fillcolor="#FFFFFF" filled="t" stroked="t" coordsize="21600,21600" o:gfxdata="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d/UHw1wAAAAkBAAAPAAAAAAAAAAEAIAAAACIAAABkcnMvZG93bnJl&#10;di54bWxQSwECFAAUAAAACACHTuJA4pd17DcCAACHBAAADgAAAAAAAAABACAAAAAmAQAAZHJzL2Uy&#10;b0RvYy54bWxQSwUGAAAAAAYABgBZAQAAzwUAAAAA&#10;" adj="12960,19440,7199">
                      <v:fill on="t" focussize="0,0"/>
                      <v:stroke color="#000000" joinstyle="miter"/>
                      <v:imagedata o:title=""/>
                      <o:lock v:ext="edit" aspectratio="f"/>
                      <v:textbox inset="0mm,0mm,0mm,0mm">
                        <w:txbxContent>
                          <w:p>
                            <w:pPr>
                              <w:jc w:val="center"/>
                            </w:pPr>
                          </w:p>
                        </w:txbxContent>
                      </v:textbox>
                    </v:shape>
                  </w:pict>
                </mc:Fallback>
              </mc:AlternateContent>
            </w:r>
          </w:p>
          <w:p>
            <w:pPr>
              <w:adjustRightInd w:val="0"/>
              <w:spacing w:line="520" w:lineRule="exact"/>
              <w:ind w:firstLine="561"/>
              <w:textAlignment w:val="baseline"/>
              <w:rPr>
                <w:rFonts w:ascii="Times New Roman" w:hAnsi="Times New Roman" w:eastAsia="宋体"/>
                <w:kern w:val="0"/>
                <w:sz w:val="24"/>
                <w:szCs w:val="20"/>
                <w:highlight w:val="none"/>
              </w:rPr>
            </w:pPr>
            <w:r>
              <w:rPr>
                <w:rFonts w:ascii="Times New Roman" w:hAnsi="Times New Roman" w:eastAsia="宋体"/>
                <w:kern w:val="0"/>
                <w:sz w:val="24"/>
                <w:szCs w:val="20"/>
                <w:highlight w:val="none"/>
              </w:rPr>
              <mc:AlternateContent>
                <mc:Choice Requires="wps">
                  <w:drawing>
                    <wp:anchor distT="0" distB="0" distL="114300" distR="114300" simplePos="0" relativeHeight="251739136" behindDoc="0" locked="0" layoutInCell="1" allowOverlap="1">
                      <wp:simplePos x="0" y="0"/>
                      <wp:positionH relativeFrom="column">
                        <wp:posOffset>485140</wp:posOffset>
                      </wp:positionH>
                      <wp:positionV relativeFrom="paragraph">
                        <wp:posOffset>268605</wp:posOffset>
                      </wp:positionV>
                      <wp:extent cx="635" cy="2479675"/>
                      <wp:effectExtent l="4445" t="0" r="13970" b="15875"/>
                      <wp:wrapNone/>
                      <wp:docPr id="62" name="直接连接符 62"/>
                      <wp:cNvGraphicFramePr/>
                      <a:graphic xmlns:a="http://schemas.openxmlformats.org/drawingml/2006/main">
                        <a:graphicData uri="http://schemas.microsoft.com/office/word/2010/wordprocessingShape">
                          <wps:wsp>
                            <wps:cNvCnPr/>
                            <wps:spPr>
                              <a:xfrm>
                                <a:off x="0" y="0"/>
                                <a:ext cx="635" cy="24796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8.2pt;margin-top:21.15pt;height:195.25pt;width:0.05pt;z-index:251739136;mso-width-relative:page;mso-height-relative:page;" filled="f" stroked="t" coordsize="21600,21600" o:gfxdata="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doZr6tcAAAAIAQAADwAA&#10;AAAAAAABACAAAAAiAAAAZHJzL2Rvd25yZXYueG1sUEsBAhQAFAAAAAgAh07iQFZdkT/eAQAAmgMA&#10;AA4AAAAAAAAAAQAgAAAAJgEAAGRycy9lMm9Eb2MueG1sUEsFBgAAAAAGAAYAWQEAAHYFAAAAAA==&#10;">
                      <v:fill on="f" focussize="0,0"/>
                      <v:stroke color="#000000" joinstyle="round"/>
                      <v:imagedata o:title=""/>
                      <o:lock v:ext="edit" aspectratio="f"/>
                    </v:line>
                  </w:pict>
                </mc:Fallback>
              </mc:AlternateContent>
            </w:r>
            <w:r>
              <w:rPr>
                <w:rFonts w:hint="eastAsia" w:ascii="Times New Roman" w:hAnsi="Times New Roman" w:eastAsia="宋体"/>
                <w:kern w:val="0"/>
                <w:sz w:val="24"/>
                <w:szCs w:val="24"/>
                <w:highlight w:val="none"/>
              </w:rPr>
              <mc:AlternateContent>
                <mc:Choice Requires="wps">
                  <w:drawing>
                    <wp:anchor distT="0" distB="0" distL="114300" distR="114300" simplePos="0" relativeHeight="251726848" behindDoc="0" locked="0" layoutInCell="1" allowOverlap="1">
                      <wp:simplePos x="0" y="0"/>
                      <wp:positionH relativeFrom="column">
                        <wp:posOffset>2719705</wp:posOffset>
                      </wp:positionH>
                      <wp:positionV relativeFrom="paragraph">
                        <wp:posOffset>131445</wp:posOffset>
                      </wp:positionV>
                      <wp:extent cx="978535" cy="283845"/>
                      <wp:effectExtent l="4445" t="4445" r="7620" b="16510"/>
                      <wp:wrapNone/>
                      <wp:docPr id="83" name="矩形 83"/>
                      <wp:cNvGraphicFramePr/>
                      <a:graphic xmlns:a="http://schemas.openxmlformats.org/drawingml/2006/main">
                        <a:graphicData uri="http://schemas.microsoft.com/office/word/2010/wordprocessingShape">
                          <wps:wsp>
                            <wps:cNvSpPr/>
                            <wps:spPr>
                              <a:xfrm>
                                <a:off x="0" y="0"/>
                                <a:ext cx="978535"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pacing w:line="312" w:lineRule="atLeast"/>
                                    <w:jc w:val="center"/>
                                    <w:textAlignment w:val="baseline"/>
                                    <w:rPr>
                                      <w:rFonts w:hint="eastAsia" w:eastAsia="宋体"/>
                                      <w:kern w:val="0"/>
                                      <w:szCs w:val="20"/>
                                      <w:lang w:val="en-US" w:eastAsia="zh-CN"/>
                                    </w:rPr>
                                  </w:pPr>
                                  <w:r>
                                    <w:rPr>
                                      <w:rFonts w:hint="eastAsia" w:eastAsia="宋体"/>
                                      <w:kern w:val="0"/>
                                      <w:szCs w:val="20"/>
                                    </w:rPr>
                                    <w:t>化粪池</w:t>
                                  </w:r>
                                </w:p>
                              </w:txbxContent>
                            </wps:txbx>
                            <wps:bodyPr upright="1"/>
                          </wps:wsp>
                        </a:graphicData>
                      </a:graphic>
                    </wp:anchor>
                  </w:drawing>
                </mc:Choice>
                <mc:Fallback>
                  <w:pict>
                    <v:rect id="_x0000_s1026" o:spid="_x0000_s1026" o:spt="1" style="position:absolute;left:0pt;margin-left:214.15pt;margin-top:10.35pt;height:22.35pt;width:77.05pt;z-index:251726848;mso-width-relative:page;mso-height-relative:page;" fillcolor="#FFFFFF" filled="t" stroked="t" coordsize="21600,21600" o:gfxdata="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kGmNNgA&#10;AAAJAQAADwAAAAAAAAABACAAAAAiAAAAZHJzL2Rvd25yZXYueG1sUEsBAhQAFAAAAAgAh07iQMCt&#10;KSnmAQAA3AMAAA4AAAAAAAAAAQAgAAAAJwEAAGRycy9lMm9Eb2MueG1sUEsFBgAAAAAGAAYAWQEA&#10;AH8FAAAAAA==&#10;">
                      <v:fill on="t" focussize="0,0"/>
                      <v:stroke color="#000000" joinstyle="miter"/>
                      <v:imagedata o:title=""/>
                      <o:lock v:ext="edit" aspectratio="f"/>
                      <v:textbox>
                        <w:txbxContent>
                          <w:p>
                            <w:pPr>
                              <w:adjustRightInd w:val="0"/>
                              <w:spacing w:line="312" w:lineRule="atLeast"/>
                              <w:jc w:val="center"/>
                              <w:textAlignment w:val="baseline"/>
                              <w:rPr>
                                <w:rFonts w:hint="eastAsia" w:eastAsia="宋体"/>
                                <w:kern w:val="0"/>
                                <w:szCs w:val="20"/>
                                <w:lang w:val="en-US" w:eastAsia="zh-CN"/>
                              </w:rPr>
                            </w:pPr>
                            <w:r>
                              <w:rPr>
                                <w:rFonts w:hint="eastAsia" w:eastAsia="宋体"/>
                                <w:kern w:val="0"/>
                                <w:szCs w:val="20"/>
                              </w:rPr>
                              <w:t>化粪池</w:t>
                            </w:r>
                          </w:p>
                        </w:txbxContent>
                      </v:textbox>
                    </v:rect>
                  </w:pict>
                </mc:Fallback>
              </mc:AlternateContent>
            </w:r>
            <w:r>
              <w:rPr>
                <w:rFonts w:ascii="Times New Roman" w:hAnsi="Times New Roman" w:eastAsia="宋体"/>
                <w:b/>
                <w:kern w:val="0"/>
                <w:sz w:val="28"/>
                <w:szCs w:val="28"/>
                <w:highlight w:val="none"/>
              </w:rPr>
              <mc:AlternateContent>
                <mc:Choice Requires="wps">
                  <w:drawing>
                    <wp:anchor distT="0" distB="0" distL="114300" distR="114300" simplePos="0" relativeHeight="251725824" behindDoc="0" locked="0" layoutInCell="1" allowOverlap="1">
                      <wp:simplePos x="0" y="0"/>
                      <wp:positionH relativeFrom="column">
                        <wp:posOffset>2322830</wp:posOffset>
                      </wp:positionH>
                      <wp:positionV relativeFrom="paragraph">
                        <wp:posOffset>53340</wp:posOffset>
                      </wp:positionV>
                      <wp:extent cx="600075" cy="29718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600075" cy="297180"/>
                              </a:xfrm>
                              <a:prstGeom prst="rect">
                                <a:avLst/>
                              </a:prstGeom>
                              <a:noFill/>
                              <a:ln>
                                <a:noFill/>
                              </a:ln>
                            </wps:spPr>
                            <wps:txb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0.6</w:t>
                                  </w:r>
                                </w:p>
                              </w:txbxContent>
                            </wps:txbx>
                            <wps:bodyPr upright="1"/>
                          </wps:wsp>
                        </a:graphicData>
                      </a:graphic>
                    </wp:anchor>
                  </w:drawing>
                </mc:Choice>
                <mc:Fallback>
                  <w:pict>
                    <v:shape id="_x0000_s1026" o:spid="_x0000_s1026" o:spt="202" type="#_x0000_t202" style="position:absolute;left:0pt;margin-left:182.9pt;margin-top:4.2pt;height:23.4pt;width:47.25pt;z-index:251725824;mso-width-relative:page;mso-height-relative:page;" filled="f" stroked="f" coordsize="21600,21600" o:gfxdata="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pckf+NYAAAAIAQAADwAAAAAAAAABACAAAAAiAAAAZHJzL2Rvd25y&#10;ZXYueG1sUEsBAhQAFAAAAAgAh07iQMNll92OAQAAAQMAAA4AAAAAAAAAAQAgAAAAJQEAAGRycy9l&#10;Mm9Eb2MueG1sUEsFBgAAAAAGAAYAWQEAACUFAAAAAA==&#10;">
                      <v:fill on="f" focussize="0,0"/>
                      <v:stroke on="f"/>
                      <v:imagedata o:title=""/>
                      <o:lock v:ext="edit" aspectratio="f"/>
                      <v:textbo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0.6</w:t>
                            </w:r>
                          </w:p>
                        </w:txbxContent>
                      </v:textbox>
                    </v:shape>
                  </w:pict>
                </mc:Fallback>
              </mc:AlternateContent>
            </w:r>
            <w:r>
              <w:rPr>
                <w:rFonts w:ascii="Times New Roman" w:hAnsi="Times New Roman" w:eastAsia="宋体"/>
                <w:b/>
                <w:kern w:val="0"/>
                <w:sz w:val="28"/>
                <w:szCs w:val="28"/>
                <w:highlight w:val="none"/>
              </w:rPr>
              <mc:AlternateContent>
                <mc:Choice Requires="wps">
                  <w:drawing>
                    <wp:anchor distT="0" distB="0" distL="114300" distR="114300" simplePos="0" relativeHeight="251738112" behindDoc="0" locked="0" layoutInCell="1" allowOverlap="1">
                      <wp:simplePos x="0" y="0"/>
                      <wp:positionH relativeFrom="column">
                        <wp:posOffset>2411730</wp:posOffset>
                      </wp:positionH>
                      <wp:positionV relativeFrom="paragraph">
                        <wp:posOffset>275590</wp:posOffset>
                      </wp:positionV>
                      <wp:extent cx="300355" cy="0"/>
                      <wp:effectExtent l="0" t="38100" r="4445" b="38100"/>
                      <wp:wrapNone/>
                      <wp:docPr id="58" name="直接连接符 58"/>
                      <wp:cNvGraphicFramePr/>
                      <a:graphic xmlns:a="http://schemas.openxmlformats.org/drawingml/2006/main">
                        <a:graphicData uri="http://schemas.microsoft.com/office/word/2010/wordprocessingShape">
                          <wps:wsp>
                            <wps:cNvCnPr/>
                            <wps:spPr>
                              <a:xfrm>
                                <a:off x="0" y="0"/>
                                <a:ext cx="30035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89.9pt;margin-top:21.7pt;height:0pt;width:23.65pt;z-index:251738112;mso-width-relative:page;mso-height-relative:page;" filled="f" stroked="t" coordsize="21600,21600" o:gfxdata="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64qcp2gAAAAkB&#10;AAAPAAAAAAAAAAEAIAAAACIAAABkcnMvZG93bnJldi54bWxQSwECFAAUAAAACACHTuJA7Q3gW+AB&#10;AACbAwAADgAAAAAAAAABACAAAAApAQAAZHJzL2Uyb0RvYy54bWxQSwUGAAAAAAYABgBZAQAAewUA&#10;AAAA&#10;">
                      <v:fill on="f" focussize="0,0"/>
                      <v:stroke color="#000000" joinstyle="round" endarrow="block"/>
                      <v:imagedata o:title=""/>
                      <o:lock v:ext="edit" aspectratio="f"/>
                    </v:line>
                  </w:pict>
                </mc:Fallback>
              </mc:AlternateContent>
            </w:r>
            <w:r>
              <w:rPr>
                <w:rFonts w:ascii="Times New Roman" w:hAnsi="Times New Roman" w:eastAsia="宋体"/>
                <w:b/>
                <w:kern w:val="0"/>
                <w:sz w:val="28"/>
                <w:szCs w:val="28"/>
                <w:highlight w:val="none"/>
              </w:rPr>
              <mc:AlternateContent>
                <mc:Choice Requires="wps">
                  <w:drawing>
                    <wp:anchor distT="0" distB="0" distL="114300" distR="114300" simplePos="0" relativeHeight="251724800" behindDoc="0" locked="0" layoutInCell="1" allowOverlap="1">
                      <wp:simplePos x="0" y="0"/>
                      <wp:positionH relativeFrom="column">
                        <wp:posOffset>618490</wp:posOffset>
                      </wp:positionH>
                      <wp:positionV relativeFrom="paragraph">
                        <wp:posOffset>54610</wp:posOffset>
                      </wp:positionV>
                      <wp:extent cx="535940" cy="29718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535940" cy="297180"/>
                              </a:xfrm>
                              <a:prstGeom prst="rect">
                                <a:avLst/>
                              </a:prstGeom>
                              <a:noFill/>
                              <a:ln>
                                <a:noFill/>
                              </a:ln>
                            </wps:spPr>
                            <wps:txb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0.75</w:t>
                                  </w:r>
                                </w:p>
                              </w:txbxContent>
                            </wps:txbx>
                            <wps:bodyPr upright="1"/>
                          </wps:wsp>
                        </a:graphicData>
                      </a:graphic>
                    </wp:anchor>
                  </w:drawing>
                </mc:Choice>
                <mc:Fallback>
                  <w:pict>
                    <v:shape id="_x0000_s1026" o:spid="_x0000_s1026" o:spt="202" type="#_x0000_t202" style="position:absolute;left:0pt;margin-left:48.7pt;margin-top:4.3pt;height:23.4pt;width:42.2pt;z-index:251724800;mso-width-relative:page;mso-height-relative:page;" filled="f" stroked="f" coordsize="21600,21600" o:gfxdata="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kCJSD9UAAAAHAQAADwAAAAAAAAABACAAAAAiAAAAZHJzL2Rvd25y&#10;ZXYueG1sUEsBAhQAFAAAAAgAh07iQDnQ3uGPAQAAAQMAAA4AAAAAAAAAAQAgAAAAJAEAAGRycy9l&#10;Mm9Eb2MueG1sUEsFBgAAAAAGAAYAWQEAACUFAAAAAA==&#10;">
                      <v:fill on="f" focussize="0,0"/>
                      <v:stroke on="f"/>
                      <v:imagedata o:title=""/>
                      <o:lock v:ext="edit" aspectratio="f"/>
                      <v:textbo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0.75</w:t>
                            </w:r>
                          </w:p>
                        </w:txbxContent>
                      </v:textbox>
                    </v:shape>
                  </w:pict>
                </mc:Fallback>
              </mc:AlternateContent>
            </w:r>
            <w:r>
              <w:rPr>
                <w:rFonts w:ascii="Times New Roman" w:hAnsi="Times New Roman" w:eastAsia="宋体"/>
                <w:kern w:val="0"/>
                <w:sz w:val="24"/>
                <w:szCs w:val="20"/>
                <w:highlight w:val="none"/>
              </w:rPr>
              <mc:AlternateContent>
                <mc:Choice Requires="wps">
                  <w:drawing>
                    <wp:anchor distT="0" distB="0" distL="114300" distR="114300" simplePos="0" relativeHeight="251719680" behindDoc="0" locked="0" layoutInCell="1" allowOverlap="1">
                      <wp:simplePos x="0" y="0"/>
                      <wp:positionH relativeFrom="column">
                        <wp:posOffset>492125</wp:posOffset>
                      </wp:positionH>
                      <wp:positionV relativeFrom="paragraph">
                        <wp:posOffset>275590</wp:posOffset>
                      </wp:positionV>
                      <wp:extent cx="666750" cy="0"/>
                      <wp:effectExtent l="0" t="38100" r="0" b="38100"/>
                      <wp:wrapNone/>
                      <wp:docPr id="55" name="直接连接符 55"/>
                      <wp:cNvGraphicFramePr/>
                      <a:graphic xmlns:a="http://schemas.openxmlformats.org/drawingml/2006/main">
                        <a:graphicData uri="http://schemas.microsoft.com/office/word/2010/wordprocessingShape">
                          <wps:wsp>
                            <wps:cNvCnPr/>
                            <wps:spPr>
                              <a:xfrm>
                                <a:off x="0" y="0"/>
                                <a:ext cx="66675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8.75pt;margin-top:21.7pt;height:0pt;width:52.5pt;z-index:251719680;mso-width-relative:page;mso-height-relative:page;" filled="f" stroked="t" coordsize="21600,21600" o:gfxdata="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abv1n2AAAAAgB&#10;AAAPAAAAAAAAAAEAIAAAACIAAABkcnMvZG93bnJldi54bWxQSwECFAAUAAAACACHTuJABvAGeOIB&#10;AACbAwAADgAAAAAAAAABACAAAAAnAQAAZHJzL2Uyb0RvYy54bWxQSwUGAAAAAAYABgBZAQAAewUA&#10;AAAA&#10;">
                      <v:fill on="f" focussize="0,0"/>
                      <v:stroke color="#000000" joinstyle="round" endarrow="block"/>
                      <v:imagedata o:title=""/>
                      <o:lock v:ext="edit" aspectratio="f"/>
                    </v:line>
                  </w:pict>
                </mc:Fallback>
              </mc:AlternateContent>
            </w:r>
            <w:r>
              <w:rPr>
                <w:rFonts w:ascii="Times New Roman" w:hAnsi="Times New Roman" w:eastAsia="宋体"/>
                <w:kern w:val="0"/>
                <w:sz w:val="24"/>
                <w:szCs w:val="20"/>
                <w:highlight w:val="none"/>
              </w:rPr>
              <mc:AlternateContent>
                <mc:Choice Requires="wps">
                  <w:drawing>
                    <wp:anchor distT="0" distB="0" distL="114300" distR="114300" simplePos="0" relativeHeight="251720704" behindDoc="0" locked="0" layoutInCell="1" allowOverlap="1">
                      <wp:simplePos x="0" y="0"/>
                      <wp:positionH relativeFrom="column">
                        <wp:posOffset>1141095</wp:posOffset>
                      </wp:positionH>
                      <wp:positionV relativeFrom="paragraph">
                        <wp:posOffset>142240</wp:posOffset>
                      </wp:positionV>
                      <wp:extent cx="1263015" cy="283845"/>
                      <wp:effectExtent l="4445" t="4445" r="8890" b="16510"/>
                      <wp:wrapNone/>
                      <wp:docPr id="53" name="矩形 53"/>
                      <wp:cNvGraphicFramePr/>
                      <a:graphic xmlns:a="http://schemas.openxmlformats.org/drawingml/2006/main">
                        <a:graphicData uri="http://schemas.microsoft.com/office/word/2010/wordprocessingShape">
                          <wps:wsp>
                            <wps:cNvSpPr/>
                            <wps:spPr>
                              <a:xfrm>
                                <a:off x="0" y="0"/>
                                <a:ext cx="1263015"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pacing w:line="312" w:lineRule="atLeast"/>
                                    <w:jc w:val="center"/>
                                    <w:textAlignment w:val="baseline"/>
                                    <w:rPr>
                                      <w:rFonts w:eastAsia="宋体"/>
                                      <w:kern w:val="0"/>
                                      <w:szCs w:val="20"/>
                                    </w:rPr>
                                  </w:pPr>
                                  <w:r>
                                    <w:rPr>
                                      <w:rFonts w:hint="eastAsia" w:eastAsia="宋体"/>
                                      <w:kern w:val="0"/>
                                      <w:szCs w:val="20"/>
                                    </w:rPr>
                                    <w:t>职工生活用水</w:t>
                                  </w:r>
                                </w:p>
                              </w:txbxContent>
                            </wps:txbx>
                            <wps:bodyPr upright="1"/>
                          </wps:wsp>
                        </a:graphicData>
                      </a:graphic>
                    </wp:anchor>
                  </w:drawing>
                </mc:Choice>
                <mc:Fallback>
                  <w:pict>
                    <v:rect id="_x0000_s1026" o:spid="_x0000_s1026" o:spt="1" style="position:absolute;left:0pt;margin-left:89.85pt;margin-top:11.2pt;height:22.35pt;width:99.45pt;z-index:251720704;mso-width-relative:page;mso-height-relative:page;" fillcolor="#FFFFFF" filled="t" stroked="t" coordsize="21600,21600" o:gfxdata="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sFHzP9cA&#10;AAAJAQAADwAAAAAAAAABACAAAAAiAAAAZHJzL2Rvd25yZXYueG1sUEsBAhQAFAAAAAgAh07iQGi1&#10;UzXnAQAA3QMAAA4AAAAAAAAAAQAgAAAAJgEAAGRycy9lMm9Eb2MueG1sUEsFBgAAAAAGAAYAWQEA&#10;AH8FAAAAAA==&#10;">
                      <v:fill on="t" focussize="0,0"/>
                      <v:stroke color="#000000" joinstyle="miter"/>
                      <v:imagedata o:title=""/>
                      <o:lock v:ext="edit" aspectratio="f"/>
                      <v:textbox>
                        <w:txbxContent>
                          <w:p>
                            <w:pPr>
                              <w:adjustRightInd w:val="0"/>
                              <w:spacing w:line="312" w:lineRule="atLeast"/>
                              <w:jc w:val="center"/>
                              <w:textAlignment w:val="baseline"/>
                              <w:rPr>
                                <w:rFonts w:eastAsia="宋体"/>
                                <w:kern w:val="0"/>
                                <w:szCs w:val="20"/>
                              </w:rPr>
                            </w:pPr>
                            <w:r>
                              <w:rPr>
                                <w:rFonts w:hint="eastAsia" w:eastAsia="宋体"/>
                                <w:kern w:val="0"/>
                                <w:szCs w:val="20"/>
                              </w:rPr>
                              <w:t>职工生活用水</w:t>
                            </w:r>
                          </w:p>
                        </w:txbxContent>
                      </v:textbox>
                    </v:rect>
                  </w:pict>
                </mc:Fallback>
              </mc:AlternateContent>
            </w:r>
          </w:p>
          <w:p>
            <w:pPr>
              <w:adjustRightInd w:val="0"/>
              <w:spacing w:line="520" w:lineRule="exact"/>
              <w:ind w:firstLine="561"/>
              <w:textAlignment w:val="baseline"/>
              <w:rPr>
                <w:rFonts w:ascii="Times New Roman" w:hAnsi="Times New Roman" w:eastAsia="宋体"/>
                <w:kern w:val="0"/>
                <w:sz w:val="24"/>
                <w:szCs w:val="20"/>
                <w:highlight w:val="none"/>
              </w:rPr>
            </w:pPr>
          </w:p>
          <w:p>
            <w:pPr>
              <w:adjustRightInd w:val="0"/>
              <w:spacing w:line="520" w:lineRule="exact"/>
              <w:ind w:firstLine="561"/>
              <w:textAlignment w:val="baseline"/>
              <w:rPr>
                <w:rFonts w:ascii="Times New Roman" w:hAnsi="Times New Roman" w:eastAsia="宋体"/>
                <w:kern w:val="0"/>
                <w:sz w:val="24"/>
                <w:szCs w:val="20"/>
                <w:highlight w:val="none"/>
              </w:rPr>
            </w:pPr>
            <w:r>
              <w:rPr>
                <w:rFonts w:hint="eastAsia" w:ascii="Times New Roman" w:hAnsi="Times New Roman" w:eastAsia="宋体"/>
                <w:kern w:val="0"/>
                <w:sz w:val="24"/>
                <w:szCs w:val="24"/>
                <w:highlight w:val="none"/>
              </w:rPr>
              <mc:AlternateContent>
                <mc:Choice Requires="wps">
                  <w:drawing>
                    <wp:anchor distT="0" distB="0" distL="114300" distR="114300" simplePos="0" relativeHeight="251737088" behindDoc="0" locked="0" layoutInCell="1" allowOverlap="1">
                      <wp:simplePos x="0" y="0"/>
                      <wp:positionH relativeFrom="column">
                        <wp:posOffset>1537335</wp:posOffset>
                      </wp:positionH>
                      <wp:positionV relativeFrom="paragraph">
                        <wp:posOffset>126365</wp:posOffset>
                      </wp:positionV>
                      <wp:extent cx="462280" cy="295275"/>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462280" cy="295275"/>
                              </a:xfrm>
                              <a:prstGeom prst="rect">
                                <a:avLst/>
                              </a:prstGeom>
                              <a:noFill/>
                              <a:ln>
                                <a:noFill/>
                              </a:ln>
                            </wps:spPr>
                            <wps:txb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1</w:t>
                                  </w:r>
                                </w:p>
                              </w:txbxContent>
                            </wps:txbx>
                            <wps:bodyPr upright="1"/>
                          </wps:wsp>
                        </a:graphicData>
                      </a:graphic>
                    </wp:anchor>
                  </w:drawing>
                </mc:Choice>
                <mc:Fallback>
                  <w:pict>
                    <v:shape id="_x0000_s1026" o:spid="_x0000_s1026" o:spt="202" type="#_x0000_t202" style="position:absolute;left:0pt;margin-left:121.05pt;margin-top:9.95pt;height:23.25pt;width:36.4pt;z-index:251737088;mso-width-relative:page;mso-height-relative:page;" filled="f" stroked="f" coordsize="21600,21600" o:gfxdata="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BO/8jC1gAAAAkBAAAPAAAAAAAAAAEAIAAAACIAAABkcnMvZG93bnJl&#10;di54bWxQSwECFAAUAAAACACHTuJAhb4Aj40BAAABAwAADgAAAAAAAAABACAAAAAlAQAAZHJzL2Uy&#10;b0RvYy54bWxQSwUGAAAAAAYABgBZAQAAJAUAAAAA&#10;">
                      <v:fill on="f" focussize="0,0"/>
                      <v:stroke on="f"/>
                      <v:imagedata o:title=""/>
                      <o:lock v:ext="edit" aspectratio="f"/>
                      <v:textbo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1</w:t>
                            </w:r>
                          </w:p>
                        </w:txbxContent>
                      </v:textbox>
                    </v:shape>
                  </w:pict>
                </mc:Fallback>
              </mc:AlternateContent>
            </w:r>
          </w:p>
          <w:p>
            <w:pPr>
              <w:adjustRightInd w:val="0"/>
              <w:spacing w:line="520" w:lineRule="exact"/>
              <w:textAlignment w:val="baseline"/>
              <w:rPr>
                <w:rFonts w:ascii="Times New Roman" w:hAnsi="Times New Roman" w:eastAsia="宋体"/>
                <w:kern w:val="0"/>
                <w:sz w:val="24"/>
                <w:szCs w:val="20"/>
                <w:highlight w:val="none"/>
              </w:rPr>
            </w:pPr>
            <w:r>
              <w:rPr>
                <w:rFonts w:ascii="Times New Roman" w:hAnsi="Times New Roman" w:eastAsia="宋体"/>
                <w:b/>
                <w:kern w:val="0"/>
                <w:sz w:val="28"/>
                <w:szCs w:val="28"/>
                <w:highlight w:val="none"/>
              </w:rPr>
              <mc:AlternateContent>
                <mc:Choice Requires="wps">
                  <w:drawing>
                    <wp:anchor distT="0" distB="0" distL="114300" distR="114300" simplePos="0" relativeHeight="251723776" behindDoc="0" locked="0" layoutInCell="1" allowOverlap="1">
                      <wp:simplePos x="0" y="0"/>
                      <wp:positionH relativeFrom="column">
                        <wp:posOffset>14605</wp:posOffset>
                      </wp:positionH>
                      <wp:positionV relativeFrom="paragraph">
                        <wp:posOffset>79375</wp:posOffset>
                      </wp:positionV>
                      <wp:extent cx="802640" cy="29718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802640" cy="297180"/>
                              </a:xfrm>
                              <a:prstGeom prst="rect">
                                <a:avLst/>
                              </a:prstGeom>
                              <a:noFill/>
                              <a:ln>
                                <a:noFill/>
                              </a:ln>
                            </wps:spPr>
                            <wps:txb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9.75</w:t>
                                  </w:r>
                                </w:p>
                              </w:txbxContent>
                            </wps:txbx>
                            <wps:bodyPr upright="1"/>
                          </wps:wsp>
                        </a:graphicData>
                      </a:graphic>
                    </wp:anchor>
                  </w:drawing>
                </mc:Choice>
                <mc:Fallback>
                  <w:pict>
                    <v:shape id="_x0000_s1026" o:spid="_x0000_s1026" o:spt="202" type="#_x0000_t202" style="position:absolute;left:0pt;margin-left:1.15pt;margin-top:6.25pt;height:23.4pt;width:63.2pt;z-index:251723776;mso-width-relative:page;mso-height-relative:page;" filled="f" stroked="f" coordsize="21600,21600" o:gfxdata="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4qzU3dQAAAAHAQAADwAAAAAAAAABACAAAAAiAAAAZHJzL2Rvd25y&#10;ZXYueG1sUEsBAhQAFAAAAAgAh07iQHcIP9eQAQAAAQMAAA4AAAAAAAAAAQAgAAAAIwEAAGRycy9l&#10;Mm9Eb2MueG1sUEsFBgAAAAAGAAYAWQEAACUFAAAAAA==&#10;">
                      <v:fill on="f" focussize="0,0"/>
                      <v:stroke on="f"/>
                      <v:imagedata o:title=""/>
                      <o:lock v:ext="edit" aspectratio="f"/>
                      <v:textbo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9.75</w:t>
                            </w:r>
                          </w:p>
                        </w:txbxContent>
                      </v:textbox>
                    </v:shape>
                  </w:pict>
                </mc:Fallback>
              </mc:AlternateContent>
            </w:r>
            <w:r>
              <w:rPr>
                <w:rFonts w:hint="eastAsia" w:ascii="Times New Roman" w:hAnsi="Times New Roman" w:eastAsia="宋体"/>
                <w:kern w:val="0"/>
                <w:sz w:val="24"/>
                <w:szCs w:val="24"/>
                <w:highlight w:val="none"/>
              </w:rPr>
              <mc:AlternateContent>
                <mc:Choice Requires="wps">
                  <w:drawing>
                    <wp:anchor distT="0" distB="0" distL="114300" distR="114300" simplePos="0" relativeHeight="251735040" behindDoc="0" locked="0" layoutInCell="1" allowOverlap="1">
                      <wp:simplePos x="0" y="0"/>
                      <wp:positionH relativeFrom="column">
                        <wp:posOffset>1513840</wp:posOffset>
                      </wp:positionH>
                      <wp:positionV relativeFrom="paragraph">
                        <wp:posOffset>32385</wp:posOffset>
                      </wp:positionV>
                      <wp:extent cx="333375" cy="198120"/>
                      <wp:effectExtent l="5080" t="6985" r="4445" b="4445"/>
                      <wp:wrapNone/>
                      <wp:docPr id="54" name="下弧形箭头 54"/>
                      <wp:cNvGraphicFramePr/>
                      <a:graphic xmlns:a="http://schemas.openxmlformats.org/drawingml/2006/main">
                        <a:graphicData uri="http://schemas.microsoft.com/office/word/2010/wordprocessingShape">
                          <wps:wsp>
                            <wps:cNvSpPr/>
                            <wps:spPr>
                              <a:xfrm>
                                <a:off x="0" y="0"/>
                                <a:ext cx="333375" cy="198120"/>
                              </a:xfrm>
                              <a:prstGeom prst="curvedUpArrow">
                                <a:avLst>
                                  <a:gd name="adj1" fmla="val 33653"/>
                                  <a:gd name="adj2" fmla="val 67307"/>
                                  <a:gd name="adj3" fmla="val 33333"/>
                                </a:avLst>
                              </a:prstGeom>
                              <a:solidFill>
                                <a:srgbClr val="FFFFFF"/>
                              </a:solidFill>
                              <a:ln w="9525" cap="flat" cmpd="sng">
                                <a:solidFill>
                                  <a:srgbClr val="000000"/>
                                </a:solidFill>
                                <a:prstDash val="solid"/>
                                <a:miter/>
                                <a:headEnd type="none" w="med" len="med"/>
                                <a:tailEnd type="none" w="med" len="med"/>
                              </a:ln>
                            </wps:spPr>
                            <wps:bodyPr lIns="0" tIns="0" rIns="0" bIns="0" upright="1"/>
                          </wps:wsp>
                        </a:graphicData>
                      </a:graphic>
                    </wp:anchor>
                  </w:drawing>
                </mc:Choice>
                <mc:Fallback>
                  <w:pict>
                    <v:shape id="_x0000_s1026" o:spid="_x0000_s1026" o:spt="104" type="#_x0000_t104" style="position:absolute;left:0pt;margin-left:119.2pt;margin-top:2.55pt;height:15.6pt;width:26.25pt;z-index:251735040;mso-width-relative:page;mso-height-relative:page;" fillcolor="#FFFFFF" filled="t" stroked="t" coordsize="21600,21600" o:gfxdata="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lKvw3XAAAACAEAAA8AAAAAAAAAAQAgAAAAIgAAAGRycy9kb3ducmV2Lnht&#10;bFBLAQIUABQAAAAIAIdO4kBGRQJoMwIAAHwEAAAOAAAAAAAAAAEAIAAAACYBAABkcnMvZTJvRG9j&#10;LnhtbFBLBQYAAAAABgAGAFkBAADLBQAAAAA=&#10;" adj="12960,19440,7199">
                      <v:fill on="t" focussize="0,0"/>
                      <v:stroke color="#000000" joinstyle="miter"/>
                      <v:imagedata o:title=""/>
                      <o:lock v:ext="edit" aspectratio="f"/>
                      <v:textbox inset="0mm,0mm,0mm,0mm"/>
                    </v:shape>
                  </w:pict>
                </mc:Fallback>
              </mc:AlternateContent>
            </w:r>
            <w:r>
              <w:rPr>
                <w:rFonts w:hint="eastAsia" w:ascii="Times New Roman" w:hAnsi="Times New Roman" w:eastAsia="宋体"/>
                <w:kern w:val="0"/>
                <w:sz w:val="24"/>
                <w:szCs w:val="24"/>
                <w:highlight w:val="none"/>
              </w:rPr>
              <mc:AlternateContent>
                <mc:Choice Requires="wps">
                  <w:drawing>
                    <wp:anchor distT="0" distB="0" distL="114300" distR="114300" simplePos="0" relativeHeight="251736064" behindDoc="0" locked="0" layoutInCell="1" allowOverlap="1">
                      <wp:simplePos x="0" y="0"/>
                      <wp:positionH relativeFrom="column">
                        <wp:posOffset>560070</wp:posOffset>
                      </wp:positionH>
                      <wp:positionV relativeFrom="paragraph">
                        <wp:posOffset>160020</wp:posOffset>
                      </wp:positionV>
                      <wp:extent cx="462280" cy="295275"/>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462280" cy="295275"/>
                              </a:xfrm>
                              <a:prstGeom prst="rect">
                                <a:avLst/>
                              </a:prstGeom>
                              <a:noFill/>
                              <a:ln>
                                <a:noFill/>
                              </a:ln>
                            </wps:spPr>
                            <wps:txbx>
                              <w:txbxContent>
                                <w:p>
                                  <w:pPr>
                                    <w:adjustRightInd w:val="0"/>
                                    <w:spacing w:line="312" w:lineRule="atLeast"/>
                                    <w:textAlignment w:val="baseline"/>
                                    <w:rPr>
                                      <w:rFonts w:hint="eastAsia" w:eastAsia="宋体"/>
                                      <w:kern w:val="0"/>
                                      <w:szCs w:val="20"/>
                                      <w:lang w:val="en-US" w:eastAsia="zh-CN"/>
                                    </w:rPr>
                                  </w:pPr>
                                  <w:r>
                                    <w:rPr>
                                      <w:rFonts w:hint="eastAsia" w:eastAsia="宋体"/>
                                      <w:kern w:val="0"/>
                                      <w:szCs w:val="20"/>
                                      <w:lang w:val="en-US" w:eastAsia="zh-CN"/>
                                    </w:rPr>
                                    <w:t>1</w:t>
                                  </w:r>
                                </w:p>
                              </w:txbxContent>
                            </wps:txbx>
                            <wps:bodyPr upright="1"/>
                          </wps:wsp>
                        </a:graphicData>
                      </a:graphic>
                    </wp:anchor>
                  </w:drawing>
                </mc:Choice>
                <mc:Fallback>
                  <w:pict>
                    <v:shape id="_x0000_s1026" o:spid="_x0000_s1026" o:spt="202" type="#_x0000_t202" style="position:absolute;left:0pt;margin-left:44.1pt;margin-top:12.6pt;height:23.25pt;width:36.4pt;z-index:251736064;mso-width-relative:page;mso-height-relative:page;" filled="f" stroked="f" coordsize="21600,21600" o:gfxdata="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tul3nNYAAAAIAQAADwAAAAAAAAABACAAAAAiAAAAZHJzL2Rvd25y&#10;ZXYueG1sUEsBAhQAFAAAAAgAh07iQJhCuSmOAQAAAQMAAA4AAAAAAAAAAQAgAAAAJQEAAGRycy9l&#10;Mm9Eb2MueG1sUEsFBgAAAAAGAAYAWQEAACUFAAAAAA==&#10;">
                      <v:fill on="f" focussize="0,0"/>
                      <v:stroke on="f"/>
                      <v:imagedata o:title=""/>
                      <o:lock v:ext="edit" aspectratio="f"/>
                      <v:textbox>
                        <w:txbxContent>
                          <w:p>
                            <w:pPr>
                              <w:adjustRightInd w:val="0"/>
                              <w:spacing w:line="312" w:lineRule="atLeast"/>
                              <w:textAlignment w:val="baseline"/>
                              <w:rPr>
                                <w:rFonts w:hint="eastAsia" w:eastAsia="宋体"/>
                                <w:kern w:val="0"/>
                                <w:szCs w:val="20"/>
                                <w:lang w:val="en-US" w:eastAsia="zh-CN"/>
                              </w:rPr>
                            </w:pPr>
                            <w:r>
                              <w:rPr>
                                <w:rFonts w:hint="eastAsia" w:eastAsia="宋体"/>
                                <w:kern w:val="0"/>
                                <w:szCs w:val="20"/>
                                <w:lang w:val="en-US" w:eastAsia="zh-CN"/>
                              </w:rPr>
                              <w:t>1</w:t>
                            </w:r>
                          </w:p>
                        </w:txbxContent>
                      </v:textbox>
                    </v:shape>
                  </w:pict>
                </mc:Fallback>
              </mc:AlternateContent>
            </w:r>
            <w:r>
              <w:rPr>
                <w:rFonts w:hint="eastAsia" w:ascii="Times New Roman" w:hAnsi="Times New Roman" w:eastAsia="宋体"/>
                <w:kern w:val="0"/>
                <w:sz w:val="24"/>
                <w:szCs w:val="24"/>
                <w:highlight w:val="none"/>
              </w:rPr>
              <mc:AlternateContent>
                <mc:Choice Requires="wps">
                  <w:drawing>
                    <wp:anchor distT="0" distB="0" distL="114300" distR="114300" simplePos="0" relativeHeight="251734016" behindDoc="0" locked="0" layoutInCell="1" allowOverlap="1">
                      <wp:simplePos x="0" y="0"/>
                      <wp:positionH relativeFrom="column">
                        <wp:posOffset>1151890</wp:posOffset>
                      </wp:positionH>
                      <wp:positionV relativeFrom="paragraph">
                        <wp:posOffset>249555</wp:posOffset>
                      </wp:positionV>
                      <wp:extent cx="1060450" cy="283845"/>
                      <wp:effectExtent l="4445" t="4445" r="20955" b="16510"/>
                      <wp:wrapNone/>
                      <wp:docPr id="51" name="矩形 51"/>
                      <wp:cNvGraphicFramePr/>
                      <a:graphic xmlns:a="http://schemas.openxmlformats.org/drawingml/2006/main">
                        <a:graphicData uri="http://schemas.microsoft.com/office/word/2010/wordprocessingShape">
                          <wps:wsp>
                            <wps:cNvSpPr/>
                            <wps:spPr>
                              <a:xfrm>
                                <a:off x="0" y="0"/>
                                <a:ext cx="106045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pacing w:line="312" w:lineRule="atLeast"/>
                                    <w:jc w:val="center"/>
                                    <w:textAlignment w:val="baseline"/>
                                    <w:rPr>
                                      <w:rFonts w:hint="eastAsia" w:eastAsia="宋体"/>
                                      <w:kern w:val="0"/>
                                      <w:szCs w:val="20"/>
                                      <w:lang w:eastAsia="zh-CN"/>
                                    </w:rPr>
                                  </w:pPr>
                                  <w:r>
                                    <w:rPr>
                                      <w:rFonts w:hint="eastAsia" w:eastAsia="宋体"/>
                                      <w:kern w:val="0"/>
                                      <w:szCs w:val="21"/>
                                      <w:lang w:eastAsia="zh-CN"/>
                                    </w:rPr>
                                    <w:t>设备循环水</w:t>
                                  </w:r>
                                </w:p>
                              </w:txbxContent>
                            </wps:txbx>
                            <wps:bodyPr upright="1"/>
                          </wps:wsp>
                        </a:graphicData>
                      </a:graphic>
                    </wp:anchor>
                  </w:drawing>
                </mc:Choice>
                <mc:Fallback>
                  <w:pict>
                    <v:rect id="_x0000_s1026" o:spid="_x0000_s1026" o:spt="1" style="position:absolute;left:0pt;margin-left:90.7pt;margin-top:19.65pt;height:22.35pt;width:83.5pt;z-index:251734016;mso-width-relative:page;mso-height-relative:page;" fillcolor="#FFFFFF" filled="t" stroked="t" coordsize="21600,21600" o:gfxdata="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SoylNdcA&#10;AAAJAQAADwAAAAAAAAABACAAAAAiAAAAZHJzL2Rvd25yZXYueG1sUEsBAhQAFAAAAAgAh07iQGUC&#10;npPnAQAA3QMAAA4AAAAAAAAAAQAgAAAAJgEAAGRycy9lMm9Eb2MueG1sUEsFBgAAAAAGAAYAWQEA&#10;AH8FAAAAAA==&#10;">
                      <v:fill on="t" focussize="0,0"/>
                      <v:stroke color="#000000" joinstyle="miter"/>
                      <v:imagedata o:title=""/>
                      <o:lock v:ext="edit" aspectratio="f"/>
                      <v:textbox>
                        <w:txbxContent>
                          <w:p>
                            <w:pPr>
                              <w:adjustRightInd w:val="0"/>
                              <w:spacing w:line="312" w:lineRule="atLeast"/>
                              <w:jc w:val="center"/>
                              <w:textAlignment w:val="baseline"/>
                              <w:rPr>
                                <w:rFonts w:hint="eastAsia" w:eastAsia="宋体"/>
                                <w:kern w:val="0"/>
                                <w:szCs w:val="20"/>
                                <w:lang w:eastAsia="zh-CN"/>
                              </w:rPr>
                            </w:pPr>
                            <w:r>
                              <w:rPr>
                                <w:rFonts w:hint="eastAsia" w:eastAsia="宋体"/>
                                <w:kern w:val="0"/>
                                <w:szCs w:val="21"/>
                                <w:lang w:eastAsia="zh-CN"/>
                              </w:rPr>
                              <w:t>设备循环水</w:t>
                            </w:r>
                          </w:p>
                        </w:txbxContent>
                      </v:textbox>
                    </v:rect>
                  </w:pict>
                </mc:Fallback>
              </mc:AlternateContent>
            </w:r>
          </w:p>
          <w:p>
            <w:pPr>
              <w:adjustRightInd w:val="0"/>
              <w:spacing w:line="520" w:lineRule="exact"/>
              <w:textAlignment w:val="baseline"/>
              <w:rPr>
                <w:rFonts w:hint="eastAsia" w:ascii="Times New Roman" w:hAnsi="Times New Roman" w:eastAsia="宋体"/>
                <w:b/>
                <w:kern w:val="0"/>
                <w:szCs w:val="21"/>
                <w:highlight w:val="none"/>
              </w:rPr>
            </w:pPr>
            <w:r>
              <w:rPr>
                <w:rFonts w:hint="eastAsia" w:ascii="Times New Roman" w:hAnsi="Times New Roman" w:eastAsia="宋体"/>
                <w:kern w:val="0"/>
                <w:sz w:val="24"/>
                <w:szCs w:val="24"/>
                <w:highlight w:val="none"/>
              </w:rPr>
              <mc:AlternateContent>
                <mc:Choice Requires="wps">
                  <w:drawing>
                    <wp:anchor distT="0" distB="0" distL="114300" distR="114300" simplePos="0" relativeHeight="251732992" behindDoc="0" locked="0" layoutInCell="1" allowOverlap="1">
                      <wp:simplePos x="0" y="0"/>
                      <wp:positionH relativeFrom="column">
                        <wp:posOffset>494665</wp:posOffset>
                      </wp:positionH>
                      <wp:positionV relativeFrom="paragraph">
                        <wp:posOffset>69850</wp:posOffset>
                      </wp:positionV>
                      <wp:extent cx="666750" cy="0"/>
                      <wp:effectExtent l="0" t="38100" r="0" b="38100"/>
                      <wp:wrapNone/>
                      <wp:docPr id="85" name="直接连接符 85"/>
                      <wp:cNvGraphicFramePr/>
                      <a:graphic xmlns:a="http://schemas.openxmlformats.org/drawingml/2006/main">
                        <a:graphicData uri="http://schemas.microsoft.com/office/word/2010/wordprocessingShape">
                          <wps:wsp>
                            <wps:cNvCnPr/>
                            <wps:spPr>
                              <a:xfrm>
                                <a:off x="0" y="0"/>
                                <a:ext cx="66675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8.95pt;margin-top:5.5pt;height:0pt;width:52.5pt;z-index:251732992;mso-width-relative:page;mso-height-relative:page;" filled="f" stroked="t" coordsize="21600,21600" o:gfxdata="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RnvSfNYAAAAIAQAA&#10;DwAAAAAAAAABACAAAAAiAAAAZHJzL2Rvd25yZXYueG1sUEsBAhQAFAAAAAgAh07iQA523RbiAQAA&#10;mwMAAA4AAAAAAAAAAQAgAAAAJQEAAGRycy9lMm9Eb2MueG1sUEsFBgAAAAAGAAYAWQEAAHkFAAAA&#10;AA==&#10;">
                      <v:fill on="f" focussize="0,0"/>
                      <v:stroke color="#000000" joinstyle="round" endarrow="block"/>
                      <v:imagedata o:title=""/>
                      <o:lock v:ext="edit" aspectratio="f"/>
                    </v:line>
                  </w:pict>
                </mc:Fallback>
              </mc:AlternateContent>
            </w:r>
            <w:r>
              <w:rPr>
                <w:rFonts w:ascii="Times New Roman" w:hAnsi="Times New Roman" w:eastAsia="宋体"/>
                <w:kern w:val="0"/>
                <w:sz w:val="21"/>
                <w:szCs w:val="20"/>
              </w:rPr>
              <mc:AlternateContent>
                <mc:Choice Requires="wps">
                  <w:drawing>
                    <wp:anchor distT="0" distB="0" distL="114300" distR="114300" simplePos="0" relativeHeight="251740160" behindDoc="0" locked="0" layoutInCell="1" allowOverlap="1">
                      <wp:simplePos x="0" y="0"/>
                      <wp:positionH relativeFrom="column">
                        <wp:posOffset>-74930</wp:posOffset>
                      </wp:positionH>
                      <wp:positionV relativeFrom="paragraph">
                        <wp:posOffset>62230</wp:posOffset>
                      </wp:positionV>
                      <wp:extent cx="563880" cy="635"/>
                      <wp:effectExtent l="0" t="0" r="0" b="0"/>
                      <wp:wrapNone/>
                      <wp:docPr id="84" name="直接连接符 84"/>
                      <wp:cNvGraphicFramePr/>
                      <a:graphic xmlns:a="http://schemas.openxmlformats.org/drawingml/2006/main">
                        <a:graphicData uri="http://schemas.microsoft.com/office/word/2010/wordprocessingShape">
                          <wps:wsp>
                            <wps:cNvCnPr/>
                            <wps:spPr>
                              <a:xfrm flipH="1">
                                <a:off x="0" y="0"/>
                                <a:ext cx="56388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9pt;margin-top:4.9pt;height:0.05pt;width:44.4pt;z-index:251740160;mso-width-relative:page;mso-height-relative:page;" filled="f" stroked="t" coordsize="21600,21600" o:gfxdata="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sCne/UAAAABgEA&#10;AA8AAAAAAAAAAQAgAAAAIgAAAGRycy9kb3ducmV2LnhtbFBLAQIUABQAAAAIAIdO4kBfp8Ql5QEA&#10;AKMDAAAOAAAAAAAAAAEAIAAAACMBAABkcnMvZTJvRG9jLnhtbFBLBQYAAAAABgAGAFkBAAB6BQAA&#10;AAA=&#10;">
                      <v:fill on="f" focussize="0,0"/>
                      <v:stroke color="#000000" joinstyle="round"/>
                      <v:imagedata o:title=""/>
                      <o:lock v:ext="edit" aspectratio="f"/>
                    </v:line>
                  </w:pict>
                </mc:Fallback>
              </mc:AlternateContent>
            </w:r>
          </w:p>
          <w:p>
            <w:pPr>
              <w:adjustRightInd w:val="0"/>
              <w:spacing w:line="520" w:lineRule="exact"/>
              <w:textAlignment w:val="baseline"/>
              <w:rPr>
                <w:rFonts w:hint="eastAsia" w:ascii="Times New Roman" w:hAnsi="Times New Roman" w:eastAsia="宋体"/>
                <w:b/>
                <w:kern w:val="0"/>
                <w:szCs w:val="21"/>
                <w:highlight w:val="none"/>
              </w:rPr>
            </w:pPr>
          </w:p>
          <w:p>
            <w:pPr>
              <w:adjustRightInd w:val="0"/>
              <w:spacing w:line="520" w:lineRule="exact"/>
              <w:textAlignment w:val="baseline"/>
              <w:rPr>
                <w:rFonts w:hint="eastAsia" w:ascii="Times New Roman" w:hAnsi="Times New Roman" w:eastAsia="宋体"/>
                <w:b/>
                <w:kern w:val="0"/>
                <w:szCs w:val="21"/>
                <w:highlight w:val="none"/>
              </w:rPr>
            </w:pPr>
            <w:r>
              <w:rPr>
                <w:rFonts w:hint="eastAsia" w:ascii="Times New Roman" w:hAnsi="Times New Roman" w:eastAsia="宋体"/>
                <w:kern w:val="0"/>
                <w:sz w:val="24"/>
                <w:szCs w:val="24"/>
                <w:highlight w:val="none"/>
              </w:rPr>
              <mc:AlternateContent>
                <mc:Choice Requires="wps">
                  <w:drawing>
                    <wp:anchor distT="0" distB="0" distL="114300" distR="114300" simplePos="0" relativeHeight="251731968" behindDoc="0" locked="0" layoutInCell="1" allowOverlap="1">
                      <wp:simplePos x="0" y="0"/>
                      <wp:positionH relativeFrom="column">
                        <wp:posOffset>1450975</wp:posOffset>
                      </wp:positionH>
                      <wp:positionV relativeFrom="paragraph">
                        <wp:posOffset>213360</wp:posOffset>
                      </wp:positionV>
                      <wp:extent cx="608330" cy="295275"/>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608330" cy="295275"/>
                              </a:xfrm>
                              <a:prstGeom prst="rect">
                                <a:avLst/>
                              </a:prstGeom>
                              <a:noFill/>
                              <a:ln>
                                <a:noFill/>
                              </a:ln>
                            </wps:spPr>
                            <wps:txbx>
                              <w:txbxContent>
                                <w:p>
                                  <w:pPr>
                                    <w:adjustRightInd w:val="0"/>
                                    <w:spacing w:line="312" w:lineRule="atLeast"/>
                                    <w:jc w:val="center"/>
                                    <w:textAlignment w:val="baseline"/>
                                    <w:rPr>
                                      <w:rFonts w:hint="default" w:eastAsia="宋体"/>
                                      <w:kern w:val="0"/>
                                      <w:szCs w:val="20"/>
                                      <w:lang w:val="en-US" w:eastAsia="zh-CN"/>
                                    </w:rPr>
                                  </w:pPr>
                                  <w:r>
                                    <w:rPr>
                                      <w:rFonts w:hint="eastAsia" w:eastAsia="宋体"/>
                                      <w:kern w:val="0"/>
                                      <w:szCs w:val="20"/>
                                      <w:lang w:val="en-US" w:eastAsia="zh-CN"/>
                                    </w:rPr>
                                    <w:t>8</w:t>
                                  </w:r>
                                </w:p>
                              </w:txbxContent>
                            </wps:txbx>
                            <wps:bodyPr upright="1"/>
                          </wps:wsp>
                        </a:graphicData>
                      </a:graphic>
                    </wp:anchor>
                  </w:drawing>
                </mc:Choice>
                <mc:Fallback>
                  <w:pict>
                    <v:shape id="_x0000_s1026" o:spid="_x0000_s1026" o:spt="202" type="#_x0000_t202" style="position:absolute;left:0pt;margin-left:114.25pt;margin-top:16.8pt;height:23.25pt;width:47.9pt;z-index:251731968;mso-width-relative:page;mso-height-relative:page;" filled="f" stroked="f" coordsize="21600,21600" o:gfxdata="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Os7pAjXAAAACQEAAA8AAAAAAAAAAQAgAAAAIgAAAGRycy9kb3du&#10;cmV2LnhtbFBLAQIUABQAAAAIAIdO4kAk4vAajgEAAAEDAAAOAAAAAAAAAAEAIAAAACYBAABkcnMv&#10;ZTJvRG9jLnhtbFBLBQYAAAAABgAGAFkBAAAmBQAAAAA=&#10;">
                      <v:fill on="f" focussize="0,0"/>
                      <v:stroke on="f"/>
                      <v:imagedata o:title=""/>
                      <o:lock v:ext="edit" aspectratio="f"/>
                      <v:textbox>
                        <w:txbxContent>
                          <w:p>
                            <w:pPr>
                              <w:adjustRightInd w:val="0"/>
                              <w:spacing w:line="312" w:lineRule="atLeast"/>
                              <w:jc w:val="center"/>
                              <w:textAlignment w:val="baseline"/>
                              <w:rPr>
                                <w:rFonts w:hint="default" w:eastAsia="宋体"/>
                                <w:kern w:val="0"/>
                                <w:szCs w:val="20"/>
                                <w:lang w:val="en-US" w:eastAsia="zh-CN"/>
                              </w:rPr>
                            </w:pPr>
                            <w:r>
                              <w:rPr>
                                <w:rFonts w:hint="eastAsia" w:eastAsia="宋体"/>
                                <w:kern w:val="0"/>
                                <w:szCs w:val="20"/>
                                <w:lang w:val="en-US" w:eastAsia="zh-CN"/>
                              </w:rPr>
                              <w:t>8</w:t>
                            </w:r>
                          </w:p>
                        </w:txbxContent>
                      </v:textbox>
                    </v:shape>
                  </w:pict>
                </mc:Fallback>
              </mc:AlternateContent>
            </w:r>
          </w:p>
          <w:p>
            <w:pPr>
              <w:adjustRightInd w:val="0"/>
              <w:spacing w:line="520" w:lineRule="exact"/>
              <w:textAlignment w:val="baseline"/>
              <w:rPr>
                <w:rFonts w:hint="eastAsia" w:ascii="Times New Roman" w:hAnsi="Times New Roman" w:eastAsia="宋体"/>
                <w:b/>
                <w:kern w:val="0"/>
                <w:szCs w:val="21"/>
                <w:highlight w:val="none"/>
              </w:rPr>
            </w:pPr>
            <w:r>
              <w:rPr>
                <w:rFonts w:hint="eastAsia" w:ascii="Times New Roman" w:hAnsi="Times New Roman" w:eastAsia="宋体"/>
                <w:kern w:val="0"/>
                <w:sz w:val="24"/>
                <w:szCs w:val="24"/>
                <w:highlight w:val="none"/>
              </w:rPr>
              <mc:AlternateContent>
                <mc:Choice Requires="wps">
                  <w:drawing>
                    <wp:anchor distT="0" distB="0" distL="114300" distR="114300" simplePos="0" relativeHeight="251730944" behindDoc="0" locked="0" layoutInCell="1" allowOverlap="1">
                      <wp:simplePos x="0" y="0"/>
                      <wp:positionH relativeFrom="column">
                        <wp:posOffset>562610</wp:posOffset>
                      </wp:positionH>
                      <wp:positionV relativeFrom="paragraph">
                        <wp:posOffset>186055</wp:posOffset>
                      </wp:positionV>
                      <wp:extent cx="513080" cy="295275"/>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513080" cy="295275"/>
                              </a:xfrm>
                              <a:prstGeom prst="rect">
                                <a:avLst/>
                              </a:prstGeom>
                              <a:noFill/>
                              <a:ln>
                                <a:noFill/>
                              </a:ln>
                            </wps:spPr>
                            <wps:txb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8</w:t>
                                  </w:r>
                                </w:p>
                              </w:txbxContent>
                            </wps:txbx>
                            <wps:bodyPr upright="1"/>
                          </wps:wsp>
                        </a:graphicData>
                      </a:graphic>
                    </wp:anchor>
                  </w:drawing>
                </mc:Choice>
                <mc:Fallback>
                  <w:pict>
                    <v:shape id="_x0000_s1026" o:spid="_x0000_s1026" o:spt="202" type="#_x0000_t202" style="position:absolute;left:0pt;margin-left:44.3pt;margin-top:14.65pt;height:23.25pt;width:40.4pt;z-index:251730944;mso-width-relative:page;mso-height-relative:page;" filled="f" stroked="f" coordsize="21600,21600" o:gfxdata="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UNnOctYAAAAIAQAADwAAAAAAAAABACAAAAAiAAAAZHJzL2Rv&#10;d25yZXYueG1sUEsBAhQAFAAAAAgAh07iQLBTmNGRAQAAAQMAAA4AAAAAAAAAAQAgAAAAJQEAAGRy&#10;cy9lMm9Eb2MueG1sUEsFBgAAAAAGAAYAWQEAACgFAAAAAA==&#10;">
                      <v:fill on="f" focussize="0,0"/>
                      <v:stroke on="f"/>
                      <v:imagedata o:title=""/>
                      <o:lock v:ext="edit" aspectratio="f"/>
                      <v:textbox>
                        <w:txbxContent>
                          <w:p>
                            <w:pPr>
                              <w:adjustRightInd w:val="0"/>
                              <w:spacing w:line="312" w:lineRule="atLeast"/>
                              <w:textAlignment w:val="baseline"/>
                              <w:rPr>
                                <w:rFonts w:hint="default" w:eastAsia="宋体"/>
                                <w:kern w:val="0"/>
                                <w:szCs w:val="20"/>
                                <w:lang w:val="en-US" w:eastAsia="zh-CN"/>
                              </w:rPr>
                            </w:pPr>
                            <w:r>
                              <w:rPr>
                                <w:rFonts w:hint="eastAsia" w:eastAsia="宋体"/>
                                <w:kern w:val="0"/>
                                <w:szCs w:val="20"/>
                                <w:lang w:val="en-US" w:eastAsia="zh-CN"/>
                              </w:rPr>
                              <w:t>8</w:t>
                            </w:r>
                          </w:p>
                        </w:txbxContent>
                      </v:textbox>
                    </v:shape>
                  </w:pict>
                </mc:Fallback>
              </mc:AlternateContent>
            </w:r>
            <w:r>
              <w:rPr>
                <w:rFonts w:hint="eastAsia" w:ascii="Times New Roman" w:hAnsi="Times New Roman" w:eastAsia="宋体"/>
                <w:kern w:val="0"/>
                <w:sz w:val="24"/>
                <w:szCs w:val="24"/>
                <w:highlight w:val="none"/>
              </w:rPr>
              <mc:AlternateContent>
                <mc:Choice Requires="wps">
                  <w:drawing>
                    <wp:anchor distT="0" distB="0" distL="114300" distR="114300" simplePos="0" relativeHeight="251729920" behindDoc="0" locked="0" layoutInCell="1" allowOverlap="1">
                      <wp:simplePos x="0" y="0"/>
                      <wp:positionH relativeFrom="column">
                        <wp:posOffset>1477010</wp:posOffset>
                      </wp:positionH>
                      <wp:positionV relativeFrom="paragraph">
                        <wp:posOffset>103505</wp:posOffset>
                      </wp:positionV>
                      <wp:extent cx="333375" cy="198120"/>
                      <wp:effectExtent l="5080" t="6985" r="4445" b="4445"/>
                      <wp:wrapNone/>
                      <wp:docPr id="48" name="下弧形箭头 48"/>
                      <wp:cNvGraphicFramePr/>
                      <a:graphic xmlns:a="http://schemas.openxmlformats.org/drawingml/2006/main">
                        <a:graphicData uri="http://schemas.microsoft.com/office/word/2010/wordprocessingShape">
                          <wps:wsp>
                            <wps:cNvSpPr/>
                            <wps:spPr>
                              <a:xfrm>
                                <a:off x="0" y="0"/>
                                <a:ext cx="333375" cy="198120"/>
                              </a:xfrm>
                              <a:prstGeom prst="curvedUpArrow">
                                <a:avLst>
                                  <a:gd name="adj1" fmla="val 33653"/>
                                  <a:gd name="adj2" fmla="val 67307"/>
                                  <a:gd name="adj3" fmla="val 33333"/>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lIns="0" tIns="0" rIns="0" bIns="0" upright="1"/>
                          </wps:wsp>
                        </a:graphicData>
                      </a:graphic>
                    </wp:anchor>
                  </w:drawing>
                </mc:Choice>
                <mc:Fallback>
                  <w:pict>
                    <v:shape id="_x0000_s1026" o:spid="_x0000_s1026" o:spt="104" type="#_x0000_t104" style="position:absolute;left:0pt;margin-left:116.3pt;margin-top:8.15pt;height:15.6pt;width:26.25pt;z-index:251729920;mso-width-relative:page;mso-height-relative:page;" fillcolor="#FFFFFF" filled="t" stroked="t" coordsize="21600,21600" o:gfxdata="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f7n0A9cAAAAJAQAADwAAAAAAAAABACAAAAAiAAAAZHJzL2Rvd25y&#10;ZXYueG1sUEsBAhQAFAAAAAgAh07iQDZ6Cfw4AgAAhwQAAA4AAAAAAAAAAQAgAAAAJgEAAGRycy9l&#10;Mm9Eb2MueG1sUEsFBgAAAAAGAAYAWQEAANAFAAAAAA==&#10;" adj="12960,19440,7199">
                      <v:fill on="t" focussize="0,0"/>
                      <v:stroke color="#000000" joinstyle="miter"/>
                      <v:imagedata o:title=""/>
                      <o:lock v:ext="edit" aspectratio="f"/>
                      <v:textbox inset="0mm,0mm,0mm,0mm">
                        <w:txbxContent>
                          <w:p>
                            <w:pPr>
                              <w:jc w:val="center"/>
                            </w:pPr>
                          </w:p>
                        </w:txbxContent>
                      </v:textbox>
                    </v:shape>
                  </w:pict>
                </mc:Fallback>
              </mc:AlternateContent>
            </w:r>
            <w:r>
              <w:rPr>
                <w:rFonts w:hint="eastAsia" w:ascii="Times New Roman" w:hAnsi="Times New Roman" w:eastAsia="宋体"/>
                <w:kern w:val="0"/>
                <w:sz w:val="24"/>
                <w:szCs w:val="24"/>
                <w:highlight w:val="none"/>
              </w:rPr>
              <mc:AlternateContent>
                <mc:Choice Requires="wps">
                  <w:drawing>
                    <wp:anchor distT="0" distB="0" distL="114300" distR="114300" simplePos="0" relativeHeight="251728896" behindDoc="0" locked="0" layoutInCell="1" allowOverlap="1">
                      <wp:simplePos x="0" y="0"/>
                      <wp:positionH relativeFrom="column">
                        <wp:posOffset>1158875</wp:posOffset>
                      </wp:positionH>
                      <wp:positionV relativeFrom="paragraph">
                        <wp:posOffset>311150</wp:posOffset>
                      </wp:positionV>
                      <wp:extent cx="1189355" cy="283845"/>
                      <wp:effectExtent l="5080" t="4445" r="5715" b="16510"/>
                      <wp:wrapNone/>
                      <wp:docPr id="88" name="矩形 88"/>
                      <wp:cNvGraphicFramePr/>
                      <a:graphic xmlns:a="http://schemas.openxmlformats.org/drawingml/2006/main">
                        <a:graphicData uri="http://schemas.microsoft.com/office/word/2010/wordprocessingShape">
                          <wps:wsp>
                            <wps:cNvSpPr/>
                            <wps:spPr>
                              <a:xfrm>
                                <a:off x="0" y="0"/>
                                <a:ext cx="1189355"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pacing w:line="312" w:lineRule="atLeast"/>
                                    <w:jc w:val="center"/>
                                    <w:textAlignment w:val="baseline"/>
                                    <w:rPr>
                                      <w:rFonts w:hint="eastAsia" w:eastAsia="宋体"/>
                                      <w:kern w:val="0"/>
                                      <w:szCs w:val="20"/>
                                      <w:lang w:eastAsia="zh-CN"/>
                                    </w:rPr>
                                  </w:pPr>
                                  <w:r>
                                    <w:rPr>
                                      <w:rFonts w:hint="eastAsia" w:eastAsia="宋体"/>
                                      <w:kern w:val="0"/>
                                      <w:szCs w:val="21"/>
                                      <w:lang w:eastAsia="zh-CN"/>
                                    </w:rPr>
                                    <w:t>锅炉用水</w:t>
                                  </w:r>
                                </w:p>
                              </w:txbxContent>
                            </wps:txbx>
                            <wps:bodyPr upright="1"/>
                          </wps:wsp>
                        </a:graphicData>
                      </a:graphic>
                    </wp:anchor>
                  </w:drawing>
                </mc:Choice>
                <mc:Fallback>
                  <w:pict>
                    <v:rect id="_x0000_s1026" o:spid="_x0000_s1026" o:spt="1" style="position:absolute;left:0pt;margin-left:91.25pt;margin-top:24.5pt;height:22.35pt;width:93.65pt;z-index:251728896;mso-width-relative:page;mso-height-relative:page;" fillcolor="#FFFFFF" filled="t" stroked="t" coordsize="21600,21600" o:gfxdata="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MQJwLX&#10;AAAACQEAAA8AAAAAAAAAAQAgAAAAIgAAAGRycy9kb3ducmV2LnhtbFBLAQIUABQAAAAIAIdO4kAj&#10;qWln6AEAAN0DAAAOAAAAAAAAAAEAIAAAACYBAABkcnMvZTJvRG9jLnhtbFBLBQYAAAAABgAGAFkB&#10;AACABQAAAAA=&#10;">
                      <v:fill on="t" focussize="0,0"/>
                      <v:stroke color="#000000" joinstyle="miter"/>
                      <v:imagedata o:title=""/>
                      <o:lock v:ext="edit" aspectratio="f"/>
                      <v:textbox>
                        <w:txbxContent>
                          <w:p>
                            <w:pPr>
                              <w:adjustRightInd w:val="0"/>
                              <w:spacing w:line="312" w:lineRule="atLeast"/>
                              <w:jc w:val="center"/>
                              <w:textAlignment w:val="baseline"/>
                              <w:rPr>
                                <w:rFonts w:hint="eastAsia" w:eastAsia="宋体"/>
                                <w:kern w:val="0"/>
                                <w:szCs w:val="20"/>
                                <w:lang w:eastAsia="zh-CN"/>
                              </w:rPr>
                            </w:pPr>
                            <w:r>
                              <w:rPr>
                                <w:rFonts w:hint="eastAsia" w:eastAsia="宋体"/>
                                <w:kern w:val="0"/>
                                <w:szCs w:val="21"/>
                                <w:lang w:eastAsia="zh-CN"/>
                              </w:rPr>
                              <w:t>锅炉用水</w:t>
                            </w:r>
                          </w:p>
                        </w:txbxContent>
                      </v:textbox>
                    </v:rect>
                  </w:pict>
                </mc:Fallback>
              </mc:AlternateContent>
            </w:r>
          </w:p>
          <w:p>
            <w:pPr>
              <w:adjustRightInd w:val="0"/>
              <w:spacing w:line="520" w:lineRule="exact"/>
              <w:ind w:firstLine="561"/>
              <w:jc w:val="center"/>
              <w:textAlignment w:val="baseline"/>
              <w:rPr>
                <w:rFonts w:ascii="宋体" w:hAnsi="宋体"/>
                <w:sz w:val="24"/>
                <w:highlight w:val="yellow"/>
              </w:rPr>
            </w:pPr>
            <w:r>
              <w:rPr>
                <w:rFonts w:hint="eastAsia" w:ascii="Times New Roman" w:hAnsi="Times New Roman" w:eastAsia="宋体"/>
                <w:kern w:val="0"/>
                <w:sz w:val="24"/>
                <w:szCs w:val="24"/>
                <w:highlight w:val="none"/>
              </w:rPr>
              <mc:AlternateContent>
                <mc:Choice Requires="wps">
                  <w:drawing>
                    <wp:anchor distT="0" distB="0" distL="114300" distR="114300" simplePos="0" relativeHeight="251727872" behindDoc="0" locked="0" layoutInCell="1" allowOverlap="1">
                      <wp:simplePos x="0" y="0"/>
                      <wp:positionH relativeFrom="column">
                        <wp:posOffset>492125</wp:posOffset>
                      </wp:positionH>
                      <wp:positionV relativeFrom="paragraph">
                        <wp:posOffset>116840</wp:posOffset>
                      </wp:positionV>
                      <wp:extent cx="666750" cy="0"/>
                      <wp:effectExtent l="0" t="38100" r="0" b="38100"/>
                      <wp:wrapNone/>
                      <wp:docPr id="87" name="直接连接符 87"/>
                      <wp:cNvGraphicFramePr/>
                      <a:graphic xmlns:a="http://schemas.openxmlformats.org/drawingml/2006/main">
                        <a:graphicData uri="http://schemas.microsoft.com/office/word/2010/wordprocessingShape">
                          <wps:wsp>
                            <wps:cNvCnPr/>
                            <wps:spPr>
                              <a:xfrm>
                                <a:off x="0" y="0"/>
                                <a:ext cx="66675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8.75pt;margin-top:9.2pt;height:0pt;width:52.5pt;z-index:251727872;mso-width-relative:page;mso-height-relative:page;" filled="f" stroked="t" coordsize="21600,21600" o:gfxdata="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DgU4jXAAAACAEA&#10;AA8AAAAAAAAAAQAgAAAAIgAAAGRycy9kb3ducmV2LnhtbFBLAQIUABQAAAAIAIdO4kDV+qMO4gEA&#10;AJsDAAAOAAAAAAAAAAEAIAAAACYBAABkcnMvZTJvRG9jLnhtbFBLBQYAAAAABgAGAFkBAAB6BQAA&#10;AAA=&#10;">
                      <v:fill on="f" focussize="0,0"/>
                      <v:stroke color="#000000" joinstyle="round" endarrow="block"/>
                      <v:imagedata o:title=""/>
                      <o:lock v:ext="edit" aspectratio="f"/>
                    </v:line>
                  </w:pict>
                </mc:Fallback>
              </mc:AlternateContent>
            </w:r>
          </w:p>
          <w:p>
            <w:pPr>
              <w:tabs>
                <w:tab w:val="left" w:pos="0"/>
                <w:tab w:val="left" w:pos="3600"/>
              </w:tabs>
              <w:spacing w:line="360" w:lineRule="auto"/>
              <w:jc w:val="center"/>
              <w:rPr>
                <w:rFonts w:hint="eastAsia"/>
                <w:b/>
                <w:kern w:val="0"/>
                <w:sz w:val="24"/>
                <w:highlight w:val="none"/>
              </w:rPr>
            </w:pPr>
            <w:r>
              <w:rPr>
                <w:rFonts w:hint="eastAsia"/>
                <w:b/>
                <w:kern w:val="0"/>
                <w:sz w:val="24"/>
                <w:highlight w:val="none"/>
              </w:rPr>
              <w:t>图2</w:t>
            </w:r>
            <w:r>
              <w:rPr>
                <w:b/>
                <w:kern w:val="0"/>
                <w:sz w:val="24"/>
                <w:highlight w:val="none"/>
              </w:rPr>
              <w:t>-1  建设项目</w:t>
            </w:r>
            <w:r>
              <w:rPr>
                <w:rFonts w:hint="eastAsia"/>
                <w:b/>
                <w:kern w:val="0"/>
                <w:sz w:val="24"/>
                <w:highlight w:val="none"/>
              </w:rPr>
              <w:t>全厂</w:t>
            </w:r>
            <w:r>
              <w:rPr>
                <w:b/>
                <w:kern w:val="0"/>
                <w:sz w:val="24"/>
                <w:highlight w:val="none"/>
              </w:rPr>
              <w:t>水平衡图</w:t>
            </w:r>
            <w:r>
              <w:rPr>
                <w:rFonts w:hint="eastAsia"/>
                <w:b/>
                <w:kern w:val="0"/>
                <w:sz w:val="24"/>
                <w:highlight w:val="none"/>
              </w:rPr>
              <w:t>（</w:t>
            </w:r>
            <w:r>
              <w:rPr>
                <w:rFonts w:hint="eastAsia"/>
                <w:b/>
                <w:kern w:val="0"/>
                <w:sz w:val="24"/>
                <w:highlight w:val="none"/>
                <w:lang w:val="en-US" w:eastAsia="zh-CN"/>
              </w:rPr>
              <w:t>t</w:t>
            </w:r>
            <w:r>
              <w:rPr>
                <w:rFonts w:hint="eastAsia"/>
                <w:b/>
                <w:kern w:val="0"/>
                <w:sz w:val="24"/>
                <w:highlight w:val="none"/>
              </w:rPr>
              <w:t>/d）</w:t>
            </w:r>
          </w:p>
          <w:p>
            <w:pPr>
              <w:tabs>
                <w:tab w:val="left" w:pos="0"/>
                <w:tab w:val="left" w:pos="3600"/>
              </w:tabs>
              <w:spacing w:line="360" w:lineRule="auto"/>
              <w:jc w:val="both"/>
              <w:rPr>
                <w:rFonts w:hint="eastAsia"/>
                <w:b/>
                <w:kern w:val="0"/>
                <w:sz w:val="24"/>
                <w:highlight w:val="yellow"/>
                <w:lang w:val="en-US" w:eastAsia="zh-CN"/>
              </w:rPr>
            </w:pPr>
          </w:p>
          <w:p>
            <w:pPr>
              <w:spacing w:line="360" w:lineRule="auto"/>
              <w:jc w:val="left"/>
              <w:rPr>
                <w:rFonts w:hint="eastAsia" w:ascii="宋体" w:hAnsi="宋体"/>
                <w:b/>
                <w:color w:val="000000" w:themeColor="text1"/>
                <w:sz w:val="28"/>
                <w:szCs w:val="28"/>
                <w:highlight w:val="none"/>
                <w14:textFill>
                  <w14:solidFill>
                    <w14:schemeClr w14:val="tx1"/>
                  </w14:solidFill>
                </w14:textFill>
              </w:rPr>
            </w:pPr>
            <w:r>
              <w:rPr>
                <w:rFonts w:hint="eastAsia" w:ascii="宋体" w:hAnsi="宋体"/>
                <w:b/>
                <w:sz w:val="28"/>
                <w:szCs w:val="28"/>
                <w:highlight w:val="none"/>
              </w:rPr>
              <w:t>4</w:t>
            </w:r>
            <w:r>
              <w:rPr>
                <w:rFonts w:hint="eastAsia" w:ascii="宋体" w:hAnsi="宋体"/>
                <w:b/>
                <w:color w:val="000000" w:themeColor="text1"/>
                <w:sz w:val="28"/>
                <w:szCs w:val="28"/>
                <w:highlight w:val="none"/>
                <w14:textFill>
                  <w14:solidFill>
                    <w14:schemeClr w14:val="tx1"/>
                  </w14:solidFill>
                </w14:textFill>
              </w:rPr>
              <w:t>、项目变动情况</w:t>
            </w:r>
          </w:p>
          <w:tbl>
            <w:tblPr>
              <w:tblStyle w:val="33"/>
              <w:tblpPr w:leftFromText="180" w:rightFromText="180" w:vertAnchor="text" w:horzAnchor="page" w:tblpX="216" w:tblpY="12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95"/>
              <w:gridCol w:w="3705"/>
              <w:gridCol w:w="23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95" w:type="dxa"/>
                  <w:shd w:val="clear" w:color="auto" w:fill="auto"/>
                  <w:vAlign w:val="center"/>
                </w:tcPr>
                <w:p>
                  <w:pPr>
                    <w:jc w:val="center"/>
                    <w:rPr>
                      <w:rFonts w:ascii="宋体" w:hAnsi="宋体"/>
                      <w:b/>
                      <w:sz w:val="24"/>
                      <w:szCs w:val="24"/>
                    </w:rPr>
                  </w:pPr>
                  <w:r>
                    <w:rPr>
                      <w:rFonts w:hint="eastAsia" w:ascii="宋体" w:hAnsi="宋体"/>
                      <w:b/>
                      <w:sz w:val="24"/>
                      <w:szCs w:val="24"/>
                    </w:rPr>
                    <w:t>环评及批复要求</w:t>
                  </w:r>
                </w:p>
              </w:tc>
              <w:tc>
                <w:tcPr>
                  <w:tcW w:w="3705" w:type="dxa"/>
                  <w:shd w:val="clear" w:color="auto" w:fill="auto"/>
                  <w:vAlign w:val="center"/>
                </w:tcPr>
                <w:p>
                  <w:pPr>
                    <w:jc w:val="center"/>
                    <w:rPr>
                      <w:rFonts w:ascii="宋体" w:hAnsi="宋体"/>
                      <w:b/>
                      <w:sz w:val="24"/>
                      <w:szCs w:val="24"/>
                    </w:rPr>
                  </w:pPr>
                  <w:r>
                    <w:rPr>
                      <w:rFonts w:hint="eastAsia" w:ascii="宋体" w:hAnsi="宋体"/>
                      <w:b/>
                      <w:sz w:val="24"/>
                      <w:szCs w:val="24"/>
                    </w:rPr>
                    <w:t>实际情况</w:t>
                  </w:r>
                </w:p>
              </w:tc>
              <w:tc>
                <w:tcPr>
                  <w:tcW w:w="2387" w:type="dxa"/>
                  <w:shd w:val="clear" w:color="auto" w:fill="auto"/>
                  <w:vAlign w:val="center"/>
                </w:tcPr>
                <w:p>
                  <w:pPr>
                    <w:jc w:val="center"/>
                    <w:rPr>
                      <w:rFonts w:ascii="宋体" w:hAnsi="宋体"/>
                      <w:b/>
                      <w:sz w:val="24"/>
                      <w:szCs w:val="24"/>
                    </w:rPr>
                  </w:pPr>
                  <w:r>
                    <w:rPr>
                      <w:rFonts w:hint="eastAsia" w:ascii="宋体" w:hAnsi="宋体"/>
                      <w:b/>
                      <w:sz w:val="24"/>
                      <w:szCs w:val="24"/>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95" w:type="dxa"/>
                  <w:shd w:val="clear" w:color="auto" w:fill="auto"/>
                  <w:vAlign w:val="center"/>
                </w:tcPr>
                <w:p>
                  <w:pPr>
                    <w:spacing w:line="300" w:lineRule="exact"/>
                    <w:jc w:val="center"/>
                    <w:rPr>
                      <w:rFonts w:ascii="宋体" w:hAnsi="宋体" w:cs="黑体"/>
                      <w:color w:val="000000"/>
                      <w:kern w:val="0"/>
                      <w:sz w:val="21"/>
                      <w:szCs w:val="21"/>
                      <w:highlight w:val="yellow"/>
                    </w:rPr>
                  </w:pPr>
                  <w:r>
                    <w:rPr>
                      <w:rFonts w:hint="eastAsia" w:ascii="Times New Roman" w:hAnsi="Times New Roman" w:eastAsia="宋体" w:cs="Times New Roman"/>
                      <w:sz w:val="21"/>
                      <w:szCs w:val="21"/>
                      <w:highlight w:val="none"/>
                      <w:lang w:val="en-US" w:eastAsia="zh-CN"/>
                    </w:rPr>
                    <w:t xml:space="preserve"> </w:t>
                  </w:r>
                  <w:r>
                    <w:rPr>
                      <w:rFonts w:hint="eastAsia" w:ascii="Times New Roman" w:hAnsi="Times New Roman" w:eastAsia="宋体" w:cs="Times New Roman"/>
                      <w:sz w:val="21"/>
                      <w:szCs w:val="21"/>
                      <w:highlight w:val="none"/>
                      <w:lang w:eastAsia="zh-CN"/>
                    </w:rPr>
                    <w:t>生物质锅炉产生的废气经陶瓷多管除尘器处理后外排、破碎及配料搅拌工序废气经除尘器处理后以无组织形式外排</w:t>
                  </w:r>
                </w:p>
              </w:tc>
              <w:tc>
                <w:tcPr>
                  <w:tcW w:w="3705" w:type="dxa"/>
                  <w:shd w:val="clear" w:color="auto" w:fill="auto"/>
                  <w:vAlign w:val="center"/>
                </w:tcPr>
                <w:p>
                  <w:pPr>
                    <w:spacing w:line="300" w:lineRule="exact"/>
                    <w:jc w:val="center"/>
                    <w:rPr>
                      <w:rFonts w:ascii="宋体" w:hAnsi="宋体"/>
                      <w:kern w:val="24"/>
                      <w:sz w:val="21"/>
                      <w:szCs w:val="21"/>
                      <w:highlight w:val="yellow"/>
                    </w:rPr>
                  </w:pPr>
                  <w:r>
                    <w:rPr>
                      <w:rFonts w:hint="eastAsia" w:ascii="Times New Roman" w:hAnsi="Times New Roman" w:eastAsia="宋体" w:cs="Times New Roman"/>
                      <w:sz w:val="21"/>
                      <w:szCs w:val="21"/>
                      <w:highlight w:val="none"/>
                      <w:lang w:val="en-US" w:eastAsia="zh-CN"/>
                    </w:rPr>
                    <w:t xml:space="preserve">  </w:t>
                  </w:r>
                  <w:r>
                    <w:rPr>
                      <w:rFonts w:hint="eastAsia" w:ascii="Times New Roman" w:hAnsi="Times New Roman" w:eastAsia="宋体" w:cs="Times New Roman"/>
                      <w:sz w:val="21"/>
                      <w:szCs w:val="21"/>
                      <w:highlight w:val="none"/>
                      <w:lang w:eastAsia="zh-CN"/>
                    </w:rPr>
                    <w:t>锅炉产生的</w:t>
                  </w:r>
                  <w:r>
                    <w:rPr>
                      <w:rFonts w:hint="eastAsia" w:cs="Times New Roman"/>
                      <w:sz w:val="21"/>
                      <w:szCs w:val="21"/>
                      <w:highlight w:val="none"/>
                      <w:lang w:val="en-US" w:eastAsia="zh-CN"/>
                    </w:rPr>
                    <w:t>烟尘</w:t>
                  </w:r>
                  <w:r>
                    <w:rPr>
                      <w:rFonts w:hint="eastAsia" w:ascii="Times New Roman" w:hAnsi="Times New Roman" w:eastAsia="宋体" w:cs="Times New Roman"/>
                      <w:sz w:val="21"/>
                      <w:szCs w:val="21"/>
                      <w:highlight w:val="none"/>
                      <w:lang w:eastAsia="zh-CN"/>
                    </w:rPr>
                    <w:t>经</w:t>
                  </w:r>
                  <w:r>
                    <w:rPr>
                      <w:rFonts w:hint="eastAsia" w:cs="Times New Roman"/>
                      <w:sz w:val="21"/>
                      <w:szCs w:val="21"/>
                      <w:highlight w:val="none"/>
                      <w:lang w:val="en-US" w:eastAsia="zh-CN"/>
                    </w:rPr>
                    <w:t>脉冲式布袋</w:t>
                  </w:r>
                  <w:r>
                    <w:rPr>
                      <w:rFonts w:hint="eastAsia" w:ascii="Times New Roman" w:hAnsi="Times New Roman" w:eastAsia="宋体" w:cs="Times New Roman"/>
                      <w:sz w:val="21"/>
                      <w:szCs w:val="21"/>
                      <w:highlight w:val="none"/>
                      <w:lang w:eastAsia="zh-CN"/>
                    </w:rPr>
                    <w:t>除尘器处理后</w:t>
                  </w:r>
                  <w:r>
                    <w:rPr>
                      <w:rFonts w:hint="eastAsia" w:cs="Times New Roman"/>
                      <w:sz w:val="21"/>
                      <w:szCs w:val="21"/>
                      <w:highlight w:val="none"/>
                      <w:lang w:val="en-US" w:eastAsia="zh-CN"/>
                    </w:rPr>
                    <w:t>由30米高1#排气筒排放；</w:t>
                  </w:r>
                  <w:r>
                    <w:rPr>
                      <w:rFonts w:hint="eastAsia" w:ascii="Times New Roman" w:hAnsi="Times New Roman" w:eastAsia="宋体" w:cs="Times New Roman"/>
                      <w:sz w:val="21"/>
                      <w:szCs w:val="21"/>
                      <w:highlight w:val="none"/>
                      <w:lang w:eastAsia="zh-CN"/>
                    </w:rPr>
                    <w:t>破碎</w:t>
                  </w:r>
                  <w:r>
                    <w:rPr>
                      <w:rFonts w:hint="eastAsia" w:cs="Times New Roman"/>
                      <w:sz w:val="21"/>
                      <w:szCs w:val="21"/>
                      <w:highlight w:val="none"/>
                      <w:lang w:val="en-US" w:eastAsia="zh-CN"/>
                    </w:rPr>
                    <w:t>产生的粉尘经脉冲式布袋除尘器处理后由15米高2#排气筒排放；</w:t>
                  </w:r>
                  <w:r>
                    <w:rPr>
                      <w:rFonts w:hint="eastAsia" w:ascii="Times New Roman" w:hAnsi="Times New Roman" w:eastAsia="宋体" w:cs="Times New Roman"/>
                      <w:sz w:val="21"/>
                      <w:szCs w:val="21"/>
                      <w:highlight w:val="none"/>
                      <w:lang w:eastAsia="zh-CN"/>
                    </w:rPr>
                    <w:t>配料搅拌工序废气</w:t>
                  </w:r>
                  <w:r>
                    <w:rPr>
                      <w:rFonts w:hint="eastAsia" w:ascii="Times New Roman" w:hAnsi="Times New Roman" w:eastAsia="宋体" w:cs="Times New Roman"/>
                      <w:sz w:val="21"/>
                      <w:szCs w:val="21"/>
                      <w:highlight w:val="none"/>
                      <w:lang w:val="en-US" w:eastAsia="zh-CN"/>
                    </w:rPr>
                    <w:t>经脉冲式布袋除尘器</w:t>
                  </w:r>
                  <w:r>
                    <w:rPr>
                      <w:rFonts w:hint="eastAsia" w:ascii="Times New Roman" w:hAnsi="Times New Roman" w:eastAsia="宋体" w:cs="Times New Roman"/>
                      <w:sz w:val="21"/>
                      <w:szCs w:val="21"/>
                      <w:highlight w:val="none"/>
                      <w:lang w:eastAsia="zh-CN"/>
                    </w:rPr>
                    <w:t>处理后以无组织形式外排</w:t>
                  </w:r>
                </w:p>
              </w:tc>
              <w:tc>
                <w:tcPr>
                  <w:tcW w:w="2387" w:type="dxa"/>
                  <w:shd w:val="clear" w:color="auto" w:fill="auto"/>
                  <w:vAlign w:val="center"/>
                </w:tcPr>
                <w:p>
                  <w:pPr>
                    <w:spacing w:line="276" w:lineRule="auto"/>
                    <w:jc w:val="center"/>
                    <w:rPr>
                      <w:rFonts w:ascii="宋体" w:hAnsi="宋体"/>
                      <w:color w:val="000000"/>
                      <w:sz w:val="21"/>
                      <w:szCs w:val="21"/>
                    </w:rPr>
                  </w:pPr>
                  <w:r>
                    <w:rPr>
                      <w:rFonts w:ascii="宋体" w:hAnsi="宋体"/>
                      <w:color w:val="000000"/>
                      <w:sz w:val="21"/>
                      <w:szCs w:val="21"/>
                    </w:rPr>
                    <w:t>对照</w:t>
                  </w:r>
                  <w:r>
                    <w:rPr>
                      <w:rFonts w:hint="eastAsia" w:ascii="宋体" w:hAnsi="宋体"/>
                      <w:color w:val="000000"/>
                      <w:sz w:val="21"/>
                      <w:szCs w:val="21"/>
                      <w:lang w:val="en-US" w:eastAsia="zh-CN"/>
                    </w:rPr>
                    <w:t>环评</w:t>
                  </w:r>
                  <w:r>
                    <w:rPr>
                      <w:rFonts w:ascii="宋体" w:hAnsi="宋体"/>
                      <w:color w:val="000000"/>
                      <w:sz w:val="21"/>
                      <w:szCs w:val="21"/>
                    </w:rPr>
                    <w:t>批复</w:t>
                  </w:r>
                  <w:r>
                    <w:rPr>
                      <w:rFonts w:hint="eastAsia" w:ascii="宋体" w:hAnsi="宋体"/>
                      <w:color w:val="000000"/>
                      <w:sz w:val="21"/>
                      <w:szCs w:val="21"/>
                      <w:lang w:val="en-US" w:eastAsia="zh-CN"/>
                    </w:rPr>
                    <w:t>及后评价</w:t>
                  </w:r>
                  <w:r>
                    <w:rPr>
                      <w:rFonts w:hint="eastAsia" w:ascii="宋体" w:hAnsi="宋体"/>
                      <w:color w:val="000000"/>
                      <w:sz w:val="21"/>
                      <w:szCs w:val="21"/>
                    </w:rPr>
                    <w:t>，</w:t>
                  </w:r>
                  <w:r>
                    <w:rPr>
                      <w:rFonts w:ascii="宋体" w:hAnsi="宋体"/>
                      <w:color w:val="000000"/>
                      <w:sz w:val="21"/>
                      <w:szCs w:val="21"/>
                    </w:rPr>
                    <w:t>本项目</w:t>
                  </w:r>
                  <w:r>
                    <w:rPr>
                      <w:rFonts w:hint="eastAsia" w:ascii="宋体" w:hAnsi="宋体"/>
                      <w:color w:val="000000"/>
                      <w:sz w:val="21"/>
                      <w:szCs w:val="21"/>
                    </w:rPr>
                    <w:t>建成部分</w:t>
                  </w:r>
                  <w:r>
                    <w:rPr>
                      <w:rFonts w:ascii="宋体" w:hAnsi="宋体"/>
                      <w:color w:val="000000"/>
                      <w:sz w:val="21"/>
                      <w:szCs w:val="21"/>
                    </w:rPr>
                    <w:t>建设内容与环评</w:t>
                  </w:r>
                  <w:r>
                    <w:rPr>
                      <w:rFonts w:hint="eastAsia" w:ascii="宋体" w:hAnsi="宋体"/>
                      <w:color w:val="000000"/>
                      <w:sz w:val="21"/>
                      <w:szCs w:val="21"/>
                    </w:rPr>
                    <w:t>及批复</w:t>
                  </w:r>
                  <w:r>
                    <w:rPr>
                      <w:rFonts w:hint="eastAsia" w:ascii="宋体" w:hAnsi="宋体"/>
                      <w:color w:val="000000"/>
                      <w:sz w:val="21"/>
                      <w:szCs w:val="21"/>
                      <w:lang w:val="en-US" w:eastAsia="zh-CN"/>
                    </w:rPr>
                    <w:t>对比优化了废气处理设施</w:t>
                  </w:r>
                  <w:r>
                    <w:rPr>
                      <w:rFonts w:hint="eastAsia" w:ascii="宋体" w:hAnsi="宋体"/>
                      <w:color w:val="000000"/>
                      <w:sz w:val="21"/>
                      <w:szCs w:val="21"/>
                    </w:rPr>
                    <w:t>，</w:t>
                  </w:r>
                  <w:r>
                    <w:rPr>
                      <w:rFonts w:hint="eastAsia" w:ascii="宋体" w:hAnsi="宋体"/>
                      <w:color w:val="000000"/>
                      <w:sz w:val="21"/>
                      <w:szCs w:val="21"/>
                      <w:lang w:val="en-US" w:eastAsia="zh-CN"/>
                    </w:rPr>
                    <w:t>项目</w:t>
                  </w:r>
                  <w:r>
                    <w:rPr>
                      <w:rFonts w:hint="eastAsia" w:ascii="宋体" w:hAnsi="宋体"/>
                      <w:color w:val="000000"/>
                      <w:sz w:val="21"/>
                      <w:szCs w:val="21"/>
                    </w:rPr>
                    <w:t>无重大变动。</w:t>
                  </w:r>
                </w:p>
              </w:tc>
            </w:tr>
          </w:tbl>
          <w:p>
            <w:pPr>
              <w:spacing w:line="360" w:lineRule="auto"/>
              <w:jc w:val="left"/>
              <w:rPr>
                <w:rFonts w:hint="eastAsia" w:ascii="宋体" w:hAnsi="宋体"/>
                <w:b/>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pPr>
            <w:r>
              <w:rPr>
                <w:rFonts w:hint="eastAsia"/>
              </w:rPr>
              <w:t>主要工艺流程及产物环节：</w:t>
            </w:r>
          </w:p>
          <w:p>
            <w:pPr>
              <w:spacing w:line="360" w:lineRule="auto"/>
              <w:ind w:left="480"/>
              <w:jc w:val="left"/>
            </w:pPr>
            <w:r>
              <w:rPr>
                <w:rFonts w:hint="eastAsia"/>
              </w:rPr>
              <w:t>工艺流程如下图所示</w:t>
            </w:r>
          </w:p>
          <w:p>
            <w:pPr>
              <w:spacing w:line="360" w:lineRule="auto"/>
              <w:jc w:val="center"/>
            </w:pPr>
            <w:r>
              <w:drawing>
                <wp:inline distT="0" distB="0" distL="114300" distR="114300">
                  <wp:extent cx="5269865" cy="4659630"/>
                  <wp:effectExtent l="0" t="0" r="6985" b="7620"/>
                  <wp:docPr id="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
                          <pic:cNvPicPr>
                            <a:picLocks noChangeAspect="1"/>
                          </pic:cNvPicPr>
                        </pic:nvPicPr>
                        <pic:blipFill>
                          <a:blip r:embed="rId9"/>
                          <a:stretch>
                            <a:fillRect/>
                          </a:stretch>
                        </pic:blipFill>
                        <pic:spPr>
                          <a:xfrm>
                            <a:off x="0" y="0"/>
                            <a:ext cx="5269865" cy="4659630"/>
                          </a:xfrm>
                          <a:prstGeom prst="rect">
                            <a:avLst/>
                          </a:prstGeom>
                          <a:noFill/>
                          <a:ln>
                            <a:noFill/>
                          </a:ln>
                        </pic:spPr>
                      </pic:pic>
                    </a:graphicData>
                  </a:graphic>
                </wp:inline>
              </w:drawing>
            </w:r>
          </w:p>
          <w:p>
            <w:pPr>
              <w:tabs>
                <w:tab w:val="left" w:pos="0"/>
                <w:tab w:val="left" w:pos="3600"/>
              </w:tabs>
              <w:spacing w:line="360" w:lineRule="auto"/>
              <w:jc w:val="center"/>
            </w:pPr>
            <w:r>
              <w:t>图</w:t>
            </w:r>
            <w:r>
              <w:rPr>
                <w:rFonts w:hint="eastAsia"/>
              </w:rPr>
              <w:t>2</w:t>
            </w:r>
            <w:r>
              <w:t xml:space="preserve">-2  </w:t>
            </w:r>
            <w:r>
              <w:rPr>
                <w:rFonts w:hint="eastAsia"/>
              </w:rPr>
              <w:t>生产工艺流程图及产污节点图</w:t>
            </w:r>
          </w:p>
          <w:p>
            <w:pPr>
              <w:tabs>
                <w:tab w:val="left" w:pos="601"/>
              </w:tabs>
              <w:spacing w:line="360" w:lineRule="auto"/>
              <w:rPr>
                <w:rFonts w:hint="eastAsia"/>
                <w:sz w:val="24"/>
                <w:szCs w:val="24"/>
                <w:lang w:eastAsia="zh-CN"/>
              </w:rPr>
            </w:pPr>
            <w:r>
              <w:rPr>
                <w:sz w:val="24"/>
                <w:szCs w:val="24"/>
              </w:rPr>
              <w:t>工艺流程说明</w:t>
            </w:r>
            <w:r>
              <w:rPr>
                <w:rFonts w:hint="eastAsia"/>
                <w:sz w:val="24"/>
                <w:szCs w:val="24"/>
              </w:rPr>
              <w:t>简述</w:t>
            </w:r>
            <w:r>
              <w:rPr>
                <w:rFonts w:hint="eastAsia"/>
                <w:sz w:val="24"/>
                <w:szCs w:val="24"/>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val="0"/>
              <w:snapToGrid/>
              <w:spacing w:line="500" w:lineRule="exact"/>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原材料储存及制备</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00" w:lineRule="exact"/>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电石泥</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480" w:firstLineChars="200"/>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bidi="ar-SA"/>
              </w:rPr>
              <w:t>块状电石泥由自卸汽车运入场内，倒入破碎机收料斗，有一台颚式破碎机破碎成粒径≤25mm的</w:t>
            </w:r>
            <w:r>
              <w:rPr>
                <w:rFonts w:hint="eastAsia" w:ascii="Times New Roman" w:hAnsi="Times New Roman" w:eastAsia="宋体" w:cs="Times New Roman"/>
                <w:color w:val="000000"/>
                <w:sz w:val="24"/>
                <w:szCs w:val="24"/>
                <w:highlight w:val="none"/>
                <w:lang w:val="en-US" w:eastAsia="zh-CN" w:bidi="ar-SA"/>
              </w:rPr>
              <w:t>石灰</w:t>
            </w:r>
            <w:r>
              <w:rPr>
                <w:rFonts w:hint="default" w:ascii="Times New Roman" w:hAnsi="Times New Roman" w:eastAsia="宋体" w:cs="Times New Roman"/>
                <w:color w:val="000000"/>
                <w:sz w:val="24"/>
                <w:szCs w:val="24"/>
                <w:highlight w:val="none"/>
                <w:lang w:val="en-US" w:eastAsia="zh-CN" w:bidi="ar-SA"/>
              </w:rPr>
              <w:t>颗粒，经斗式提升机送入生石灰库内储存。库内的</w:t>
            </w:r>
            <w:r>
              <w:rPr>
                <w:rFonts w:hint="eastAsia" w:ascii="Times New Roman" w:hAnsi="Times New Roman" w:eastAsia="宋体" w:cs="Times New Roman"/>
                <w:color w:val="000000"/>
                <w:sz w:val="24"/>
                <w:szCs w:val="24"/>
                <w:highlight w:val="none"/>
                <w:lang w:val="en-US" w:eastAsia="zh-CN" w:bidi="ar-SA"/>
              </w:rPr>
              <w:t>石灰</w:t>
            </w:r>
            <w:r>
              <w:rPr>
                <w:rFonts w:hint="default" w:ascii="Times New Roman" w:hAnsi="Times New Roman" w:eastAsia="宋体" w:cs="Times New Roman"/>
                <w:color w:val="000000"/>
                <w:sz w:val="24"/>
                <w:szCs w:val="24"/>
                <w:highlight w:val="none"/>
                <w:lang w:val="en-US" w:eastAsia="zh-CN" w:bidi="ar-SA"/>
              </w:rPr>
              <w:t>经皮带给料机定量向球磨机送料磨成石灰粉，当物料细度达到3500-4000cm</w:t>
            </w:r>
            <w:r>
              <w:rPr>
                <w:rFonts w:hint="default" w:ascii="Times New Roman" w:hAnsi="Times New Roman" w:eastAsia="宋体" w:cs="Times New Roman"/>
                <w:color w:val="000000"/>
                <w:sz w:val="24"/>
                <w:szCs w:val="24"/>
                <w:highlight w:val="none"/>
                <w:vertAlign w:val="superscript"/>
                <w:lang w:val="en-US" w:eastAsia="zh-CN" w:bidi="ar-SA"/>
              </w:rPr>
              <w:t>2</w:t>
            </w:r>
            <w:r>
              <w:rPr>
                <w:rFonts w:hint="default" w:ascii="Times New Roman" w:hAnsi="Times New Roman" w:eastAsia="宋体" w:cs="Times New Roman"/>
                <w:color w:val="000000"/>
                <w:sz w:val="24"/>
                <w:szCs w:val="24"/>
                <w:highlight w:val="none"/>
                <w:lang w:val="en-US" w:eastAsia="zh-CN" w:bidi="ar-SA"/>
              </w:rPr>
              <w:t>/g后，经螺旋输送机、斗式提升机送至配料楼旁电石泥仓中储存待用。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rPr>
                <w:rFonts w:hint="default"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2、砂石</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480" w:firstLineChars="200"/>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各类砂石由汽车运入场内，倒放在堆棚内。</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3、脱硫石膏</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480" w:firstLineChars="200"/>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脱硫石膏由汽车运入厂内，堆放在堆棚内，由铲车倒入湿粉煤灰配料机储料斗中储存待用。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 xml:space="preserve">  二、配料搅拌工段</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480" w:firstLineChars="200"/>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储存在三斗配料机储料斗内的电石泥、砂原料，经各自皮带机送入计量程计量后，通过出料皮带输送至搅拌机上的储料斗内，储存在配料楼旁生石灰仓的粉料，按照配比要求由螺旋输送机给料，经计量秤斗计量后待用。生产时打开储料斗生石灰计量秤卸料阀门的顺序依次泻入立式紊流搅拌机内，进行强力搅拌，搅持后的混合料通过振动筛筛选后送入消化仓，消化时间约23h.消化好的混合料再通过轮碾机碾压混拌.经混拌后的混合料用皮带机送入成型机受料斗。</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480" w:firstLineChars="200"/>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三、砖坯成型</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480" w:firstLineChars="200"/>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成型机受料斗将混合料喂入压机模具，经压制成为砌砖，每次成型36块标砖，成型周期约为1-15s，砖坯经压机传送皮带机送至码垛机，由码垛机将砖坯码放在蒸压小车上。</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480" w:firstLineChars="200"/>
              <w:rPr>
                <w:rFonts w:hint="eastAsia" w:ascii="Times New Roman" w:hAnsi="Times New Roman" w:eastAsia="宋体" w:cs="Times New Roman"/>
                <w:color w:val="000000"/>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bidi="ar-SA"/>
              </w:rPr>
              <w:t>四、蒸压养护</w:t>
            </w:r>
          </w:p>
          <w:p>
            <w:pPr>
              <w:tabs>
                <w:tab w:val="left" w:pos="601"/>
              </w:tabs>
              <w:spacing w:line="360" w:lineRule="auto"/>
              <w:ind w:firstLine="480" w:firstLineChars="200"/>
              <w:rPr>
                <w:rFonts w:hint="eastAsia"/>
                <w:lang w:val="en-US" w:eastAsia="zh-CN"/>
              </w:rPr>
            </w:pPr>
            <w:r>
              <w:rPr>
                <w:rFonts w:hint="eastAsia" w:ascii="Times New Roman" w:hAnsi="Times New Roman" w:eastAsia="宋体" w:cs="Times New Roman"/>
                <w:color w:val="000000"/>
                <w:sz w:val="24"/>
                <w:szCs w:val="24"/>
                <w:highlight w:val="none"/>
                <w:lang w:val="en-US" w:eastAsia="zh-CN" w:bidi="ar-SA"/>
              </w:rPr>
              <w:t>码好砖坯的蒸压小车由摆波车移至釜前编组轨道，摆渡车顶推机构将蒸养小车顶至蒸压釜前轨道，轨道上停放22辆蒸压小车后再由釜后移动式卷扬机拉入蒸压釜内进行养护。</w:t>
            </w:r>
          </w:p>
          <w:p>
            <w:pPr>
              <w:tabs>
                <w:tab w:val="left" w:pos="601"/>
              </w:tabs>
              <w:spacing w:line="360" w:lineRule="auto"/>
              <w:ind w:firstLine="420" w:firstLineChars="200"/>
              <w:rPr>
                <w:rFonts w:hint="eastAsia"/>
                <w:lang w:val="en-US" w:eastAsia="zh-CN"/>
              </w:rPr>
            </w:pPr>
          </w:p>
          <w:p>
            <w:pPr>
              <w:tabs>
                <w:tab w:val="left" w:pos="601"/>
              </w:tabs>
              <w:spacing w:line="360" w:lineRule="auto"/>
              <w:ind w:firstLine="420" w:firstLineChars="200"/>
              <w:rPr>
                <w:rFonts w:hint="eastAsia"/>
                <w:lang w:val="en-US" w:eastAsia="zh-CN"/>
              </w:rPr>
            </w:pPr>
          </w:p>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042"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主要污染源、污染物处理和排放：</w:t>
            </w:r>
          </w:p>
          <w:p>
            <w:pPr>
              <w:spacing w:line="360" w:lineRule="auto"/>
              <w:jc w:val="left"/>
              <w:rPr>
                <w:rFonts w:ascii="宋体" w:hAnsi="宋体"/>
                <w:b/>
                <w:sz w:val="28"/>
                <w:szCs w:val="28"/>
                <w:highlight w:val="none"/>
              </w:rPr>
            </w:pPr>
            <w:r>
              <w:rPr>
                <w:rFonts w:hint="eastAsia" w:ascii="宋体" w:hAnsi="宋体"/>
                <w:b/>
                <w:sz w:val="28"/>
                <w:szCs w:val="28"/>
                <w:highlight w:val="none"/>
              </w:rPr>
              <w:t>1、废水</w:t>
            </w:r>
          </w:p>
          <w:p>
            <w:pPr>
              <w:adjustRightInd w:val="0"/>
              <w:spacing w:line="360" w:lineRule="auto"/>
              <w:ind w:firstLine="480" w:firstLineChars="200"/>
              <w:rPr>
                <w:rFonts w:hint="eastAsia" w:ascii="宋体" w:hAnsi="宋体" w:cs="宋体"/>
                <w:kern w:val="0"/>
                <w:sz w:val="24"/>
                <w:highlight w:val="none"/>
                <w:lang w:val="en-US" w:eastAsia="zh-CN"/>
              </w:rPr>
            </w:pPr>
            <w:r>
              <w:rPr>
                <w:rFonts w:hint="eastAsia" w:ascii="宋体" w:hAnsi="宋体" w:cs="宋体"/>
                <w:kern w:val="0"/>
                <w:sz w:val="24"/>
                <w:highlight w:val="none"/>
                <w:lang w:val="en-US" w:eastAsia="zh-CN"/>
              </w:rPr>
              <w:t>项目废水主要为生活废水和生产废水。</w:t>
            </w:r>
          </w:p>
          <w:p>
            <w:pPr>
              <w:adjustRightInd w:val="0"/>
              <w:spacing w:line="360" w:lineRule="auto"/>
              <w:ind w:firstLine="480" w:firstLineChars="200"/>
              <w:rPr>
                <w:rFonts w:ascii="宋体" w:hAnsi="宋体" w:cs="宋体"/>
                <w:kern w:val="0"/>
                <w:sz w:val="24"/>
                <w:highlight w:val="yellow"/>
              </w:rPr>
            </w:pPr>
            <w:r>
              <w:rPr>
                <w:rFonts w:hint="eastAsia" w:ascii="宋体" w:hAnsi="宋体" w:cs="宋体"/>
                <w:kern w:val="0"/>
                <w:sz w:val="24"/>
                <w:highlight w:val="none"/>
                <w:lang w:val="en-US" w:eastAsia="zh-CN"/>
              </w:rPr>
              <w:t>生活废水经化粪池处理后定期清掏作农肥，生产废水经沉淀池沉淀后循环使用，无废水外排。</w:t>
            </w:r>
          </w:p>
          <w:p>
            <w:pPr>
              <w:spacing w:before="156" w:beforeLines="50" w:line="360" w:lineRule="auto"/>
              <w:jc w:val="center"/>
              <w:rPr>
                <w:rFonts w:ascii="宋体" w:hAnsi="宋体"/>
                <w:b/>
                <w:sz w:val="24"/>
                <w:highlight w:val="none"/>
              </w:rPr>
            </w:pPr>
            <w:r>
              <w:rPr>
                <w:rFonts w:hint="eastAsia" w:ascii="宋体" w:hAnsi="宋体"/>
                <w:b/>
                <w:sz w:val="24"/>
                <w:highlight w:val="none"/>
              </w:rPr>
              <w:t>表3</w:t>
            </w:r>
            <w:r>
              <w:rPr>
                <w:rFonts w:ascii="宋体" w:hAnsi="宋体"/>
                <w:b/>
                <w:sz w:val="24"/>
                <w:highlight w:val="none"/>
              </w:rPr>
              <w:t>-1</w:t>
            </w:r>
            <w:r>
              <w:rPr>
                <w:rFonts w:hint="eastAsia" w:ascii="宋体" w:hAnsi="宋体"/>
                <w:b/>
                <w:sz w:val="24"/>
                <w:highlight w:val="none"/>
              </w:rPr>
              <w:t xml:space="preserve">  项目</w:t>
            </w:r>
            <w:r>
              <w:rPr>
                <w:rFonts w:ascii="宋体" w:hAnsi="宋体"/>
                <w:b/>
                <w:sz w:val="24"/>
                <w:highlight w:val="none"/>
              </w:rPr>
              <w:t>废水污染源</w:t>
            </w:r>
            <w:r>
              <w:rPr>
                <w:rFonts w:hint="eastAsia" w:ascii="宋体" w:hAnsi="宋体"/>
                <w:b/>
                <w:sz w:val="24"/>
                <w:highlight w:val="none"/>
              </w:rPr>
              <w:t>情况</w:t>
            </w:r>
          </w:p>
          <w:tbl>
            <w:tblPr>
              <w:tblStyle w:val="33"/>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b/>
                      <w:sz w:val="24"/>
                      <w:highlight w:val="none"/>
                    </w:rPr>
                  </w:pPr>
                  <w:r>
                    <w:rPr>
                      <w:rFonts w:ascii="宋体" w:hAnsi="宋体"/>
                      <w:b/>
                      <w:sz w:val="24"/>
                      <w:highlight w:val="none"/>
                    </w:rPr>
                    <w:t>废水类别</w:t>
                  </w:r>
                </w:p>
              </w:tc>
              <w:tc>
                <w:tcPr>
                  <w:tcW w:w="2835" w:type="dxa"/>
                  <w:shd w:val="clear" w:color="auto" w:fill="auto"/>
                  <w:vAlign w:val="center"/>
                </w:tcPr>
                <w:p>
                  <w:pPr>
                    <w:jc w:val="center"/>
                    <w:rPr>
                      <w:rFonts w:ascii="宋体" w:hAnsi="宋体"/>
                      <w:b/>
                      <w:sz w:val="24"/>
                      <w:highlight w:val="none"/>
                    </w:rPr>
                  </w:pPr>
                  <w:r>
                    <w:rPr>
                      <w:rFonts w:ascii="宋体" w:hAnsi="宋体"/>
                      <w:b/>
                      <w:sz w:val="24"/>
                      <w:highlight w:val="none"/>
                    </w:rPr>
                    <w:t>主要污染物</w:t>
                  </w:r>
                </w:p>
              </w:tc>
              <w:tc>
                <w:tcPr>
                  <w:tcW w:w="3897" w:type="dxa"/>
                  <w:vAlign w:val="center"/>
                </w:tcPr>
                <w:p>
                  <w:pPr>
                    <w:jc w:val="center"/>
                    <w:rPr>
                      <w:rFonts w:ascii="宋体" w:hAnsi="宋体"/>
                      <w:b/>
                      <w:sz w:val="24"/>
                      <w:highlight w:val="none"/>
                    </w:rPr>
                  </w:pPr>
                  <w:r>
                    <w:rPr>
                      <w:rFonts w:hint="eastAsia" w:ascii="宋体" w:hAnsi="宋体"/>
                      <w:b/>
                      <w:sz w:val="24"/>
                      <w:highlight w:val="none"/>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sz w:val="24"/>
                      <w:highlight w:val="none"/>
                    </w:rPr>
                  </w:pPr>
                  <w:r>
                    <w:rPr>
                      <w:rFonts w:hint="eastAsia" w:ascii="宋体" w:hAnsi="宋体" w:cs="宋体"/>
                      <w:kern w:val="0"/>
                      <w:sz w:val="24"/>
                      <w:highlight w:val="none"/>
                    </w:rPr>
                    <w:t>生活污水</w:t>
                  </w:r>
                </w:p>
              </w:tc>
              <w:tc>
                <w:tcPr>
                  <w:tcW w:w="2835" w:type="dxa"/>
                  <w:shd w:val="clear" w:color="auto" w:fill="auto"/>
                  <w:vAlign w:val="center"/>
                </w:tcPr>
                <w:p>
                  <w:pPr>
                    <w:jc w:val="center"/>
                    <w:rPr>
                      <w:rFonts w:ascii="宋体" w:hAnsi="宋体"/>
                      <w:sz w:val="24"/>
                      <w:highlight w:val="none"/>
                    </w:rPr>
                  </w:pPr>
                  <w:r>
                    <w:rPr>
                      <w:rFonts w:ascii="宋体" w:hAnsi="宋体"/>
                      <w:bCs/>
                      <w:sz w:val="24"/>
                      <w:highlight w:val="none"/>
                    </w:rPr>
                    <w:t>COD</w:t>
                  </w:r>
                  <w:r>
                    <w:rPr>
                      <w:rFonts w:ascii="宋体" w:hAnsi="宋体"/>
                      <w:bCs/>
                      <w:sz w:val="24"/>
                      <w:highlight w:val="none"/>
                      <w:lang w:val="zh-CN"/>
                    </w:rPr>
                    <w:t>、</w:t>
                  </w:r>
                  <w:r>
                    <w:rPr>
                      <w:rFonts w:hint="eastAsia" w:ascii="宋体" w:hAnsi="宋体"/>
                      <w:bCs/>
                      <w:sz w:val="24"/>
                      <w:highlight w:val="none"/>
                    </w:rPr>
                    <w:t>S</w:t>
                  </w:r>
                  <w:r>
                    <w:rPr>
                      <w:rFonts w:ascii="宋体" w:hAnsi="宋体"/>
                      <w:bCs/>
                      <w:sz w:val="24"/>
                      <w:highlight w:val="none"/>
                    </w:rPr>
                    <w:t>S</w:t>
                  </w:r>
                  <w:r>
                    <w:rPr>
                      <w:rFonts w:hint="eastAsia" w:ascii="宋体" w:hAnsi="宋体"/>
                      <w:bCs/>
                      <w:sz w:val="24"/>
                      <w:highlight w:val="none"/>
                      <w:lang w:val="zh-CN"/>
                    </w:rPr>
                    <w:t>、</w:t>
                  </w:r>
                  <w:r>
                    <w:rPr>
                      <w:rFonts w:hint="eastAsia" w:ascii="宋体" w:hAnsi="宋体"/>
                      <w:bCs/>
                      <w:sz w:val="24"/>
                      <w:highlight w:val="none"/>
                    </w:rPr>
                    <w:t>B</w:t>
                  </w:r>
                  <w:r>
                    <w:rPr>
                      <w:rFonts w:ascii="宋体" w:hAnsi="宋体"/>
                      <w:bCs/>
                      <w:sz w:val="24"/>
                      <w:highlight w:val="none"/>
                    </w:rPr>
                    <w:t>OD</w:t>
                  </w:r>
                  <w:r>
                    <w:rPr>
                      <w:rFonts w:ascii="宋体" w:hAnsi="宋体"/>
                      <w:bCs/>
                      <w:sz w:val="24"/>
                      <w:highlight w:val="none"/>
                      <w:vertAlign w:val="subscript"/>
                    </w:rPr>
                    <w:t>5</w:t>
                  </w:r>
                  <w:r>
                    <w:rPr>
                      <w:rFonts w:hint="eastAsia" w:ascii="宋体" w:hAnsi="宋体"/>
                      <w:bCs/>
                      <w:sz w:val="24"/>
                      <w:highlight w:val="none"/>
                      <w:lang w:val="zh-CN"/>
                    </w:rPr>
                    <w:t>、</w:t>
                  </w:r>
                  <w:r>
                    <w:rPr>
                      <w:rFonts w:ascii="宋体" w:hAnsi="宋体"/>
                      <w:color w:val="000000"/>
                      <w:sz w:val="24"/>
                      <w:highlight w:val="none"/>
                    </w:rPr>
                    <w:t>NH</w:t>
                  </w:r>
                  <w:r>
                    <w:rPr>
                      <w:rFonts w:ascii="宋体" w:hAnsi="宋体"/>
                      <w:color w:val="000000"/>
                      <w:sz w:val="24"/>
                      <w:highlight w:val="none"/>
                      <w:vertAlign w:val="subscript"/>
                    </w:rPr>
                    <w:t>3</w:t>
                  </w:r>
                  <w:r>
                    <w:rPr>
                      <w:rFonts w:ascii="宋体" w:hAnsi="宋体"/>
                      <w:color w:val="000000"/>
                      <w:sz w:val="24"/>
                      <w:highlight w:val="none"/>
                    </w:rPr>
                    <w:t>-N</w:t>
                  </w:r>
                  <w:r>
                    <w:rPr>
                      <w:rFonts w:hint="eastAsia" w:ascii="宋体" w:hAnsi="宋体"/>
                      <w:sz w:val="24"/>
                      <w:highlight w:val="none"/>
                    </w:rPr>
                    <w:t xml:space="preserve"> </w:t>
                  </w:r>
                </w:p>
              </w:tc>
              <w:tc>
                <w:tcPr>
                  <w:tcW w:w="3897" w:type="dxa"/>
                  <w:vAlign w:val="center"/>
                </w:tcPr>
                <w:p>
                  <w:pPr>
                    <w:jc w:val="center"/>
                    <w:rPr>
                      <w:rFonts w:hint="default" w:ascii="宋体" w:hAnsi="宋体" w:eastAsia="宋体"/>
                      <w:sz w:val="24"/>
                      <w:highlight w:val="none"/>
                      <w:lang w:val="en-US" w:eastAsia="zh-CN"/>
                    </w:rPr>
                  </w:pPr>
                  <w:r>
                    <w:rPr>
                      <w:rFonts w:hint="eastAsia" w:ascii="宋体" w:hAnsi="宋体" w:cs="宋体"/>
                      <w:kern w:val="0"/>
                      <w:sz w:val="24"/>
                      <w:highlight w:val="none"/>
                    </w:rPr>
                    <w:t>化粪池+</w:t>
                  </w:r>
                  <w:r>
                    <w:rPr>
                      <w:rFonts w:hint="eastAsia" w:ascii="宋体" w:hAnsi="宋体" w:cs="宋体"/>
                      <w:kern w:val="0"/>
                      <w:sz w:val="24"/>
                      <w:highlight w:val="none"/>
                      <w:lang w:val="en-US" w:eastAsia="zh-CN"/>
                    </w:rPr>
                    <w:t>定期清掏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生产废水</w:t>
                  </w:r>
                </w:p>
              </w:tc>
              <w:tc>
                <w:tcPr>
                  <w:tcW w:w="2835" w:type="dxa"/>
                  <w:shd w:val="clear" w:color="auto" w:fill="auto"/>
                  <w:vAlign w:val="center"/>
                </w:tcPr>
                <w:p>
                  <w:pPr>
                    <w:jc w:val="center"/>
                    <w:rPr>
                      <w:rFonts w:ascii="宋体" w:hAnsi="宋体"/>
                      <w:bCs/>
                      <w:sz w:val="24"/>
                      <w:highlight w:val="none"/>
                    </w:rPr>
                  </w:pPr>
                  <w:r>
                    <w:rPr>
                      <w:rFonts w:ascii="宋体" w:hAnsi="宋体"/>
                      <w:bCs/>
                      <w:sz w:val="24"/>
                      <w:highlight w:val="none"/>
                    </w:rPr>
                    <w:t>COD</w:t>
                  </w:r>
                  <w:r>
                    <w:rPr>
                      <w:rFonts w:ascii="宋体" w:hAnsi="宋体"/>
                      <w:bCs/>
                      <w:sz w:val="24"/>
                      <w:highlight w:val="none"/>
                      <w:lang w:val="zh-CN"/>
                    </w:rPr>
                    <w:t>、</w:t>
                  </w:r>
                  <w:r>
                    <w:rPr>
                      <w:rFonts w:hint="eastAsia" w:ascii="宋体" w:hAnsi="宋体"/>
                      <w:bCs/>
                      <w:sz w:val="24"/>
                      <w:highlight w:val="none"/>
                    </w:rPr>
                    <w:t>S</w:t>
                  </w:r>
                  <w:r>
                    <w:rPr>
                      <w:rFonts w:ascii="宋体" w:hAnsi="宋体"/>
                      <w:bCs/>
                      <w:sz w:val="24"/>
                      <w:highlight w:val="none"/>
                    </w:rPr>
                    <w:t>S</w:t>
                  </w:r>
                  <w:r>
                    <w:rPr>
                      <w:rFonts w:hint="eastAsia" w:ascii="宋体" w:hAnsi="宋体"/>
                      <w:bCs/>
                      <w:sz w:val="24"/>
                      <w:highlight w:val="none"/>
                      <w:lang w:val="zh-CN"/>
                    </w:rPr>
                    <w:t>、</w:t>
                  </w:r>
                  <w:r>
                    <w:rPr>
                      <w:rFonts w:hint="eastAsia" w:ascii="宋体" w:hAnsi="宋体"/>
                      <w:bCs/>
                      <w:sz w:val="24"/>
                      <w:highlight w:val="none"/>
                    </w:rPr>
                    <w:t>B</w:t>
                  </w:r>
                  <w:r>
                    <w:rPr>
                      <w:rFonts w:ascii="宋体" w:hAnsi="宋体"/>
                      <w:bCs/>
                      <w:sz w:val="24"/>
                      <w:highlight w:val="none"/>
                    </w:rPr>
                    <w:t>OD5</w:t>
                  </w:r>
                  <w:r>
                    <w:rPr>
                      <w:rFonts w:hint="eastAsia" w:ascii="宋体" w:hAnsi="宋体"/>
                      <w:bCs/>
                      <w:sz w:val="24"/>
                      <w:highlight w:val="none"/>
                      <w:lang w:val="zh-CN"/>
                    </w:rPr>
                    <w:t>、</w:t>
                  </w:r>
                  <w:r>
                    <w:rPr>
                      <w:rFonts w:ascii="宋体" w:hAnsi="宋体"/>
                      <w:bCs/>
                      <w:sz w:val="24"/>
                      <w:highlight w:val="none"/>
                    </w:rPr>
                    <w:t>NH</w:t>
                  </w:r>
                  <w:r>
                    <w:rPr>
                      <w:rFonts w:ascii="宋体" w:hAnsi="宋体"/>
                      <w:bCs/>
                      <w:sz w:val="24"/>
                      <w:highlight w:val="none"/>
                      <w:vertAlign w:val="subscript"/>
                    </w:rPr>
                    <w:t>3</w:t>
                  </w:r>
                  <w:r>
                    <w:rPr>
                      <w:rFonts w:ascii="宋体" w:hAnsi="宋体"/>
                      <w:bCs/>
                      <w:sz w:val="24"/>
                      <w:highlight w:val="none"/>
                    </w:rPr>
                    <w:t>-N</w:t>
                  </w:r>
                </w:p>
              </w:tc>
              <w:tc>
                <w:tcPr>
                  <w:tcW w:w="3897" w:type="dxa"/>
                  <w:vAlign w:val="center"/>
                </w:tcPr>
                <w:p>
                  <w:pPr>
                    <w:jc w:val="center"/>
                    <w:rPr>
                      <w:rFonts w:hint="default"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沉淀池+循环使用</w:t>
                  </w:r>
                </w:p>
              </w:tc>
            </w:tr>
          </w:tbl>
          <w:p>
            <w:pPr>
              <w:spacing w:line="360" w:lineRule="auto"/>
              <w:jc w:val="center"/>
              <w:rPr>
                <w:rFonts w:hint="eastAsia" w:ascii="宋体" w:hAnsi="宋体"/>
                <w:b/>
                <w:bCs w:val="0"/>
                <w:sz w:val="24"/>
                <w:szCs w:val="24"/>
                <w:lang w:val="en-US" w:eastAsia="zh-CN"/>
              </w:rPr>
            </w:pPr>
            <w:r>
              <w:rPr>
                <w:rFonts w:hint="eastAsia" w:ascii="宋体" w:hAnsi="宋体"/>
                <w:b/>
                <w:bCs w:val="0"/>
                <w:sz w:val="24"/>
                <w:szCs w:val="24"/>
                <w:lang w:val="en-US" w:eastAsia="zh-CN"/>
              </w:rPr>
              <w:drawing>
                <wp:inline distT="0" distB="0" distL="114300" distR="114300">
                  <wp:extent cx="3829685" cy="3410585"/>
                  <wp:effectExtent l="0" t="0" r="18415" b="18415"/>
                  <wp:docPr id="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
                          <pic:cNvPicPr>
                            <a:picLocks noChangeAspect="1"/>
                          </pic:cNvPicPr>
                        </pic:nvPicPr>
                        <pic:blipFill>
                          <a:blip r:embed="rId10"/>
                          <a:stretch>
                            <a:fillRect/>
                          </a:stretch>
                        </pic:blipFill>
                        <pic:spPr>
                          <a:xfrm>
                            <a:off x="0" y="0"/>
                            <a:ext cx="3829685" cy="3410585"/>
                          </a:xfrm>
                          <a:prstGeom prst="rect">
                            <a:avLst/>
                          </a:prstGeom>
                          <a:noFill/>
                          <a:ln>
                            <a:noFill/>
                          </a:ln>
                        </pic:spPr>
                      </pic:pic>
                    </a:graphicData>
                  </a:graphic>
                </wp:inline>
              </w:drawing>
            </w:r>
          </w:p>
          <w:p>
            <w:pPr>
              <w:spacing w:line="360" w:lineRule="auto"/>
              <w:jc w:val="center"/>
              <w:rPr>
                <w:rFonts w:hint="eastAsia" w:ascii="宋体" w:hAnsi="宋体"/>
                <w:b/>
                <w:sz w:val="28"/>
                <w:szCs w:val="28"/>
              </w:rPr>
            </w:pPr>
            <w:r>
              <w:rPr>
                <w:rFonts w:hint="eastAsia" w:ascii="宋体" w:hAnsi="宋体"/>
                <w:b/>
                <w:bCs w:val="0"/>
                <w:sz w:val="24"/>
                <w:szCs w:val="24"/>
                <w:lang w:val="en-US" w:eastAsia="zh-CN"/>
              </w:rPr>
              <w:t>图3-1 沉淀池</w:t>
            </w:r>
          </w:p>
          <w:p>
            <w:pPr>
              <w:spacing w:line="360" w:lineRule="auto"/>
              <w:jc w:val="left"/>
              <w:rPr>
                <w:rFonts w:ascii="宋体" w:hAnsi="宋体"/>
                <w:b/>
                <w:sz w:val="28"/>
                <w:szCs w:val="28"/>
              </w:rPr>
            </w:pPr>
            <w:r>
              <w:rPr>
                <w:rFonts w:hint="eastAsia" w:ascii="宋体" w:hAnsi="宋体"/>
                <w:b/>
                <w:sz w:val="28"/>
                <w:szCs w:val="28"/>
              </w:rPr>
              <w:t>2、废气</w:t>
            </w:r>
          </w:p>
          <w:p>
            <w:pPr>
              <w:spacing w:line="360" w:lineRule="auto"/>
              <w:ind w:firstLine="480" w:firstLineChars="200"/>
              <w:jc w:val="left"/>
              <w:rPr>
                <w:rFonts w:hint="default" w:ascii="Times New Roman" w:hAnsi="Times New Roman" w:cs="Times New Roman"/>
                <w:bCs/>
                <w:sz w:val="24"/>
              </w:rPr>
            </w:pPr>
            <w:r>
              <w:rPr>
                <w:rFonts w:hint="default" w:ascii="Times New Roman" w:hAnsi="Times New Roman" w:cs="Times New Roman"/>
                <w:bCs/>
                <w:sz w:val="24"/>
              </w:rPr>
              <w:t>项目废气主要来源于</w:t>
            </w:r>
            <w:r>
              <w:rPr>
                <w:rFonts w:hint="default" w:ascii="Times New Roman" w:hAnsi="Times New Roman" w:cs="Times New Roman"/>
                <w:bCs/>
                <w:sz w:val="24"/>
                <w:lang w:val="en-US" w:eastAsia="zh-CN"/>
              </w:rPr>
              <w:t>原料运输、破碎、配料阶段产生的粉尘以及锅炉燃烧产生的烟尘</w:t>
            </w:r>
            <w:r>
              <w:rPr>
                <w:rFonts w:hint="default" w:ascii="Times New Roman" w:hAnsi="Times New Roman" w:cs="Times New Roman"/>
                <w:bCs/>
                <w:sz w:val="24"/>
              </w:rPr>
              <w:t xml:space="preserve">。   </w:t>
            </w:r>
          </w:p>
          <w:p>
            <w:pPr>
              <w:spacing w:line="360" w:lineRule="auto"/>
              <w:ind w:firstLine="480" w:firstLineChars="200"/>
              <w:jc w:val="left"/>
              <w:rPr>
                <w:rFonts w:hint="default" w:ascii="Times New Roman" w:hAnsi="Times New Roman" w:cs="Times New Roman"/>
                <w:bCs/>
                <w:sz w:val="24"/>
              </w:rPr>
            </w:pPr>
            <w:r>
              <w:rPr>
                <w:rFonts w:hint="default" w:ascii="Times New Roman" w:hAnsi="Times New Roman" w:cs="Times New Roman"/>
                <w:bCs/>
                <w:sz w:val="24"/>
                <w:lang w:val="en-US" w:eastAsia="zh-CN"/>
              </w:rPr>
              <w:t>运输粉尘无组织排放；锅炉产生的烟尘经脉冲式布袋除尘器处理后由30米高1#排气筒排放；破碎产生的粉尘经脉冲式布袋除尘器处理后由15米高2#排气筒排放；配料搅拌工序废气经脉冲式布袋除尘器处理后以无组织形式外排。</w:t>
            </w:r>
          </w:p>
          <w:p>
            <w:pPr>
              <w:spacing w:before="156" w:beforeLines="50" w:line="360" w:lineRule="auto"/>
              <w:jc w:val="center"/>
              <w:rPr>
                <w:rFonts w:hint="default" w:ascii="Times New Roman" w:hAnsi="Times New Roman" w:cs="Times New Roman"/>
                <w:b/>
                <w:sz w:val="24"/>
              </w:rPr>
            </w:pPr>
            <w:r>
              <w:rPr>
                <w:rFonts w:hint="default" w:ascii="Times New Roman" w:hAnsi="Times New Roman" w:cs="Times New Roman"/>
                <w:b/>
                <w:sz w:val="24"/>
              </w:rPr>
              <w:t>表3-2  项目废气污染源情况</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215"/>
              <w:gridCol w:w="2463"/>
              <w:gridCol w:w="34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序号</w:t>
                  </w:r>
                </w:p>
              </w:tc>
              <w:tc>
                <w:tcPr>
                  <w:tcW w:w="2215" w:type="dxa"/>
                  <w:vAlign w:val="center"/>
                </w:tcPr>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排放源</w:t>
                  </w:r>
                </w:p>
              </w:tc>
              <w:tc>
                <w:tcPr>
                  <w:tcW w:w="2463" w:type="dxa"/>
                  <w:vAlign w:val="center"/>
                </w:tcPr>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污染物名称</w:t>
                  </w:r>
                </w:p>
              </w:tc>
              <w:tc>
                <w:tcPr>
                  <w:tcW w:w="3474" w:type="dxa"/>
                  <w:vAlign w:val="center"/>
                </w:tcPr>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治理措施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jc w:val="center"/>
                    <w:rPr>
                      <w:rFonts w:hint="default" w:ascii="Times New Roman" w:hAnsi="Times New Roman" w:cs="Times New Roman"/>
                      <w:sz w:val="24"/>
                    </w:rPr>
                  </w:pPr>
                  <w:r>
                    <w:rPr>
                      <w:rFonts w:hint="default" w:ascii="Times New Roman" w:hAnsi="Times New Roman" w:cs="Times New Roman"/>
                      <w:sz w:val="24"/>
                    </w:rPr>
                    <w:t>1</w:t>
                  </w:r>
                </w:p>
              </w:tc>
              <w:tc>
                <w:tcPr>
                  <w:tcW w:w="2215" w:type="dxa"/>
                  <w:vAlign w:val="center"/>
                </w:tcPr>
                <w:p>
                  <w:pPr>
                    <w:jc w:val="center"/>
                    <w:rPr>
                      <w:rFonts w:hint="default" w:ascii="Times New Roman" w:hAnsi="Times New Roman" w:cs="Times New Roman"/>
                      <w:sz w:val="24"/>
                      <w:lang w:val="en-US"/>
                    </w:rPr>
                  </w:pPr>
                  <w:r>
                    <w:rPr>
                      <w:rFonts w:hint="default" w:ascii="Times New Roman" w:hAnsi="Times New Roman" w:cs="Times New Roman"/>
                      <w:sz w:val="24"/>
                      <w:lang w:val="en-US" w:eastAsia="zh-CN"/>
                    </w:rPr>
                    <w:t>运输粉尘</w:t>
                  </w:r>
                </w:p>
              </w:tc>
              <w:tc>
                <w:tcPr>
                  <w:tcW w:w="2463"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颗粒物</w:t>
                  </w:r>
                </w:p>
              </w:tc>
              <w:tc>
                <w:tcPr>
                  <w:tcW w:w="3474"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无组织排放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2</w:t>
                  </w:r>
                </w:p>
              </w:tc>
              <w:tc>
                <w:tcPr>
                  <w:tcW w:w="2215" w:type="dxa"/>
                  <w:vAlign w:val="center"/>
                </w:tcPr>
                <w:p>
                  <w:pPr>
                    <w:jc w:val="center"/>
                    <w:rPr>
                      <w:rFonts w:hint="default" w:ascii="Times New Roman" w:hAnsi="Times New Roman" w:cs="Times New Roman"/>
                      <w:bCs/>
                      <w:sz w:val="24"/>
                      <w:lang w:val="en-US" w:eastAsia="zh-CN"/>
                    </w:rPr>
                  </w:pPr>
                  <w:r>
                    <w:rPr>
                      <w:rFonts w:hint="default" w:ascii="Times New Roman" w:hAnsi="Times New Roman" w:cs="Times New Roman"/>
                      <w:bCs/>
                      <w:sz w:val="24"/>
                      <w:lang w:val="en-US" w:eastAsia="zh-CN"/>
                    </w:rPr>
                    <w:t>锅炉烟尘</w:t>
                  </w:r>
                </w:p>
              </w:tc>
              <w:tc>
                <w:tcPr>
                  <w:tcW w:w="2463"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颗粒物、SO</w:t>
                  </w:r>
                  <w:r>
                    <w:rPr>
                      <w:rFonts w:hint="default" w:ascii="Times New Roman" w:hAnsi="Times New Roman" w:cs="Times New Roman"/>
                      <w:sz w:val="24"/>
                      <w:vertAlign w:val="subscript"/>
                      <w:lang w:val="en-US" w:eastAsia="zh-CN"/>
                    </w:rPr>
                    <w:t>2</w:t>
                  </w:r>
                  <w:r>
                    <w:rPr>
                      <w:rFonts w:hint="default" w:ascii="Times New Roman" w:hAnsi="Times New Roman" w:cs="Times New Roman"/>
                      <w:sz w:val="24"/>
                      <w:lang w:val="en-US" w:eastAsia="zh-CN"/>
                    </w:rPr>
                    <w:t>、NO</w:t>
                  </w:r>
                  <w:r>
                    <w:rPr>
                      <w:rFonts w:hint="default" w:ascii="Times New Roman" w:hAnsi="Times New Roman" w:cs="Times New Roman"/>
                      <w:sz w:val="24"/>
                      <w:vertAlign w:val="subscript"/>
                      <w:lang w:val="en-US" w:eastAsia="zh-CN"/>
                    </w:rPr>
                    <w:t>X</w:t>
                  </w:r>
                </w:p>
              </w:tc>
              <w:tc>
                <w:tcPr>
                  <w:tcW w:w="3474" w:type="dxa"/>
                  <w:vAlign w:val="center"/>
                </w:tcPr>
                <w:p>
                  <w:pPr>
                    <w:jc w:val="center"/>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lang w:val="en-US" w:eastAsia="zh-CN"/>
                    </w:rPr>
                    <w:t>脉冲式布袋除尘器+1#排气筒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3</w:t>
                  </w:r>
                </w:p>
              </w:tc>
              <w:tc>
                <w:tcPr>
                  <w:tcW w:w="2215" w:type="dxa"/>
                  <w:vAlign w:val="center"/>
                </w:tcPr>
                <w:p>
                  <w:pPr>
                    <w:jc w:val="center"/>
                    <w:rPr>
                      <w:rFonts w:hint="default" w:ascii="Times New Roman" w:hAnsi="Times New Roman" w:cs="Times New Roman"/>
                      <w:bCs/>
                      <w:sz w:val="24"/>
                      <w:lang w:val="en-US" w:eastAsia="zh-CN"/>
                    </w:rPr>
                  </w:pPr>
                  <w:r>
                    <w:rPr>
                      <w:rFonts w:hint="default" w:ascii="Times New Roman" w:hAnsi="Times New Roman" w:cs="Times New Roman"/>
                      <w:bCs/>
                      <w:sz w:val="24"/>
                      <w:lang w:val="en-US" w:eastAsia="zh-CN"/>
                    </w:rPr>
                    <w:t>破碎粉尘</w:t>
                  </w:r>
                </w:p>
              </w:tc>
              <w:tc>
                <w:tcPr>
                  <w:tcW w:w="2463"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颗粒物</w:t>
                  </w:r>
                </w:p>
              </w:tc>
              <w:tc>
                <w:tcPr>
                  <w:tcW w:w="3474" w:type="dxa"/>
                  <w:vAlign w:val="center"/>
                </w:tcPr>
                <w:p>
                  <w:pPr>
                    <w:jc w:val="center"/>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lang w:val="en-US" w:eastAsia="zh-CN"/>
                    </w:rPr>
                    <w:t>脉冲式布袋除尘器+2#排气筒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4</w:t>
                  </w:r>
                </w:p>
              </w:tc>
              <w:tc>
                <w:tcPr>
                  <w:tcW w:w="2215" w:type="dxa"/>
                  <w:vAlign w:val="center"/>
                </w:tcPr>
                <w:p>
                  <w:pPr>
                    <w:jc w:val="center"/>
                    <w:rPr>
                      <w:rFonts w:hint="default" w:ascii="Times New Roman" w:hAnsi="Times New Roman" w:cs="Times New Roman"/>
                      <w:bCs/>
                      <w:sz w:val="24"/>
                      <w:lang w:val="en-US" w:eastAsia="zh-CN"/>
                    </w:rPr>
                  </w:pPr>
                  <w:r>
                    <w:rPr>
                      <w:rFonts w:hint="default" w:ascii="Times New Roman" w:hAnsi="Times New Roman" w:cs="Times New Roman"/>
                      <w:bCs/>
                      <w:sz w:val="24"/>
                      <w:lang w:val="en-US" w:eastAsia="zh-CN"/>
                    </w:rPr>
                    <w:t>配料搅拌粉尘</w:t>
                  </w:r>
                </w:p>
              </w:tc>
              <w:tc>
                <w:tcPr>
                  <w:tcW w:w="2463"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颗粒物</w:t>
                  </w:r>
                </w:p>
              </w:tc>
              <w:tc>
                <w:tcPr>
                  <w:tcW w:w="3474" w:type="dxa"/>
                  <w:vAlign w:val="center"/>
                </w:tcPr>
                <w:p>
                  <w:pPr>
                    <w:jc w:val="center"/>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lang w:val="en-US" w:eastAsia="zh-CN"/>
                    </w:rPr>
                    <w:t>脉冲式布袋除尘器+无组织排放</w:t>
                  </w:r>
                </w:p>
              </w:tc>
            </w:tr>
          </w:tbl>
          <w:p>
            <w:pPr>
              <w:spacing w:line="360" w:lineRule="auto"/>
              <w:jc w:val="center"/>
              <w:rPr>
                <w:rFonts w:hint="eastAsia" w:ascii="宋体" w:hAnsi="宋体"/>
                <w:b/>
                <w:bCs w:val="0"/>
                <w:sz w:val="24"/>
                <w:szCs w:val="24"/>
                <w:lang w:val="en-US" w:eastAsia="zh-CN"/>
              </w:rPr>
            </w:pPr>
            <w:r>
              <w:rPr>
                <w:rFonts w:hint="eastAsia" w:ascii="宋体" w:hAnsi="宋体"/>
                <w:b/>
                <w:bCs w:val="0"/>
                <w:sz w:val="24"/>
                <w:szCs w:val="24"/>
                <w:lang w:val="en-US" w:eastAsia="zh-CN"/>
              </w:rPr>
              <w:drawing>
                <wp:inline distT="0" distB="0" distL="114300" distR="114300">
                  <wp:extent cx="2917190" cy="3610610"/>
                  <wp:effectExtent l="0" t="0" r="16510" b="8890"/>
                  <wp:docPr id="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2"/>
                          <pic:cNvPicPr>
                            <a:picLocks noChangeAspect="1"/>
                          </pic:cNvPicPr>
                        </pic:nvPicPr>
                        <pic:blipFill>
                          <a:blip r:embed="rId11"/>
                          <a:stretch>
                            <a:fillRect/>
                          </a:stretch>
                        </pic:blipFill>
                        <pic:spPr>
                          <a:xfrm>
                            <a:off x="0" y="0"/>
                            <a:ext cx="2917190" cy="3610610"/>
                          </a:xfrm>
                          <a:prstGeom prst="rect">
                            <a:avLst/>
                          </a:prstGeom>
                          <a:noFill/>
                          <a:ln>
                            <a:noFill/>
                          </a:ln>
                        </pic:spPr>
                      </pic:pic>
                    </a:graphicData>
                  </a:graphic>
                </wp:inline>
              </w:drawing>
            </w:r>
            <w:r>
              <w:rPr>
                <w:rFonts w:hint="eastAsia" w:ascii="宋体" w:hAnsi="宋体"/>
                <w:b/>
                <w:bCs w:val="0"/>
                <w:sz w:val="24"/>
                <w:szCs w:val="24"/>
                <w:lang w:val="en-US" w:eastAsia="zh-CN"/>
              </w:rPr>
              <w:drawing>
                <wp:inline distT="0" distB="0" distL="114300" distR="114300">
                  <wp:extent cx="2609850" cy="3583305"/>
                  <wp:effectExtent l="0" t="0" r="0" b="17145"/>
                  <wp:docPr id="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3"/>
                          <pic:cNvPicPr>
                            <a:picLocks noChangeAspect="1"/>
                          </pic:cNvPicPr>
                        </pic:nvPicPr>
                        <pic:blipFill>
                          <a:blip r:embed="rId12"/>
                          <a:stretch>
                            <a:fillRect/>
                          </a:stretch>
                        </pic:blipFill>
                        <pic:spPr>
                          <a:xfrm>
                            <a:off x="0" y="0"/>
                            <a:ext cx="2609850" cy="3583305"/>
                          </a:xfrm>
                          <a:prstGeom prst="rect">
                            <a:avLst/>
                          </a:prstGeom>
                          <a:noFill/>
                          <a:ln>
                            <a:noFill/>
                          </a:ln>
                        </pic:spPr>
                      </pic:pic>
                    </a:graphicData>
                  </a:graphic>
                </wp:inline>
              </w:drawing>
            </w:r>
          </w:p>
          <w:p>
            <w:pPr>
              <w:spacing w:line="360" w:lineRule="auto"/>
              <w:jc w:val="center"/>
              <w:rPr>
                <w:rFonts w:hint="default" w:ascii="宋体" w:hAnsi="宋体"/>
                <w:b/>
                <w:bCs w:val="0"/>
                <w:sz w:val="24"/>
                <w:szCs w:val="24"/>
                <w:lang w:val="en-US" w:eastAsia="zh-CN"/>
              </w:rPr>
            </w:pPr>
            <w:r>
              <w:rPr>
                <w:rFonts w:hint="eastAsia" w:ascii="宋体" w:hAnsi="宋体"/>
                <w:b/>
                <w:bCs w:val="0"/>
                <w:sz w:val="24"/>
                <w:szCs w:val="24"/>
                <w:lang w:val="en-US" w:eastAsia="zh-CN"/>
              </w:rPr>
              <w:t>脉冲除尘器                              排气筒</w:t>
            </w:r>
          </w:p>
          <w:p>
            <w:pPr>
              <w:spacing w:line="360" w:lineRule="auto"/>
              <w:jc w:val="center"/>
              <w:rPr>
                <w:rFonts w:hint="eastAsia" w:ascii="宋体" w:hAnsi="宋体"/>
                <w:b/>
                <w:sz w:val="28"/>
                <w:szCs w:val="28"/>
              </w:rPr>
            </w:pPr>
            <w:r>
              <w:rPr>
                <w:rFonts w:hint="eastAsia" w:ascii="宋体" w:hAnsi="宋体"/>
                <w:b/>
                <w:bCs w:val="0"/>
                <w:sz w:val="24"/>
                <w:szCs w:val="24"/>
                <w:lang w:val="en-US" w:eastAsia="zh-CN"/>
              </w:rPr>
              <w:t>图3-2 废气处理设施</w:t>
            </w:r>
          </w:p>
          <w:p>
            <w:pPr>
              <w:spacing w:line="360" w:lineRule="auto"/>
              <w:jc w:val="left"/>
              <w:rPr>
                <w:rFonts w:ascii="宋体" w:hAnsi="宋体"/>
                <w:b/>
                <w:sz w:val="28"/>
                <w:szCs w:val="28"/>
              </w:rPr>
            </w:pPr>
            <w:r>
              <w:rPr>
                <w:rFonts w:hint="eastAsia" w:ascii="宋体" w:hAnsi="宋体"/>
                <w:b/>
                <w:sz w:val="28"/>
                <w:szCs w:val="28"/>
              </w:rPr>
              <w:t>3、噪声</w:t>
            </w:r>
          </w:p>
          <w:p>
            <w:pPr>
              <w:pStyle w:val="149"/>
              <w:rPr>
                <w:rFonts w:eastAsia="宋体"/>
                <w:color w:val="auto"/>
              </w:rPr>
            </w:pPr>
            <w:r>
              <w:rPr>
                <w:rFonts w:hint="eastAsia" w:eastAsia="宋体"/>
                <w:color w:val="auto"/>
              </w:rPr>
              <w:t>本项目主要噪声来自于</w:t>
            </w:r>
            <w:r>
              <w:rPr>
                <w:rFonts w:hint="eastAsia" w:eastAsia="宋体"/>
                <w:color w:val="auto"/>
                <w:lang w:val="en-US" w:eastAsia="zh-CN"/>
              </w:rPr>
              <w:t>破碎机、三斗配料系统等生产设备</w:t>
            </w:r>
            <w:r>
              <w:rPr>
                <w:rFonts w:hint="eastAsia" w:eastAsia="宋体"/>
                <w:color w:val="auto"/>
              </w:rPr>
              <w:t>运行时产生的机械噪声，企业通过设置减震基座、安装消声机、厂房隔声等措施降低噪声污染</w:t>
            </w:r>
            <w:r>
              <w:rPr>
                <w:rFonts w:hint="eastAsia" w:eastAsia="宋体"/>
              </w:rPr>
              <w:t>。</w:t>
            </w:r>
          </w:p>
          <w:p>
            <w:pPr>
              <w:spacing w:line="360" w:lineRule="auto"/>
              <w:jc w:val="left"/>
              <w:rPr>
                <w:rFonts w:ascii="宋体" w:hAnsi="宋体"/>
                <w:b/>
                <w:sz w:val="28"/>
                <w:szCs w:val="28"/>
              </w:rPr>
            </w:pPr>
            <w:r>
              <w:rPr>
                <w:rFonts w:hint="eastAsia" w:ascii="宋体" w:hAnsi="宋体"/>
                <w:b/>
                <w:sz w:val="28"/>
                <w:szCs w:val="28"/>
              </w:rPr>
              <w:t>4、固体废物</w:t>
            </w:r>
          </w:p>
          <w:p>
            <w:pPr>
              <w:spacing w:line="440" w:lineRule="exact"/>
              <w:ind w:firstLine="480" w:firstLineChars="200"/>
              <w:rPr>
                <w:rFonts w:hint="eastAsia"/>
                <w:kern w:val="0"/>
                <w:sz w:val="24"/>
                <w:lang w:eastAsia="zh-CN"/>
              </w:rPr>
            </w:pPr>
            <w:r>
              <w:rPr>
                <w:rFonts w:hint="eastAsia"/>
                <w:kern w:val="0"/>
                <w:sz w:val="24"/>
              </w:rPr>
              <w:t>本项目产生的固体废物为生产</w:t>
            </w:r>
            <w:r>
              <w:rPr>
                <w:rFonts w:hint="eastAsia"/>
                <w:kern w:val="0"/>
                <w:sz w:val="24"/>
                <w:lang w:eastAsia="zh-CN"/>
              </w:rPr>
              <w:t>加压成型过程中有多余的骨料产生、检验时有废品产生，产生量约为</w:t>
            </w:r>
            <w:r>
              <w:rPr>
                <w:rFonts w:hint="eastAsia"/>
                <w:kern w:val="0"/>
                <w:sz w:val="24"/>
                <w:lang w:val="en-US" w:eastAsia="zh-CN"/>
              </w:rPr>
              <w:t>500t/a</w:t>
            </w:r>
            <w:r>
              <w:rPr>
                <w:rFonts w:hint="eastAsia"/>
                <w:kern w:val="0"/>
                <w:sz w:val="24"/>
              </w:rPr>
              <w:t>。</w:t>
            </w:r>
            <w:r>
              <w:rPr>
                <w:rFonts w:hint="eastAsia"/>
                <w:kern w:val="0"/>
                <w:sz w:val="24"/>
                <w:lang w:eastAsia="zh-CN"/>
              </w:rPr>
              <w:t>这些骨料、废品全部作砌块生产原料使用。</w:t>
            </w:r>
          </w:p>
          <w:p>
            <w:pPr>
              <w:spacing w:line="440" w:lineRule="exact"/>
              <w:ind w:firstLine="480" w:firstLineChars="200"/>
              <w:rPr>
                <w:rFonts w:hint="default" w:ascii="Times New Roman" w:hAnsi="Times New Roman" w:eastAsia="宋体" w:cs="Times New Roman"/>
                <w:sz w:val="24"/>
                <w:lang w:eastAsia="zh-CN"/>
              </w:rPr>
            </w:pPr>
            <w:r>
              <w:rPr>
                <w:rFonts w:hint="eastAsia"/>
                <w:kern w:val="0"/>
                <w:sz w:val="24"/>
                <w:lang w:eastAsia="zh-CN"/>
              </w:rPr>
              <w:t>生活垃圾：本项目定员</w:t>
            </w:r>
            <w:r>
              <w:rPr>
                <w:rFonts w:hint="eastAsia"/>
                <w:kern w:val="0"/>
                <w:sz w:val="24"/>
                <w:lang w:val="en-US" w:eastAsia="zh-CN"/>
              </w:rPr>
              <w:t>15人，人均生活垃圾产生量按1kg/d计，则生活垃圾产生量为4.5t/a。这些垃圾由清洁工定时送往环卫部门的垃圾处理场处理。</w:t>
            </w:r>
            <w:r>
              <w:rPr>
                <w:rFonts w:hint="eastAsia" w:ascii="宋体" w:hAnsi="宋体"/>
                <w:sz w:val="24"/>
              </w:rPr>
              <w:t>具体的处理方式见下</w:t>
            </w:r>
            <w:r>
              <w:rPr>
                <w:rFonts w:hint="default" w:ascii="Times New Roman" w:hAnsi="Times New Roman" w:cs="Times New Roman"/>
                <w:sz w:val="24"/>
              </w:rPr>
              <w:t>表3-3。</w:t>
            </w:r>
          </w:p>
          <w:p>
            <w:pPr>
              <w:spacing w:before="156" w:beforeLines="50" w:line="360" w:lineRule="auto"/>
              <w:jc w:val="center"/>
              <w:rPr>
                <w:rFonts w:ascii="宋体" w:hAnsi="宋体"/>
                <w:b/>
                <w:sz w:val="24"/>
              </w:rPr>
            </w:pPr>
            <w:bookmarkStart w:id="5" w:name="_Hlk484007099"/>
            <w:r>
              <w:rPr>
                <w:rFonts w:hint="eastAsia" w:ascii="宋体" w:hAnsi="宋体"/>
                <w:b/>
                <w:sz w:val="24"/>
              </w:rPr>
              <w:t>表3</w:t>
            </w:r>
            <w:r>
              <w:rPr>
                <w:rFonts w:ascii="宋体" w:hAnsi="宋体"/>
                <w:b/>
                <w:sz w:val="24"/>
              </w:rPr>
              <w:t>-3</w:t>
            </w:r>
            <w:r>
              <w:rPr>
                <w:rFonts w:hint="eastAsia" w:ascii="宋体" w:hAnsi="宋体"/>
                <w:b/>
                <w:sz w:val="24"/>
              </w:rPr>
              <w:t xml:space="preserve">  </w:t>
            </w:r>
            <w:bookmarkStart w:id="6" w:name="_Hlk22907231"/>
            <w:r>
              <w:rPr>
                <w:rFonts w:hint="eastAsia" w:ascii="宋体" w:hAnsi="宋体"/>
                <w:b/>
                <w:sz w:val="24"/>
              </w:rPr>
              <w:t>项目固废</w:t>
            </w:r>
            <w:r>
              <w:rPr>
                <w:rFonts w:ascii="宋体" w:hAnsi="宋体"/>
                <w:b/>
                <w:sz w:val="24"/>
              </w:rPr>
              <w:t>污染</w:t>
            </w:r>
            <w:r>
              <w:rPr>
                <w:rFonts w:hint="eastAsia" w:ascii="宋体" w:hAnsi="宋体"/>
                <w:b/>
                <w:sz w:val="24"/>
              </w:rPr>
              <w:t>情况</w:t>
            </w:r>
          </w:p>
          <w:bookmarkEnd w:id="5"/>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834"/>
              <w:gridCol w:w="2192"/>
              <w:gridCol w:w="1915"/>
              <w:gridCol w:w="22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675" w:type="dxa"/>
                  <w:vAlign w:val="center"/>
                </w:tcPr>
                <w:p>
                  <w:pPr>
                    <w:pStyle w:val="154"/>
                    <w:widowControl/>
                    <w:rPr>
                      <w:rFonts w:ascii="宋体" w:hAnsi="宋体" w:cs="宋体"/>
                      <w:b/>
                      <w:bCs/>
                    </w:rPr>
                  </w:pPr>
                  <w:r>
                    <w:rPr>
                      <w:rFonts w:hint="eastAsia" w:ascii="宋体" w:hAnsi="宋体" w:cs="宋体"/>
                      <w:b/>
                      <w:bCs/>
                      <w:lang w:eastAsia="zh-TW"/>
                    </w:rPr>
                    <w:t>类别</w:t>
                  </w:r>
                </w:p>
              </w:tc>
              <w:tc>
                <w:tcPr>
                  <w:tcW w:w="1834" w:type="dxa"/>
                  <w:vAlign w:val="center"/>
                </w:tcPr>
                <w:p>
                  <w:pPr>
                    <w:pStyle w:val="154"/>
                    <w:widowControl/>
                    <w:rPr>
                      <w:rFonts w:ascii="宋体" w:hAnsi="宋体" w:cs="宋体"/>
                      <w:b/>
                      <w:bCs/>
                    </w:rPr>
                  </w:pPr>
                  <w:r>
                    <w:rPr>
                      <w:rFonts w:hint="eastAsia" w:ascii="宋体" w:hAnsi="宋体" w:cs="宋体"/>
                      <w:b/>
                      <w:bCs/>
                      <w:lang w:eastAsia="zh-TW"/>
                    </w:rPr>
                    <w:t>名称</w:t>
                  </w:r>
                </w:p>
              </w:tc>
              <w:tc>
                <w:tcPr>
                  <w:tcW w:w="2192" w:type="dxa"/>
                  <w:vAlign w:val="center"/>
                </w:tcPr>
                <w:p>
                  <w:pPr>
                    <w:pStyle w:val="154"/>
                    <w:widowControl/>
                    <w:rPr>
                      <w:rFonts w:ascii="宋体" w:hAnsi="宋体" w:eastAsia="PMingLiU" w:cs="宋体"/>
                      <w:b/>
                      <w:bCs/>
                      <w:lang w:eastAsia="zh-TW"/>
                    </w:rPr>
                  </w:pPr>
                  <w:r>
                    <w:rPr>
                      <w:rFonts w:hint="eastAsia" w:ascii="宋体" w:hAnsi="宋体" w:cs="宋体"/>
                      <w:b/>
                      <w:bCs/>
                      <w:lang w:val="en-US" w:eastAsia="zh-CN"/>
                    </w:rPr>
                    <w:t>后评价</w:t>
                  </w:r>
                  <w:r>
                    <w:rPr>
                      <w:rFonts w:hint="eastAsia" w:ascii="宋体" w:hAnsi="宋体" w:cs="宋体"/>
                      <w:b/>
                      <w:bCs/>
                      <w:lang w:eastAsia="zh-TW"/>
                    </w:rPr>
                    <w:t>产生量（</w:t>
                  </w:r>
                  <w:r>
                    <w:rPr>
                      <w:rFonts w:hint="eastAsia" w:ascii="宋体" w:hAnsi="宋体" w:cs="宋体"/>
                      <w:b/>
                      <w:bCs/>
                    </w:rPr>
                    <w:t>t/a</w:t>
                  </w:r>
                  <w:r>
                    <w:rPr>
                      <w:rFonts w:hint="eastAsia" w:ascii="宋体" w:hAnsi="宋体" w:cs="宋体"/>
                      <w:b/>
                      <w:bCs/>
                      <w:lang w:eastAsia="zh-TW"/>
                    </w:rPr>
                    <w:t>）</w:t>
                  </w:r>
                </w:p>
              </w:tc>
              <w:tc>
                <w:tcPr>
                  <w:tcW w:w="1915" w:type="dxa"/>
                  <w:vAlign w:val="center"/>
                </w:tcPr>
                <w:p>
                  <w:pPr>
                    <w:pStyle w:val="154"/>
                    <w:widowControl/>
                    <w:rPr>
                      <w:rFonts w:ascii="宋体" w:hAnsi="宋体" w:eastAsia="PMingLiU" w:cs="宋体"/>
                      <w:b/>
                      <w:bCs/>
                      <w:highlight w:val="none"/>
                      <w:lang w:eastAsia="zh-TW"/>
                    </w:rPr>
                  </w:pPr>
                  <w:r>
                    <w:rPr>
                      <w:rFonts w:hint="eastAsia" w:ascii="宋体" w:hAnsi="宋体" w:cs="宋体"/>
                      <w:b/>
                      <w:bCs/>
                      <w:highlight w:val="none"/>
                      <w:lang w:eastAsia="zh-TW"/>
                    </w:rPr>
                    <w:t>实际产生量（</w:t>
                  </w:r>
                  <w:r>
                    <w:rPr>
                      <w:rFonts w:hint="eastAsia" w:ascii="宋体" w:hAnsi="宋体" w:cs="宋体"/>
                      <w:b/>
                      <w:bCs/>
                      <w:highlight w:val="none"/>
                    </w:rPr>
                    <w:t>t/a</w:t>
                  </w:r>
                  <w:r>
                    <w:rPr>
                      <w:rFonts w:hint="eastAsia" w:ascii="宋体" w:hAnsi="宋体" w:cs="宋体"/>
                      <w:b/>
                      <w:bCs/>
                      <w:highlight w:val="none"/>
                      <w:lang w:eastAsia="zh-TW"/>
                    </w:rPr>
                    <w:t>）</w:t>
                  </w:r>
                </w:p>
              </w:tc>
              <w:tc>
                <w:tcPr>
                  <w:tcW w:w="2238" w:type="dxa"/>
                  <w:vAlign w:val="center"/>
                </w:tcPr>
                <w:p>
                  <w:pPr>
                    <w:pStyle w:val="154"/>
                    <w:widowControl/>
                    <w:rPr>
                      <w:rFonts w:ascii="宋体" w:hAnsi="宋体" w:cs="宋体"/>
                      <w:b/>
                      <w:bCs/>
                    </w:rPr>
                  </w:pPr>
                  <w:r>
                    <w:rPr>
                      <w:rFonts w:hint="eastAsia" w:ascii="宋体" w:hAnsi="宋体" w:cs="宋体"/>
                      <w:b/>
                      <w:bCs/>
                      <w:lang w:eastAsia="zh-TW"/>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dxa"/>
                  <w:vMerge w:val="restart"/>
                  <w:vAlign w:val="center"/>
                </w:tcPr>
                <w:p>
                  <w:pPr>
                    <w:jc w:val="center"/>
                    <w:rPr>
                      <w:rFonts w:ascii="宋体" w:hAnsi="宋体" w:cs="宋体"/>
                      <w:color w:val="000000"/>
                      <w:szCs w:val="21"/>
                    </w:rPr>
                  </w:pPr>
                  <w:r>
                    <w:rPr>
                      <w:rFonts w:hint="eastAsia" w:ascii="宋体" w:hAnsi="宋体" w:cs="宋体"/>
                      <w:color w:val="000000"/>
                      <w:szCs w:val="21"/>
                    </w:rPr>
                    <w:t>一般固废</w:t>
                  </w:r>
                </w:p>
              </w:tc>
              <w:tc>
                <w:tcPr>
                  <w:tcW w:w="1834" w:type="dxa"/>
                  <w:vAlign w:val="center"/>
                </w:tcPr>
                <w:p>
                  <w:pPr>
                    <w:keepNext w:val="0"/>
                    <w:keepLines w:val="0"/>
                    <w:pageBreakBefore w:val="0"/>
                    <w:widowControl w:val="0"/>
                    <w:kinsoku/>
                    <w:wordWrap/>
                    <w:overflowPunct/>
                    <w:topLinePunct w:val="0"/>
                    <w:autoSpaceDE/>
                    <w:autoSpaceDN/>
                    <w:bidi w:val="0"/>
                    <w:snapToGrid/>
                    <w:spacing w:line="340" w:lineRule="exact"/>
                    <w:jc w:val="center"/>
                    <w:outlineLvl w:val="9"/>
                    <w:rPr>
                      <w:rFonts w:ascii="宋体" w:hAnsi="宋体" w:cs="宋体"/>
                    </w:rPr>
                  </w:pPr>
                  <w:r>
                    <w:rPr>
                      <w:rFonts w:hint="eastAsia" w:ascii="Times New Roman" w:hAnsi="Times New Roman" w:eastAsia="宋体"/>
                      <w:color w:val="auto"/>
                      <w:sz w:val="21"/>
                      <w:szCs w:val="21"/>
                      <w:highlight w:val="none"/>
                      <w:lang w:eastAsia="zh-CN"/>
                    </w:rPr>
                    <w:t>骨料、废品</w:t>
                  </w:r>
                </w:p>
              </w:tc>
              <w:tc>
                <w:tcPr>
                  <w:tcW w:w="2192" w:type="dxa"/>
                  <w:vAlign w:val="center"/>
                </w:tcPr>
                <w:p>
                  <w:pPr>
                    <w:keepNext w:val="0"/>
                    <w:keepLines w:val="0"/>
                    <w:pageBreakBefore w:val="0"/>
                    <w:widowControl w:val="0"/>
                    <w:kinsoku/>
                    <w:wordWrap/>
                    <w:overflowPunct/>
                    <w:topLinePunct w:val="0"/>
                    <w:autoSpaceDE/>
                    <w:autoSpaceDN/>
                    <w:bidi w:val="0"/>
                    <w:snapToGrid/>
                    <w:spacing w:line="340" w:lineRule="exact"/>
                    <w:jc w:val="center"/>
                    <w:outlineLvl w:val="9"/>
                    <w:rPr>
                      <w:rFonts w:hint="default" w:ascii="宋体" w:hAnsi="宋体" w:eastAsia="宋体" w:cs="宋体"/>
                      <w:lang w:val="en-US" w:eastAsia="zh-CN"/>
                    </w:rPr>
                  </w:pPr>
                  <w:r>
                    <w:rPr>
                      <w:rFonts w:hint="eastAsia" w:ascii="Times New Roman" w:hAnsi="Times New Roman" w:eastAsia="宋体"/>
                      <w:color w:val="auto"/>
                      <w:sz w:val="21"/>
                      <w:szCs w:val="21"/>
                      <w:highlight w:val="none"/>
                      <w:lang w:val="en-US" w:eastAsia="zh-CN"/>
                    </w:rPr>
                    <w:t>500</w:t>
                  </w:r>
                </w:p>
              </w:tc>
              <w:tc>
                <w:tcPr>
                  <w:tcW w:w="1915" w:type="dxa"/>
                  <w:vAlign w:val="center"/>
                </w:tcPr>
                <w:p>
                  <w:pPr>
                    <w:keepNext w:val="0"/>
                    <w:keepLines w:val="0"/>
                    <w:pageBreakBefore w:val="0"/>
                    <w:widowControl w:val="0"/>
                    <w:kinsoku/>
                    <w:wordWrap/>
                    <w:overflowPunct/>
                    <w:topLinePunct w:val="0"/>
                    <w:autoSpaceDE/>
                    <w:autoSpaceDN/>
                    <w:bidi w:val="0"/>
                    <w:snapToGrid/>
                    <w:spacing w:line="340" w:lineRule="exact"/>
                    <w:jc w:val="center"/>
                    <w:outlineLvl w:val="9"/>
                    <w:rPr>
                      <w:rFonts w:ascii="宋体" w:hAnsi="宋体" w:cs="宋体"/>
                      <w:highlight w:val="none"/>
                    </w:rPr>
                  </w:pPr>
                  <w:r>
                    <w:rPr>
                      <w:rFonts w:hint="eastAsia" w:ascii="Times New Roman" w:hAnsi="Times New Roman" w:eastAsia="宋体"/>
                      <w:color w:val="auto"/>
                      <w:sz w:val="21"/>
                      <w:szCs w:val="21"/>
                      <w:highlight w:val="none"/>
                      <w:lang w:val="en-US" w:eastAsia="zh-CN"/>
                    </w:rPr>
                    <w:t>500</w:t>
                  </w:r>
                </w:p>
              </w:tc>
              <w:tc>
                <w:tcPr>
                  <w:tcW w:w="2238" w:type="dxa"/>
                  <w:vAlign w:val="center"/>
                </w:tcPr>
                <w:p>
                  <w:pPr>
                    <w:pStyle w:val="154"/>
                    <w:rPr>
                      <w:rFonts w:ascii="宋体" w:hAnsi="宋体" w:cs="宋体"/>
                    </w:rPr>
                  </w:pPr>
                  <w:r>
                    <w:rPr>
                      <w:rFonts w:hint="eastAsia" w:ascii="宋体" w:hAnsi="宋体" w:cs="宋体"/>
                      <w:lang w:val="en-US" w:eastAsia="zh-CN"/>
                    </w:rPr>
                    <w:t>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dxa"/>
                  <w:vMerge w:val="continue"/>
                  <w:vAlign w:val="center"/>
                </w:tcPr>
                <w:p>
                  <w:pPr>
                    <w:jc w:val="center"/>
                    <w:rPr>
                      <w:rFonts w:ascii="宋体" w:hAnsi="宋体" w:cs="宋体"/>
                      <w:color w:val="000000"/>
                      <w:szCs w:val="21"/>
                    </w:rPr>
                  </w:pPr>
                </w:p>
              </w:tc>
              <w:tc>
                <w:tcPr>
                  <w:tcW w:w="1834" w:type="dxa"/>
                  <w:vAlign w:val="center"/>
                </w:tcPr>
                <w:p>
                  <w:pPr>
                    <w:keepNext w:val="0"/>
                    <w:keepLines w:val="0"/>
                    <w:pageBreakBefore w:val="0"/>
                    <w:widowControl w:val="0"/>
                    <w:kinsoku/>
                    <w:wordWrap/>
                    <w:overflowPunct/>
                    <w:topLinePunct w:val="0"/>
                    <w:autoSpaceDE/>
                    <w:autoSpaceDN/>
                    <w:bidi w:val="0"/>
                    <w:snapToGrid/>
                    <w:spacing w:line="340" w:lineRule="exact"/>
                    <w:jc w:val="center"/>
                    <w:outlineLvl w:val="9"/>
                    <w:rPr>
                      <w:rFonts w:ascii="宋体" w:hAnsi="宋体" w:cs="宋体"/>
                    </w:rPr>
                  </w:pPr>
                  <w:r>
                    <w:rPr>
                      <w:rFonts w:hint="eastAsia" w:ascii="Times New Roman" w:hAnsi="Times New Roman" w:eastAsia="宋体"/>
                      <w:color w:val="auto"/>
                      <w:sz w:val="21"/>
                      <w:szCs w:val="21"/>
                      <w:highlight w:val="none"/>
                      <w:lang w:eastAsia="zh-CN"/>
                    </w:rPr>
                    <w:t>生活垃圾</w:t>
                  </w:r>
                </w:p>
              </w:tc>
              <w:tc>
                <w:tcPr>
                  <w:tcW w:w="2192" w:type="dxa"/>
                  <w:vAlign w:val="center"/>
                </w:tcPr>
                <w:p>
                  <w:pPr>
                    <w:keepNext w:val="0"/>
                    <w:keepLines w:val="0"/>
                    <w:pageBreakBefore w:val="0"/>
                    <w:widowControl w:val="0"/>
                    <w:kinsoku/>
                    <w:wordWrap/>
                    <w:overflowPunct/>
                    <w:topLinePunct w:val="0"/>
                    <w:autoSpaceDE/>
                    <w:autoSpaceDN/>
                    <w:bidi w:val="0"/>
                    <w:snapToGrid/>
                    <w:spacing w:line="340" w:lineRule="exact"/>
                    <w:jc w:val="center"/>
                    <w:outlineLvl w:val="9"/>
                    <w:rPr>
                      <w:rFonts w:hint="default" w:ascii="宋体" w:hAnsi="宋体" w:eastAsia="宋体" w:cs="宋体"/>
                      <w:lang w:val="en-US" w:eastAsia="zh-CN"/>
                    </w:rPr>
                  </w:pPr>
                  <w:r>
                    <w:rPr>
                      <w:rFonts w:hint="eastAsia" w:ascii="Times New Roman" w:hAnsi="Times New Roman" w:eastAsia="宋体"/>
                      <w:color w:val="auto"/>
                      <w:sz w:val="21"/>
                      <w:szCs w:val="21"/>
                      <w:highlight w:val="none"/>
                      <w:lang w:val="en-US" w:eastAsia="zh-CN"/>
                    </w:rPr>
                    <w:t>6</w:t>
                  </w:r>
                </w:p>
              </w:tc>
              <w:tc>
                <w:tcPr>
                  <w:tcW w:w="1915" w:type="dxa"/>
                  <w:vAlign w:val="center"/>
                </w:tcPr>
                <w:p>
                  <w:pPr>
                    <w:keepNext w:val="0"/>
                    <w:keepLines w:val="0"/>
                    <w:pageBreakBefore w:val="0"/>
                    <w:widowControl w:val="0"/>
                    <w:kinsoku/>
                    <w:wordWrap/>
                    <w:overflowPunct/>
                    <w:topLinePunct w:val="0"/>
                    <w:autoSpaceDE/>
                    <w:autoSpaceDN/>
                    <w:bidi w:val="0"/>
                    <w:snapToGrid/>
                    <w:spacing w:line="340" w:lineRule="exact"/>
                    <w:jc w:val="center"/>
                    <w:outlineLvl w:val="9"/>
                    <w:rPr>
                      <w:rFonts w:hint="default" w:ascii="宋体" w:hAnsi="宋体" w:eastAsia="宋体" w:cs="宋体"/>
                      <w:highlight w:val="none"/>
                      <w:lang w:val="en-US" w:eastAsia="zh-CN"/>
                    </w:rPr>
                  </w:pPr>
                  <w:r>
                    <w:rPr>
                      <w:rFonts w:hint="default" w:ascii="Times New Roman" w:hAnsi="Times New Roman" w:cs="Times New Roman"/>
                      <w:highlight w:val="none"/>
                      <w:lang w:val="en-US" w:eastAsia="zh-CN"/>
                    </w:rPr>
                    <w:t>4.5</w:t>
                  </w:r>
                </w:p>
              </w:tc>
              <w:tc>
                <w:tcPr>
                  <w:tcW w:w="2238" w:type="dxa"/>
                  <w:vAlign w:val="center"/>
                </w:tcPr>
                <w:p>
                  <w:pPr>
                    <w:pStyle w:val="154"/>
                    <w:rPr>
                      <w:rFonts w:ascii="宋体" w:hAnsi="宋体" w:cs="宋体"/>
                    </w:rPr>
                  </w:pPr>
                  <w:r>
                    <w:rPr>
                      <w:rFonts w:hint="eastAsia" w:ascii="宋体" w:hAnsi="宋体" w:cs="宋体"/>
                      <w:lang w:val="en-US" w:eastAsia="zh-CN"/>
                    </w:rPr>
                    <w:t>集中收集后交由环卫部门清运，统一处理</w:t>
                  </w:r>
                </w:p>
              </w:tc>
            </w:tr>
            <w:bookmarkEnd w:id="6"/>
          </w:tbl>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49"/>
              <w:rPr>
                <w:rFonts w:ascii="宋体" w:hAnsi="宋体"/>
                <w:b/>
                <w:sz w:val="24"/>
              </w:rPr>
            </w:pPr>
            <w:r>
              <w:rPr>
                <w:rFonts w:hint="default" w:ascii="Times New Roman" w:hAnsi="Times New Roman" w:eastAsia="宋体" w:cs="Times New Roman"/>
                <w:highlight w:val="none"/>
              </w:rPr>
              <w:t>现有项目总投资为</w:t>
            </w:r>
            <w:r>
              <w:rPr>
                <w:rFonts w:hint="default" w:ascii="Times New Roman" w:hAnsi="Times New Roman" w:eastAsia="宋体" w:cs="Times New Roman"/>
                <w:highlight w:val="none"/>
                <w:lang w:val="en-US" w:eastAsia="zh-CN"/>
              </w:rPr>
              <w:t>3200</w:t>
            </w:r>
            <w:r>
              <w:rPr>
                <w:rFonts w:hint="default" w:ascii="Times New Roman" w:hAnsi="Times New Roman" w:eastAsia="宋体" w:cs="Times New Roman"/>
                <w:highlight w:val="none"/>
              </w:rPr>
              <w:t>万元，其中环保投资估算为</w:t>
            </w:r>
            <w:r>
              <w:rPr>
                <w:rFonts w:hint="default" w:ascii="Times New Roman" w:hAnsi="Times New Roman" w:eastAsia="宋体" w:cs="Times New Roman"/>
                <w:highlight w:val="none"/>
                <w:lang w:val="en-US" w:eastAsia="zh-CN"/>
              </w:rPr>
              <w:t>154</w:t>
            </w:r>
            <w:r>
              <w:rPr>
                <w:rFonts w:hint="default" w:ascii="Times New Roman" w:hAnsi="Times New Roman" w:eastAsia="宋体" w:cs="Times New Roman"/>
                <w:highlight w:val="none"/>
              </w:rPr>
              <w:t>万元，占总投资的</w:t>
            </w:r>
            <w:r>
              <w:rPr>
                <w:rFonts w:hint="default" w:ascii="Times New Roman" w:hAnsi="Times New Roman" w:eastAsia="宋体" w:cs="Times New Roman"/>
                <w:highlight w:val="none"/>
                <w:lang w:val="en-US" w:eastAsia="zh-CN"/>
              </w:rPr>
              <w:t>4.8</w:t>
            </w:r>
            <w:r>
              <w:rPr>
                <w:rFonts w:hint="default" w:ascii="Times New Roman" w:hAnsi="Times New Roman" w:eastAsia="宋体" w:cs="Times New Roman"/>
                <w:highlight w:val="none"/>
              </w:rPr>
              <w:t>%，建立了较为完善的污染控制措施，有效的控制了废水、废气、固废和噪声等对环境的污</w:t>
            </w:r>
            <w:r>
              <w:rPr>
                <w:rFonts w:hint="eastAsia" w:eastAsia="宋体"/>
              </w:rPr>
              <w:t>染。</w:t>
            </w:r>
          </w:p>
          <w:p>
            <w:pPr>
              <w:spacing w:before="156" w:beforeLines="50" w:line="360" w:lineRule="auto"/>
              <w:jc w:val="center"/>
              <w:rPr>
                <w:rFonts w:hint="eastAsia" w:ascii="宋体" w:hAnsi="宋体"/>
                <w:b/>
                <w:sz w:val="24"/>
              </w:rPr>
            </w:pPr>
            <w:r>
              <w:rPr>
                <w:rFonts w:hint="eastAsia" w:ascii="宋体" w:hAnsi="宋体"/>
                <w:b/>
                <w:sz w:val="24"/>
              </w:rPr>
              <w:t>表3</w:t>
            </w:r>
            <w:r>
              <w:rPr>
                <w:rFonts w:ascii="宋体" w:hAnsi="宋体"/>
                <w:b/>
                <w:sz w:val="24"/>
              </w:rPr>
              <w:t>-3</w:t>
            </w:r>
            <w:r>
              <w:rPr>
                <w:rFonts w:hint="eastAsia" w:ascii="宋体" w:hAnsi="宋体"/>
                <w:b/>
                <w:sz w:val="24"/>
              </w:rPr>
              <w:t xml:space="preserve">  建设项目环保投资</w:t>
            </w:r>
          </w:p>
          <w:tbl>
            <w:tblPr>
              <w:tblStyle w:val="33"/>
              <w:tblW w:w="92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705"/>
              <w:gridCol w:w="1860"/>
              <w:gridCol w:w="2640"/>
              <w:gridCol w:w="1965"/>
              <w:gridCol w:w="14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jc w:val="center"/>
              </w:trPr>
              <w:tc>
                <w:tcPr>
                  <w:tcW w:w="706" w:type="dxa"/>
                  <w:noWrap w:val="0"/>
                  <w:vAlign w:val="center"/>
                </w:tcPr>
                <w:p>
                  <w:pPr>
                    <w:adjustRightInd/>
                    <w:spacing w:line="240" w:lineRule="auto"/>
                    <w:ind w:right="-80" w:rightChars="-38"/>
                    <w:jc w:val="center"/>
                    <w:textAlignment w:val="auto"/>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序号</w:t>
                  </w:r>
                </w:p>
              </w:tc>
              <w:tc>
                <w:tcPr>
                  <w:tcW w:w="2565" w:type="dxa"/>
                  <w:gridSpan w:val="2"/>
                  <w:noWrap w:val="0"/>
                  <w:vAlign w:val="center"/>
                </w:tcPr>
                <w:p>
                  <w:pPr>
                    <w:adjustRightInd/>
                    <w:spacing w:line="240" w:lineRule="auto"/>
                    <w:ind w:right="-80" w:rightChars="-38"/>
                    <w:jc w:val="center"/>
                    <w:textAlignment w:val="auto"/>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项目</w:t>
                  </w:r>
                </w:p>
              </w:tc>
              <w:tc>
                <w:tcPr>
                  <w:tcW w:w="2640" w:type="dxa"/>
                  <w:noWrap w:val="0"/>
                  <w:vAlign w:val="center"/>
                </w:tcPr>
                <w:p>
                  <w:pPr>
                    <w:adjustRightInd/>
                    <w:spacing w:line="240" w:lineRule="auto"/>
                    <w:ind w:right="-80" w:rightChars="-38"/>
                    <w:jc w:val="center"/>
                    <w:textAlignment w:val="auto"/>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环保投资内容</w:t>
                  </w:r>
                </w:p>
              </w:tc>
              <w:tc>
                <w:tcPr>
                  <w:tcW w:w="1965" w:type="dxa"/>
                  <w:noWrap w:val="0"/>
                  <w:vAlign w:val="center"/>
                </w:tcPr>
                <w:p>
                  <w:pPr>
                    <w:pStyle w:val="98"/>
                    <w:rPr>
                      <w:rFonts w:hint="eastAsia" w:ascii="宋体" w:hAnsi="宋体" w:eastAsia="宋体"/>
                      <w:b/>
                      <w:bCs/>
                      <w:kern w:val="2"/>
                      <w:sz w:val="21"/>
                      <w:szCs w:val="21"/>
                      <w:highlight w:val="none"/>
                    </w:rPr>
                  </w:pPr>
                  <w:r>
                    <w:rPr>
                      <w:rFonts w:hint="eastAsia" w:ascii="宋体" w:hAnsi="宋体" w:eastAsia="宋体"/>
                      <w:b/>
                      <w:bCs/>
                      <w:kern w:val="2"/>
                      <w:sz w:val="21"/>
                      <w:szCs w:val="21"/>
                      <w:highlight w:val="none"/>
                      <w:lang w:val="en-US" w:eastAsia="zh-CN"/>
                    </w:rPr>
                    <w:t>后评价</w:t>
                  </w:r>
                  <w:r>
                    <w:rPr>
                      <w:rFonts w:hint="eastAsia" w:ascii="宋体" w:hAnsi="宋体" w:eastAsia="宋体"/>
                      <w:b/>
                      <w:bCs/>
                      <w:kern w:val="2"/>
                      <w:sz w:val="21"/>
                      <w:szCs w:val="21"/>
                      <w:highlight w:val="none"/>
                    </w:rPr>
                    <w:t>预估投资</w:t>
                  </w:r>
                </w:p>
                <w:p>
                  <w:pPr>
                    <w:pStyle w:val="98"/>
                    <w:rPr>
                      <w:rFonts w:hint="default" w:ascii="Times New Roman" w:hAnsi="Times New Roman" w:eastAsia="宋体" w:cs="Times New Roman"/>
                      <w:b/>
                      <w:color w:val="auto"/>
                      <w:kern w:val="2"/>
                      <w:sz w:val="21"/>
                      <w:szCs w:val="21"/>
                      <w:highlight w:val="none"/>
                    </w:rPr>
                  </w:pPr>
                  <w:r>
                    <w:rPr>
                      <w:rFonts w:hint="eastAsia" w:ascii="宋体" w:hAnsi="宋体" w:eastAsia="宋体"/>
                      <w:b/>
                      <w:bCs/>
                      <w:kern w:val="2"/>
                      <w:sz w:val="21"/>
                      <w:szCs w:val="21"/>
                      <w:highlight w:val="none"/>
                    </w:rPr>
                    <w:t>(万元)</w:t>
                  </w:r>
                </w:p>
              </w:tc>
              <w:tc>
                <w:tcPr>
                  <w:tcW w:w="1409" w:type="dxa"/>
                  <w:noWrap w:val="0"/>
                  <w:vAlign w:val="center"/>
                </w:tcPr>
                <w:p>
                  <w:pPr>
                    <w:pStyle w:val="98"/>
                    <w:rPr>
                      <w:rFonts w:hint="default" w:ascii="Times New Roman" w:hAnsi="Times New Roman" w:eastAsia="宋体" w:cs="Times New Roman"/>
                      <w:b/>
                      <w:color w:val="auto"/>
                      <w:kern w:val="2"/>
                      <w:sz w:val="21"/>
                      <w:szCs w:val="21"/>
                      <w:highlight w:val="none"/>
                    </w:rPr>
                  </w:pPr>
                  <w:r>
                    <w:rPr>
                      <w:rFonts w:hint="eastAsia" w:ascii="宋体" w:hAnsi="宋体" w:eastAsia="宋体"/>
                      <w:b/>
                      <w:bCs/>
                      <w:kern w:val="2"/>
                      <w:sz w:val="21"/>
                      <w:szCs w:val="21"/>
                      <w:highlight w:val="none"/>
                      <w:lang w:val="en-US" w:eastAsia="zh-CN"/>
                    </w:rPr>
                    <w:t>实际环保投资(万元)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Merge w:val="restart"/>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1</w:t>
                  </w:r>
                </w:p>
              </w:tc>
              <w:tc>
                <w:tcPr>
                  <w:tcW w:w="705" w:type="dxa"/>
                  <w:vMerge w:val="restart"/>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lang w:eastAsia="zh-CN"/>
                    </w:rPr>
                    <w:t>废水治理</w:t>
                  </w:r>
                </w:p>
              </w:tc>
              <w:tc>
                <w:tcPr>
                  <w:tcW w:w="1860"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生产废水</w:t>
                  </w:r>
                </w:p>
              </w:tc>
              <w:tc>
                <w:tcPr>
                  <w:tcW w:w="2640" w:type="dxa"/>
                  <w:noWrap w:val="0"/>
                  <w:vAlign w:val="center"/>
                </w:tcPr>
                <w:p>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沉淀水池四周及池底硬化、生产废水循环系统</w:t>
                  </w:r>
                </w:p>
              </w:tc>
              <w:tc>
                <w:tcPr>
                  <w:tcW w:w="1965" w:type="dxa"/>
                  <w:noWrap w:val="0"/>
                  <w:vAlign w:val="center"/>
                </w:tcPr>
                <w:p>
                  <w:pPr>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1409" w:type="dxa"/>
                  <w:noWrap w:val="0"/>
                  <w:vAlign w:val="center"/>
                </w:tcPr>
                <w:p>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Merge w:val="continue"/>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p>
              </w:tc>
              <w:tc>
                <w:tcPr>
                  <w:tcW w:w="705" w:type="dxa"/>
                  <w:vMerge w:val="continue"/>
                  <w:noWrap w:val="0"/>
                  <w:vAlign w:val="center"/>
                </w:tcPr>
                <w:p>
                  <w:pPr>
                    <w:jc w:val="center"/>
                    <w:rPr>
                      <w:rFonts w:hint="default" w:ascii="Times New Roman" w:hAnsi="Times New Roman" w:eastAsia="宋体" w:cs="Times New Roman"/>
                      <w:color w:val="auto"/>
                      <w:kern w:val="2"/>
                      <w:sz w:val="21"/>
                      <w:szCs w:val="21"/>
                      <w:highlight w:val="none"/>
                    </w:rPr>
                  </w:pPr>
                </w:p>
              </w:tc>
              <w:tc>
                <w:tcPr>
                  <w:tcW w:w="1860"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生活污水</w:t>
                  </w:r>
                </w:p>
              </w:tc>
              <w:tc>
                <w:tcPr>
                  <w:tcW w:w="2640" w:type="dxa"/>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rPr>
                    <w:t>化粪池</w:t>
                  </w:r>
                </w:p>
              </w:tc>
              <w:tc>
                <w:tcPr>
                  <w:tcW w:w="1965" w:type="dxa"/>
                  <w:noWrap w:val="0"/>
                  <w:vAlign w:val="center"/>
                </w:tcPr>
                <w:p>
                  <w:pPr>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5</w:t>
                  </w:r>
                </w:p>
              </w:tc>
              <w:tc>
                <w:tcPr>
                  <w:tcW w:w="1409" w:type="dxa"/>
                  <w:noWrap w:val="0"/>
                  <w:vAlign w:val="center"/>
                </w:tcPr>
                <w:p>
                  <w:pPr>
                    <w:jc w:val="center"/>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Merge w:val="restart"/>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2</w:t>
                  </w:r>
                </w:p>
              </w:tc>
              <w:tc>
                <w:tcPr>
                  <w:tcW w:w="705" w:type="dxa"/>
                  <w:vMerge w:val="restart"/>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废气治理</w:t>
                  </w:r>
                </w:p>
              </w:tc>
              <w:tc>
                <w:tcPr>
                  <w:tcW w:w="1860" w:type="dxa"/>
                  <w:noWrap w:val="0"/>
                  <w:vAlign w:val="center"/>
                </w:tcPr>
                <w:p>
                  <w:pPr>
                    <w:jc w:val="center"/>
                    <w:rPr>
                      <w:rFonts w:hint="eastAsia" w:ascii="Times New Roman" w:hAnsi="Times New Roman" w:eastAsia="宋体" w:cs="Times New Roman"/>
                      <w:color w:val="auto"/>
                      <w:kern w:val="2"/>
                      <w:sz w:val="21"/>
                      <w:szCs w:val="21"/>
                      <w:highlight w:val="none"/>
                      <w:lang w:eastAsia="zh-CN"/>
                    </w:rPr>
                  </w:pPr>
                  <w:r>
                    <w:rPr>
                      <w:rFonts w:hint="eastAsia" w:ascii="Times New Roman" w:hAnsi="Times New Roman" w:eastAsia="宋体" w:cs="Times New Roman"/>
                      <w:color w:val="auto"/>
                      <w:sz w:val="21"/>
                      <w:szCs w:val="21"/>
                      <w:highlight w:val="none"/>
                      <w:lang w:eastAsia="zh-CN"/>
                    </w:rPr>
                    <w:t>搅拌机粉尘</w:t>
                  </w:r>
                </w:p>
              </w:tc>
              <w:tc>
                <w:tcPr>
                  <w:tcW w:w="2640" w:type="dxa"/>
                  <w:noWrap w:val="0"/>
                  <w:vAlign w:val="center"/>
                </w:tcPr>
                <w:p>
                  <w:pPr>
                    <w:jc w:val="center"/>
                    <w:rPr>
                      <w:rFonts w:hint="eastAsia" w:ascii="Times New Roman" w:hAnsi="Times New Roman" w:eastAsia="宋体" w:cs="Times New Roman"/>
                      <w:color w:val="auto"/>
                      <w:kern w:val="2"/>
                      <w:sz w:val="21"/>
                      <w:szCs w:val="21"/>
                      <w:highlight w:val="none"/>
                      <w:lang w:eastAsia="zh-CN"/>
                    </w:rPr>
                  </w:pPr>
                  <w:r>
                    <w:rPr>
                      <w:rFonts w:hint="eastAsia" w:ascii="Times New Roman" w:hAnsi="Times New Roman" w:eastAsia="宋体" w:cs="Times New Roman"/>
                      <w:color w:val="auto"/>
                      <w:sz w:val="21"/>
                      <w:szCs w:val="21"/>
                      <w:highlight w:val="none"/>
                      <w:lang w:eastAsia="zh-CN"/>
                    </w:rPr>
                    <w:t>除尘装置</w:t>
                  </w:r>
                </w:p>
              </w:tc>
              <w:tc>
                <w:tcPr>
                  <w:tcW w:w="1965" w:type="dxa"/>
                  <w:noWrap w:val="0"/>
                  <w:vAlign w:val="center"/>
                </w:tcPr>
                <w:p>
                  <w:pPr>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w:t>
                  </w:r>
                </w:p>
              </w:tc>
              <w:tc>
                <w:tcPr>
                  <w:tcW w:w="1409" w:type="dxa"/>
                  <w:noWrap w:val="0"/>
                  <w:vAlign w:val="center"/>
                </w:tcPr>
                <w:p>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Merge w:val="continue"/>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p>
              </w:tc>
              <w:tc>
                <w:tcPr>
                  <w:tcW w:w="705" w:type="dxa"/>
                  <w:vMerge w:val="continue"/>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p>
              </w:tc>
              <w:tc>
                <w:tcPr>
                  <w:tcW w:w="1860" w:type="dxa"/>
                  <w:noWrap w:val="0"/>
                  <w:vAlign w:val="center"/>
                </w:tcPr>
                <w:p>
                  <w:pPr>
                    <w:jc w:val="center"/>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sz w:val="21"/>
                      <w:szCs w:val="21"/>
                      <w:highlight w:val="none"/>
                      <w:lang w:eastAsia="zh-CN"/>
                    </w:rPr>
                    <w:t>破碎机</w:t>
                  </w:r>
                  <w:r>
                    <w:rPr>
                      <w:rFonts w:hint="default" w:ascii="Times New Roman" w:hAnsi="Times New Roman" w:eastAsia="宋体" w:cs="Times New Roman"/>
                      <w:color w:val="auto"/>
                      <w:sz w:val="21"/>
                      <w:szCs w:val="21"/>
                      <w:highlight w:val="none"/>
                      <w:lang w:eastAsia="zh-CN"/>
                    </w:rPr>
                    <w:t>粉尘</w:t>
                  </w:r>
                </w:p>
              </w:tc>
              <w:tc>
                <w:tcPr>
                  <w:tcW w:w="2640" w:type="dxa"/>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eastAsia="zh-CN"/>
                    </w:rPr>
                    <w:t>除尘装置</w:t>
                  </w:r>
                  <w:r>
                    <w:rPr>
                      <w:rFonts w:hint="eastAsia" w:ascii="Times New Roman" w:hAnsi="Times New Roman" w:eastAsia="宋体" w:cs="Times New Roman"/>
                      <w:color w:val="auto"/>
                      <w:kern w:val="2"/>
                      <w:sz w:val="21"/>
                      <w:szCs w:val="21"/>
                      <w:highlight w:val="none"/>
                      <w:lang w:val="en-US" w:eastAsia="zh-CN"/>
                    </w:rPr>
                    <w:t>+15m排气筒</w:t>
                  </w:r>
                </w:p>
              </w:tc>
              <w:tc>
                <w:tcPr>
                  <w:tcW w:w="1965" w:type="dxa"/>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40</w:t>
                  </w:r>
                </w:p>
              </w:tc>
              <w:tc>
                <w:tcPr>
                  <w:tcW w:w="1409" w:type="dxa"/>
                  <w:noWrap w:val="0"/>
                  <w:vAlign w:val="center"/>
                </w:tcPr>
                <w:p>
                  <w:pPr>
                    <w:adjustRightInd/>
                    <w:spacing w:line="240" w:lineRule="auto"/>
                    <w:ind w:right="-80" w:rightChars="-38"/>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Merge w:val="continue"/>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p>
              </w:tc>
              <w:tc>
                <w:tcPr>
                  <w:tcW w:w="705" w:type="dxa"/>
                  <w:vMerge w:val="continue"/>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p>
              </w:tc>
              <w:tc>
                <w:tcPr>
                  <w:tcW w:w="1860" w:type="dxa"/>
                  <w:noWrap w:val="0"/>
                  <w:vAlign w:val="center"/>
                </w:tcPr>
                <w:p>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原料装、卸过程</w:t>
                  </w:r>
                  <w:r>
                    <w:rPr>
                      <w:rFonts w:hint="default" w:ascii="Times New Roman" w:hAnsi="Times New Roman" w:eastAsia="宋体" w:cs="Times New Roman"/>
                      <w:color w:val="auto"/>
                      <w:sz w:val="21"/>
                      <w:szCs w:val="21"/>
                      <w:highlight w:val="none"/>
                      <w:lang w:eastAsia="zh-CN"/>
                    </w:rPr>
                    <w:t>产生的粉尘</w:t>
                  </w:r>
                </w:p>
              </w:tc>
              <w:tc>
                <w:tcPr>
                  <w:tcW w:w="2640" w:type="dxa"/>
                  <w:noWrap w:val="0"/>
                  <w:vAlign w:val="center"/>
                </w:tcPr>
                <w:p>
                  <w:pPr>
                    <w:jc w:val="center"/>
                    <w:rPr>
                      <w:rFonts w:hint="eastAsia" w:ascii="Times New Roman" w:hAnsi="Times New Roman" w:eastAsia="宋体" w:cs="Times New Roman"/>
                      <w:color w:val="auto"/>
                      <w:kern w:val="2"/>
                      <w:sz w:val="21"/>
                      <w:szCs w:val="21"/>
                      <w:highlight w:val="none"/>
                      <w:lang w:eastAsia="zh-CN"/>
                    </w:rPr>
                  </w:pPr>
                  <w:r>
                    <w:rPr>
                      <w:rFonts w:hint="eastAsia" w:ascii="Times New Roman" w:hAnsi="Times New Roman" w:eastAsia="宋体" w:cs="Times New Roman"/>
                      <w:color w:val="auto"/>
                      <w:sz w:val="21"/>
                      <w:szCs w:val="21"/>
                      <w:highlight w:val="none"/>
                      <w:lang w:eastAsia="zh-CN"/>
                    </w:rPr>
                    <w:t>定期洒水</w:t>
                  </w:r>
                </w:p>
              </w:tc>
              <w:tc>
                <w:tcPr>
                  <w:tcW w:w="1965" w:type="dxa"/>
                  <w:noWrap w:val="0"/>
                  <w:vAlign w:val="center"/>
                </w:tcPr>
                <w:p>
                  <w:pPr>
                    <w:jc w:val="center"/>
                    <w:rPr>
                      <w:rFonts w:hint="eastAsia" w:ascii="Times New Roman" w:hAnsi="Times New Roman" w:eastAsia="宋体" w:cs="Times New Roman"/>
                      <w:color w:val="auto"/>
                      <w:kern w:val="2"/>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5</w:t>
                  </w:r>
                </w:p>
              </w:tc>
              <w:tc>
                <w:tcPr>
                  <w:tcW w:w="1409" w:type="dxa"/>
                  <w:noWrap w:val="0"/>
                  <w:vAlign w:val="center"/>
                </w:tcPr>
                <w:p>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Merge w:val="continue"/>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p>
              </w:tc>
              <w:tc>
                <w:tcPr>
                  <w:tcW w:w="705" w:type="dxa"/>
                  <w:vMerge w:val="continue"/>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p>
              </w:tc>
              <w:tc>
                <w:tcPr>
                  <w:tcW w:w="1860" w:type="dxa"/>
                  <w:noWrap w:val="0"/>
                  <w:vAlign w:val="center"/>
                </w:tcPr>
                <w:p>
                  <w:pPr>
                    <w:jc w:val="center"/>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sz w:val="21"/>
                      <w:szCs w:val="21"/>
                      <w:highlight w:val="none"/>
                      <w:lang w:eastAsia="zh-CN"/>
                    </w:rPr>
                    <w:t>锅炉废气</w:t>
                  </w:r>
                </w:p>
              </w:tc>
              <w:tc>
                <w:tcPr>
                  <w:tcW w:w="2640" w:type="dxa"/>
                  <w:noWrap w:val="0"/>
                  <w:vAlign w:val="center"/>
                </w:tcPr>
                <w:p>
                  <w:pPr>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除尘装置+</w:t>
                  </w:r>
                  <w:r>
                    <w:rPr>
                      <w:rFonts w:hint="eastAsia" w:cs="Times New Roman"/>
                      <w:color w:val="auto"/>
                      <w:kern w:val="0"/>
                      <w:sz w:val="21"/>
                      <w:szCs w:val="21"/>
                      <w:highlight w:val="none"/>
                      <w:lang w:val="en-US" w:eastAsia="zh-CN"/>
                    </w:rPr>
                    <w:t>30</w:t>
                  </w:r>
                  <w:r>
                    <w:rPr>
                      <w:rFonts w:hint="eastAsia" w:ascii="Times New Roman" w:hAnsi="Times New Roman" w:eastAsia="宋体" w:cs="Times New Roman"/>
                      <w:color w:val="auto"/>
                      <w:kern w:val="0"/>
                      <w:sz w:val="21"/>
                      <w:szCs w:val="21"/>
                      <w:highlight w:val="none"/>
                      <w:lang w:val="en-US" w:eastAsia="zh-CN"/>
                    </w:rPr>
                    <w:t>m高排气筒</w:t>
                  </w:r>
                </w:p>
              </w:tc>
              <w:tc>
                <w:tcPr>
                  <w:tcW w:w="1965" w:type="dxa"/>
                  <w:noWrap w:val="0"/>
                  <w:vAlign w:val="center"/>
                </w:tcPr>
                <w:p>
                  <w:pPr>
                    <w:jc w:val="center"/>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sz w:val="21"/>
                      <w:szCs w:val="21"/>
                      <w:highlight w:val="none"/>
                      <w:lang w:val="en-US" w:eastAsia="zh-CN"/>
                    </w:rPr>
                    <w:t>10</w:t>
                  </w:r>
                </w:p>
              </w:tc>
              <w:tc>
                <w:tcPr>
                  <w:tcW w:w="1409" w:type="dxa"/>
                  <w:noWrap w:val="0"/>
                  <w:vAlign w:val="center"/>
                </w:tcPr>
                <w:p>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Merge w:val="restart"/>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3</w:t>
                  </w:r>
                </w:p>
              </w:tc>
              <w:tc>
                <w:tcPr>
                  <w:tcW w:w="705" w:type="dxa"/>
                  <w:vMerge w:val="restart"/>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lang w:eastAsia="zh-CN"/>
                    </w:rPr>
                    <w:t>固废治理</w:t>
                  </w:r>
                </w:p>
              </w:tc>
              <w:tc>
                <w:tcPr>
                  <w:tcW w:w="1860"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生产车间</w:t>
                  </w:r>
                </w:p>
              </w:tc>
              <w:tc>
                <w:tcPr>
                  <w:tcW w:w="2640" w:type="dxa"/>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rPr>
                    <w:t>一般固废收集设施</w:t>
                  </w:r>
                </w:p>
              </w:tc>
              <w:tc>
                <w:tcPr>
                  <w:tcW w:w="1965" w:type="dxa"/>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lang w:val="en-US" w:eastAsia="zh-CN"/>
                    </w:rPr>
                    <w:t>3</w:t>
                  </w:r>
                </w:p>
              </w:tc>
              <w:tc>
                <w:tcPr>
                  <w:tcW w:w="1409"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Merge w:val="continue"/>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p>
              </w:tc>
              <w:tc>
                <w:tcPr>
                  <w:tcW w:w="705" w:type="dxa"/>
                  <w:vMerge w:val="continue"/>
                  <w:noWrap w:val="0"/>
                  <w:vAlign w:val="center"/>
                </w:tcPr>
                <w:p>
                  <w:pPr>
                    <w:jc w:val="center"/>
                    <w:rPr>
                      <w:rFonts w:hint="default" w:ascii="Times New Roman" w:hAnsi="Times New Roman" w:eastAsia="宋体" w:cs="Times New Roman"/>
                      <w:color w:val="auto"/>
                      <w:kern w:val="2"/>
                      <w:sz w:val="21"/>
                      <w:szCs w:val="21"/>
                      <w:highlight w:val="none"/>
                    </w:rPr>
                  </w:pPr>
                </w:p>
              </w:tc>
              <w:tc>
                <w:tcPr>
                  <w:tcW w:w="1860"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员工日常生活</w:t>
                  </w:r>
                </w:p>
              </w:tc>
              <w:tc>
                <w:tcPr>
                  <w:tcW w:w="2640" w:type="dxa"/>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rPr>
                    <w:t>生活垃圾收集设施</w:t>
                  </w:r>
                </w:p>
              </w:tc>
              <w:tc>
                <w:tcPr>
                  <w:tcW w:w="1965" w:type="dxa"/>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rPr>
                    <w:t>1</w:t>
                  </w:r>
                </w:p>
              </w:tc>
              <w:tc>
                <w:tcPr>
                  <w:tcW w:w="1409"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4</w:t>
                  </w:r>
                </w:p>
              </w:tc>
              <w:tc>
                <w:tcPr>
                  <w:tcW w:w="705" w:type="dxa"/>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lang w:eastAsia="zh-CN"/>
                    </w:rPr>
                    <w:t>噪声治理</w:t>
                  </w:r>
                </w:p>
              </w:tc>
              <w:tc>
                <w:tcPr>
                  <w:tcW w:w="1860"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各类机械设备</w:t>
                  </w:r>
                </w:p>
              </w:tc>
              <w:tc>
                <w:tcPr>
                  <w:tcW w:w="2640" w:type="dxa"/>
                  <w:noWrap w:val="0"/>
                  <w:vAlign w:val="center"/>
                </w:tcPr>
                <w:p>
                  <w:pPr>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sz w:val="21"/>
                      <w:szCs w:val="21"/>
                      <w:highlight w:val="none"/>
                    </w:rPr>
                    <w:t>合理布置，消声、隔声等降噪措施</w:t>
                  </w:r>
                </w:p>
              </w:tc>
              <w:tc>
                <w:tcPr>
                  <w:tcW w:w="1965" w:type="dxa"/>
                  <w:noWrap w:val="0"/>
                  <w:vAlign w:val="center"/>
                </w:tcPr>
                <w:p>
                  <w:pPr>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sz w:val="21"/>
                      <w:szCs w:val="21"/>
                      <w:highlight w:val="none"/>
                    </w:rPr>
                    <w:t>30</w:t>
                  </w:r>
                </w:p>
              </w:tc>
              <w:tc>
                <w:tcPr>
                  <w:tcW w:w="1409"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5</w:t>
                  </w:r>
                </w:p>
              </w:tc>
              <w:tc>
                <w:tcPr>
                  <w:tcW w:w="2565" w:type="dxa"/>
                  <w:gridSpan w:val="2"/>
                  <w:noWrap w:val="0"/>
                  <w:vAlign w:val="center"/>
                </w:tcPr>
                <w:p>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绿化</w:t>
                  </w:r>
                </w:p>
              </w:tc>
              <w:tc>
                <w:tcPr>
                  <w:tcW w:w="2640" w:type="dxa"/>
                  <w:noWrap w:val="0"/>
                  <w:vAlign w:val="center"/>
                </w:tcPr>
                <w:p>
                  <w:pPr>
                    <w:jc w:val="center"/>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sz w:val="21"/>
                      <w:szCs w:val="21"/>
                      <w:highlight w:val="none"/>
                    </w:rPr>
                    <w:t>-</w:t>
                  </w:r>
                </w:p>
              </w:tc>
              <w:tc>
                <w:tcPr>
                  <w:tcW w:w="1965" w:type="dxa"/>
                  <w:noWrap w:val="0"/>
                  <w:vAlign w:val="center"/>
                </w:tcPr>
                <w:p>
                  <w:pPr>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1409" w:type="dxa"/>
                  <w:noWrap w:val="0"/>
                  <w:vAlign w:val="center"/>
                </w:tcPr>
                <w:p>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71" w:type="dxa"/>
                  <w:gridSpan w:val="3"/>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合计</w:t>
                  </w:r>
                </w:p>
              </w:tc>
              <w:tc>
                <w:tcPr>
                  <w:tcW w:w="2640" w:type="dxa"/>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lang w:val="en-US"/>
                    </w:rPr>
                  </w:pPr>
                </w:p>
              </w:tc>
              <w:tc>
                <w:tcPr>
                  <w:tcW w:w="1965" w:type="dxa"/>
                  <w:noWrap w:val="0"/>
                  <w:vAlign w:val="center"/>
                </w:tcPr>
                <w:p>
                  <w:pPr>
                    <w:adjustRightInd/>
                    <w:spacing w:line="240" w:lineRule="auto"/>
                    <w:ind w:right="-80" w:rightChars="-38"/>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154</w:t>
                  </w:r>
                </w:p>
              </w:tc>
              <w:tc>
                <w:tcPr>
                  <w:tcW w:w="1409" w:type="dxa"/>
                  <w:noWrap w:val="0"/>
                  <w:vAlign w:val="center"/>
                </w:tcPr>
                <w:p>
                  <w:pPr>
                    <w:adjustRightInd/>
                    <w:spacing w:line="240" w:lineRule="auto"/>
                    <w:ind w:right="-80" w:rightChars="-38"/>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154</w:t>
                  </w:r>
                </w:p>
              </w:tc>
            </w:tr>
          </w:tbl>
          <w:p>
            <w:pPr>
              <w:spacing w:line="480" w:lineRule="auto"/>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表四</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rFonts w:ascii="宋体" w:hAnsi="宋体"/>
                <w:b/>
                <w:sz w:val="24"/>
                <w:highlight w:val="none"/>
              </w:rPr>
            </w:pPr>
            <w:r>
              <w:rPr>
                <w:rFonts w:hint="eastAsia" w:ascii="宋体" w:hAnsi="宋体"/>
                <w:b/>
                <w:sz w:val="24"/>
                <w:highlight w:val="none"/>
              </w:rPr>
              <w:t>建设项目环境影响</w:t>
            </w:r>
            <w:r>
              <w:rPr>
                <w:rFonts w:hint="eastAsia" w:ascii="宋体" w:hAnsi="宋体"/>
                <w:b/>
                <w:sz w:val="24"/>
                <w:highlight w:val="none"/>
                <w:lang w:val="en-US" w:eastAsia="zh-CN"/>
              </w:rPr>
              <w:t>后评价</w:t>
            </w:r>
            <w:r>
              <w:rPr>
                <w:rFonts w:hint="eastAsia" w:ascii="宋体" w:hAnsi="宋体"/>
                <w:b/>
                <w:sz w:val="24"/>
                <w:highlight w:val="none"/>
              </w:rPr>
              <w:t>主要结论及审批部门审批决定：</w:t>
            </w:r>
          </w:p>
          <w:p>
            <w:pPr>
              <w:spacing w:line="360" w:lineRule="auto"/>
              <w:rPr>
                <w:rFonts w:ascii="宋体" w:hAnsi="宋体"/>
                <w:b/>
                <w:sz w:val="24"/>
                <w:highlight w:val="none"/>
              </w:rPr>
            </w:pPr>
            <w:r>
              <w:rPr>
                <w:rFonts w:hint="eastAsia" w:ascii="宋体" w:hAnsi="宋体"/>
                <w:b/>
                <w:sz w:val="24"/>
                <w:highlight w:val="none"/>
              </w:rPr>
              <w:t>一、建设项目</w:t>
            </w:r>
            <w:r>
              <w:rPr>
                <w:rFonts w:hint="eastAsia" w:ascii="宋体" w:hAnsi="宋体"/>
                <w:b/>
                <w:sz w:val="24"/>
                <w:highlight w:val="none"/>
                <w:lang w:val="en-US" w:eastAsia="zh-CN"/>
              </w:rPr>
              <w:t>环境影响后评价</w:t>
            </w:r>
            <w:r>
              <w:rPr>
                <w:rFonts w:hint="eastAsia" w:ascii="宋体" w:hAnsi="宋体"/>
                <w:b/>
                <w:sz w:val="24"/>
                <w:highlight w:val="none"/>
              </w:rPr>
              <w:t>的主要结论</w:t>
            </w:r>
          </w:p>
          <w:p>
            <w:pPr>
              <w:spacing w:line="360" w:lineRule="auto"/>
              <w:rPr>
                <w:rFonts w:ascii="宋体" w:hAnsi="宋体"/>
                <w:b/>
                <w:bCs/>
                <w:sz w:val="24"/>
                <w:highlight w:val="none"/>
              </w:rPr>
            </w:pPr>
            <w:r>
              <w:rPr>
                <w:rFonts w:ascii="宋体" w:hAnsi="宋体"/>
                <w:b/>
                <w:bCs/>
                <w:sz w:val="24"/>
                <w:highlight w:val="none"/>
              </w:rPr>
              <w:t>结论：</w:t>
            </w:r>
          </w:p>
          <w:p>
            <w:pPr>
              <w:keepNext/>
              <w:keepLines/>
              <w:widowControl w:val="0"/>
              <w:adjustRightInd w:val="0"/>
              <w:spacing w:line="500" w:lineRule="exact"/>
              <w:jc w:val="both"/>
              <w:textAlignment w:val="baseline"/>
              <w:outlineLvl w:val="1"/>
              <w:rPr>
                <w:rFonts w:ascii="Times New Roman" w:hAnsi="Times New Roman" w:eastAsia="宋体" w:cs="Times New Roman"/>
                <w:b/>
                <w:bCs/>
                <w:snapToGrid w:val="0"/>
                <w:color w:val="auto"/>
                <w:sz w:val="24"/>
                <w:szCs w:val="24"/>
                <w:highlight w:val="none"/>
                <w:lang w:val="en-US" w:eastAsia="zh-CN" w:bidi="ar-SA"/>
              </w:rPr>
            </w:pPr>
            <w:bookmarkStart w:id="7" w:name="_Toc320446421"/>
            <w:bookmarkStart w:id="8" w:name="_Toc364072628"/>
            <w:bookmarkStart w:id="9" w:name="_Toc4304"/>
            <w:bookmarkStart w:id="10" w:name="_Toc327020747"/>
            <w:bookmarkStart w:id="11" w:name="_Toc320530116"/>
            <w:bookmarkStart w:id="12" w:name="_Toc18016"/>
            <w:bookmarkStart w:id="13" w:name="_Toc331248778"/>
            <w:bookmarkStart w:id="14" w:name="_Toc331248176"/>
            <w:bookmarkStart w:id="15" w:name="_Toc320987642"/>
            <w:bookmarkStart w:id="16" w:name="_Toc339475815"/>
            <w:bookmarkStart w:id="17" w:name="_Toc325656886"/>
            <w:bookmarkStart w:id="18" w:name="_Toc268009160"/>
            <w:bookmarkStart w:id="19" w:name="_Toc325659667"/>
            <w:r>
              <w:rPr>
                <w:rFonts w:ascii="Times New Roman" w:hAnsi="Times New Roman" w:eastAsia="宋体" w:cs="Times New Roman"/>
                <w:b/>
                <w:bCs/>
                <w:snapToGrid w:val="0"/>
                <w:color w:val="auto"/>
                <w:sz w:val="24"/>
                <w:szCs w:val="24"/>
                <w:highlight w:val="none"/>
                <w:lang w:val="en-US" w:eastAsia="zh-CN" w:bidi="ar-SA"/>
              </w:rPr>
              <w:t>1 项目概况</w:t>
            </w:r>
            <w:bookmarkEnd w:id="7"/>
            <w:bookmarkEnd w:id="8"/>
            <w:bookmarkEnd w:id="9"/>
            <w:bookmarkEnd w:id="10"/>
            <w:bookmarkEnd w:id="11"/>
            <w:bookmarkEnd w:id="12"/>
            <w:bookmarkEnd w:id="13"/>
            <w:bookmarkEnd w:id="14"/>
            <w:bookmarkEnd w:id="15"/>
            <w:bookmarkEnd w:id="16"/>
            <w:bookmarkEnd w:id="17"/>
            <w:bookmarkEnd w:id="18"/>
            <w:bookmarkEnd w:id="19"/>
          </w:p>
          <w:p>
            <w:pPr>
              <w:tabs>
                <w:tab w:val="left" w:pos="16380"/>
              </w:tabs>
              <w:adjustRightInd/>
              <w:spacing w:line="500" w:lineRule="exact"/>
              <w:ind w:firstLine="504" w:firstLineChars="210"/>
              <w:textAlignment w:val="auto"/>
              <w:rPr>
                <w:rFonts w:hint="eastAsia" w:ascii="Times New Roman" w:hAnsi="Times New Roman" w:eastAsia="宋体"/>
                <w:kern w:val="10"/>
                <w:sz w:val="24"/>
                <w:szCs w:val="24"/>
                <w:highlight w:val="none"/>
              </w:rPr>
            </w:pPr>
            <w:bookmarkStart w:id="20" w:name="_Toc320987646"/>
            <w:bookmarkStart w:id="21" w:name="_Toc325656890"/>
            <w:bookmarkStart w:id="22" w:name="_Toc331248177"/>
            <w:bookmarkStart w:id="23" w:name="_Toc320530120"/>
            <w:bookmarkStart w:id="24" w:name="_Toc268009164"/>
            <w:bookmarkStart w:id="25" w:name="_Toc327020751"/>
            <w:bookmarkStart w:id="26" w:name="_Toc339475816"/>
            <w:bookmarkStart w:id="27" w:name="_Toc331248779"/>
            <w:bookmarkStart w:id="28" w:name="_Toc325659671"/>
            <w:bookmarkStart w:id="29" w:name="_Toc320446436"/>
            <w:r>
              <w:rPr>
                <w:rFonts w:hint="eastAsia" w:ascii="Times New Roman" w:hAnsi="Times New Roman" w:eastAsia="宋体"/>
                <w:kern w:val="10"/>
                <w:sz w:val="24"/>
                <w:szCs w:val="24"/>
              </w:rPr>
              <w:t>201</w:t>
            </w:r>
            <w:r>
              <w:rPr>
                <w:rFonts w:hint="eastAsia" w:ascii="Times New Roman" w:hAnsi="Times New Roman" w:eastAsia="宋体"/>
                <w:kern w:val="10"/>
                <w:sz w:val="24"/>
                <w:szCs w:val="24"/>
                <w:lang w:val="en-US" w:eastAsia="zh-CN"/>
              </w:rPr>
              <w:t>1</w:t>
            </w:r>
            <w:r>
              <w:rPr>
                <w:rFonts w:hint="eastAsia" w:ascii="Times New Roman" w:hAnsi="Times New Roman" w:eastAsia="宋体"/>
                <w:kern w:val="10"/>
                <w:sz w:val="24"/>
                <w:szCs w:val="24"/>
              </w:rPr>
              <w:t>年</w:t>
            </w:r>
            <w:r>
              <w:rPr>
                <w:rFonts w:hint="eastAsia" w:ascii="Times New Roman" w:hAnsi="Times New Roman" w:eastAsia="宋体"/>
                <w:kern w:val="10"/>
                <w:sz w:val="24"/>
                <w:szCs w:val="24"/>
                <w:lang w:val="en-US" w:eastAsia="zh-CN"/>
              </w:rPr>
              <w:t>8月2日</w:t>
            </w:r>
            <w:r>
              <w:rPr>
                <w:rFonts w:hint="eastAsia" w:ascii="Times New Roman" w:hAnsi="Times New Roman" w:eastAsia="宋体"/>
                <w:kern w:val="0"/>
                <w:sz w:val="24"/>
                <w:szCs w:val="24"/>
              </w:rPr>
              <w:t>芜湖市祥兴新型建材有限责任公司</w:t>
            </w:r>
            <w:r>
              <w:rPr>
                <w:rFonts w:hint="eastAsia" w:ascii="Times New Roman" w:hAnsi="Times New Roman" w:eastAsia="宋体"/>
                <w:kern w:val="0"/>
                <w:sz w:val="24"/>
                <w:szCs w:val="24"/>
                <w:lang w:eastAsia="zh-CN"/>
              </w:rPr>
              <w:t>在和县沈巷镇保圩村投资</w:t>
            </w:r>
            <w:r>
              <w:rPr>
                <w:rFonts w:hint="eastAsia" w:ascii="Times New Roman" w:hAnsi="Times New Roman" w:eastAsia="宋体"/>
                <w:kern w:val="0"/>
                <w:sz w:val="24"/>
                <w:szCs w:val="24"/>
                <w:lang w:val="en-US" w:eastAsia="zh-CN"/>
              </w:rPr>
              <w:t>3200万元，建设年产1.2亿块蒸压灰砂砖项目。该项目得到了和县发展和改革委员会的项目备案（发改行审【2011】23号）</w:t>
            </w:r>
            <w:r>
              <w:rPr>
                <w:rFonts w:hint="eastAsia" w:ascii="Times New Roman" w:hAnsi="Times New Roman" w:eastAsia="宋体"/>
                <w:kern w:val="10"/>
                <w:sz w:val="24"/>
                <w:szCs w:val="24"/>
                <w:lang w:eastAsia="zh-CN"/>
              </w:rPr>
              <w:t>。</w:t>
            </w:r>
            <w:r>
              <w:rPr>
                <w:rFonts w:hint="eastAsia" w:ascii="Times New Roman" w:hAnsi="Times New Roman" w:eastAsia="宋体"/>
                <w:kern w:val="10"/>
                <w:sz w:val="24"/>
                <w:szCs w:val="24"/>
              </w:rPr>
              <w:t>根据当地环境保护部门的要求，</w:t>
            </w:r>
            <w:r>
              <w:rPr>
                <w:rFonts w:hint="eastAsia" w:ascii="Times New Roman" w:hAnsi="Times New Roman" w:eastAsia="宋体"/>
                <w:kern w:val="0"/>
                <w:sz w:val="24"/>
                <w:szCs w:val="24"/>
              </w:rPr>
              <w:t>该公司</w:t>
            </w:r>
            <w:r>
              <w:rPr>
                <w:rFonts w:hint="eastAsia" w:ascii="Times New Roman" w:hAnsi="Times New Roman" w:eastAsia="宋体"/>
                <w:kern w:val="10"/>
                <w:sz w:val="24"/>
                <w:szCs w:val="24"/>
              </w:rPr>
              <w:t>委托</w:t>
            </w:r>
            <w:r>
              <w:rPr>
                <w:rFonts w:hint="eastAsia" w:ascii="Times New Roman" w:hAnsi="Times New Roman" w:eastAsia="宋体"/>
                <w:kern w:val="0"/>
                <w:sz w:val="24"/>
                <w:szCs w:val="24"/>
                <w:lang w:eastAsia="zh-CN"/>
              </w:rPr>
              <w:t>安徽师范大学</w:t>
            </w:r>
            <w:r>
              <w:rPr>
                <w:rFonts w:hint="eastAsia" w:ascii="Times New Roman" w:hAnsi="Times New Roman" w:eastAsia="宋体"/>
                <w:kern w:val="10"/>
                <w:sz w:val="24"/>
                <w:szCs w:val="24"/>
              </w:rPr>
              <w:t>承担该项目的环境影响评价工作，并出具了《</w:t>
            </w:r>
            <w:r>
              <w:rPr>
                <w:rFonts w:hint="eastAsia" w:ascii="Times New Roman" w:hAnsi="Times New Roman" w:eastAsia="宋体"/>
                <w:kern w:val="0"/>
                <w:sz w:val="24"/>
                <w:szCs w:val="24"/>
                <w:lang w:eastAsia="zh-CN"/>
              </w:rPr>
              <w:t>和县兴盛新型建材有限公司</w:t>
            </w:r>
            <w:r>
              <w:rPr>
                <w:rFonts w:ascii="Times New Roman" w:hAnsi="Times New Roman" w:eastAsia="宋体"/>
                <w:kern w:val="0"/>
                <w:sz w:val="24"/>
                <w:szCs w:val="24"/>
              </w:rPr>
              <w:t>年产</w:t>
            </w:r>
            <w:r>
              <w:rPr>
                <w:rFonts w:hint="eastAsia" w:ascii="Times New Roman" w:hAnsi="Times New Roman" w:eastAsia="宋体"/>
                <w:kern w:val="0"/>
                <w:sz w:val="24"/>
                <w:szCs w:val="24"/>
                <w:lang w:val="en-US" w:eastAsia="zh-CN"/>
              </w:rPr>
              <w:t>1.2亿块蒸压灰砂砖项目</w:t>
            </w:r>
            <w:r>
              <w:rPr>
                <w:rFonts w:hint="eastAsia" w:ascii="Times New Roman" w:hAnsi="Times New Roman" w:eastAsia="宋体"/>
                <w:kern w:val="10"/>
                <w:sz w:val="24"/>
                <w:szCs w:val="24"/>
              </w:rPr>
              <w:t>环境影响报告表》（以下简称“报告表”）。</w:t>
            </w:r>
            <w:r>
              <w:rPr>
                <w:rFonts w:hint="eastAsia" w:ascii="Times New Roman" w:hAnsi="Times New Roman" w:eastAsia="宋体"/>
                <w:kern w:val="2"/>
                <w:sz w:val="24"/>
                <w:szCs w:val="24"/>
                <w:lang w:eastAsia="zh-CN"/>
              </w:rPr>
              <w:t>和县</w:t>
            </w:r>
            <w:r>
              <w:rPr>
                <w:rFonts w:hint="eastAsia" w:ascii="Times New Roman" w:hAnsi="Times New Roman" w:eastAsia="宋体"/>
                <w:kern w:val="10"/>
                <w:sz w:val="24"/>
                <w:szCs w:val="24"/>
              </w:rPr>
              <w:t>环境保护局于</w:t>
            </w:r>
            <w:r>
              <w:rPr>
                <w:rFonts w:hint="eastAsia" w:ascii="Times New Roman" w:hAnsi="Times New Roman" w:eastAsia="宋体"/>
                <w:kern w:val="2"/>
                <w:sz w:val="24"/>
                <w:szCs w:val="24"/>
              </w:rPr>
              <w:t>201</w:t>
            </w:r>
            <w:r>
              <w:rPr>
                <w:rFonts w:hint="eastAsia" w:ascii="Times New Roman" w:hAnsi="Times New Roman" w:eastAsia="宋体"/>
                <w:kern w:val="2"/>
                <w:sz w:val="24"/>
                <w:szCs w:val="24"/>
                <w:lang w:val="en-US" w:eastAsia="zh-CN"/>
              </w:rPr>
              <w:t>1</w:t>
            </w:r>
            <w:r>
              <w:rPr>
                <w:rFonts w:hint="eastAsia" w:ascii="Times New Roman" w:hAnsi="Times New Roman" w:eastAsia="宋体"/>
                <w:kern w:val="2"/>
                <w:sz w:val="24"/>
                <w:szCs w:val="24"/>
              </w:rPr>
              <w:t>年</w:t>
            </w:r>
            <w:r>
              <w:rPr>
                <w:rFonts w:hint="eastAsia" w:ascii="Times New Roman" w:hAnsi="Times New Roman" w:eastAsia="宋体"/>
                <w:kern w:val="2"/>
                <w:sz w:val="24"/>
                <w:szCs w:val="24"/>
                <w:lang w:val="en-US" w:eastAsia="zh-CN"/>
              </w:rPr>
              <w:t>8</w:t>
            </w:r>
            <w:r>
              <w:rPr>
                <w:rFonts w:hint="eastAsia" w:ascii="Times New Roman" w:hAnsi="Times New Roman" w:eastAsia="宋体"/>
                <w:kern w:val="2"/>
                <w:sz w:val="24"/>
                <w:szCs w:val="24"/>
              </w:rPr>
              <w:t>月</w:t>
            </w:r>
            <w:r>
              <w:rPr>
                <w:rFonts w:hint="eastAsia" w:ascii="Times New Roman" w:hAnsi="Times New Roman" w:eastAsia="宋体"/>
                <w:kern w:val="2"/>
                <w:sz w:val="24"/>
                <w:szCs w:val="24"/>
                <w:lang w:val="en-US" w:eastAsia="zh-CN"/>
              </w:rPr>
              <w:t>1</w:t>
            </w:r>
            <w:r>
              <w:rPr>
                <w:rFonts w:hint="eastAsia" w:ascii="Times New Roman" w:hAnsi="Times New Roman" w:eastAsia="宋体"/>
                <w:kern w:val="2"/>
                <w:sz w:val="24"/>
                <w:szCs w:val="24"/>
              </w:rPr>
              <w:t>2</w:t>
            </w:r>
            <w:r>
              <w:rPr>
                <w:rFonts w:hint="eastAsia" w:ascii="Times New Roman" w:hAnsi="Times New Roman" w:eastAsia="宋体"/>
                <w:kern w:val="10"/>
                <w:sz w:val="24"/>
                <w:szCs w:val="24"/>
              </w:rPr>
              <w:t>以“</w:t>
            </w:r>
            <w:r>
              <w:rPr>
                <w:rFonts w:hint="eastAsia" w:ascii="Times New Roman" w:hAnsi="Times New Roman" w:eastAsia="宋体"/>
                <w:kern w:val="2"/>
                <w:sz w:val="24"/>
                <w:szCs w:val="24"/>
                <w:lang w:eastAsia="zh-CN"/>
              </w:rPr>
              <w:t>和环审</w:t>
            </w:r>
            <w:r>
              <w:rPr>
                <w:rFonts w:hint="eastAsia" w:ascii="Times New Roman" w:hAnsi="Times New Roman" w:eastAsia="宋体"/>
                <w:kern w:val="2"/>
                <w:sz w:val="24"/>
                <w:szCs w:val="24"/>
              </w:rPr>
              <w:t>[201</w:t>
            </w:r>
            <w:r>
              <w:rPr>
                <w:rFonts w:hint="eastAsia" w:ascii="Times New Roman" w:hAnsi="Times New Roman" w:eastAsia="宋体"/>
                <w:kern w:val="2"/>
                <w:sz w:val="24"/>
                <w:szCs w:val="24"/>
                <w:lang w:val="en-US" w:eastAsia="zh-CN"/>
              </w:rPr>
              <w:t>1</w:t>
            </w:r>
            <w:r>
              <w:rPr>
                <w:rFonts w:hint="eastAsia" w:ascii="Times New Roman" w:hAnsi="Times New Roman" w:eastAsia="宋体"/>
                <w:kern w:val="2"/>
                <w:sz w:val="24"/>
                <w:szCs w:val="24"/>
              </w:rPr>
              <w:t>]3</w:t>
            </w:r>
            <w:r>
              <w:rPr>
                <w:rFonts w:hint="eastAsia" w:ascii="Times New Roman" w:hAnsi="Times New Roman" w:eastAsia="宋体"/>
                <w:kern w:val="2"/>
                <w:sz w:val="24"/>
                <w:szCs w:val="24"/>
                <w:lang w:val="en-US" w:eastAsia="zh-CN"/>
              </w:rPr>
              <w:t>4</w:t>
            </w:r>
            <w:r>
              <w:rPr>
                <w:rFonts w:hint="eastAsia" w:ascii="Times New Roman" w:hAnsi="Times New Roman" w:eastAsia="宋体"/>
                <w:kern w:val="2"/>
                <w:sz w:val="24"/>
                <w:szCs w:val="24"/>
              </w:rPr>
              <w:t>号</w:t>
            </w:r>
            <w:r>
              <w:rPr>
                <w:rFonts w:hint="eastAsia" w:ascii="Times New Roman" w:hAnsi="Times New Roman" w:eastAsia="宋体"/>
                <w:kern w:val="10"/>
                <w:sz w:val="24"/>
                <w:szCs w:val="24"/>
              </w:rPr>
              <w:t>”文对报告表进行了审批并批复，并于20</w:t>
            </w:r>
            <w:r>
              <w:rPr>
                <w:rFonts w:hint="eastAsia" w:ascii="Times New Roman" w:hAnsi="Times New Roman" w:eastAsia="宋体"/>
                <w:kern w:val="10"/>
                <w:sz w:val="24"/>
                <w:szCs w:val="24"/>
                <w:lang w:val="en-US" w:eastAsia="zh-CN"/>
              </w:rPr>
              <w:t>14</w:t>
            </w:r>
            <w:r>
              <w:rPr>
                <w:rFonts w:hint="eastAsia" w:ascii="Times New Roman" w:hAnsi="Times New Roman" w:eastAsia="宋体"/>
                <w:kern w:val="10"/>
                <w:sz w:val="24"/>
                <w:szCs w:val="24"/>
              </w:rPr>
              <w:t>年</w:t>
            </w:r>
            <w:r>
              <w:rPr>
                <w:rFonts w:hint="eastAsia" w:ascii="Times New Roman" w:hAnsi="Times New Roman" w:eastAsia="宋体"/>
                <w:kern w:val="10"/>
                <w:sz w:val="24"/>
                <w:szCs w:val="24"/>
                <w:lang w:val="en-US" w:eastAsia="zh-CN"/>
              </w:rPr>
              <w:t>9</w:t>
            </w:r>
            <w:r>
              <w:rPr>
                <w:rFonts w:hint="eastAsia" w:ascii="Times New Roman" w:hAnsi="Times New Roman" w:eastAsia="宋体"/>
                <w:kern w:val="10"/>
                <w:sz w:val="24"/>
                <w:szCs w:val="24"/>
              </w:rPr>
              <w:t>月</w:t>
            </w:r>
            <w:r>
              <w:rPr>
                <w:rFonts w:hint="eastAsia" w:ascii="Times New Roman" w:hAnsi="Times New Roman" w:eastAsia="宋体"/>
                <w:kern w:val="10"/>
                <w:sz w:val="24"/>
                <w:szCs w:val="24"/>
                <w:lang w:val="en-US" w:eastAsia="zh-CN"/>
              </w:rPr>
              <w:t>15</w:t>
            </w:r>
            <w:r>
              <w:rPr>
                <w:rFonts w:hint="eastAsia" w:ascii="Times New Roman" w:hAnsi="Times New Roman" w:eastAsia="宋体"/>
                <w:kern w:val="10"/>
                <w:sz w:val="24"/>
                <w:szCs w:val="24"/>
              </w:rPr>
              <w:t>日以“环验[201</w:t>
            </w:r>
            <w:r>
              <w:rPr>
                <w:rFonts w:hint="eastAsia" w:ascii="Times New Roman" w:hAnsi="Times New Roman" w:eastAsia="宋体"/>
                <w:kern w:val="10"/>
                <w:sz w:val="24"/>
                <w:szCs w:val="24"/>
                <w:lang w:val="en-US" w:eastAsia="zh-CN"/>
              </w:rPr>
              <w:t>4</w:t>
            </w:r>
            <w:r>
              <w:rPr>
                <w:rFonts w:hint="eastAsia" w:ascii="Times New Roman" w:hAnsi="Times New Roman" w:eastAsia="宋体"/>
                <w:kern w:val="10"/>
                <w:sz w:val="24"/>
                <w:szCs w:val="24"/>
              </w:rPr>
              <w:t>]</w:t>
            </w:r>
            <w:r>
              <w:rPr>
                <w:rFonts w:hint="eastAsia" w:ascii="Times New Roman" w:hAnsi="Times New Roman" w:eastAsia="宋体"/>
                <w:kern w:val="10"/>
                <w:sz w:val="24"/>
                <w:szCs w:val="24"/>
                <w:lang w:val="en-US" w:eastAsia="zh-CN"/>
              </w:rPr>
              <w:t>70</w:t>
            </w:r>
            <w:r>
              <w:rPr>
                <w:rFonts w:hint="eastAsia" w:ascii="Times New Roman" w:hAnsi="Times New Roman" w:eastAsia="宋体"/>
                <w:kern w:val="10"/>
                <w:sz w:val="24"/>
                <w:szCs w:val="24"/>
              </w:rPr>
              <w:t>号”文对该项目进行了验收并批复</w:t>
            </w:r>
            <w:r>
              <w:rPr>
                <w:rFonts w:hint="eastAsia" w:ascii="Times New Roman" w:hAnsi="Times New Roman" w:eastAsia="宋体"/>
                <w:kern w:val="10"/>
                <w:sz w:val="24"/>
                <w:szCs w:val="24"/>
                <w:highlight w:val="none"/>
              </w:rPr>
              <w:t>。</w:t>
            </w:r>
          </w:p>
          <w:p>
            <w:pPr>
              <w:adjustRightInd w:val="0"/>
              <w:spacing w:line="360" w:lineRule="auto"/>
              <w:ind w:firstLine="480" w:firstLineChars="200"/>
              <w:textAlignment w:val="baseline"/>
              <w:rPr>
                <w:rFonts w:hint="default" w:ascii="Times New Roman" w:hAnsi="Times New Roman" w:eastAsia="宋体"/>
                <w:kern w:val="2"/>
                <w:sz w:val="24"/>
                <w:szCs w:val="24"/>
                <w:highlight w:val="none"/>
                <w:lang w:val="en-US" w:eastAsia="zh-CN"/>
              </w:rPr>
            </w:pPr>
            <w:r>
              <w:rPr>
                <w:rFonts w:hint="eastAsia" w:ascii="Times New Roman" w:hAnsi="Times New Roman" w:eastAsia="宋体"/>
                <w:kern w:val="2"/>
                <w:sz w:val="24"/>
                <w:szCs w:val="24"/>
                <w:highlight w:val="none"/>
              </w:rPr>
              <w:t>项目实际投产运行后，为缓解</w:t>
            </w:r>
            <w:r>
              <w:rPr>
                <w:rFonts w:hint="eastAsia" w:ascii="Times New Roman" w:hAnsi="Times New Roman" w:eastAsia="宋体"/>
                <w:kern w:val="2"/>
                <w:sz w:val="24"/>
                <w:szCs w:val="24"/>
                <w:highlight w:val="none"/>
                <w:lang w:val="en-US" w:eastAsia="zh-CN"/>
              </w:rPr>
              <w:t>生产成本</w:t>
            </w:r>
            <w:r>
              <w:rPr>
                <w:rFonts w:hint="eastAsia" w:ascii="Times New Roman" w:hAnsi="Times New Roman" w:eastAsia="宋体"/>
                <w:kern w:val="2"/>
                <w:sz w:val="24"/>
                <w:szCs w:val="24"/>
                <w:highlight w:val="none"/>
              </w:rPr>
              <w:t>，</w:t>
            </w:r>
            <w:r>
              <w:rPr>
                <w:rFonts w:hint="eastAsia" w:ascii="Times New Roman" w:hAnsi="Times New Roman" w:eastAsia="宋体"/>
                <w:kern w:val="2"/>
                <w:sz w:val="24"/>
                <w:szCs w:val="24"/>
                <w:highlight w:val="none"/>
                <w:lang w:val="en-US" w:eastAsia="zh-CN"/>
              </w:rPr>
              <w:t>采用尾砂，江砂，河砂、山砂作为</w:t>
            </w:r>
            <w:r>
              <w:rPr>
                <w:rFonts w:hint="eastAsia" w:ascii="Times New Roman" w:hAnsi="Times New Roman" w:eastAsia="宋体"/>
                <w:kern w:val="10"/>
                <w:sz w:val="24"/>
                <w:szCs w:val="24"/>
                <w:highlight w:val="none"/>
                <w:lang w:val="en-US" w:eastAsia="zh-CN"/>
              </w:rPr>
              <w:t>原材料砂，原有的燃煤锅炉变更为生物质锅炉。</w:t>
            </w:r>
          </w:p>
          <w:p>
            <w:pPr>
              <w:keepNext/>
              <w:keepLines/>
              <w:widowControl w:val="0"/>
              <w:adjustRightInd w:val="0"/>
              <w:spacing w:line="360" w:lineRule="auto"/>
              <w:jc w:val="both"/>
              <w:textAlignment w:val="baseline"/>
              <w:outlineLvl w:val="1"/>
              <w:rPr>
                <w:rFonts w:hint="eastAsia" w:ascii="Times New Roman" w:hAnsi="Times New Roman" w:eastAsia="宋体" w:cs="Times New Roman"/>
                <w:b/>
                <w:bCs/>
                <w:snapToGrid w:val="0"/>
                <w:color w:val="auto"/>
                <w:sz w:val="24"/>
                <w:szCs w:val="24"/>
                <w:highlight w:val="none"/>
                <w:lang w:val="en-US" w:eastAsia="zh-CN" w:bidi="ar-SA"/>
              </w:rPr>
            </w:pPr>
            <w:bookmarkStart w:id="30" w:name="_Toc364072629"/>
            <w:bookmarkStart w:id="31" w:name="_Toc7673"/>
            <w:bookmarkStart w:id="32" w:name="_Toc16143"/>
            <w:r>
              <w:rPr>
                <w:rFonts w:ascii="Times New Roman" w:hAnsi="Times New Roman" w:eastAsia="宋体" w:cs="Times New Roman"/>
                <w:b/>
                <w:bCs/>
                <w:snapToGrid w:val="0"/>
                <w:color w:val="auto"/>
                <w:sz w:val="24"/>
                <w:szCs w:val="24"/>
                <w:highlight w:val="none"/>
                <w:lang w:val="en-US" w:eastAsia="zh-CN" w:bidi="ar-SA"/>
              </w:rPr>
              <w:t>2</w:t>
            </w:r>
            <w:bookmarkEnd w:id="20"/>
            <w:bookmarkEnd w:id="21"/>
            <w:bookmarkEnd w:id="22"/>
            <w:bookmarkEnd w:id="23"/>
            <w:bookmarkEnd w:id="24"/>
            <w:bookmarkEnd w:id="25"/>
            <w:bookmarkEnd w:id="26"/>
            <w:bookmarkEnd w:id="27"/>
            <w:bookmarkEnd w:id="28"/>
            <w:bookmarkEnd w:id="29"/>
            <w:bookmarkEnd w:id="30"/>
            <w:bookmarkEnd w:id="31"/>
            <w:r>
              <w:rPr>
                <w:rFonts w:hint="eastAsia" w:ascii="Times New Roman" w:hAnsi="Times New Roman" w:eastAsia="宋体" w:cs="Times New Roman"/>
                <w:b/>
                <w:bCs/>
                <w:snapToGrid w:val="0"/>
                <w:color w:val="auto"/>
                <w:sz w:val="24"/>
                <w:szCs w:val="24"/>
                <w:highlight w:val="none"/>
                <w:lang w:val="en-US" w:eastAsia="zh-CN" w:bidi="ar-SA"/>
              </w:rPr>
              <w:t>国家及地方产业政策符合性</w:t>
            </w:r>
            <w:bookmarkEnd w:id="32"/>
          </w:p>
          <w:p>
            <w:pPr>
              <w:adjustRightInd w:val="0"/>
              <w:spacing w:line="360" w:lineRule="auto"/>
              <w:ind w:firstLine="480" w:firstLineChars="200"/>
              <w:textAlignment w:val="baseline"/>
              <w:rPr>
                <w:rFonts w:hint="eastAsia" w:ascii="Times New Roman" w:hAnsi="Times New Roman" w:eastAsia="宋体"/>
                <w:kern w:val="2"/>
                <w:sz w:val="24"/>
                <w:szCs w:val="24"/>
                <w:highlight w:val="none"/>
              </w:rPr>
            </w:pPr>
            <w:bookmarkStart w:id="33" w:name="_Toc320446438"/>
            <w:r>
              <w:rPr>
                <w:rFonts w:hint="eastAsia" w:ascii="Times New Roman" w:hAnsi="Times New Roman" w:eastAsia="宋体"/>
                <w:kern w:val="2"/>
                <w:sz w:val="24"/>
                <w:szCs w:val="24"/>
                <w:highlight w:val="none"/>
                <w:lang w:eastAsia="zh-CN"/>
              </w:rPr>
              <w:t>本项目</w:t>
            </w:r>
            <w:r>
              <w:rPr>
                <w:rFonts w:hint="eastAsia" w:ascii="Times New Roman" w:hAnsi="Times New Roman" w:eastAsia="宋体"/>
                <w:kern w:val="2"/>
                <w:sz w:val="24"/>
                <w:szCs w:val="24"/>
                <w:highlight w:val="none"/>
              </w:rPr>
              <w:t>符合国家发改委和商务部颁布的《外商投资产业指导目录（2011年修订）》中鼓励类、制造业，第十四条非金属矿物制造业、第一款：节能、环保、利废、轻质高强、高性能、多功能建筑材料开发生产，因此项目为鼓励类项目。该项目所用的设备、工艺避免使用粘土，且产品在质量上也优于同类产品，企业在生产中注重生产过程的污染控制，平衡了企业发展与环境保护之间的关系，取得了良好的经济效益、社会效益和环境效益。</w:t>
            </w:r>
          </w:p>
          <w:p>
            <w:pPr>
              <w:adjustRightInd/>
              <w:spacing w:line="360" w:lineRule="auto"/>
              <w:ind w:firstLine="480" w:firstLineChars="200"/>
              <w:textAlignment w:val="auto"/>
              <w:rPr>
                <w:rFonts w:hint="eastAsia" w:ascii="Times New Roman" w:hAnsi="Times New Roman" w:eastAsia="宋体"/>
                <w:color w:val="000000"/>
                <w:kern w:val="2"/>
                <w:sz w:val="24"/>
                <w:szCs w:val="24"/>
                <w:highlight w:val="none"/>
              </w:rPr>
            </w:pPr>
            <w:r>
              <w:rPr>
                <w:rFonts w:hint="eastAsia" w:ascii="Times New Roman" w:hAnsi="Times New Roman" w:eastAsia="宋体"/>
                <w:color w:val="000000"/>
                <w:kern w:val="2"/>
                <w:sz w:val="24"/>
                <w:szCs w:val="24"/>
                <w:highlight w:val="none"/>
              </w:rPr>
              <w:t>综上所述，本项目符合国家和地方产业政策要求。</w:t>
            </w:r>
          </w:p>
          <w:bookmarkEnd w:id="33"/>
          <w:p>
            <w:pPr>
              <w:keepNext/>
              <w:keepLines/>
              <w:widowControl w:val="0"/>
              <w:adjustRightInd w:val="0"/>
              <w:spacing w:line="360" w:lineRule="auto"/>
              <w:jc w:val="both"/>
              <w:textAlignment w:val="baseline"/>
              <w:outlineLvl w:val="1"/>
              <w:rPr>
                <w:rFonts w:hint="eastAsia" w:ascii="Times New Roman" w:hAnsi="Times New Roman" w:eastAsia="宋体" w:cs="Times New Roman"/>
                <w:b/>
                <w:bCs/>
                <w:snapToGrid w:val="0"/>
                <w:color w:val="auto"/>
                <w:sz w:val="24"/>
                <w:szCs w:val="24"/>
                <w:highlight w:val="none"/>
                <w:lang w:val="en-US" w:eastAsia="zh-CN" w:bidi="ar-SA"/>
              </w:rPr>
            </w:pPr>
            <w:bookmarkStart w:id="34" w:name="_Toc16009"/>
            <w:bookmarkStart w:id="35" w:name="_Toc320446440"/>
            <w:r>
              <w:rPr>
                <w:rFonts w:hint="eastAsia" w:ascii="Times New Roman" w:hAnsi="Times New Roman" w:eastAsia="宋体" w:cs="Times New Roman"/>
                <w:b/>
                <w:bCs/>
                <w:snapToGrid w:val="0"/>
                <w:color w:val="auto"/>
                <w:sz w:val="24"/>
                <w:szCs w:val="24"/>
                <w:highlight w:val="none"/>
                <w:lang w:val="en-US" w:eastAsia="zh-CN" w:bidi="ar-SA"/>
              </w:rPr>
              <w:t>3规划布局合理性分析</w:t>
            </w:r>
            <w:bookmarkEnd w:id="34"/>
          </w:p>
          <w:p>
            <w:pPr>
              <w:adjustRightInd/>
              <w:spacing w:line="360" w:lineRule="auto"/>
              <w:ind w:firstLine="480" w:firstLineChars="200"/>
              <w:textAlignment w:val="auto"/>
              <w:rPr>
                <w:rFonts w:hint="eastAsia" w:ascii="Times New Roman" w:hAnsi="Times New Roman" w:eastAsia="宋体"/>
                <w:color w:val="000000"/>
                <w:kern w:val="2"/>
                <w:sz w:val="24"/>
                <w:szCs w:val="24"/>
                <w:highlight w:val="none"/>
              </w:rPr>
            </w:pPr>
            <w:r>
              <w:rPr>
                <w:rFonts w:hint="eastAsia" w:ascii="Times New Roman" w:hAnsi="Times New Roman" w:eastAsia="宋体"/>
                <w:color w:val="000000"/>
                <w:kern w:val="2"/>
                <w:sz w:val="24"/>
                <w:szCs w:val="24"/>
                <w:highlight w:val="none"/>
              </w:rPr>
              <w:t>根据大气环境与噪声影响预测，建设项目临近的居民区不会受到建设项目运营的明显影响。为避免和进一步减轻其影响，建议如下：生产设备应做好密闭措施，减少无组织废气对周围敏感点的影响；进行布局时应把生产车间设置在远离居民区一侧，且边界处应预留防护林带。</w:t>
            </w:r>
          </w:p>
          <w:p>
            <w:pPr>
              <w:widowControl w:val="0"/>
              <w:adjustRightInd w:val="0"/>
              <w:spacing w:line="360" w:lineRule="auto"/>
              <w:ind w:firstLine="505"/>
              <w:jc w:val="both"/>
              <w:textAlignment w:val="baseline"/>
              <w:rPr>
                <w:rFonts w:ascii="Times New Roman" w:hAnsi="Times New Roman" w:eastAsia="宋体" w:cs="Times New Roman"/>
                <w:snapToGrid w:val="0"/>
                <w:kern w:val="0"/>
                <w:sz w:val="24"/>
                <w:szCs w:val="24"/>
                <w:highlight w:val="none"/>
                <w:lang w:val="en-US" w:eastAsia="zh-CN" w:bidi="ar-SA"/>
              </w:rPr>
            </w:pPr>
            <w:r>
              <w:rPr>
                <w:rFonts w:hint="eastAsia" w:ascii="Times New Roman" w:hAnsi="Times New Roman" w:eastAsia="宋体" w:cs="Times New Roman"/>
                <w:color w:val="000000"/>
                <w:kern w:val="2"/>
                <w:sz w:val="24"/>
                <w:szCs w:val="24"/>
                <w:highlight w:val="none"/>
                <w:lang w:val="en-US" w:eastAsia="zh-CN" w:bidi="ar-SA"/>
              </w:rPr>
              <w:t>因此，在加强生产管理并确切落实各项“三同时”措施的前提下，本项目选址是合理可行的。</w:t>
            </w:r>
          </w:p>
          <w:p>
            <w:pPr>
              <w:keepNext/>
              <w:keepLines/>
              <w:widowControl w:val="0"/>
              <w:adjustRightInd w:val="0"/>
              <w:spacing w:line="360" w:lineRule="auto"/>
              <w:jc w:val="both"/>
              <w:textAlignment w:val="baseline"/>
              <w:outlineLvl w:val="1"/>
              <w:rPr>
                <w:rFonts w:hint="eastAsia" w:ascii="Times New Roman" w:hAnsi="Times New Roman" w:eastAsia="宋体" w:cs="Times New Roman"/>
                <w:b/>
                <w:bCs/>
                <w:snapToGrid w:val="0"/>
                <w:color w:val="auto"/>
                <w:sz w:val="24"/>
                <w:szCs w:val="24"/>
                <w:highlight w:val="none"/>
                <w:lang w:val="en-US" w:eastAsia="zh-CN" w:bidi="ar-SA"/>
              </w:rPr>
            </w:pPr>
            <w:bookmarkStart w:id="36" w:name="_Toc8379"/>
            <w:r>
              <w:rPr>
                <w:rFonts w:hint="eastAsia" w:ascii="Times New Roman" w:hAnsi="Times New Roman" w:eastAsia="宋体" w:cs="Times New Roman"/>
                <w:b/>
                <w:bCs/>
                <w:snapToGrid w:val="0"/>
                <w:color w:val="auto"/>
                <w:sz w:val="24"/>
                <w:szCs w:val="24"/>
                <w:highlight w:val="none"/>
                <w:lang w:val="en-US" w:eastAsia="zh-CN" w:bidi="ar-SA"/>
              </w:rPr>
              <w:t>4污染物达标及环境影响</w:t>
            </w:r>
            <w:bookmarkEnd w:id="36"/>
            <w:bookmarkStart w:id="37" w:name="_Toc16565"/>
          </w:p>
          <w:p>
            <w:pPr>
              <w:keepNext/>
              <w:keepLines/>
              <w:widowControl w:val="0"/>
              <w:adjustRightInd w:val="0"/>
              <w:spacing w:line="360" w:lineRule="auto"/>
              <w:jc w:val="both"/>
              <w:textAlignment w:val="baseline"/>
              <w:outlineLvl w:val="1"/>
              <w:rPr>
                <w:rFonts w:hint="eastAsia" w:ascii="Times New Roman" w:hAnsi="Times New Roman" w:eastAsia="宋体" w:cs="宋体"/>
                <w:b/>
                <w:bCs/>
                <w:snapToGrid w:val="0"/>
                <w:kern w:val="20"/>
                <w:sz w:val="24"/>
                <w:szCs w:val="24"/>
                <w:highlight w:val="none"/>
                <w:lang w:val="en-US" w:eastAsia="zh-CN" w:bidi="ar-SA"/>
              </w:rPr>
            </w:pPr>
            <w:r>
              <w:rPr>
                <w:rFonts w:hint="eastAsia" w:ascii="Times New Roman" w:hAnsi="Times New Roman" w:eastAsia="宋体" w:cs="Times New Roman"/>
                <w:b/>
                <w:bCs/>
                <w:snapToGrid w:val="0"/>
                <w:kern w:val="20"/>
                <w:sz w:val="24"/>
                <w:szCs w:val="24"/>
                <w:highlight w:val="none"/>
                <w:lang w:val="en-US" w:eastAsia="zh-CN" w:bidi="ar-SA"/>
              </w:rPr>
              <w:t>4</w:t>
            </w:r>
            <w:r>
              <w:rPr>
                <w:rFonts w:ascii="Times New Roman" w:hAnsi="Times New Roman" w:eastAsia="宋体" w:cs="Times New Roman"/>
                <w:b/>
                <w:bCs/>
                <w:snapToGrid w:val="0"/>
                <w:kern w:val="20"/>
                <w:sz w:val="24"/>
                <w:szCs w:val="24"/>
                <w:highlight w:val="none"/>
                <w:lang w:val="en-US" w:eastAsia="zh-CN" w:bidi="ar-SA"/>
              </w:rPr>
              <w:t>.</w:t>
            </w:r>
            <w:r>
              <w:rPr>
                <w:rFonts w:hint="eastAsia" w:ascii="Times New Roman" w:hAnsi="Times New Roman" w:eastAsia="宋体" w:cs="Times New Roman"/>
                <w:b/>
                <w:bCs/>
                <w:snapToGrid w:val="0"/>
                <w:kern w:val="20"/>
                <w:sz w:val="24"/>
                <w:szCs w:val="24"/>
                <w:highlight w:val="none"/>
                <w:lang w:val="en-US" w:eastAsia="zh-CN" w:bidi="ar-SA"/>
              </w:rPr>
              <w:t>1</w:t>
            </w:r>
            <w:r>
              <w:rPr>
                <w:rFonts w:hint="eastAsia" w:ascii="Times New Roman" w:hAnsi="Times New Roman" w:eastAsia="宋体" w:cs="宋体"/>
                <w:b/>
                <w:bCs/>
                <w:snapToGrid w:val="0"/>
                <w:kern w:val="20"/>
                <w:sz w:val="24"/>
                <w:szCs w:val="24"/>
                <w:highlight w:val="none"/>
                <w:lang w:val="en-US" w:eastAsia="zh-CN" w:bidi="ar-SA"/>
              </w:rPr>
              <w:t>废水</w:t>
            </w:r>
            <w:bookmarkEnd w:id="37"/>
          </w:p>
          <w:p>
            <w:pPr>
              <w:adjustRightInd/>
              <w:spacing w:line="360" w:lineRule="auto"/>
              <w:ind w:firstLine="480" w:firstLineChars="200"/>
              <w:textAlignment w:val="auto"/>
              <w:rPr>
                <w:rFonts w:hint="eastAsia" w:ascii="Times New Roman" w:hAnsi="Times New Roman" w:eastAsia="宋体"/>
                <w:color w:val="000000"/>
                <w:kern w:val="2"/>
                <w:sz w:val="24"/>
                <w:szCs w:val="24"/>
                <w:highlight w:val="none"/>
              </w:rPr>
            </w:pPr>
            <w:r>
              <w:rPr>
                <w:rFonts w:hint="eastAsia" w:ascii="Times New Roman" w:hAnsi="Times New Roman" w:eastAsia="宋体"/>
                <w:kern w:val="0"/>
                <w:sz w:val="24"/>
                <w:szCs w:val="24"/>
                <w:highlight w:val="none"/>
              </w:rPr>
              <w:t>建设项目无生产废水</w:t>
            </w:r>
            <w:r>
              <w:rPr>
                <w:rFonts w:hint="eastAsia" w:ascii="Times New Roman" w:hAnsi="Times New Roman" w:eastAsia="宋体"/>
                <w:kern w:val="0"/>
                <w:sz w:val="24"/>
                <w:szCs w:val="24"/>
                <w:highlight w:val="none"/>
                <w:lang w:eastAsia="zh-CN"/>
              </w:rPr>
              <w:t>外排</w:t>
            </w:r>
            <w:r>
              <w:rPr>
                <w:rFonts w:hint="eastAsia" w:ascii="Times New Roman" w:hAnsi="Times New Roman" w:eastAsia="宋体"/>
                <w:kern w:val="0"/>
                <w:sz w:val="24"/>
                <w:szCs w:val="24"/>
                <w:highlight w:val="none"/>
              </w:rPr>
              <w:t>，采用雨污分流制</w:t>
            </w:r>
            <w:r>
              <w:rPr>
                <w:rFonts w:hint="eastAsia" w:ascii="Times New Roman" w:hAnsi="Times New Roman" w:eastAsia="宋体"/>
                <w:kern w:val="0"/>
                <w:sz w:val="24"/>
                <w:szCs w:val="24"/>
                <w:highlight w:val="none"/>
                <w:lang w:val="en-US" w:eastAsia="zh-CN"/>
              </w:rPr>
              <w:t>。</w:t>
            </w:r>
            <w:r>
              <w:rPr>
                <w:rFonts w:hint="eastAsia" w:ascii="Times New Roman" w:hAnsi="Times New Roman" w:eastAsia="宋体"/>
                <w:kern w:val="0"/>
                <w:sz w:val="24"/>
                <w:szCs w:val="24"/>
                <w:highlight w:val="none"/>
              </w:rPr>
              <w:t>生活污水</w:t>
            </w:r>
            <w:r>
              <w:rPr>
                <w:rFonts w:ascii="Times New Roman" w:hAnsi="Times New Roman" w:eastAsia="宋体"/>
                <w:kern w:val="0"/>
                <w:sz w:val="24"/>
                <w:szCs w:val="24"/>
                <w:highlight w:val="none"/>
              </w:rPr>
              <w:t>经厂区化粪池处理后，</w:t>
            </w:r>
            <w:r>
              <w:rPr>
                <w:rFonts w:hint="eastAsia" w:ascii="Times New Roman" w:hAnsi="Times New Roman" w:eastAsia="宋体"/>
                <w:kern w:val="0"/>
                <w:sz w:val="24"/>
                <w:szCs w:val="24"/>
                <w:highlight w:val="none"/>
                <w:lang w:val="en-US" w:eastAsia="zh-CN"/>
              </w:rPr>
              <w:t>定期清掏作农肥使用。不会对地表水环境</w:t>
            </w:r>
            <w:r>
              <w:rPr>
                <w:rFonts w:ascii="Times New Roman" w:hAnsi="Times New Roman" w:eastAsia="宋体"/>
                <w:kern w:val="0"/>
                <w:sz w:val="24"/>
                <w:szCs w:val="24"/>
                <w:highlight w:val="none"/>
              </w:rPr>
              <w:t>造成冲击影响</w:t>
            </w:r>
            <w:r>
              <w:rPr>
                <w:rFonts w:hint="eastAsia" w:ascii="Times New Roman" w:hAnsi="Times New Roman" w:eastAsia="宋体"/>
                <w:color w:val="000000"/>
                <w:kern w:val="2"/>
                <w:sz w:val="24"/>
                <w:szCs w:val="24"/>
                <w:highlight w:val="none"/>
              </w:rPr>
              <w:t>。</w:t>
            </w:r>
          </w:p>
          <w:p>
            <w:pPr>
              <w:keepNext/>
              <w:keepLines/>
              <w:widowControl w:val="0"/>
              <w:adjustRightInd w:val="0"/>
              <w:snapToGrid w:val="0"/>
              <w:spacing w:line="360" w:lineRule="auto"/>
              <w:jc w:val="left"/>
              <w:textAlignment w:val="auto"/>
              <w:outlineLvl w:val="2"/>
              <w:rPr>
                <w:rFonts w:hint="eastAsia" w:ascii="Times New Roman" w:hAnsi="Times New Roman" w:eastAsia="宋体" w:cs="宋体"/>
                <w:b/>
                <w:bCs/>
                <w:snapToGrid w:val="0"/>
                <w:kern w:val="20"/>
                <w:sz w:val="24"/>
                <w:szCs w:val="24"/>
                <w:highlight w:val="none"/>
                <w:lang w:val="en-US" w:eastAsia="zh-CN" w:bidi="ar-SA"/>
              </w:rPr>
            </w:pPr>
            <w:bookmarkStart w:id="38" w:name="_Toc5058"/>
            <w:r>
              <w:rPr>
                <w:rFonts w:hint="eastAsia" w:ascii="Times New Roman" w:hAnsi="Times New Roman" w:eastAsia="宋体" w:cs="Times New Roman"/>
                <w:b/>
                <w:bCs/>
                <w:snapToGrid w:val="0"/>
                <w:kern w:val="20"/>
                <w:sz w:val="24"/>
                <w:szCs w:val="24"/>
                <w:highlight w:val="none"/>
                <w:lang w:val="en-US" w:eastAsia="zh-CN" w:bidi="ar-SA"/>
              </w:rPr>
              <w:t>4</w:t>
            </w:r>
            <w:r>
              <w:rPr>
                <w:rFonts w:ascii="Times New Roman" w:hAnsi="Times New Roman" w:eastAsia="宋体" w:cs="Times New Roman"/>
                <w:b/>
                <w:bCs/>
                <w:snapToGrid w:val="0"/>
                <w:kern w:val="20"/>
                <w:sz w:val="24"/>
                <w:szCs w:val="24"/>
                <w:highlight w:val="none"/>
                <w:lang w:val="en-US" w:eastAsia="zh-CN" w:bidi="ar-SA"/>
              </w:rPr>
              <w:t>.</w:t>
            </w:r>
            <w:r>
              <w:rPr>
                <w:rFonts w:hint="eastAsia" w:ascii="Times New Roman" w:hAnsi="Times New Roman" w:eastAsia="宋体" w:cs="Times New Roman"/>
                <w:b/>
                <w:bCs/>
                <w:snapToGrid w:val="0"/>
                <w:kern w:val="20"/>
                <w:sz w:val="24"/>
                <w:szCs w:val="24"/>
                <w:highlight w:val="none"/>
                <w:lang w:val="en-US" w:eastAsia="zh-CN" w:bidi="ar-SA"/>
              </w:rPr>
              <w:t>2</w:t>
            </w:r>
            <w:r>
              <w:rPr>
                <w:rFonts w:hint="eastAsia" w:ascii="Times New Roman" w:hAnsi="Times New Roman" w:eastAsia="宋体" w:cs="宋体"/>
                <w:b/>
                <w:bCs/>
                <w:snapToGrid w:val="0"/>
                <w:kern w:val="20"/>
                <w:sz w:val="24"/>
                <w:szCs w:val="24"/>
                <w:highlight w:val="none"/>
                <w:lang w:val="en-US" w:eastAsia="zh-CN" w:bidi="ar-SA"/>
              </w:rPr>
              <w:t>废气</w:t>
            </w:r>
            <w:bookmarkEnd w:id="38"/>
          </w:p>
          <w:p>
            <w:pPr>
              <w:adjustRightInd w:val="0"/>
              <w:snapToGrid w:val="0"/>
              <w:spacing w:line="500" w:lineRule="exact"/>
              <w:ind w:firstLine="480" w:firstLineChars="200"/>
              <w:textAlignment w:val="baseline"/>
              <w:rPr>
                <w:rFonts w:hint="eastAsia" w:ascii="Times New Roman" w:hAnsi="Times New Roman" w:eastAsia="宋体"/>
                <w:color w:val="000000"/>
                <w:kern w:val="2"/>
                <w:sz w:val="24"/>
                <w:szCs w:val="24"/>
                <w:highlight w:val="none"/>
              </w:rPr>
            </w:pPr>
            <w:r>
              <w:rPr>
                <w:rFonts w:hint="eastAsia" w:ascii="Times New Roman" w:hAnsi="Times New Roman" w:eastAsia="宋体"/>
                <w:kern w:val="0"/>
                <w:sz w:val="24"/>
                <w:szCs w:val="24"/>
                <w:highlight w:val="none"/>
                <w:lang w:val="en-GB"/>
              </w:rPr>
              <w:t>项目投产后，主要大气污染源包括</w:t>
            </w:r>
            <w:r>
              <w:rPr>
                <w:rFonts w:hint="eastAsia" w:ascii="Times New Roman" w:hAnsi="Times New Roman" w:eastAsia="宋体"/>
                <w:kern w:val="0"/>
                <w:sz w:val="24"/>
                <w:szCs w:val="24"/>
                <w:highlight w:val="none"/>
                <w:lang w:val="en-US" w:eastAsia="zh-CN"/>
              </w:rPr>
              <w:t>原料堆场扬尘、搅拌机粉尘、破碎机粉尘、锅炉燃烧废气</w:t>
            </w:r>
            <w:r>
              <w:rPr>
                <w:rFonts w:hint="eastAsia" w:ascii="Times New Roman" w:hAnsi="Times New Roman" w:eastAsia="宋体"/>
                <w:color w:val="000000"/>
                <w:kern w:val="2"/>
                <w:sz w:val="24"/>
                <w:szCs w:val="24"/>
                <w:highlight w:val="none"/>
              </w:rPr>
              <w:t>，</w:t>
            </w:r>
            <w:r>
              <w:rPr>
                <w:rFonts w:hint="eastAsia" w:ascii="Times New Roman" w:hAnsi="Times New Roman" w:eastAsia="宋体"/>
                <w:color w:val="000000"/>
                <w:kern w:val="2"/>
                <w:sz w:val="24"/>
                <w:szCs w:val="24"/>
                <w:highlight w:val="none"/>
                <w:lang w:val="en-US" w:eastAsia="zh-CN"/>
              </w:rPr>
              <w:t>原料堆场扬尘定期洒水减少粉尘排放，搅拌机粉尘经布袋除尘器处置后无组织排放破碎机粉尘经除尘器处置后通过15m高排气筒排放，锅炉燃烧废气经除尘器处置后通过15m高排气筒排放</w:t>
            </w:r>
            <w:r>
              <w:rPr>
                <w:rFonts w:hint="eastAsia" w:ascii="Times New Roman" w:hAnsi="Times New Roman" w:eastAsia="宋体"/>
                <w:b w:val="0"/>
                <w:bCs w:val="0"/>
                <w:color w:val="auto"/>
                <w:kern w:val="0"/>
                <w:sz w:val="24"/>
                <w:szCs w:val="24"/>
                <w:highlight w:val="none"/>
                <w:lang w:val="en-US" w:eastAsia="zh-CN"/>
              </w:rPr>
              <w:t>，</w:t>
            </w:r>
            <w:r>
              <w:rPr>
                <w:rFonts w:hint="eastAsia" w:ascii="Times New Roman" w:hAnsi="Times New Roman" w:eastAsia="宋体"/>
                <w:color w:val="000000"/>
                <w:kern w:val="2"/>
                <w:sz w:val="24"/>
                <w:szCs w:val="24"/>
                <w:highlight w:val="none"/>
              </w:rPr>
              <w:t>对外环境影响较小。</w:t>
            </w:r>
          </w:p>
          <w:p>
            <w:pPr>
              <w:adjustRightInd/>
              <w:spacing w:line="360" w:lineRule="auto"/>
              <w:ind w:firstLine="480" w:firstLineChars="200"/>
              <w:textAlignment w:val="auto"/>
              <w:rPr>
                <w:rFonts w:hint="default" w:ascii="Times New Roman" w:hAnsi="Times New Roman" w:eastAsia="宋体"/>
                <w:color w:val="000000"/>
                <w:kern w:val="2"/>
                <w:sz w:val="24"/>
                <w:szCs w:val="24"/>
                <w:highlight w:val="none"/>
                <w:lang w:val="en-US" w:eastAsia="zh-CN"/>
              </w:rPr>
            </w:pPr>
            <w:r>
              <w:rPr>
                <w:rFonts w:hint="eastAsia" w:ascii="Times New Roman" w:hAnsi="Times New Roman" w:eastAsia="宋体"/>
                <w:color w:val="000000"/>
                <w:kern w:val="2"/>
                <w:sz w:val="24"/>
                <w:szCs w:val="24"/>
                <w:highlight w:val="none"/>
              </w:rPr>
              <w:t>根据预测，项目无需设置</w:t>
            </w:r>
            <w:r>
              <w:rPr>
                <w:rFonts w:hint="eastAsia" w:ascii="Times New Roman" w:hAnsi="Times New Roman" w:eastAsia="宋体"/>
                <w:color w:val="000000"/>
                <w:kern w:val="2"/>
                <w:sz w:val="24"/>
                <w:szCs w:val="24"/>
                <w:highlight w:val="none"/>
                <w:lang w:val="en-US" w:eastAsia="zh-CN"/>
              </w:rPr>
              <w:t>环境防护距离。</w:t>
            </w:r>
          </w:p>
          <w:p>
            <w:pPr>
              <w:keepNext/>
              <w:keepLines/>
              <w:widowControl w:val="0"/>
              <w:adjustRightInd w:val="0"/>
              <w:snapToGrid w:val="0"/>
              <w:spacing w:line="360" w:lineRule="auto"/>
              <w:jc w:val="left"/>
              <w:textAlignment w:val="auto"/>
              <w:outlineLvl w:val="2"/>
              <w:rPr>
                <w:rFonts w:hint="eastAsia" w:ascii="Times New Roman" w:hAnsi="Times New Roman" w:eastAsia="宋体" w:cs="宋体"/>
                <w:b/>
                <w:bCs/>
                <w:snapToGrid w:val="0"/>
                <w:kern w:val="20"/>
                <w:sz w:val="24"/>
                <w:szCs w:val="24"/>
                <w:highlight w:val="none"/>
                <w:lang w:val="en-US" w:eastAsia="zh-CN" w:bidi="ar-SA"/>
              </w:rPr>
            </w:pPr>
            <w:bookmarkStart w:id="39" w:name="_Toc11676"/>
            <w:r>
              <w:rPr>
                <w:rFonts w:hint="eastAsia" w:ascii="Times New Roman" w:hAnsi="Times New Roman" w:eastAsia="宋体" w:cs="Times New Roman"/>
                <w:b/>
                <w:bCs/>
                <w:snapToGrid w:val="0"/>
                <w:kern w:val="20"/>
                <w:sz w:val="24"/>
                <w:szCs w:val="24"/>
                <w:highlight w:val="none"/>
                <w:lang w:val="en-US" w:eastAsia="zh-CN" w:bidi="ar-SA"/>
              </w:rPr>
              <w:t>4</w:t>
            </w:r>
            <w:r>
              <w:rPr>
                <w:rFonts w:ascii="Times New Roman" w:hAnsi="Times New Roman" w:eastAsia="宋体" w:cs="Times New Roman"/>
                <w:b/>
                <w:bCs/>
                <w:snapToGrid w:val="0"/>
                <w:kern w:val="20"/>
                <w:sz w:val="24"/>
                <w:szCs w:val="24"/>
                <w:highlight w:val="none"/>
                <w:lang w:val="en-US" w:eastAsia="zh-CN" w:bidi="ar-SA"/>
              </w:rPr>
              <w:t>.</w:t>
            </w:r>
            <w:r>
              <w:rPr>
                <w:rFonts w:hint="eastAsia" w:ascii="Times New Roman" w:hAnsi="Times New Roman" w:eastAsia="宋体" w:cs="Times New Roman"/>
                <w:b/>
                <w:bCs/>
                <w:snapToGrid w:val="0"/>
                <w:kern w:val="20"/>
                <w:sz w:val="24"/>
                <w:szCs w:val="24"/>
                <w:highlight w:val="none"/>
                <w:lang w:val="en-US" w:eastAsia="zh-CN" w:bidi="ar-SA"/>
              </w:rPr>
              <w:t>3</w:t>
            </w:r>
            <w:r>
              <w:rPr>
                <w:rFonts w:hint="eastAsia" w:ascii="Times New Roman" w:hAnsi="Times New Roman" w:eastAsia="宋体" w:cs="宋体"/>
                <w:b/>
                <w:bCs/>
                <w:snapToGrid w:val="0"/>
                <w:kern w:val="20"/>
                <w:sz w:val="24"/>
                <w:szCs w:val="24"/>
                <w:highlight w:val="none"/>
                <w:lang w:val="en-US" w:eastAsia="zh-CN" w:bidi="ar-SA"/>
              </w:rPr>
              <w:t>噪声</w:t>
            </w:r>
            <w:bookmarkEnd w:id="39"/>
          </w:p>
          <w:p>
            <w:pPr>
              <w:adjustRightInd/>
              <w:spacing w:line="360" w:lineRule="auto"/>
              <w:ind w:firstLine="480" w:firstLineChars="200"/>
              <w:textAlignment w:val="auto"/>
              <w:rPr>
                <w:rFonts w:hint="eastAsia" w:ascii="Times New Roman" w:hAnsi="Times New Roman" w:eastAsia="宋体"/>
                <w:color w:val="000000"/>
                <w:kern w:val="2"/>
                <w:sz w:val="24"/>
                <w:szCs w:val="24"/>
                <w:highlight w:val="none"/>
              </w:rPr>
            </w:pPr>
            <w:r>
              <w:rPr>
                <w:rFonts w:hint="eastAsia" w:ascii="Times New Roman" w:hAnsi="Times New Roman" w:eastAsia="宋体"/>
                <w:color w:val="000000"/>
                <w:kern w:val="2"/>
                <w:sz w:val="24"/>
                <w:szCs w:val="24"/>
                <w:highlight w:val="none"/>
              </w:rPr>
              <w:t>项目区厂界及周边敏感点声环境质量满足《声环境质量标准》（GB3096-2008）中</w:t>
            </w:r>
            <w:r>
              <w:rPr>
                <w:rFonts w:hint="eastAsia" w:ascii="Times New Roman" w:hAnsi="Times New Roman" w:eastAsia="宋体"/>
                <w:color w:val="000000"/>
                <w:kern w:val="2"/>
                <w:sz w:val="24"/>
                <w:szCs w:val="24"/>
                <w:highlight w:val="none"/>
                <w:lang w:val="en-US" w:eastAsia="zh-CN"/>
              </w:rPr>
              <w:t>2</w:t>
            </w:r>
            <w:r>
              <w:rPr>
                <w:rFonts w:hint="eastAsia" w:ascii="Times New Roman" w:hAnsi="Times New Roman" w:eastAsia="宋体"/>
                <w:color w:val="000000"/>
                <w:kern w:val="2"/>
                <w:sz w:val="24"/>
                <w:szCs w:val="24"/>
                <w:highlight w:val="none"/>
              </w:rPr>
              <w:t>类区标准限值要求，声环境良好。</w:t>
            </w:r>
          </w:p>
          <w:p>
            <w:pPr>
              <w:keepNext/>
              <w:keepLines/>
              <w:widowControl w:val="0"/>
              <w:adjustRightInd w:val="0"/>
              <w:snapToGrid w:val="0"/>
              <w:spacing w:line="360" w:lineRule="auto"/>
              <w:jc w:val="left"/>
              <w:textAlignment w:val="auto"/>
              <w:outlineLvl w:val="2"/>
              <w:rPr>
                <w:rFonts w:hint="eastAsia" w:ascii="Times New Roman" w:hAnsi="Times New Roman" w:eastAsia="宋体" w:cs="宋体"/>
                <w:b/>
                <w:bCs/>
                <w:snapToGrid w:val="0"/>
                <w:kern w:val="20"/>
                <w:sz w:val="24"/>
                <w:szCs w:val="24"/>
                <w:highlight w:val="none"/>
                <w:lang w:val="en-US" w:eastAsia="zh-CN" w:bidi="ar-SA"/>
              </w:rPr>
            </w:pPr>
            <w:bookmarkStart w:id="40" w:name="_Toc25404"/>
            <w:r>
              <w:rPr>
                <w:rFonts w:hint="eastAsia" w:ascii="Times New Roman" w:hAnsi="Times New Roman" w:eastAsia="宋体" w:cs="Times New Roman"/>
                <w:b/>
                <w:bCs/>
                <w:snapToGrid w:val="0"/>
                <w:kern w:val="20"/>
                <w:sz w:val="24"/>
                <w:szCs w:val="24"/>
                <w:highlight w:val="none"/>
                <w:lang w:val="en-US" w:eastAsia="zh-CN" w:bidi="ar-SA"/>
              </w:rPr>
              <w:t>4</w:t>
            </w:r>
            <w:r>
              <w:rPr>
                <w:rFonts w:ascii="Times New Roman" w:hAnsi="Times New Roman" w:eastAsia="宋体" w:cs="Times New Roman"/>
                <w:b/>
                <w:bCs/>
                <w:snapToGrid w:val="0"/>
                <w:kern w:val="20"/>
                <w:sz w:val="24"/>
                <w:szCs w:val="24"/>
                <w:highlight w:val="none"/>
                <w:lang w:val="en-US" w:eastAsia="zh-CN" w:bidi="ar-SA"/>
              </w:rPr>
              <w:t>.</w:t>
            </w:r>
            <w:r>
              <w:rPr>
                <w:rFonts w:hint="eastAsia" w:ascii="Times New Roman" w:hAnsi="Times New Roman" w:eastAsia="宋体" w:cs="Times New Roman"/>
                <w:b/>
                <w:bCs/>
                <w:snapToGrid w:val="0"/>
                <w:kern w:val="20"/>
                <w:sz w:val="24"/>
                <w:szCs w:val="24"/>
                <w:highlight w:val="none"/>
                <w:lang w:val="en-US" w:eastAsia="zh-CN" w:bidi="ar-SA"/>
              </w:rPr>
              <w:t>4</w:t>
            </w:r>
            <w:r>
              <w:rPr>
                <w:rFonts w:hint="eastAsia" w:ascii="Times New Roman" w:hAnsi="Times New Roman" w:eastAsia="宋体" w:cs="宋体"/>
                <w:b/>
                <w:bCs/>
                <w:snapToGrid w:val="0"/>
                <w:kern w:val="20"/>
                <w:sz w:val="24"/>
                <w:szCs w:val="24"/>
                <w:highlight w:val="none"/>
                <w:lang w:val="en-US" w:eastAsia="zh-CN" w:bidi="ar-SA"/>
              </w:rPr>
              <w:t>固废</w:t>
            </w:r>
            <w:bookmarkEnd w:id="40"/>
          </w:p>
          <w:p>
            <w:pPr>
              <w:adjustRightInd/>
              <w:spacing w:line="360" w:lineRule="auto"/>
              <w:ind w:firstLine="480" w:firstLineChars="200"/>
              <w:textAlignment w:val="auto"/>
              <w:rPr>
                <w:rFonts w:hint="eastAsia" w:ascii="Times New Roman" w:hAnsi="Times New Roman" w:eastAsia="宋体"/>
                <w:color w:val="000000"/>
                <w:kern w:val="2"/>
                <w:sz w:val="24"/>
                <w:szCs w:val="24"/>
                <w:highlight w:val="none"/>
              </w:rPr>
            </w:pPr>
            <w:r>
              <w:rPr>
                <w:rFonts w:hint="eastAsia" w:ascii="Times New Roman" w:hAnsi="Times New Roman" w:eastAsia="宋体"/>
                <w:color w:val="auto"/>
                <w:kern w:val="0"/>
                <w:sz w:val="24"/>
                <w:szCs w:val="24"/>
                <w:highlight w:val="none"/>
                <w:lang w:val="en-US" w:eastAsia="zh-CN"/>
              </w:rPr>
              <w:t>骨料及废品</w:t>
            </w:r>
            <w:r>
              <w:rPr>
                <w:rFonts w:ascii="Times New Roman" w:hAnsi="Times New Roman" w:eastAsia="宋体"/>
                <w:color w:val="auto"/>
                <w:kern w:val="0"/>
                <w:sz w:val="24"/>
                <w:szCs w:val="24"/>
                <w:highlight w:val="none"/>
              </w:rPr>
              <w:t>回用于项目的生产，不外排</w:t>
            </w:r>
            <w:r>
              <w:rPr>
                <w:rFonts w:hint="eastAsia" w:ascii="Times New Roman" w:hAnsi="Times New Roman" w:eastAsia="宋体"/>
                <w:color w:val="auto"/>
                <w:kern w:val="0"/>
                <w:sz w:val="24"/>
                <w:szCs w:val="24"/>
                <w:highlight w:val="none"/>
                <w:lang w:eastAsia="zh-CN"/>
              </w:rPr>
              <w:t>；</w:t>
            </w:r>
            <w:r>
              <w:rPr>
                <w:rFonts w:ascii="Times New Roman" w:hAnsi="Times New Roman" w:eastAsia="宋体"/>
                <w:kern w:val="0"/>
                <w:sz w:val="24"/>
                <w:szCs w:val="24"/>
                <w:highlight w:val="none"/>
              </w:rPr>
              <w:t>职工日常生活产生的生活垃圾</w:t>
            </w:r>
            <w:r>
              <w:rPr>
                <w:rFonts w:hint="eastAsia" w:ascii="Times New Roman" w:hAnsi="Times New Roman" w:eastAsia="宋体"/>
                <w:kern w:val="0"/>
                <w:sz w:val="24"/>
                <w:szCs w:val="24"/>
                <w:highlight w:val="none"/>
                <w:lang w:eastAsia="zh-CN"/>
              </w:rPr>
              <w:t>由环卫部门清运</w:t>
            </w:r>
            <w:r>
              <w:rPr>
                <w:rFonts w:hint="eastAsia" w:ascii="Times New Roman" w:hAnsi="Times New Roman" w:eastAsia="宋体"/>
                <w:color w:val="000000"/>
                <w:kern w:val="2"/>
                <w:sz w:val="24"/>
                <w:szCs w:val="24"/>
                <w:highlight w:val="none"/>
              </w:rPr>
              <w:t>。项目产生的固体废物均得到合理处置，不会产生二次污染，对外环境影响较小。</w:t>
            </w:r>
          </w:p>
          <w:p>
            <w:pPr>
              <w:keepNext/>
              <w:keepLines/>
              <w:widowControl w:val="0"/>
              <w:adjustRightInd w:val="0"/>
              <w:spacing w:line="360" w:lineRule="auto"/>
              <w:jc w:val="both"/>
              <w:textAlignment w:val="baseline"/>
              <w:outlineLvl w:val="1"/>
              <w:rPr>
                <w:rFonts w:hint="eastAsia" w:ascii="Times New Roman" w:hAnsi="Times New Roman" w:eastAsia="宋体" w:cs="Times New Roman"/>
                <w:b/>
                <w:bCs/>
                <w:snapToGrid w:val="0"/>
                <w:color w:val="auto"/>
                <w:sz w:val="24"/>
                <w:szCs w:val="24"/>
                <w:highlight w:val="none"/>
                <w:lang w:val="en-US" w:eastAsia="zh-CN" w:bidi="ar-SA"/>
              </w:rPr>
            </w:pPr>
            <w:bookmarkStart w:id="41" w:name="_Toc17479"/>
            <w:r>
              <w:rPr>
                <w:rFonts w:hint="eastAsia" w:ascii="Times New Roman" w:hAnsi="Times New Roman" w:eastAsia="宋体" w:cs="Times New Roman"/>
                <w:b/>
                <w:bCs/>
                <w:snapToGrid w:val="0"/>
                <w:color w:val="auto"/>
                <w:sz w:val="24"/>
                <w:szCs w:val="24"/>
                <w:highlight w:val="none"/>
                <w:lang w:val="en-US" w:eastAsia="zh-CN" w:bidi="ar-SA"/>
              </w:rPr>
              <w:t>5清洁生产分析</w:t>
            </w:r>
            <w:bookmarkEnd w:id="41"/>
          </w:p>
          <w:bookmarkEnd w:id="35"/>
          <w:p>
            <w:pPr>
              <w:autoSpaceDE w:val="0"/>
              <w:autoSpaceDN w:val="0"/>
              <w:adjustRightInd/>
              <w:spacing w:line="360" w:lineRule="auto"/>
              <w:ind w:left="27" w:leftChars="13" w:firstLine="480" w:firstLineChars="200"/>
              <w:textAlignment w:val="auto"/>
              <w:rPr>
                <w:rFonts w:hint="eastAsia" w:ascii="Times New Roman" w:hAnsi="Times New Roman" w:eastAsia="宋体"/>
                <w:color w:val="000000"/>
                <w:kern w:val="2"/>
                <w:sz w:val="24"/>
                <w:szCs w:val="24"/>
                <w:highlight w:val="none"/>
              </w:rPr>
            </w:pPr>
            <w:r>
              <w:rPr>
                <w:rFonts w:hint="eastAsia" w:ascii="Times New Roman" w:hAnsi="Times New Roman" w:eastAsia="宋体"/>
                <w:color w:val="000000"/>
                <w:kern w:val="2"/>
                <w:sz w:val="24"/>
                <w:szCs w:val="24"/>
                <w:highlight w:val="none"/>
              </w:rPr>
              <w:t>本项目将清洁生产的思想贯穿于生产的全过程，在原辅材料和能源的选取、生产工艺和设备的选用、污染产生及控制等方面，均能按照清洁生产的要求进行设计。</w:t>
            </w:r>
          </w:p>
          <w:p>
            <w:pPr>
              <w:autoSpaceDE w:val="0"/>
              <w:autoSpaceDN w:val="0"/>
              <w:adjustRightInd/>
              <w:spacing w:line="360" w:lineRule="auto"/>
              <w:ind w:left="27" w:leftChars="13" w:firstLine="480" w:firstLineChars="200"/>
              <w:textAlignment w:val="auto"/>
              <w:rPr>
                <w:rFonts w:hint="eastAsia" w:ascii="Times New Roman" w:hAnsi="Times New Roman" w:eastAsia="宋体"/>
                <w:color w:val="000000"/>
                <w:kern w:val="2"/>
                <w:sz w:val="24"/>
                <w:szCs w:val="24"/>
                <w:highlight w:val="none"/>
              </w:rPr>
            </w:pPr>
            <w:r>
              <w:rPr>
                <w:rFonts w:hint="eastAsia" w:ascii="Times New Roman" w:hAnsi="Times New Roman" w:eastAsia="宋体"/>
                <w:color w:val="000000"/>
                <w:kern w:val="2"/>
                <w:sz w:val="24"/>
                <w:szCs w:val="24"/>
                <w:highlight w:val="none"/>
              </w:rPr>
              <w:t>综上所述，企业在生产中采取了相应的清洁生产措施后，企业能够达到同行业的同等水平。</w:t>
            </w:r>
          </w:p>
          <w:p>
            <w:pPr>
              <w:spacing w:line="360" w:lineRule="auto"/>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6</w:t>
            </w:r>
            <w:r>
              <w:rPr>
                <w:rFonts w:hint="eastAsia" w:ascii="宋体" w:hAnsi="宋体" w:eastAsia="宋体" w:cs="宋体"/>
                <w:b/>
                <w:color w:val="auto"/>
                <w:sz w:val="24"/>
                <w:szCs w:val="24"/>
                <w:highlight w:val="none"/>
              </w:rPr>
              <w:t>、综合结论</w:t>
            </w:r>
          </w:p>
          <w:p>
            <w:pPr>
              <w:spacing w:line="360" w:lineRule="auto"/>
              <w:ind w:firstLine="482"/>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评价分析认为，该公司选址符合规划要求，生产过程采取了一定的清洁生产措施和污染防治措施，各项污染物均能得到妥善处理和达标排放，自投产至今对周边环境影响较小；公司采取了一定的风险防范措施；在后期运营过程中，应</w:t>
            </w:r>
          </w:p>
          <w:p>
            <w:pPr>
              <w:spacing w:line="360" w:lineRule="auto"/>
              <w:ind w:firstLine="482"/>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加强环保措施，减弱对周边居民的影响，在此基础上，从环保角度来讲，项目继续生产是可行的。</w:t>
            </w:r>
          </w:p>
          <w:p>
            <w:pPr>
              <w:spacing w:line="360" w:lineRule="auto"/>
              <w:rPr>
                <w:rFonts w:ascii="宋体" w:hAnsi="宋体"/>
                <w:b/>
                <w:sz w:val="24"/>
                <w:highlight w:val="none"/>
              </w:rPr>
            </w:pPr>
            <w:r>
              <w:rPr>
                <w:rFonts w:hint="eastAsia" w:ascii="宋体" w:hAnsi="宋体"/>
                <w:b/>
                <w:sz w:val="24"/>
                <w:highlight w:val="none"/>
              </w:rPr>
              <w:t>二、审批部门审批意见</w:t>
            </w:r>
          </w:p>
          <w:p>
            <w:pPr>
              <w:spacing w:line="360" w:lineRule="auto"/>
              <w:jc w:val="left"/>
              <w:rPr>
                <w:rFonts w:hint="eastAsia" w:ascii="宋体" w:hAnsi="宋体" w:eastAsia="宋体"/>
                <w:sz w:val="24"/>
                <w:highlight w:val="none"/>
                <w:lang w:eastAsia="zh-CN"/>
              </w:rPr>
            </w:pPr>
            <w:r>
              <w:rPr>
                <w:rFonts w:hint="eastAsia" w:ascii="宋体" w:hAnsi="宋体"/>
                <w:sz w:val="24"/>
                <w:highlight w:val="none"/>
              </w:rPr>
              <w:t>和县兴盛新型建材有限公司</w:t>
            </w:r>
            <w:r>
              <w:rPr>
                <w:rFonts w:hint="eastAsia" w:ascii="宋体" w:hAnsi="宋体"/>
                <w:sz w:val="24"/>
                <w:highlight w:val="none"/>
                <w:lang w:eastAsia="zh-CN"/>
              </w:rPr>
              <w:t>：</w:t>
            </w:r>
          </w:p>
          <w:p>
            <w:pPr>
              <w:spacing w:line="360" w:lineRule="auto"/>
              <w:ind w:firstLine="480" w:firstLineChars="200"/>
              <w:jc w:val="left"/>
              <w:rPr>
                <w:rFonts w:hint="eastAsia" w:ascii="宋体" w:hAnsi="宋体"/>
                <w:sz w:val="24"/>
                <w:highlight w:val="none"/>
              </w:rPr>
            </w:pPr>
            <w:r>
              <w:rPr>
                <w:rFonts w:hint="eastAsia" w:ascii="宋体" w:hAnsi="宋体"/>
                <w:sz w:val="24"/>
                <w:highlight w:val="none"/>
              </w:rPr>
              <w:t>你公司报来的《和县兴盛新型建材有限公司年产1.2亿块蒸压灰砂砖项目环境影响报告表》(以下筒称《报告表》)收悉，经审査，现批复如下:</w:t>
            </w:r>
          </w:p>
          <w:p>
            <w:pPr>
              <w:spacing w:line="360" w:lineRule="auto"/>
              <w:ind w:firstLine="480" w:firstLineChars="200"/>
              <w:jc w:val="left"/>
              <w:rPr>
                <w:rFonts w:hint="eastAsia" w:ascii="宋体" w:hAnsi="宋体" w:eastAsia="宋体"/>
                <w:sz w:val="24"/>
                <w:highlight w:val="none"/>
                <w:lang w:eastAsia="zh-CN"/>
              </w:rPr>
            </w:pPr>
            <w:r>
              <w:rPr>
                <w:rFonts w:hint="eastAsia" w:ascii="宋体" w:hAnsi="宋体"/>
                <w:sz w:val="24"/>
                <w:highlight w:val="none"/>
              </w:rPr>
              <w:t>一</w:t>
            </w:r>
            <w:r>
              <w:rPr>
                <w:rFonts w:hint="eastAsia" w:ascii="宋体" w:hAnsi="宋体"/>
                <w:sz w:val="24"/>
                <w:highlight w:val="none"/>
                <w:lang w:eastAsia="zh-CN"/>
              </w:rPr>
              <w:t>、</w:t>
            </w:r>
            <w:r>
              <w:rPr>
                <w:rFonts w:hint="eastAsia" w:ascii="宋体" w:hAnsi="宋体"/>
                <w:sz w:val="24"/>
                <w:highlight w:val="none"/>
              </w:rPr>
              <w:t>该项目建设地点位于和县沈巷镇保圩村，项目占地面积21334平方米，总投资3200万元。该项目符合国家产业政策。原则同意该项目建设</w:t>
            </w:r>
            <w:r>
              <w:rPr>
                <w:rFonts w:hint="eastAsia" w:ascii="宋体" w:hAnsi="宋体"/>
                <w:sz w:val="24"/>
                <w:highlight w:val="none"/>
                <w:lang w:eastAsia="zh-CN"/>
              </w:rPr>
              <w:t>。</w:t>
            </w:r>
          </w:p>
          <w:p>
            <w:pPr>
              <w:spacing w:line="360" w:lineRule="auto"/>
              <w:ind w:firstLine="480" w:firstLineChars="200"/>
              <w:jc w:val="left"/>
              <w:rPr>
                <w:rFonts w:hint="eastAsia" w:ascii="宋体" w:hAnsi="宋体" w:eastAsia="宋体"/>
                <w:sz w:val="24"/>
                <w:highlight w:val="none"/>
                <w:lang w:eastAsia="zh-CN"/>
              </w:rPr>
            </w:pPr>
            <w:r>
              <w:rPr>
                <w:rFonts w:hint="eastAsia" w:ascii="宋体" w:hAnsi="宋体"/>
                <w:sz w:val="24"/>
                <w:highlight w:val="none"/>
              </w:rPr>
              <w:t>二、同意《报告表》所列内容，项目单位须按《报告表》的要求和我局审批意见落实环保措施</w:t>
            </w:r>
            <w:r>
              <w:rPr>
                <w:rFonts w:hint="eastAsia" w:ascii="宋体" w:hAnsi="宋体"/>
                <w:sz w:val="24"/>
                <w:highlight w:val="none"/>
                <w:lang w:eastAsia="zh-CN"/>
              </w:rPr>
              <w:t>。</w:t>
            </w:r>
          </w:p>
          <w:p>
            <w:pPr>
              <w:spacing w:line="360" w:lineRule="auto"/>
              <w:ind w:firstLine="480" w:firstLineChars="200"/>
              <w:jc w:val="left"/>
              <w:rPr>
                <w:rFonts w:hint="eastAsia" w:ascii="宋体" w:hAnsi="宋体" w:eastAsia="宋体"/>
                <w:sz w:val="24"/>
                <w:highlight w:val="none"/>
                <w:lang w:eastAsia="zh-CN"/>
              </w:rPr>
            </w:pPr>
            <w:r>
              <w:rPr>
                <w:rFonts w:hint="eastAsia" w:ascii="宋体" w:hAnsi="宋体"/>
                <w:sz w:val="24"/>
                <w:highlight w:val="none"/>
              </w:rPr>
              <w:t>三、项目建设过程中须做好以下环保工作</w:t>
            </w:r>
            <w:r>
              <w:rPr>
                <w:rFonts w:hint="eastAsia" w:ascii="宋体" w:hAnsi="宋体"/>
                <w:sz w:val="24"/>
                <w:highlight w:val="none"/>
                <w:lang w:eastAsia="zh-CN"/>
              </w:rPr>
              <w:t>：</w:t>
            </w:r>
          </w:p>
          <w:p>
            <w:pPr>
              <w:spacing w:line="360" w:lineRule="auto"/>
              <w:ind w:firstLine="480" w:firstLineChars="200"/>
              <w:jc w:val="left"/>
              <w:rPr>
                <w:rFonts w:hint="eastAsia" w:ascii="宋体" w:hAnsi="宋体"/>
                <w:sz w:val="24"/>
                <w:highlight w:val="none"/>
              </w:rPr>
            </w:pPr>
            <w:r>
              <w:rPr>
                <w:rFonts w:hint="eastAsia" w:ascii="宋体" w:hAnsi="宋体"/>
                <w:sz w:val="24"/>
                <w:highlight w:val="none"/>
              </w:rPr>
              <w:t>1、施工期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highlight w:val="none"/>
              </w:rPr>
              <w:t>(1)施工污水须经沉淀处理达标后回用于绿化或环使用沉演的泥沙</w:t>
            </w:r>
            <w:r>
              <w:rPr>
                <w:rFonts w:hint="default" w:ascii="Times New Roman" w:hAnsi="Times New Roman" w:cs="Times New Roman"/>
                <w:sz w:val="24"/>
                <w:szCs w:val="24"/>
              </w:rPr>
              <w:t>填埋于工地，不得外排</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rPr>
              <w:t>(2)施工场地及进场道路须采取酒水抑全等措施，尽可能减少二次扬尘污染</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rPr>
              <w:t>(3)施工噪声主要来自施工机械和运输车辆，建设单位须对施工期噪声严格控制，要优先选用低噪声的施工设备，科学安排施工作业时间，确保建筑施工场界噪声达到《建筑施工场界声限值》(GB12523-90)中标准，杜绝噪声扰民现象发生尽量减少夜间施工，若工程需要昼夜</w:t>
            </w:r>
            <w:r>
              <w:rPr>
                <w:rFonts w:hint="eastAsia" w:ascii="Times New Roman" w:hAnsi="Times New Roman" w:cs="Times New Roman"/>
                <w:sz w:val="24"/>
                <w:szCs w:val="24"/>
                <w:lang w:val="en-US" w:eastAsia="zh-CN"/>
              </w:rPr>
              <w:t>连续</w:t>
            </w:r>
            <w:r>
              <w:rPr>
                <w:rFonts w:hint="default" w:ascii="Times New Roman" w:hAnsi="Times New Roman" w:cs="Times New Roman"/>
                <w:sz w:val="24"/>
                <w:szCs w:val="24"/>
              </w:rPr>
              <w:t>施工，必须报经我局同意并严格实施公示制度</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rPr>
              <w:t>(4)施工期间产生的建筑垃极须及时处置或填埋，生活垃圾分类收集，送城镇环卫部门进行集中处置处理</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2、</w:t>
            </w:r>
            <w:r>
              <w:rPr>
                <w:rFonts w:hint="eastAsia" w:ascii="Times New Roman" w:hAnsi="Times New Roman" w:cs="Times New Roman"/>
                <w:sz w:val="24"/>
                <w:szCs w:val="24"/>
                <w:lang w:val="en-US" w:eastAsia="zh-CN"/>
              </w:rPr>
              <w:t>营运</w:t>
            </w:r>
            <w:r>
              <w:rPr>
                <w:rFonts w:hint="default" w:ascii="Times New Roman" w:hAnsi="Times New Roman" w:cs="Times New Roman"/>
                <w:sz w:val="24"/>
                <w:szCs w:val="24"/>
              </w:rPr>
              <w:t>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rPr>
              <w:t>(1)项目必须按照</w:t>
            </w:r>
            <w:r>
              <w:rPr>
                <w:rFonts w:hint="eastAsia" w:cs="Times New Roman"/>
                <w:sz w:val="24"/>
                <w:szCs w:val="24"/>
                <w:lang w:eastAsia="zh-CN"/>
              </w:rPr>
              <w:t>“雨污分流”</w:t>
            </w:r>
            <w:r>
              <w:rPr>
                <w:rFonts w:hint="default" w:ascii="Times New Roman" w:hAnsi="Times New Roman" w:cs="Times New Roman"/>
                <w:sz w:val="24"/>
                <w:szCs w:val="24"/>
              </w:rPr>
              <w:t>的原则，确保项目营运期产生的生活废水应采用化</w:t>
            </w:r>
            <w:r>
              <w:rPr>
                <w:rFonts w:hint="eastAsia" w:cs="Times New Roman"/>
                <w:sz w:val="24"/>
                <w:szCs w:val="24"/>
                <w:lang w:val="en-US" w:eastAsia="zh-CN"/>
              </w:rPr>
              <w:t>粪</w:t>
            </w:r>
            <w:r>
              <w:rPr>
                <w:rFonts w:hint="default" w:ascii="Times New Roman" w:hAnsi="Times New Roman" w:cs="Times New Roman"/>
                <w:sz w:val="24"/>
                <w:szCs w:val="24"/>
              </w:rPr>
              <w:t>池收集处理，处理后水质满足《污水综合排放标准》(GB16297-1996)中的三</w:t>
            </w:r>
            <w:r>
              <w:rPr>
                <w:rFonts w:hint="eastAsia" w:cs="Times New Roman"/>
                <w:sz w:val="24"/>
                <w:szCs w:val="24"/>
                <w:lang w:val="en-US" w:eastAsia="zh-CN"/>
              </w:rPr>
              <w:t>级</w:t>
            </w:r>
            <w:r>
              <w:rPr>
                <w:rFonts w:hint="default" w:ascii="Times New Roman" w:hAnsi="Times New Roman" w:cs="Times New Roman"/>
                <w:sz w:val="24"/>
                <w:szCs w:val="24"/>
              </w:rPr>
              <w:t>标准要求后进入沈巷工业园区污水管网，再由园区集中处理</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rPr>
              <w:t>(2)锅炉必须配套安装脱硫除尘装置，保证锅炉废气排放达到《锅炉大气污物排放标准》(CB1321-2001)表1和表2中Ⅱ时段二类区排放标准值要求</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(3)各类机械产生噪声，要采取减振、隔声、吸声、消声等降噪指施，确保厂界噪声达到《工业企业厂界环境噪声排放标准》(GB12348-2008)2类标准。</w:t>
            </w:r>
          </w:p>
          <w:p>
            <w:pPr>
              <w:tabs>
                <w:tab w:val="left" w:pos="6332"/>
              </w:tabs>
              <w:spacing w:line="360" w:lineRule="auto"/>
              <w:ind w:firstLine="480" w:firstLineChars="200"/>
              <w:jc w:val="left"/>
              <w:rPr>
                <w:rFonts w:hint="eastAsia" w:ascii="宋体" w:hAnsi="宋体" w:eastAsia="宋体"/>
                <w:sz w:val="24"/>
                <w:highlight w:val="none"/>
                <w:lang w:eastAsia="zh-CN"/>
              </w:rPr>
            </w:pPr>
            <w:r>
              <w:rPr>
                <w:rFonts w:hint="default" w:ascii="Times New Roman" w:hAnsi="Times New Roman" w:eastAsia="宋体" w:cs="Times New Roman"/>
                <w:sz w:val="24"/>
                <w:highlight w:val="none"/>
                <w:lang w:eastAsia="zh-CN"/>
              </w:rPr>
              <w:t>(4)产</w:t>
            </w:r>
            <w:r>
              <w:rPr>
                <w:rFonts w:hint="eastAsia" w:ascii="宋体" w:hAnsi="宋体" w:eastAsia="宋体"/>
                <w:sz w:val="24"/>
                <w:highlight w:val="none"/>
                <w:lang w:eastAsia="zh-CN"/>
              </w:rPr>
              <w:t>生的固体废物必须采取综合利用或进行要善处置处理，不对外排放，严禁产生二次污染</w:t>
            </w:r>
            <w:r>
              <w:rPr>
                <w:rFonts w:hint="eastAsia" w:ascii="宋体" w:hAnsi="宋体"/>
                <w:sz w:val="24"/>
                <w:highlight w:val="none"/>
                <w:lang w:eastAsia="zh-CN"/>
              </w:rPr>
              <w:t>。</w:t>
            </w:r>
          </w:p>
          <w:p>
            <w:pPr>
              <w:tabs>
                <w:tab w:val="left" w:pos="6332"/>
              </w:tabs>
              <w:spacing w:line="360" w:lineRule="auto"/>
              <w:ind w:firstLine="480" w:firstLineChars="200"/>
              <w:jc w:val="left"/>
              <w:rPr>
                <w:rFonts w:hint="eastAsia" w:ascii="宋体" w:hAnsi="宋体" w:eastAsia="宋体"/>
                <w:sz w:val="24"/>
                <w:highlight w:val="none"/>
                <w:lang w:eastAsia="zh-CN"/>
              </w:rPr>
            </w:pPr>
            <w:r>
              <w:rPr>
                <w:rFonts w:hint="eastAsia" w:ascii="宋体" w:hAnsi="宋体" w:eastAsia="宋体"/>
                <w:sz w:val="24"/>
                <w:highlight w:val="none"/>
                <w:lang w:eastAsia="zh-CN"/>
              </w:rPr>
              <w:t>四、项目的性质、规模、地点、采用的生产工艺或者防治污染、防止生态破坏的措施若发生变动，应当重新向我局报批建设项日环境影响评价文件</w:t>
            </w:r>
            <w:r>
              <w:rPr>
                <w:rFonts w:hint="eastAsia" w:ascii="宋体" w:hAnsi="宋体"/>
                <w:sz w:val="24"/>
                <w:highlight w:val="none"/>
                <w:lang w:eastAsia="zh-CN"/>
              </w:rPr>
              <w:t>。</w:t>
            </w:r>
          </w:p>
          <w:p>
            <w:pPr>
              <w:tabs>
                <w:tab w:val="left" w:pos="6332"/>
              </w:tabs>
              <w:spacing w:line="360" w:lineRule="auto"/>
              <w:ind w:firstLine="480" w:firstLineChars="200"/>
              <w:jc w:val="left"/>
              <w:rPr>
                <w:rFonts w:hint="eastAsia" w:ascii="宋体" w:hAnsi="宋体" w:eastAsia="宋体"/>
                <w:sz w:val="24"/>
                <w:highlight w:val="yellow"/>
                <w:lang w:eastAsia="zh-CN"/>
              </w:rPr>
            </w:pPr>
            <w:r>
              <w:rPr>
                <w:rFonts w:hint="default" w:ascii="Times New Roman" w:hAnsi="Times New Roman" w:eastAsia="宋体" w:cs="Times New Roman"/>
                <w:sz w:val="24"/>
                <w:highlight w:val="none"/>
                <w:lang w:eastAsia="zh-CN"/>
              </w:rPr>
              <w:t>五、</w:t>
            </w:r>
            <w:r>
              <w:rPr>
                <w:rFonts w:hint="eastAsia" w:ascii="宋体" w:hAnsi="宋体" w:eastAsia="宋体"/>
                <w:sz w:val="24"/>
                <w:highlight w:val="none"/>
                <w:lang w:eastAsia="zh-CN"/>
              </w:rPr>
              <w:t>和县环境监察大队负责对该项目“三同时”落实情况进行跟踪督察。</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表五</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pPr>
            <w:r>
              <w:rPr>
                <w:rFonts w:hint="eastAsia"/>
              </w:rPr>
              <w:t>验收监测质量保证及质量控制：</w:t>
            </w:r>
          </w:p>
          <w:p>
            <w:pPr>
              <w:spacing w:line="360" w:lineRule="auto"/>
              <w:jc w:val="left"/>
            </w:pPr>
            <w:r>
              <w:rPr>
                <w:rFonts w:hint="eastAsia"/>
              </w:rPr>
              <w:t>1、监测分析方法</w:t>
            </w:r>
          </w:p>
          <w:p>
            <w:pPr>
              <w:jc w:val="center"/>
            </w:pPr>
            <w:r>
              <w:rPr>
                <w:rFonts w:hint="eastAsia"/>
              </w:rPr>
              <w:t>表5-1  监测分析方法及方法来源</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890"/>
              <w:gridCol w:w="63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097" w:type="dxa"/>
                  <w:vAlign w:val="center"/>
                </w:tcPr>
                <w:p>
                  <w:pPr>
                    <w:spacing w:line="320" w:lineRule="exact"/>
                    <w:jc w:val="center"/>
                  </w:pPr>
                  <w:bookmarkStart w:id="42" w:name="_Hlk6244045"/>
                  <w:r>
                    <w:rPr>
                      <w:rFonts w:hint="eastAsia"/>
                    </w:rPr>
                    <w:t>类别</w:t>
                  </w:r>
                </w:p>
              </w:tc>
              <w:tc>
                <w:tcPr>
                  <w:tcW w:w="1890" w:type="dxa"/>
                  <w:vAlign w:val="center"/>
                </w:tcPr>
                <w:p>
                  <w:pPr>
                    <w:spacing w:line="320" w:lineRule="exact"/>
                    <w:jc w:val="center"/>
                  </w:pPr>
                  <w:r>
                    <w:rPr>
                      <w:rFonts w:hint="eastAsia"/>
                    </w:rPr>
                    <w:t>项目</w:t>
                  </w:r>
                </w:p>
              </w:tc>
              <w:tc>
                <w:tcPr>
                  <w:tcW w:w="6300" w:type="dxa"/>
                  <w:vAlign w:val="center"/>
                </w:tcPr>
                <w:p>
                  <w:pPr>
                    <w:spacing w:line="320" w:lineRule="exact"/>
                    <w:jc w:val="center"/>
                  </w:pPr>
                  <w:r>
                    <w:rPr>
                      <w:rFonts w:hint="eastAsia"/>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097" w:type="dxa"/>
                  <w:vMerge w:val="restart"/>
                  <w:vAlign w:val="center"/>
                </w:tcPr>
                <w:p>
                  <w:pPr>
                    <w:spacing w:line="320" w:lineRule="exact"/>
                    <w:jc w:val="center"/>
                  </w:pPr>
                  <w:r>
                    <w:rPr>
                      <w:rFonts w:hint="eastAsia"/>
                    </w:rPr>
                    <w:t>有组织废气</w:t>
                  </w:r>
                </w:p>
              </w:tc>
              <w:tc>
                <w:tcPr>
                  <w:tcW w:w="1890" w:type="dxa"/>
                  <w:vAlign w:val="center"/>
                </w:tcPr>
                <w:p>
                  <w:pPr>
                    <w:jc w:val="center"/>
                    <w:rPr>
                      <w:rFonts w:hint="eastAsia"/>
                      <w:lang w:eastAsia="zh-CN"/>
                    </w:rPr>
                  </w:pPr>
                  <w:r>
                    <w:rPr>
                      <w:rFonts w:hint="eastAsia"/>
                      <w:lang w:val="en-US" w:eastAsia="zh-CN"/>
                    </w:rPr>
                    <w:t>颗粒物</w:t>
                  </w:r>
                </w:p>
              </w:tc>
              <w:tc>
                <w:tcPr>
                  <w:tcW w:w="6300" w:type="dxa"/>
                  <w:vAlign w:val="center"/>
                </w:tcPr>
                <w:p>
                  <w:pPr>
                    <w:jc w:val="left"/>
                  </w:pPr>
                  <w:r>
                    <w:rPr>
                      <w:rFonts w:hint="eastAsia"/>
                    </w:rPr>
                    <w:t>固定污染源排气中颗粒物测定与气态污染物采样方法 GB/T 16157-1996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097" w:type="dxa"/>
                  <w:vMerge w:val="continue"/>
                  <w:vAlign w:val="center"/>
                </w:tcPr>
                <w:p>
                  <w:pPr>
                    <w:spacing w:line="320" w:lineRule="exact"/>
                    <w:jc w:val="center"/>
                    <w:rPr>
                      <w:rFonts w:hint="eastAsia"/>
                    </w:rPr>
                  </w:pPr>
                </w:p>
              </w:tc>
              <w:tc>
                <w:tcPr>
                  <w:tcW w:w="1890" w:type="dxa"/>
                  <w:vAlign w:val="center"/>
                </w:tcPr>
                <w:p>
                  <w:pPr>
                    <w:spacing w:line="276" w:lineRule="auto"/>
                    <w:jc w:val="center"/>
                    <w:rPr>
                      <w:rFonts w:hint="eastAsia"/>
                    </w:rPr>
                  </w:pPr>
                  <w:r>
                    <w:rPr>
                      <w:rFonts w:hint="eastAsia"/>
                    </w:rPr>
                    <w:t>二氧化硫</w:t>
                  </w:r>
                </w:p>
              </w:tc>
              <w:tc>
                <w:tcPr>
                  <w:tcW w:w="6300" w:type="dxa"/>
                  <w:vAlign w:val="center"/>
                </w:tcPr>
                <w:p>
                  <w:pPr>
                    <w:spacing w:line="276" w:lineRule="auto"/>
                    <w:jc w:val="left"/>
                    <w:rPr>
                      <w:rFonts w:hint="eastAsia"/>
                    </w:rPr>
                  </w:pPr>
                  <w:r>
                    <w:rPr>
                      <w:rFonts w:hint="eastAsia"/>
                    </w:rPr>
                    <w:t>固定污染源废气 二氧化硫的测定 定电位电解法 HJ 57-2017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097" w:type="dxa"/>
                  <w:vMerge w:val="continue"/>
                  <w:vAlign w:val="center"/>
                </w:tcPr>
                <w:p>
                  <w:pPr>
                    <w:spacing w:line="320" w:lineRule="exact"/>
                    <w:jc w:val="center"/>
                    <w:rPr>
                      <w:rFonts w:hint="eastAsia"/>
                    </w:rPr>
                  </w:pPr>
                </w:p>
              </w:tc>
              <w:tc>
                <w:tcPr>
                  <w:tcW w:w="1890" w:type="dxa"/>
                  <w:vAlign w:val="center"/>
                </w:tcPr>
                <w:p>
                  <w:pPr>
                    <w:widowControl/>
                    <w:spacing w:line="276" w:lineRule="auto"/>
                    <w:jc w:val="center"/>
                    <w:rPr>
                      <w:rFonts w:hint="eastAsia"/>
                    </w:rPr>
                  </w:pPr>
                  <w:r>
                    <w:rPr>
                      <w:rFonts w:hint="eastAsia"/>
                    </w:rPr>
                    <w:t>氮氧化物</w:t>
                  </w:r>
                </w:p>
              </w:tc>
              <w:tc>
                <w:tcPr>
                  <w:tcW w:w="6300" w:type="dxa"/>
                  <w:vAlign w:val="center"/>
                </w:tcPr>
                <w:p>
                  <w:pPr>
                    <w:widowControl/>
                    <w:spacing w:line="276" w:lineRule="auto"/>
                    <w:jc w:val="left"/>
                    <w:rPr>
                      <w:rFonts w:hint="eastAsia"/>
                    </w:rPr>
                  </w:pPr>
                  <w:r>
                    <w:rPr>
                      <w:rFonts w:hint="eastAsia"/>
                    </w:rPr>
                    <w:t>固定污染源废气 氮氧化物的测定 定电位电解法 HJ 693-2014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097" w:type="dxa"/>
                  <w:vAlign w:val="center"/>
                </w:tcPr>
                <w:p>
                  <w:pPr>
                    <w:spacing w:line="320" w:lineRule="exact"/>
                    <w:jc w:val="center"/>
                  </w:pPr>
                  <w:r>
                    <w:rPr>
                      <w:rFonts w:hint="eastAsia"/>
                    </w:rPr>
                    <w:t>无组织废气</w:t>
                  </w:r>
                </w:p>
              </w:tc>
              <w:tc>
                <w:tcPr>
                  <w:tcW w:w="1890" w:type="dxa"/>
                  <w:vAlign w:val="center"/>
                </w:tcPr>
                <w:p>
                  <w:pPr>
                    <w:widowControl/>
                    <w:jc w:val="center"/>
                  </w:pPr>
                  <w:r>
                    <w:rPr>
                      <w:rFonts w:hint="eastAsia"/>
                    </w:rPr>
                    <w:t>总悬浮颗粒物</w:t>
                  </w:r>
                </w:p>
              </w:tc>
              <w:tc>
                <w:tcPr>
                  <w:tcW w:w="6300" w:type="dxa"/>
                  <w:vAlign w:val="center"/>
                </w:tcPr>
                <w:p>
                  <w:pPr>
                    <w:widowControl/>
                    <w:jc w:val="left"/>
                  </w:pPr>
                  <w:r>
                    <w:rPr>
                      <w:rFonts w:hint="eastAsia"/>
                    </w:rPr>
                    <w:t>环境空气 总悬浮颗粒物的测定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097" w:type="dxa"/>
                  <w:vAlign w:val="center"/>
                </w:tcPr>
                <w:p>
                  <w:pPr>
                    <w:spacing w:line="320" w:lineRule="exact"/>
                    <w:jc w:val="center"/>
                  </w:pPr>
                  <w:r>
                    <w:rPr>
                      <w:rFonts w:hint="eastAsia"/>
                    </w:rPr>
                    <w:t>噪声</w:t>
                  </w:r>
                </w:p>
              </w:tc>
              <w:tc>
                <w:tcPr>
                  <w:tcW w:w="1890" w:type="dxa"/>
                  <w:vAlign w:val="center"/>
                </w:tcPr>
                <w:p>
                  <w:pPr>
                    <w:widowControl/>
                    <w:jc w:val="center"/>
                  </w:pPr>
                  <w:r>
                    <w:rPr>
                      <w:rFonts w:hint="eastAsia"/>
                    </w:rPr>
                    <w:t>工业企业厂界环境噪声</w:t>
                  </w:r>
                </w:p>
              </w:tc>
              <w:tc>
                <w:tcPr>
                  <w:tcW w:w="6300" w:type="dxa"/>
                  <w:vAlign w:val="center"/>
                </w:tcPr>
                <w:p>
                  <w:pPr>
                    <w:widowControl/>
                    <w:jc w:val="left"/>
                  </w:pPr>
                  <w:r>
                    <w:rPr>
                      <w:rFonts w:hint="eastAsia"/>
                    </w:rPr>
                    <w:t>工业企业厂界环境噪声排放标准 GB 12348-2008</w:t>
                  </w:r>
                </w:p>
              </w:tc>
            </w:tr>
            <w:bookmarkEnd w:id="42"/>
          </w:tbl>
          <w:p>
            <w:pPr>
              <w:spacing w:line="360" w:lineRule="auto"/>
              <w:jc w:val="left"/>
              <w:rPr>
                <w:rFonts w:hint="eastAsia"/>
              </w:rPr>
            </w:pPr>
            <w:r>
              <w:rPr>
                <w:rFonts w:hint="eastAsia"/>
              </w:rPr>
              <w:t>2、监测仪器</w:t>
            </w:r>
          </w:p>
          <w:tbl>
            <w:tblPr>
              <w:tblStyle w:val="34"/>
              <w:tblpPr w:leftFromText="180" w:rightFromText="180" w:vertAnchor="text" w:horzAnchor="page" w:tblpX="173" w:tblpY="473"/>
              <w:tblOverlap w:val="never"/>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11"/>
              <w:gridCol w:w="55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1" w:type="dxa"/>
                  <w:tcBorders>
                    <w:tl2br w:val="nil"/>
                    <w:tr2bl w:val="nil"/>
                  </w:tcBorders>
                  <w:vAlign w:val="center"/>
                </w:tcPr>
                <w:p>
                  <w:pPr>
                    <w:spacing w:line="276" w:lineRule="auto"/>
                    <w:ind w:left="-4" w:leftChars="-2" w:right="-34" w:rightChars="-16" w:firstLine="2" w:firstLineChars="1"/>
                    <w:jc w:val="center"/>
                    <w:rPr>
                      <w:rFonts w:hint="eastAsia"/>
                    </w:rPr>
                  </w:pPr>
                  <w:r>
                    <w:rPr>
                      <w:rFonts w:hint="eastAsia"/>
                    </w:rPr>
                    <w:t>监测设备名称</w:t>
                  </w:r>
                </w:p>
              </w:tc>
              <w:tc>
                <w:tcPr>
                  <w:tcW w:w="5571" w:type="dxa"/>
                  <w:tcBorders>
                    <w:tl2br w:val="nil"/>
                    <w:tr2bl w:val="nil"/>
                  </w:tcBorders>
                  <w:vAlign w:val="center"/>
                </w:tcPr>
                <w:p>
                  <w:pPr>
                    <w:spacing w:line="276" w:lineRule="auto"/>
                    <w:ind w:left="-4" w:leftChars="-2" w:right="-34" w:rightChars="-16" w:firstLine="2" w:firstLineChars="1"/>
                    <w:jc w:val="center"/>
                    <w:rPr>
                      <w:rFonts w:hint="eastAsia"/>
                    </w:rPr>
                  </w:pPr>
                  <w:r>
                    <w:rPr>
                      <w:rFonts w:hint="eastAsia"/>
                    </w:rPr>
                    <w:t>监测设备</w:t>
                  </w:r>
                  <w:r>
                    <w:rPr>
                      <w:rFonts w:hint="eastAsia"/>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万分之一电子天平</w:t>
                  </w:r>
                </w:p>
              </w:tc>
              <w:tc>
                <w:tcPr>
                  <w:tcW w:w="557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声校准器</w:t>
                  </w:r>
                </w:p>
              </w:tc>
              <w:tc>
                <w:tcPr>
                  <w:tcW w:w="557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AWA6021A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噪声分析仪</w:t>
                  </w:r>
                </w:p>
              </w:tc>
              <w:tc>
                <w:tcPr>
                  <w:tcW w:w="557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AWA6228+型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自动烟尘烟气测试仪</w:t>
                  </w:r>
                </w:p>
              </w:tc>
              <w:tc>
                <w:tcPr>
                  <w:tcW w:w="557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真空箱气袋采样器</w:t>
                  </w:r>
                </w:p>
              </w:tc>
              <w:tc>
                <w:tcPr>
                  <w:tcW w:w="5571" w:type="dxa"/>
                  <w:tcBorders>
                    <w:tl2br w:val="nil"/>
                    <w:tr2bl w:val="nil"/>
                  </w:tcBorders>
                  <w:vAlign w:val="center"/>
                </w:tcPr>
                <w:p>
                  <w:pPr>
                    <w:keepNext w:val="0"/>
                    <w:keepLines w:val="0"/>
                    <w:widowControl/>
                    <w:suppressLineNumbers w:val="0"/>
                    <w:jc w:val="center"/>
                    <w:textAlignment w:val="center"/>
                    <w:rPr>
                      <w:rFonts w:hint="eastAsia"/>
                    </w:rPr>
                  </w:pPr>
                  <w:r>
                    <w:rPr>
                      <w:rFonts w:hint="eastAsia"/>
                      <w:lang w:val="en-US" w:eastAsia="zh-CN"/>
                    </w:rPr>
                    <w:t>ZR-3520</w:t>
                  </w:r>
                </w:p>
              </w:tc>
            </w:tr>
          </w:tbl>
          <w:p>
            <w:pPr>
              <w:spacing w:line="240" w:lineRule="auto"/>
              <w:jc w:val="center"/>
              <w:rPr>
                <w:rFonts w:hint="eastAsia"/>
              </w:rPr>
            </w:pPr>
            <w:r>
              <w:rPr>
                <w:rFonts w:hint="eastAsia"/>
              </w:rPr>
              <w:t>表5-</w:t>
            </w:r>
            <w:r>
              <w:t>2</w:t>
            </w:r>
            <w:r>
              <w:rPr>
                <w:rFonts w:hint="eastAsia"/>
              </w:rPr>
              <w:t xml:space="preserve">  监测仪器一览表</w:t>
            </w:r>
          </w:p>
          <w:p>
            <w:pPr>
              <w:spacing w:line="360" w:lineRule="auto"/>
              <w:jc w:val="left"/>
            </w:pPr>
            <w:r>
              <w:rPr>
                <w:rFonts w:hint="eastAsia"/>
              </w:rPr>
              <w:t>3、人员资质</w:t>
            </w:r>
          </w:p>
          <w:p>
            <w:pPr>
              <w:ind w:firstLine="420" w:firstLineChars="200"/>
              <w:rPr>
                <w:lang w:val="zh-CN"/>
              </w:rPr>
            </w:pPr>
            <w:r>
              <w:rPr>
                <w:rFonts w:hint="eastAsia"/>
                <w:lang w:val="zh-CN"/>
              </w:rPr>
              <w:t>竣工验收、监测人员均进行上岗培训，经考核合格，获得上岗证。</w:t>
            </w:r>
          </w:p>
          <w:p>
            <w:pPr>
              <w:spacing w:line="360" w:lineRule="auto"/>
              <w:jc w:val="left"/>
            </w:pPr>
            <w:r>
              <w:rPr>
                <w:rFonts w:hint="eastAsia"/>
              </w:rPr>
              <w:t>4、质控结果</w:t>
            </w:r>
          </w:p>
          <w:p>
            <w:pPr>
              <w:spacing w:line="360" w:lineRule="auto"/>
            </w:pPr>
            <w:r>
              <w:t>4.</w:t>
            </w:r>
            <w:r>
              <w:rPr>
                <w:rFonts w:hint="eastAsia"/>
                <w:lang w:val="en-US" w:eastAsia="zh-CN"/>
              </w:rPr>
              <w:t>1</w:t>
            </w:r>
            <w:r>
              <w:rPr>
                <w:rFonts w:hint="eastAsia"/>
              </w:rPr>
              <w:t>气体监测分析过程中的质量保证和质量控制</w:t>
            </w:r>
          </w:p>
          <w:p>
            <w:pPr>
              <w:spacing w:line="360" w:lineRule="auto"/>
              <w:ind w:firstLine="420" w:firstLineChars="200"/>
            </w:pPr>
            <w:r>
              <w:rPr>
                <w:rFonts w:hint="eastAsia"/>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被测排放物的浓度应在仪器测试量程的有效范围即仪器量程的30～70%之间。 对采样仪器的流量计定期进行校准，校准结果合格。</w:t>
            </w:r>
          </w:p>
          <w:p>
            <w:pPr>
              <w:spacing w:line="360" w:lineRule="auto"/>
            </w:pPr>
            <w:r>
              <w:t>4.</w:t>
            </w:r>
            <w:r>
              <w:rPr>
                <w:rFonts w:hint="eastAsia"/>
                <w:lang w:val="en-US" w:eastAsia="zh-CN"/>
              </w:rPr>
              <w:t>2</w:t>
            </w:r>
            <w:r>
              <w:rPr>
                <w:rFonts w:hint="eastAsia"/>
              </w:rPr>
              <w:t>噪声监测分析过程中的质量保证和质量控制</w:t>
            </w:r>
          </w:p>
          <w:p>
            <w:pPr>
              <w:spacing w:line="360" w:lineRule="auto"/>
              <w:ind w:firstLine="420" w:firstLineChars="200"/>
              <w:rPr>
                <w:rFonts w:hint="eastAsia"/>
              </w:rPr>
            </w:pPr>
            <w:r>
              <w:rPr>
                <w:rFonts w:hint="eastAsia"/>
              </w:rPr>
              <w:t>噪声监测时使用经计量部门检定、并在有效使用期内的声级计，在使用前后进行校准， 前后相差在0.5dB以内。</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221"/>
              <w:gridCol w:w="53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21" w:type="dxa"/>
                  <w:vMerge w:val="restart"/>
                  <w:tcBorders>
                    <w:tl2br w:val="nil"/>
                    <w:tr2bl w:val="nil"/>
                  </w:tcBorders>
                  <w:vAlign w:val="center"/>
                </w:tcPr>
                <w:p>
                  <w:pPr>
                    <w:spacing w:line="360" w:lineRule="auto"/>
                    <w:jc w:val="center"/>
                    <w:rPr>
                      <w:rFonts w:hint="eastAsia"/>
                      <w:lang w:val="en-US" w:eastAsia="zh-CN"/>
                    </w:rPr>
                  </w:pPr>
                  <w:r>
                    <w:rPr>
                      <w:rFonts w:hint="eastAsia"/>
                      <w:lang w:val="en-US" w:eastAsia="zh-CN"/>
                    </w:rPr>
                    <w:t>日期</w:t>
                  </w:r>
                </w:p>
              </w:tc>
              <w:tc>
                <w:tcPr>
                  <w:tcW w:w="5379" w:type="dxa"/>
                  <w:tcBorders>
                    <w:tl2br w:val="nil"/>
                    <w:tr2bl w:val="nil"/>
                  </w:tcBorders>
                  <w:vAlign w:val="center"/>
                </w:tcPr>
                <w:p>
                  <w:pPr>
                    <w:spacing w:line="360" w:lineRule="auto"/>
                    <w:jc w:val="center"/>
                    <w:rPr>
                      <w:rFonts w:hint="default"/>
                      <w:lang w:val="en-US" w:eastAsia="zh-CN"/>
                    </w:rPr>
                  </w:pPr>
                  <w:r>
                    <w:rPr>
                      <w:rFonts w:hint="eastAsia"/>
                      <w:lang w:val="en-US" w:eastAsia="zh-CN"/>
                    </w:rPr>
                    <w:t>2020年5月30日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21" w:type="dxa"/>
                  <w:vMerge w:val="continue"/>
                  <w:tcBorders>
                    <w:tl2br w:val="nil"/>
                    <w:tr2bl w:val="nil"/>
                  </w:tcBorders>
                  <w:vAlign w:val="center"/>
                </w:tcPr>
                <w:p>
                  <w:pPr>
                    <w:spacing w:line="360" w:lineRule="auto"/>
                    <w:jc w:val="center"/>
                    <w:rPr>
                      <w:rFonts w:hint="eastAsia"/>
                    </w:rPr>
                  </w:pPr>
                </w:p>
              </w:tc>
              <w:tc>
                <w:tcPr>
                  <w:tcW w:w="5379" w:type="dxa"/>
                  <w:tcBorders>
                    <w:tl2br w:val="nil"/>
                    <w:tr2bl w:val="nil"/>
                  </w:tcBorders>
                  <w:vAlign w:val="center"/>
                </w:tcPr>
                <w:p>
                  <w:pPr>
                    <w:spacing w:line="360" w:lineRule="auto"/>
                    <w:jc w:val="center"/>
                    <w:rPr>
                      <w:rFonts w:hint="default"/>
                      <w:lang w:val="en-US" w:eastAsia="zh-CN"/>
                    </w:rPr>
                  </w:pPr>
                  <w:r>
                    <w:rPr>
                      <w:rFonts w:hint="eastAsia"/>
                      <w:lang w:val="en-US" w:eastAsia="zh-CN"/>
                    </w:rPr>
                    <w:t>昼间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21" w:type="dxa"/>
                  <w:tcBorders>
                    <w:tl2br w:val="nil"/>
                    <w:tr2bl w:val="nil"/>
                  </w:tcBorders>
                  <w:vAlign w:val="center"/>
                </w:tcPr>
                <w:p>
                  <w:pPr>
                    <w:spacing w:line="360" w:lineRule="auto"/>
                    <w:jc w:val="center"/>
                    <w:rPr>
                      <w:rFonts w:hint="eastAsia"/>
                      <w:lang w:val="en-US" w:eastAsia="zh-CN"/>
                    </w:rPr>
                  </w:pPr>
                  <w:r>
                    <w:rPr>
                      <w:rFonts w:hint="eastAsia"/>
                      <w:lang w:val="en-US" w:eastAsia="zh-CN"/>
                    </w:rPr>
                    <w:t>测量前dB(A)</w:t>
                  </w:r>
                </w:p>
              </w:tc>
              <w:tc>
                <w:tcPr>
                  <w:tcW w:w="5379" w:type="dxa"/>
                  <w:tcBorders>
                    <w:tl2br w:val="nil"/>
                    <w:tr2bl w:val="nil"/>
                  </w:tcBorders>
                  <w:vAlign w:val="center"/>
                </w:tcPr>
                <w:p>
                  <w:pPr>
                    <w:spacing w:line="360" w:lineRule="auto"/>
                    <w:jc w:val="center"/>
                    <w:rPr>
                      <w:rFonts w:hint="default"/>
                      <w:lang w:val="en-US" w:eastAsia="zh-CN"/>
                    </w:rPr>
                  </w:pPr>
                  <w:r>
                    <w:rPr>
                      <w:rFonts w:hint="eastAsia"/>
                      <w:lang w:val="en-US" w:eastAsia="zh-CN"/>
                    </w:rPr>
                    <w:t>93.8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21" w:type="dxa"/>
                  <w:tcBorders>
                    <w:tl2br w:val="nil"/>
                    <w:tr2bl w:val="nil"/>
                  </w:tcBorders>
                  <w:vAlign w:val="center"/>
                </w:tcPr>
                <w:p>
                  <w:pPr>
                    <w:spacing w:line="360" w:lineRule="auto"/>
                    <w:jc w:val="center"/>
                    <w:rPr>
                      <w:rFonts w:hint="eastAsia"/>
                      <w:lang w:val="en-US" w:eastAsia="zh-CN"/>
                    </w:rPr>
                  </w:pPr>
                  <w:r>
                    <w:rPr>
                      <w:rFonts w:hint="eastAsia"/>
                      <w:lang w:val="en-US" w:eastAsia="zh-CN"/>
                    </w:rPr>
                    <w:t>测量后dB(A)</w:t>
                  </w:r>
                </w:p>
              </w:tc>
              <w:tc>
                <w:tcPr>
                  <w:tcW w:w="5379" w:type="dxa"/>
                  <w:tcBorders>
                    <w:tl2br w:val="nil"/>
                    <w:tr2bl w:val="nil"/>
                  </w:tcBorders>
                  <w:vAlign w:val="center"/>
                </w:tcPr>
                <w:p>
                  <w:pPr>
                    <w:spacing w:line="360" w:lineRule="auto"/>
                    <w:jc w:val="center"/>
                    <w:rPr>
                      <w:rFonts w:hint="default"/>
                      <w:lang w:val="en-US" w:eastAsia="zh-CN"/>
                    </w:rPr>
                  </w:pPr>
                  <w:r>
                    <w:rPr>
                      <w:rFonts w:hint="eastAsia"/>
                      <w:lang w:val="en-US" w:eastAsia="zh-CN"/>
                    </w:rPr>
                    <w:t>93.9</w:t>
                  </w:r>
                </w:p>
              </w:tc>
            </w:tr>
          </w:tbl>
          <w:p>
            <w:pPr>
              <w:bidi w:val="0"/>
              <w:spacing w:line="360" w:lineRule="auto"/>
              <w:rPr>
                <w:rFonts w:hint="eastAsia"/>
              </w:rPr>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bidi w:val="0"/>
              <w:spacing w:line="360" w:lineRule="auto"/>
            </w:pPr>
          </w:p>
          <w:p>
            <w:pPr>
              <w:pStyle w:val="3"/>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验收监测内容：</w:t>
            </w:r>
          </w:p>
          <w:p>
            <w:pPr>
              <w:rPr>
                <w:rFonts w:hint="eastAsia" w:ascii="宋体" w:hAnsi="宋体"/>
                <w:b/>
                <w:sz w:val="28"/>
                <w:szCs w:val="28"/>
              </w:rPr>
            </w:pPr>
            <w:r>
              <w:rPr>
                <w:rFonts w:hint="eastAsia" w:ascii="宋体" w:hAnsi="宋体"/>
                <w:b/>
                <w:sz w:val="28"/>
                <w:szCs w:val="28"/>
              </w:rPr>
              <w:t>1、废水</w:t>
            </w:r>
          </w:p>
          <w:p>
            <w:pPr>
              <w:pStyle w:val="2"/>
              <w:ind w:firstLine="480" w:firstLineChars="200"/>
              <w:rPr>
                <w:rFonts w:hint="default" w:eastAsia="宋体"/>
                <w:b w:val="0"/>
                <w:bCs/>
                <w:sz w:val="24"/>
                <w:szCs w:val="24"/>
                <w:lang w:val="en-US" w:eastAsia="zh-CN"/>
              </w:rPr>
            </w:pPr>
            <w:r>
              <w:rPr>
                <w:rFonts w:hint="eastAsia" w:hAnsi="宋体"/>
                <w:b w:val="0"/>
                <w:bCs/>
                <w:sz w:val="24"/>
                <w:szCs w:val="24"/>
                <w:lang w:val="en-US" w:eastAsia="zh-CN"/>
              </w:rPr>
              <w:t>项目产生的生活污水不外排，本次验收未对其进行监测。</w:t>
            </w:r>
          </w:p>
          <w:p>
            <w:pPr>
              <w:rPr>
                <w:rFonts w:ascii="宋体" w:hAnsi="宋体"/>
                <w:b/>
                <w:sz w:val="28"/>
                <w:szCs w:val="28"/>
              </w:rPr>
            </w:pPr>
            <w:r>
              <w:rPr>
                <w:rFonts w:ascii="宋体" w:hAnsi="宋体"/>
                <w:b/>
                <w:sz w:val="28"/>
                <w:szCs w:val="28"/>
              </w:rPr>
              <w:t>2</w:t>
            </w:r>
            <w:r>
              <w:rPr>
                <w:rFonts w:hint="eastAsia" w:ascii="宋体" w:hAnsi="宋体"/>
                <w:b/>
                <w:sz w:val="28"/>
                <w:szCs w:val="28"/>
              </w:rPr>
              <w:t>、废气</w:t>
            </w:r>
          </w:p>
          <w:p>
            <w:pPr>
              <w:jc w:val="center"/>
              <w:rPr>
                <w:rFonts w:ascii="宋体" w:hAnsi="宋体"/>
                <w:b/>
                <w:sz w:val="24"/>
              </w:rPr>
            </w:pPr>
            <w:r>
              <w:rPr>
                <w:rFonts w:hint="eastAsia" w:ascii="宋体" w:hAnsi="宋体"/>
                <w:b/>
                <w:sz w:val="24"/>
              </w:rPr>
              <w:t>表6-</w:t>
            </w:r>
            <w:r>
              <w:rPr>
                <w:rFonts w:hint="eastAsia" w:ascii="宋体" w:hAnsi="宋体"/>
                <w:b/>
                <w:sz w:val="24"/>
                <w:lang w:val="en-US" w:eastAsia="zh-CN"/>
              </w:rPr>
              <w:t>1</w:t>
            </w:r>
            <w:r>
              <w:rPr>
                <w:rFonts w:hint="eastAsia" w:ascii="宋体" w:hAnsi="宋体"/>
                <w:b/>
                <w:sz w:val="24"/>
              </w:rPr>
              <w:t xml:space="preserve">  废气验收监测内容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730"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有组织废气</w:t>
                  </w:r>
                </w:p>
              </w:tc>
              <w:tc>
                <w:tcPr>
                  <w:tcW w:w="2640" w:type="dxa"/>
                  <w:vAlign w:val="center"/>
                </w:tcPr>
                <w:p>
                  <w:pPr>
                    <w:jc w:val="center"/>
                    <w:rPr>
                      <w:rFonts w:hint="default" w:ascii="宋体" w:hAnsi="宋体" w:eastAsia="宋体"/>
                      <w:sz w:val="24"/>
                      <w:lang w:val="en-US" w:eastAsia="zh-CN"/>
                    </w:rPr>
                  </w:pPr>
                  <w:r>
                    <w:rPr>
                      <w:rFonts w:hint="eastAsia" w:ascii="宋体" w:hAnsi="宋体"/>
                      <w:sz w:val="24"/>
                      <w:lang w:val="en-US" w:eastAsia="zh-CN"/>
                    </w:rPr>
                    <w:t>破碎机排气筒进出口</w:t>
                  </w:r>
                </w:p>
              </w:tc>
              <w:tc>
                <w:tcPr>
                  <w:tcW w:w="2730" w:type="dxa"/>
                  <w:vAlign w:val="center"/>
                </w:tcPr>
                <w:p>
                  <w:pPr>
                    <w:jc w:val="center"/>
                    <w:rPr>
                      <w:rFonts w:hint="eastAsia" w:ascii="宋体" w:hAnsi="宋体" w:eastAsia="宋体"/>
                      <w:sz w:val="24"/>
                      <w:lang w:eastAsia="zh-CN"/>
                    </w:rPr>
                  </w:pPr>
                  <w:r>
                    <w:rPr>
                      <w:rFonts w:hint="eastAsia" w:ascii="宋体" w:hAnsi="宋体"/>
                      <w:sz w:val="24"/>
                      <w:lang w:val="en-US" w:eastAsia="zh-CN"/>
                    </w:rPr>
                    <w:t>颗粒物</w:t>
                  </w:r>
                </w:p>
              </w:tc>
              <w:tc>
                <w:tcPr>
                  <w:tcW w:w="2777" w:type="dxa"/>
                  <w:vAlign w:val="center"/>
                </w:tcPr>
                <w:p>
                  <w:pPr>
                    <w:spacing w:line="276" w:lineRule="auto"/>
                    <w:jc w:val="center"/>
                    <w:rPr>
                      <w:rFonts w:ascii="宋体" w:hAnsi="宋体"/>
                      <w:sz w:val="24"/>
                    </w:rPr>
                  </w:pPr>
                  <w:r>
                    <w:rPr>
                      <w:rFonts w:hint="eastAsia" w:ascii="宋体" w:hAnsi="宋体"/>
                      <w:sz w:val="24"/>
                      <w:lang w:val="en-US" w:eastAsia="zh-CN"/>
                    </w:rPr>
                    <w:t>1</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Align w:val="center"/>
                </w:tcPr>
                <w:p>
                  <w:pPr>
                    <w:jc w:val="center"/>
                    <w:rPr>
                      <w:rFonts w:hint="default" w:ascii="宋体" w:hAnsi="宋体"/>
                      <w:sz w:val="24"/>
                      <w:lang w:val="en-US" w:eastAsia="zh-CN"/>
                    </w:rPr>
                  </w:pPr>
                  <w:r>
                    <w:rPr>
                      <w:rFonts w:hint="eastAsia" w:ascii="宋体" w:hAnsi="宋体"/>
                      <w:sz w:val="24"/>
                      <w:lang w:val="en-US" w:eastAsia="zh-CN"/>
                    </w:rPr>
                    <w:t>锅炉出口</w:t>
                  </w:r>
                </w:p>
              </w:tc>
              <w:tc>
                <w:tcPr>
                  <w:tcW w:w="2730" w:type="dxa"/>
                  <w:vAlign w:val="center"/>
                </w:tcPr>
                <w:p>
                  <w:pPr>
                    <w:jc w:val="center"/>
                    <w:rPr>
                      <w:rFonts w:hint="eastAsia" w:ascii="宋体" w:hAnsi="宋体"/>
                      <w:sz w:val="24"/>
                      <w:lang w:val="en-US" w:eastAsia="zh-CN"/>
                    </w:rPr>
                  </w:pPr>
                  <w:r>
                    <w:rPr>
                      <w:rFonts w:hint="eastAsia" w:ascii="宋体" w:hAnsi="宋体"/>
                      <w:sz w:val="24"/>
                      <w:lang w:val="en-US" w:eastAsia="zh-CN"/>
                    </w:rPr>
                    <w:t>颗粒物、二氧化硫、氮氧化物</w:t>
                  </w:r>
                </w:p>
              </w:tc>
              <w:tc>
                <w:tcPr>
                  <w:tcW w:w="2777" w:type="dxa"/>
                  <w:vAlign w:val="center"/>
                </w:tcPr>
                <w:p>
                  <w:pPr>
                    <w:spacing w:line="276" w:lineRule="auto"/>
                    <w:jc w:val="center"/>
                    <w:rPr>
                      <w:rFonts w:hint="eastAsia" w:ascii="宋体" w:hAnsi="宋体"/>
                      <w:sz w:val="24"/>
                      <w:lang w:val="en-US" w:eastAsia="zh-CN"/>
                    </w:rPr>
                  </w:pPr>
                  <w:r>
                    <w:rPr>
                      <w:rFonts w:hint="eastAsia" w:ascii="宋体" w:hAnsi="宋体"/>
                      <w:sz w:val="24"/>
                      <w:lang w:val="en-US" w:eastAsia="zh-CN"/>
                    </w:rPr>
                    <w:t>1周期，每周期3频次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无组织废气</w:t>
                  </w:r>
                </w:p>
              </w:tc>
              <w:tc>
                <w:tcPr>
                  <w:tcW w:w="2640" w:type="dxa"/>
                  <w:vAlign w:val="center"/>
                </w:tcPr>
                <w:p>
                  <w:pPr>
                    <w:spacing w:line="276" w:lineRule="auto"/>
                    <w:jc w:val="center"/>
                    <w:rPr>
                      <w:rFonts w:hint="default" w:ascii="宋体" w:hAnsi="宋体" w:eastAsia="宋体"/>
                      <w:bCs/>
                      <w:sz w:val="24"/>
                      <w:lang w:val="en-US" w:eastAsia="zh-CN"/>
                    </w:rPr>
                  </w:pPr>
                  <w:r>
                    <w:rPr>
                      <w:rFonts w:hint="eastAsia" w:ascii="宋体" w:hAnsi="宋体"/>
                      <w:color w:val="000000"/>
                      <w:sz w:val="24"/>
                      <w:shd w:val="clear" w:color="auto" w:fill="FFFFFF"/>
                      <w:lang w:val="en-US" w:eastAsia="zh-CN"/>
                    </w:rPr>
                    <w:t>上风向1、下风向2、下风向3、下风向4、居民楼</w:t>
                  </w:r>
                </w:p>
              </w:tc>
              <w:tc>
                <w:tcPr>
                  <w:tcW w:w="2730" w:type="dxa"/>
                  <w:vAlign w:val="center"/>
                </w:tcPr>
                <w:p>
                  <w:pPr>
                    <w:spacing w:line="276" w:lineRule="auto"/>
                    <w:jc w:val="center"/>
                    <w:rPr>
                      <w:rFonts w:ascii="宋体" w:hAnsi="宋体"/>
                      <w:sz w:val="24"/>
                    </w:rPr>
                  </w:pPr>
                  <w:r>
                    <w:rPr>
                      <w:rFonts w:hint="eastAsia" w:ascii="宋体" w:hAnsi="宋体"/>
                      <w:sz w:val="24"/>
                    </w:rPr>
                    <w:t>总悬浮颗粒物</w:t>
                  </w:r>
                </w:p>
              </w:tc>
              <w:tc>
                <w:tcPr>
                  <w:tcW w:w="2777" w:type="dxa"/>
                  <w:vAlign w:val="center"/>
                </w:tcPr>
                <w:p>
                  <w:pPr>
                    <w:spacing w:line="276" w:lineRule="auto"/>
                    <w:jc w:val="center"/>
                    <w:rPr>
                      <w:rFonts w:ascii="宋体" w:hAnsi="宋体"/>
                      <w:sz w:val="24"/>
                    </w:rPr>
                  </w:pPr>
                  <w:r>
                    <w:rPr>
                      <w:rFonts w:hint="eastAsia" w:ascii="宋体" w:hAnsi="宋体"/>
                      <w:sz w:val="24"/>
                      <w:lang w:val="en-US" w:eastAsia="zh-CN"/>
                    </w:rPr>
                    <w:t>1</w:t>
                  </w:r>
                  <w:r>
                    <w:rPr>
                      <w:rFonts w:hint="eastAsia" w:ascii="宋体" w:hAnsi="宋体"/>
                      <w:sz w:val="24"/>
                    </w:rPr>
                    <w:t>周期，每周期3频次</w:t>
                  </w:r>
                </w:p>
              </w:tc>
            </w:tr>
          </w:tbl>
          <w:p>
            <w:pPr>
              <w:rPr>
                <w:rFonts w:ascii="宋体" w:hAnsi="宋体"/>
                <w:b/>
                <w:sz w:val="28"/>
                <w:szCs w:val="28"/>
              </w:rPr>
            </w:pPr>
            <w:r>
              <w:rPr>
                <w:rFonts w:hint="eastAsia" w:ascii="宋体" w:hAnsi="宋体"/>
                <w:b/>
                <w:sz w:val="28"/>
                <w:szCs w:val="28"/>
              </w:rPr>
              <w:t>3、噪声</w:t>
            </w:r>
          </w:p>
          <w:p>
            <w:pPr>
              <w:jc w:val="center"/>
              <w:rPr>
                <w:rFonts w:ascii="宋体" w:hAnsi="宋体"/>
                <w:b/>
                <w:sz w:val="24"/>
              </w:rPr>
            </w:pPr>
            <w:r>
              <w:rPr>
                <w:rFonts w:hint="eastAsia" w:ascii="宋体" w:hAnsi="宋体"/>
                <w:b/>
                <w:sz w:val="24"/>
              </w:rPr>
              <w:t>表6-</w:t>
            </w:r>
            <w:r>
              <w:rPr>
                <w:rFonts w:hint="eastAsia" w:ascii="宋体" w:hAnsi="宋体"/>
                <w:b/>
                <w:sz w:val="24"/>
                <w:lang w:val="en-US" w:eastAsia="zh-CN"/>
              </w:rPr>
              <w:t>2</w:t>
            </w:r>
            <w:r>
              <w:rPr>
                <w:rFonts w:ascii="宋体" w:hAnsi="宋体"/>
                <w:b/>
                <w:sz w:val="24"/>
              </w:rPr>
              <w:t xml:space="preserve"> </w:t>
            </w:r>
            <w:r>
              <w:rPr>
                <w:rFonts w:hint="eastAsia" w:ascii="宋体" w:hAnsi="宋体"/>
                <w:b/>
                <w:sz w:val="24"/>
              </w:rPr>
              <w:t xml:space="preserve"> 噪声验收监测内容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03"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818"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噪声</w:t>
                  </w:r>
                </w:p>
              </w:tc>
              <w:tc>
                <w:tcPr>
                  <w:tcW w:w="2552" w:type="dxa"/>
                  <w:vAlign w:val="center"/>
                </w:tcPr>
                <w:p>
                  <w:pPr>
                    <w:spacing w:line="276" w:lineRule="auto"/>
                    <w:jc w:val="center"/>
                    <w:rPr>
                      <w:rFonts w:hint="eastAsia" w:ascii="宋体" w:hAnsi="宋体" w:eastAsia="宋体"/>
                      <w:bCs/>
                      <w:sz w:val="24"/>
                      <w:lang w:eastAsia="zh-CN"/>
                    </w:rPr>
                  </w:pPr>
                  <w:r>
                    <w:rPr>
                      <w:rFonts w:hint="eastAsia" w:ascii="宋体" w:hAnsi="宋体"/>
                      <w:color w:val="000000"/>
                      <w:sz w:val="24"/>
                      <w:shd w:val="clear" w:color="auto" w:fill="FFFFFF"/>
                    </w:rPr>
                    <w:t>厂界东侧、南侧、西侧、北侧</w:t>
                  </w:r>
                </w:p>
              </w:tc>
              <w:tc>
                <w:tcPr>
                  <w:tcW w:w="2818" w:type="dxa"/>
                  <w:vAlign w:val="center"/>
                </w:tcPr>
                <w:p>
                  <w:pPr>
                    <w:spacing w:line="276" w:lineRule="auto"/>
                    <w:jc w:val="center"/>
                    <w:rPr>
                      <w:rFonts w:ascii="宋体" w:hAnsi="宋体" w:cs="宋体"/>
                      <w:sz w:val="24"/>
                    </w:rPr>
                  </w:pPr>
                  <w:r>
                    <w:rPr>
                      <w:rFonts w:hint="eastAsia" w:ascii="宋体" w:hAnsi="宋体" w:cs="宋体"/>
                      <w:sz w:val="24"/>
                    </w:rPr>
                    <w:t>昼间噪声</w:t>
                  </w:r>
                </w:p>
              </w:tc>
              <w:tc>
                <w:tcPr>
                  <w:tcW w:w="2777" w:type="dxa"/>
                  <w:vAlign w:val="center"/>
                </w:tcPr>
                <w:p>
                  <w:pPr>
                    <w:spacing w:line="276" w:lineRule="auto"/>
                    <w:jc w:val="center"/>
                    <w:rPr>
                      <w:rFonts w:ascii="宋体" w:hAnsi="宋体"/>
                      <w:sz w:val="24"/>
                    </w:rPr>
                  </w:pPr>
                  <w:r>
                    <w:rPr>
                      <w:rFonts w:hint="eastAsia" w:ascii="宋体" w:hAnsi="宋体"/>
                      <w:sz w:val="24"/>
                    </w:rPr>
                    <w:t>1天1频次，监测</w:t>
                  </w:r>
                  <w:r>
                    <w:rPr>
                      <w:rFonts w:hint="eastAsia" w:ascii="宋体" w:hAnsi="宋体"/>
                      <w:sz w:val="24"/>
                      <w:lang w:val="en-US" w:eastAsia="zh-CN"/>
                    </w:rPr>
                    <w:t>1</w:t>
                  </w:r>
                  <w:r>
                    <w:rPr>
                      <w:rFonts w:hint="eastAsia" w:ascii="宋体" w:hAnsi="宋体"/>
                      <w:sz w:val="24"/>
                    </w:rPr>
                    <w:t>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51" w:type="dxa"/>
                  <w:vMerge w:val="continue"/>
                  <w:vAlign w:val="center"/>
                </w:tcPr>
                <w:p>
                  <w:pPr>
                    <w:spacing w:line="276" w:lineRule="auto"/>
                    <w:jc w:val="center"/>
                    <w:rPr>
                      <w:rFonts w:hint="eastAsia" w:ascii="宋体" w:hAnsi="宋体"/>
                      <w:sz w:val="24"/>
                    </w:rPr>
                  </w:pPr>
                </w:p>
              </w:tc>
              <w:tc>
                <w:tcPr>
                  <w:tcW w:w="2552" w:type="dxa"/>
                  <w:vAlign w:val="center"/>
                </w:tcPr>
                <w:p>
                  <w:pPr>
                    <w:spacing w:line="276" w:lineRule="auto"/>
                    <w:jc w:val="center"/>
                    <w:rPr>
                      <w:rFonts w:hint="eastAsia" w:ascii="宋体" w:hAnsi="宋体"/>
                      <w:color w:val="000000"/>
                      <w:sz w:val="24"/>
                      <w:shd w:val="clear" w:color="auto" w:fill="FFFFFF"/>
                    </w:rPr>
                  </w:pPr>
                  <w:r>
                    <w:rPr>
                      <w:rFonts w:hint="eastAsia" w:ascii="宋体" w:hAnsi="宋体"/>
                      <w:color w:val="000000"/>
                      <w:sz w:val="24"/>
                      <w:shd w:val="clear" w:color="auto" w:fill="FFFFFF"/>
                      <w:lang w:val="en-US" w:eastAsia="zh-CN"/>
                    </w:rPr>
                    <w:t>居民楼</w:t>
                  </w:r>
                </w:p>
              </w:tc>
              <w:tc>
                <w:tcPr>
                  <w:tcW w:w="2818" w:type="dxa"/>
                  <w:vAlign w:val="center"/>
                </w:tcPr>
                <w:p>
                  <w:pPr>
                    <w:spacing w:line="276" w:lineRule="auto"/>
                    <w:jc w:val="center"/>
                    <w:rPr>
                      <w:rFonts w:hint="eastAsia" w:ascii="宋体" w:hAnsi="宋体" w:cs="宋体"/>
                      <w:sz w:val="24"/>
                    </w:rPr>
                  </w:pPr>
                  <w:r>
                    <w:rPr>
                      <w:rFonts w:hint="eastAsia" w:ascii="宋体" w:hAnsi="宋体" w:cs="宋体"/>
                      <w:sz w:val="24"/>
                    </w:rPr>
                    <w:t>昼间</w:t>
                  </w:r>
                  <w:r>
                    <w:rPr>
                      <w:rFonts w:hint="eastAsia" w:ascii="宋体" w:hAnsi="宋体" w:cs="宋体"/>
                      <w:sz w:val="24"/>
                      <w:lang w:eastAsia="zh-CN"/>
                    </w:rPr>
                    <w:t>、</w:t>
                  </w:r>
                  <w:r>
                    <w:rPr>
                      <w:rFonts w:hint="eastAsia" w:ascii="宋体" w:hAnsi="宋体" w:cs="宋体"/>
                      <w:sz w:val="24"/>
                      <w:lang w:val="en-US" w:eastAsia="zh-CN"/>
                    </w:rPr>
                    <w:t>夜间</w:t>
                  </w:r>
                  <w:r>
                    <w:rPr>
                      <w:rFonts w:hint="eastAsia" w:ascii="宋体" w:hAnsi="宋体" w:cs="宋体"/>
                      <w:sz w:val="24"/>
                    </w:rPr>
                    <w:t>噪声</w:t>
                  </w:r>
                </w:p>
              </w:tc>
              <w:tc>
                <w:tcPr>
                  <w:tcW w:w="2777" w:type="dxa"/>
                  <w:vAlign w:val="center"/>
                </w:tcPr>
                <w:p>
                  <w:pPr>
                    <w:spacing w:line="276" w:lineRule="auto"/>
                    <w:jc w:val="center"/>
                    <w:rPr>
                      <w:rFonts w:hint="eastAsia" w:ascii="宋体" w:hAnsi="宋体"/>
                      <w:sz w:val="24"/>
                    </w:rPr>
                  </w:pPr>
                  <w:r>
                    <w:rPr>
                      <w:rFonts w:hint="eastAsia" w:ascii="宋体" w:hAnsi="宋体"/>
                      <w:sz w:val="24"/>
                    </w:rPr>
                    <w:t>1天1频次，监测</w:t>
                  </w:r>
                  <w:r>
                    <w:rPr>
                      <w:rFonts w:hint="eastAsia" w:ascii="宋体" w:hAnsi="宋体"/>
                      <w:sz w:val="24"/>
                      <w:lang w:val="en-US" w:eastAsia="zh-CN"/>
                    </w:rPr>
                    <w:t>1</w:t>
                  </w:r>
                  <w:r>
                    <w:rPr>
                      <w:rFonts w:hint="eastAsia" w:ascii="宋体" w:hAnsi="宋体"/>
                      <w:sz w:val="24"/>
                    </w:rPr>
                    <w:t>天</w:t>
                  </w:r>
                </w:p>
              </w:tc>
            </w:tr>
          </w:tbl>
          <w:p>
            <w:pPr>
              <w:spacing w:line="360" w:lineRule="auto"/>
              <w:rPr>
                <w:rFonts w:hint="eastAsia" w:ascii="宋体" w:hAnsi="宋体"/>
                <w:b/>
                <w:sz w:val="28"/>
                <w:szCs w:val="28"/>
                <w:highlight w:val="none"/>
                <w:lang w:val="en-US" w:eastAsia="zh-CN"/>
              </w:rPr>
            </w:pPr>
            <w:r>
              <w:rPr>
                <w:rFonts w:hint="eastAsia" w:ascii="宋体" w:hAnsi="宋体"/>
                <w:b/>
                <w:sz w:val="28"/>
                <w:szCs w:val="28"/>
                <w:highlight w:val="none"/>
                <w:lang w:val="en-US" w:eastAsia="zh-CN"/>
              </w:rPr>
              <w:t>4、监测点位示意图</w:t>
            </w:r>
          </w:p>
          <w:p>
            <w:pPr>
              <w:spacing w:line="360" w:lineRule="auto"/>
              <w:jc w:val="center"/>
              <w:rPr>
                <w:rFonts w:hint="default" w:ascii="宋体" w:hAnsi="宋体"/>
                <w:b/>
                <w:sz w:val="28"/>
                <w:szCs w:val="28"/>
                <w:highlight w:val="yellow"/>
                <w:lang w:val="en-US" w:eastAsia="zh-CN"/>
              </w:rPr>
            </w:pPr>
            <w:r>
              <w:rPr>
                <w:rFonts w:hint="default" w:ascii="宋体" w:hAnsi="宋体"/>
                <w:b/>
                <w:sz w:val="28"/>
                <w:szCs w:val="28"/>
                <w:highlight w:val="none"/>
                <w:lang w:val="en-US" w:eastAsia="zh-CN"/>
              </w:rPr>
              <w:drawing>
                <wp:inline distT="0" distB="0" distL="114300" distR="114300">
                  <wp:extent cx="5765800" cy="2822575"/>
                  <wp:effectExtent l="0" t="0" r="635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765800" cy="2822575"/>
                          </a:xfrm>
                          <a:prstGeom prst="rect">
                            <a:avLst/>
                          </a:prstGeom>
                          <a:noFill/>
                          <a:ln>
                            <a:noFill/>
                          </a:ln>
                        </pic:spPr>
                      </pic:pic>
                    </a:graphicData>
                  </a:graphic>
                </wp:inline>
              </w:drawing>
            </w:r>
          </w:p>
          <w:p>
            <w:pPr>
              <w:spacing w:line="360" w:lineRule="auto"/>
              <w:jc w:val="center"/>
              <w:rPr>
                <w:rFonts w:ascii="宋体" w:hAnsi="宋体"/>
                <w:b/>
                <w:sz w:val="28"/>
                <w:szCs w:val="28"/>
              </w:rPr>
            </w:pPr>
            <w:r>
              <w:rPr>
                <w:rFonts w:hint="eastAsia"/>
                <w:b/>
                <w:kern w:val="0"/>
                <w:sz w:val="24"/>
                <w:highlight w:val="none"/>
              </w:rPr>
              <w:t>图</w:t>
            </w:r>
            <w:r>
              <w:rPr>
                <w:rFonts w:hint="eastAsia"/>
                <w:b/>
                <w:kern w:val="0"/>
                <w:sz w:val="24"/>
                <w:highlight w:val="none"/>
                <w:lang w:val="en-US" w:eastAsia="zh-CN"/>
              </w:rPr>
              <w:t>6</w:t>
            </w:r>
            <w:r>
              <w:rPr>
                <w:b/>
                <w:kern w:val="0"/>
                <w:sz w:val="24"/>
                <w:highlight w:val="none"/>
              </w:rPr>
              <w:t xml:space="preserve">-1  </w:t>
            </w:r>
            <w:r>
              <w:rPr>
                <w:rFonts w:hint="default"/>
                <w:b/>
                <w:kern w:val="0"/>
                <w:sz w:val="24"/>
                <w:highlight w:val="none"/>
                <w:lang w:val="en-US" w:eastAsia="zh-CN"/>
              </w:rPr>
              <w:t>采样点与监测点布置图</w:t>
            </w: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4"/>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10541" w:type="dxa"/>
          </w:tcPr>
          <w:p>
            <w:pPr>
              <w:spacing w:line="360" w:lineRule="auto"/>
              <w:rPr>
                <w:rFonts w:ascii="宋体" w:hAnsi="宋体" w:eastAsia="宋体" w:cs="Times New Roman"/>
                <w:b/>
                <w:sz w:val="28"/>
                <w:szCs w:val="28"/>
              </w:rPr>
            </w:pPr>
            <w:r>
              <w:rPr>
                <w:rFonts w:hint="eastAsia" w:ascii="宋体" w:hAnsi="宋体" w:eastAsia="宋体" w:cs="Times New Roman"/>
                <w:b/>
                <w:sz w:val="28"/>
                <w:szCs w:val="28"/>
              </w:rPr>
              <w:t>验收监测期间生产工况记录：</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根据</w:t>
            </w:r>
            <w:r>
              <w:rPr>
                <w:rFonts w:hint="eastAsia" w:ascii="宋体" w:hAnsi="宋体" w:eastAsia="宋体" w:cs="Times New Roman"/>
                <w:sz w:val="24"/>
                <w:lang w:eastAsia="zh-CN"/>
              </w:rPr>
              <w:t>《建设项目竣工环境保护验收技术指南  污染影响类》</w:t>
            </w:r>
            <w:r>
              <w:rPr>
                <w:rFonts w:hint="eastAsia" w:ascii="宋体" w:hAnsi="宋体"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Times New Roman"/>
                <w:b/>
                <w:sz w:val="24"/>
              </w:rPr>
            </w:pPr>
            <w:r>
              <w:rPr>
                <w:rFonts w:hint="eastAsia" w:ascii="宋体" w:hAnsi="宋体" w:eastAsia="宋体" w:cs="Times New Roman"/>
                <w:sz w:val="24"/>
              </w:rPr>
              <w:t>监测期间主体工程工况稳定、环境保护设施运行正常，满足监测工况条件要求。</w:t>
            </w:r>
          </w:p>
          <w:p>
            <w:pPr>
              <w:spacing w:line="360" w:lineRule="auto"/>
              <w:jc w:val="left"/>
              <w:rPr>
                <w:rFonts w:ascii="宋体" w:hAnsi="宋体" w:eastAsia="宋体" w:cs="Times New Roman"/>
                <w:b/>
                <w:sz w:val="28"/>
                <w:szCs w:val="28"/>
                <w:highlight w:val="none"/>
              </w:rPr>
            </w:pPr>
            <w:r>
              <w:rPr>
                <w:rFonts w:hint="eastAsia" w:ascii="宋体" w:hAnsi="宋体" w:eastAsia="宋体" w:cs="Times New Roman"/>
                <w:b/>
                <w:sz w:val="28"/>
                <w:szCs w:val="28"/>
                <w:highlight w:val="none"/>
              </w:rPr>
              <w:t>验收监测结果：</w:t>
            </w:r>
          </w:p>
          <w:p>
            <w:pPr>
              <w:spacing w:line="360" w:lineRule="auto"/>
              <w:rPr>
                <w:rFonts w:hint="eastAsia" w:ascii="宋体" w:hAnsi="宋体" w:eastAsia="宋体" w:cs="宋体"/>
                <w:b/>
                <w:sz w:val="24"/>
                <w:szCs w:val="24"/>
                <w:highlight w:val="none"/>
              </w:rPr>
            </w:pPr>
            <w:r>
              <w:rPr>
                <w:rFonts w:hint="eastAsia" w:ascii="宋体" w:hAnsi="宋体" w:cs="Times New Roman"/>
                <w:b/>
                <w:sz w:val="28"/>
                <w:szCs w:val="28"/>
                <w:highlight w:val="none"/>
                <w:lang w:val="en-US" w:eastAsia="zh-CN"/>
              </w:rPr>
              <w:t>1</w:t>
            </w:r>
            <w:r>
              <w:rPr>
                <w:rFonts w:hint="eastAsia" w:ascii="宋体" w:hAnsi="宋体" w:eastAsia="宋体" w:cs="Times New Roman"/>
                <w:b/>
                <w:sz w:val="28"/>
                <w:szCs w:val="28"/>
                <w:highlight w:val="none"/>
              </w:rPr>
              <w:t>、废气监测结果</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1</w:t>
            </w:r>
            <w:r>
              <w:rPr>
                <w:rFonts w:hint="eastAsia" w:ascii="宋体" w:hAnsi="宋体" w:eastAsia="宋体" w:cs="宋体"/>
                <w:b/>
                <w:sz w:val="24"/>
                <w:szCs w:val="24"/>
                <w:highlight w:val="none"/>
              </w:rPr>
              <w:t xml:space="preserve">  有组织废气监测结果表</w:t>
            </w:r>
          </w:p>
          <w:tbl>
            <w:tblPr>
              <w:tblStyle w:val="34"/>
              <w:tblW w:w="10094"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fixed"/>
              <w:tblCellMar>
                <w:top w:w="0" w:type="dxa"/>
                <w:left w:w="108" w:type="dxa"/>
                <w:bottom w:w="0" w:type="dxa"/>
                <w:right w:w="108" w:type="dxa"/>
              </w:tblCellMar>
            </w:tblPr>
            <w:tblGrid>
              <w:gridCol w:w="1148"/>
              <w:gridCol w:w="1281"/>
              <w:gridCol w:w="1196"/>
              <w:gridCol w:w="1220"/>
              <w:gridCol w:w="1379"/>
              <w:gridCol w:w="1285"/>
              <w:gridCol w:w="1310"/>
              <w:gridCol w:w="127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128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19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监测时间</w:t>
                  </w:r>
                </w:p>
              </w:tc>
              <w:tc>
                <w:tcPr>
                  <w:tcW w:w="259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进口</w:t>
                  </w:r>
                </w:p>
              </w:tc>
              <w:tc>
                <w:tcPr>
                  <w:tcW w:w="2595"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出</w:t>
                  </w:r>
                  <w:r>
                    <w:rPr>
                      <w:rFonts w:hint="default" w:ascii="Times New Roman" w:hAnsi="Times New Roman" w:eastAsia="宋体" w:cs="Times New Roman"/>
                      <w:sz w:val="21"/>
                      <w:szCs w:val="21"/>
                      <w:highlight w:val="none"/>
                      <w:lang w:val="en-US" w:eastAsia="zh-CN"/>
                    </w:rPr>
                    <w:t>口</w:t>
                  </w:r>
                </w:p>
              </w:tc>
              <w:tc>
                <w:tcPr>
                  <w:tcW w:w="1275"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19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259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rPr>
                  </w:pPr>
                  <w:r>
                    <w:rPr>
                      <w:rFonts w:hint="default" w:ascii="Times New Roman" w:hAnsi="Times New Roman" w:cs="Times New Roman"/>
                      <w:sz w:val="21"/>
                      <w:szCs w:val="21"/>
                      <w:highlight w:val="none"/>
                      <w:lang w:val="en-US" w:eastAsia="zh-CN"/>
                    </w:rPr>
                    <w:t>颗粒物</w:t>
                  </w:r>
                </w:p>
              </w:tc>
              <w:tc>
                <w:tcPr>
                  <w:tcW w:w="2595"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颗粒物</w:t>
                  </w:r>
                </w:p>
              </w:tc>
              <w:tc>
                <w:tcPr>
                  <w:tcW w:w="127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19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2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排放浓度（mg/m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379"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排放速率(kg/h)</w:t>
                  </w:r>
                </w:p>
              </w:tc>
              <w:tc>
                <w:tcPr>
                  <w:tcW w:w="128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排放浓度（mg/m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31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排放速率(kg/h)</w:t>
                  </w:r>
                </w:p>
              </w:tc>
              <w:tc>
                <w:tcPr>
                  <w:tcW w:w="127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去除效率（%）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破碎机</w:t>
                  </w:r>
                  <w:r>
                    <w:rPr>
                      <w:rFonts w:hint="default" w:ascii="Times New Roman" w:hAnsi="Times New Roman" w:eastAsia="宋体" w:cs="Times New Roman"/>
                      <w:sz w:val="21"/>
                      <w:szCs w:val="21"/>
                      <w:highlight w:val="none"/>
                      <w:lang w:val="en-US" w:eastAsia="zh-CN"/>
                    </w:rPr>
                    <w:t>排气筒</w:t>
                  </w:r>
                </w:p>
              </w:tc>
              <w:tc>
                <w:tcPr>
                  <w:tcW w:w="128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default" w:ascii="Times New Roman" w:hAnsi="Times New Roman" w:cs="Times New Roman"/>
                      <w:sz w:val="21"/>
                      <w:szCs w:val="21"/>
                      <w:highlight w:val="none"/>
                      <w:lang w:val="en-US" w:eastAsia="zh-CN"/>
                    </w:rPr>
                    <w:t>05.30</w:t>
                  </w: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227.9</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2.072</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29.8</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0.220</w:t>
                  </w:r>
                </w:p>
              </w:tc>
              <w:tc>
                <w:tcPr>
                  <w:tcW w:w="1275"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90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288.6</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2.560</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33.2</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0.235</w:t>
                  </w:r>
                </w:p>
              </w:tc>
              <w:tc>
                <w:tcPr>
                  <w:tcW w:w="127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281.0</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2.672</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31.9</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0.242</w:t>
                  </w:r>
                </w:p>
              </w:tc>
              <w:tc>
                <w:tcPr>
                  <w:tcW w:w="127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24" w:type="dxa"/>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执行标准限值</w:t>
                  </w:r>
                </w:p>
              </w:tc>
              <w:tc>
                <w:tcPr>
                  <w:tcW w:w="128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120</w:t>
                  </w:r>
                </w:p>
              </w:tc>
              <w:tc>
                <w:tcPr>
                  <w:tcW w:w="131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3.5</w:t>
                  </w:r>
                </w:p>
              </w:tc>
              <w:tc>
                <w:tcPr>
                  <w:tcW w:w="127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24" w:type="dxa"/>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监测结果</w:t>
                  </w:r>
                </w:p>
              </w:tc>
              <w:tc>
                <w:tcPr>
                  <w:tcW w:w="128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c>
                <w:tcPr>
                  <w:tcW w:w="131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c>
                <w:tcPr>
                  <w:tcW w:w="127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bl>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2</w:t>
            </w:r>
            <w:r>
              <w:rPr>
                <w:rFonts w:hint="eastAsia" w:ascii="宋体" w:hAnsi="宋体" w:eastAsia="宋体" w:cs="宋体"/>
                <w:b/>
                <w:sz w:val="24"/>
                <w:szCs w:val="24"/>
                <w:highlight w:val="none"/>
              </w:rPr>
              <w:t xml:space="preserve">  有组织废气监测结果表</w:t>
            </w:r>
          </w:p>
          <w:tbl>
            <w:tblPr>
              <w:tblStyle w:val="34"/>
              <w:tblW w:w="10146"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fixed"/>
              <w:tblCellMar>
                <w:top w:w="0" w:type="dxa"/>
                <w:left w:w="108" w:type="dxa"/>
                <w:bottom w:w="0" w:type="dxa"/>
                <w:right w:w="108" w:type="dxa"/>
              </w:tblCellMar>
            </w:tblPr>
            <w:tblGrid>
              <w:gridCol w:w="1021"/>
              <w:gridCol w:w="1329"/>
              <w:gridCol w:w="999"/>
              <w:gridCol w:w="1095"/>
              <w:gridCol w:w="1094"/>
              <w:gridCol w:w="1143"/>
              <w:gridCol w:w="1181"/>
              <w:gridCol w:w="1204"/>
              <w:gridCol w:w="1080"/>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75" w:hRule="atLeast"/>
                <w:jc w:val="center"/>
              </w:trPr>
              <w:tc>
                <w:tcPr>
                  <w:tcW w:w="102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132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99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监测时间</w:t>
                  </w:r>
                </w:p>
              </w:tc>
              <w:tc>
                <w:tcPr>
                  <w:tcW w:w="218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出口</w:t>
                  </w:r>
                </w:p>
              </w:tc>
              <w:tc>
                <w:tcPr>
                  <w:tcW w:w="2324"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出</w:t>
                  </w:r>
                  <w:r>
                    <w:rPr>
                      <w:rFonts w:hint="default" w:ascii="Times New Roman" w:hAnsi="Times New Roman" w:eastAsia="宋体" w:cs="Times New Roman"/>
                      <w:sz w:val="21"/>
                      <w:szCs w:val="21"/>
                      <w:highlight w:val="none"/>
                      <w:lang w:val="en-US" w:eastAsia="zh-CN"/>
                    </w:rPr>
                    <w:t>口</w:t>
                  </w:r>
                </w:p>
              </w:tc>
              <w:tc>
                <w:tcPr>
                  <w:tcW w:w="2284"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1" w:hRule="atLeast"/>
                <w:jc w:val="center"/>
              </w:trPr>
              <w:tc>
                <w:tcPr>
                  <w:tcW w:w="102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32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99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218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rPr>
                  </w:pPr>
                  <w:r>
                    <w:rPr>
                      <w:rFonts w:hint="default" w:ascii="Times New Roman" w:hAnsi="Times New Roman" w:cs="Times New Roman"/>
                      <w:sz w:val="21"/>
                      <w:szCs w:val="21"/>
                      <w:highlight w:val="none"/>
                      <w:lang w:val="en-US" w:eastAsia="zh-CN"/>
                    </w:rPr>
                    <w:t>颗粒物</w:t>
                  </w:r>
                </w:p>
              </w:tc>
              <w:tc>
                <w:tcPr>
                  <w:tcW w:w="2324"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二氧化硫</w:t>
                  </w:r>
                </w:p>
              </w:tc>
              <w:tc>
                <w:tcPr>
                  <w:tcW w:w="2284"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氮氧化物</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617" w:hRule="atLeast"/>
                <w:jc w:val="center"/>
              </w:trPr>
              <w:tc>
                <w:tcPr>
                  <w:tcW w:w="102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32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99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09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排放浓度（mg/m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094"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排放速率(kg/h)</w:t>
                  </w:r>
                </w:p>
              </w:tc>
              <w:tc>
                <w:tcPr>
                  <w:tcW w:w="1143"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排放浓度（mg/m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181"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排放速率(kg/h)</w:t>
                  </w:r>
                </w:p>
              </w:tc>
              <w:tc>
                <w:tcPr>
                  <w:tcW w:w="1204"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08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1" w:hRule="atLeast"/>
                <w:jc w:val="center"/>
              </w:trPr>
              <w:tc>
                <w:tcPr>
                  <w:tcW w:w="102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rPr>
                  </w:pPr>
                  <w:r>
                    <w:rPr>
                      <w:rFonts w:hint="default" w:ascii="Times New Roman" w:hAnsi="Times New Roman" w:cs="Times New Roman"/>
                      <w:sz w:val="21"/>
                      <w:szCs w:val="21"/>
                      <w:highlight w:val="none"/>
                      <w:lang w:val="en-US" w:eastAsia="zh-CN"/>
                    </w:rPr>
                    <w:t>锅炉排气筒</w:t>
                  </w:r>
                </w:p>
              </w:tc>
              <w:tc>
                <w:tcPr>
                  <w:tcW w:w="132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default" w:ascii="Times New Roman" w:hAnsi="Times New Roman" w:cs="Times New Roman"/>
                      <w:sz w:val="21"/>
                      <w:szCs w:val="21"/>
                      <w:highlight w:val="none"/>
                      <w:lang w:val="en-US" w:eastAsia="zh-CN"/>
                    </w:rPr>
                    <w:t>05.30</w:t>
                  </w:r>
                </w:p>
              </w:tc>
              <w:tc>
                <w:tcPr>
                  <w:tcW w:w="999"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0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24.2</w:t>
                  </w:r>
                </w:p>
              </w:tc>
              <w:tc>
                <w:tcPr>
                  <w:tcW w:w="109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0.197</w:t>
                  </w:r>
                </w:p>
              </w:tc>
              <w:tc>
                <w:tcPr>
                  <w:tcW w:w="114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44</w:t>
                  </w:r>
                </w:p>
              </w:tc>
              <w:tc>
                <w:tcPr>
                  <w:tcW w:w="118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0.357</w:t>
                  </w:r>
                </w:p>
              </w:tc>
              <w:tc>
                <w:tcPr>
                  <w:tcW w:w="12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127</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1.031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1" w:hRule="atLeast"/>
                <w:jc w:val="center"/>
              </w:trPr>
              <w:tc>
                <w:tcPr>
                  <w:tcW w:w="102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32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999"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0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24.33</w:t>
                  </w:r>
                </w:p>
              </w:tc>
              <w:tc>
                <w:tcPr>
                  <w:tcW w:w="109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0.199</w:t>
                  </w:r>
                </w:p>
              </w:tc>
              <w:tc>
                <w:tcPr>
                  <w:tcW w:w="114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42</w:t>
                  </w:r>
                </w:p>
              </w:tc>
              <w:tc>
                <w:tcPr>
                  <w:tcW w:w="118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0.344</w:t>
                  </w:r>
                </w:p>
              </w:tc>
              <w:tc>
                <w:tcPr>
                  <w:tcW w:w="12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130</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1.063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1" w:hRule="atLeast"/>
                <w:jc w:val="center"/>
              </w:trPr>
              <w:tc>
                <w:tcPr>
                  <w:tcW w:w="102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32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999"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0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24.9</w:t>
                  </w:r>
                </w:p>
              </w:tc>
              <w:tc>
                <w:tcPr>
                  <w:tcW w:w="109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0.203</w:t>
                  </w:r>
                </w:p>
              </w:tc>
              <w:tc>
                <w:tcPr>
                  <w:tcW w:w="114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48</w:t>
                  </w:r>
                </w:p>
              </w:tc>
              <w:tc>
                <w:tcPr>
                  <w:tcW w:w="118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0.391</w:t>
                  </w:r>
                </w:p>
              </w:tc>
              <w:tc>
                <w:tcPr>
                  <w:tcW w:w="12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142</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1.158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1" w:hRule="atLeast"/>
                <w:jc w:val="center"/>
              </w:trPr>
              <w:tc>
                <w:tcPr>
                  <w:tcW w:w="3349"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执行标准限值</w:t>
                  </w:r>
                </w:p>
              </w:tc>
              <w:tc>
                <w:tcPr>
                  <w:tcW w:w="109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30</w:t>
                  </w:r>
                </w:p>
              </w:tc>
              <w:tc>
                <w:tcPr>
                  <w:tcW w:w="1094"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w:t>
                  </w:r>
                </w:p>
              </w:tc>
              <w:tc>
                <w:tcPr>
                  <w:tcW w:w="1143"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200</w:t>
                  </w:r>
                </w:p>
              </w:tc>
              <w:tc>
                <w:tcPr>
                  <w:tcW w:w="1181"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w:t>
                  </w:r>
                </w:p>
              </w:tc>
              <w:tc>
                <w:tcPr>
                  <w:tcW w:w="1204"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200</w:t>
                  </w:r>
                </w:p>
              </w:tc>
              <w:tc>
                <w:tcPr>
                  <w:tcW w:w="108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1" w:hRule="atLeast"/>
                <w:jc w:val="center"/>
              </w:trPr>
              <w:tc>
                <w:tcPr>
                  <w:tcW w:w="3349"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监测结果</w:t>
                  </w:r>
                </w:p>
              </w:tc>
              <w:tc>
                <w:tcPr>
                  <w:tcW w:w="109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c>
                <w:tcPr>
                  <w:tcW w:w="1094"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w:t>
                  </w:r>
                </w:p>
              </w:tc>
              <w:tc>
                <w:tcPr>
                  <w:tcW w:w="1143"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c>
                <w:tcPr>
                  <w:tcW w:w="1181"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w:t>
                  </w:r>
                </w:p>
              </w:tc>
              <w:tc>
                <w:tcPr>
                  <w:tcW w:w="1204"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c>
                <w:tcPr>
                  <w:tcW w:w="108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ascii="宋体" w:hAnsi="宋体" w:eastAsia="宋体" w:cs="宋体"/>
                <w:b/>
                <w:highlight w:val="none"/>
              </w:rPr>
            </w:pPr>
            <w:r>
              <w:rPr>
                <w:rFonts w:hint="eastAsia" w:ascii="Times New Roman" w:eastAsia="宋体"/>
                <w:kern w:val="0"/>
                <w:sz w:val="24"/>
                <w:szCs w:val="22"/>
                <w:highlight w:val="none"/>
                <w:lang w:val="en-US" w:eastAsia="zh-CN" w:bidi="zh-CN"/>
              </w:rPr>
              <w:t>有组织废气监测结果表明：2020年</w:t>
            </w:r>
            <w:r>
              <w:rPr>
                <w:rFonts w:hint="eastAsia"/>
                <w:kern w:val="0"/>
                <w:sz w:val="24"/>
                <w:szCs w:val="22"/>
                <w:highlight w:val="none"/>
                <w:lang w:val="en-US" w:eastAsia="zh-CN" w:bidi="zh-CN"/>
              </w:rPr>
              <w:t>5</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30</w:t>
            </w:r>
            <w:r>
              <w:rPr>
                <w:rFonts w:hint="eastAsia" w:ascii="Times New Roman" w:eastAsia="宋体"/>
                <w:kern w:val="0"/>
                <w:sz w:val="24"/>
                <w:szCs w:val="22"/>
                <w:highlight w:val="none"/>
                <w:lang w:val="en-US" w:eastAsia="zh-CN" w:bidi="zh-CN"/>
              </w:rPr>
              <w:t>日，</w:t>
            </w:r>
            <w:r>
              <w:rPr>
                <w:rFonts w:hint="eastAsia"/>
                <w:kern w:val="0"/>
                <w:sz w:val="24"/>
                <w:szCs w:val="22"/>
                <w:highlight w:val="none"/>
                <w:lang w:val="en-US" w:eastAsia="zh-CN" w:bidi="zh-CN"/>
              </w:rPr>
              <w:t>芜湖市祥兴新型建材有限责任公司</w:t>
            </w:r>
            <w:r>
              <w:rPr>
                <w:rFonts w:hint="eastAsia" w:ascii="Times New Roman" w:eastAsia="宋体"/>
                <w:kern w:val="0"/>
                <w:sz w:val="24"/>
                <w:szCs w:val="22"/>
                <w:highlight w:val="none"/>
                <w:lang w:val="en-US" w:eastAsia="zh-CN" w:bidi="zh-CN"/>
              </w:rPr>
              <w:t>破碎机排气筒出口的</w:t>
            </w:r>
            <w:r>
              <w:rPr>
                <w:rFonts w:hint="eastAsia"/>
                <w:kern w:val="0"/>
                <w:sz w:val="24"/>
                <w:szCs w:val="22"/>
                <w:highlight w:val="none"/>
                <w:lang w:val="en-US" w:eastAsia="zh-CN" w:bidi="zh-CN"/>
              </w:rPr>
              <w:t>颗粒物</w:t>
            </w:r>
            <w:r>
              <w:rPr>
                <w:rFonts w:hint="eastAsia" w:ascii="Times New Roman" w:eastAsia="宋体"/>
                <w:kern w:val="0"/>
                <w:sz w:val="24"/>
                <w:szCs w:val="22"/>
                <w:highlight w:val="none"/>
                <w:lang w:val="en-US" w:eastAsia="zh-CN" w:bidi="zh-CN"/>
              </w:rPr>
              <w:t>排放浓度</w:t>
            </w:r>
            <w:r>
              <w:rPr>
                <w:rFonts w:hint="eastAsia"/>
                <w:kern w:val="0"/>
                <w:sz w:val="24"/>
                <w:szCs w:val="22"/>
                <w:highlight w:val="none"/>
                <w:lang w:val="en-US" w:eastAsia="zh-CN" w:bidi="zh-CN"/>
              </w:rPr>
              <w:t>和速率均</w:t>
            </w:r>
            <w:r>
              <w:rPr>
                <w:rFonts w:hint="eastAsia" w:ascii="Times New Roman" w:eastAsia="宋体"/>
                <w:kern w:val="0"/>
                <w:sz w:val="24"/>
                <w:szCs w:val="22"/>
                <w:highlight w:val="none"/>
                <w:lang w:val="en-US" w:eastAsia="zh-CN" w:bidi="zh-CN"/>
              </w:rPr>
              <w:t>满足《大气污染物综合排放标准》（GB16297-1996）中二级标准</w:t>
            </w:r>
            <w:r>
              <w:rPr>
                <w:rFonts w:hint="eastAsia"/>
                <w:kern w:val="0"/>
                <w:sz w:val="24"/>
                <w:szCs w:val="22"/>
                <w:highlight w:val="none"/>
                <w:lang w:val="en-US" w:eastAsia="zh-CN" w:bidi="zh-CN"/>
              </w:rPr>
              <w:t>；锅炉排气筒出口颗粒物、二氧化硫、氮氧化物排放浓度均满足《锅炉大气污染物排放标准》（GB13271-2014）大气污染物特别排放限值中的燃煤锅炉标准。</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3 </w:t>
            </w:r>
            <w:r>
              <w:rPr>
                <w:rFonts w:hint="eastAsia" w:ascii="宋体" w:hAnsi="宋体" w:eastAsia="宋体" w:cs="宋体"/>
                <w:b/>
                <w:sz w:val="24"/>
                <w:szCs w:val="24"/>
                <w:highlight w:val="none"/>
              </w:rPr>
              <w:t xml:space="preserve"> 无组织废气监测结果表</w:t>
            </w:r>
          </w:p>
          <w:tbl>
            <w:tblPr>
              <w:tblStyle w:val="33"/>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采样地点</w:t>
                  </w:r>
                </w:p>
              </w:tc>
              <w:tc>
                <w:tcPr>
                  <w:tcW w:w="2458" w:type="dxa"/>
                  <w:gridSpan w:val="2"/>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采样时间</w:t>
                  </w:r>
                </w:p>
              </w:tc>
              <w:tc>
                <w:tcPr>
                  <w:tcW w:w="2061" w:type="dxa"/>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检测指标</w:t>
                  </w:r>
                </w:p>
              </w:tc>
              <w:tc>
                <w:tcPr>
                  <w:tcW w:w="1860" w:type="dxa"/>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Cs w:val="21"/>
                      <w:highlight w:val="none"/>
                    </w:rPr>
                  </w:pPr>
                  <w:r>
                    <w:rPr>
                      <w:rFonts w:hint="default" w:ascii="Times New Roman" w:hAnsi="Times New Roman" w:eastAsia="宋体" w:cs="Times New Roman"/>
                      <w:sz w:val="21"/>
                      <w:szCs w:val="21"/>
                      <w:highlight w:val="none"/>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Cs w:val="21"/>
                      <w:highlight w:val="none"/>
                    </w:rPr>
                  </w:pPr>
                  <w:r>
                    <w:rPr>
                      <w:rFonts w:hint="default" w:ascii="Times New Roman" w:hAnsi="Times New Roman" w:eastAsia="宋体" w:cs="Times New Roman"/>
                      <w:b w:val="0"/>
                      <w:bCs/>
                      <w:kern w:val="0"/>
                      <w:szCs w:val="21"/>
                      <w:highlight w:val="none"/>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上风向</w:t>
                  </w:r>
                  <w:r>
                    <w:rPr>
                      <w:rFonts w:hint="default" w:ascii="Times New Roman" w:hAnsi="Times New Roman" w:cs="Times New Roman"/>
                      <w:szCs w:val="21"/>
                      <w:highlight w:val="none"/>
                      <w:lang w:val="en-US" w:eastAsia="zh-CN"/>
                    </w:rPr>
                    <w:t>1</w:t>
                  </w:r>
                </w:p>
              </w:tc>
              <w:tc>
                <w:tcPr>
                  <w:tcW w:w="1266" w:type="dxa"/>
                  <w:vMerge w:val="restart"/>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2020.05.30</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Cs w:val="21"/>
                      <w:highlight w:val="none"/>
                    </w:rPr>
                  </w:pPr>
                  <w:r>
                    <w:rPr>
                      <w:rFonts w:hint="default" w:ascii="Times New Roman" w:hAnsi="Times New Roman" w:cs="Times New Roman"/>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总悬浮颗粒物</w:t>
                  </w:r>
                </w:p>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2"/>
                      <w:szCs w:val="22"/>
                      <w:highlight w:val="none"/>
                      <w:u w:val="none"/>
                      <w:lang w:val="en-US" w:eastAsia="zh-CN" w:bidi="ar-SA"/>
                    </w:rPr>
                  </w:pPr>
                  <w:r>
                    <w:rPr>
                      <w:rFonts w:hint="default" w:ascii="Times New Roman" w:hAnsi="Times New Roman" w:cs="Times New Roman"/>
                      <w:i w:val="0"/>
                      <w:color w:val="000000"/>
                      <w:kern w:val="0"/>
                      <w:sz w:val="21"/>
                      <w:szCs w:val="21"/>
                      <w:highlight w:val="none"/>
                      <w:u w:val="none"/>
                      <w:lang w:val="en-US" w:eastAsia="zh-CN" w:bidi="ar"/>
                    </w:rPr>
                    <w:t>0.268</w:t>
                  </w:r>
                </w:p>
              </w:tc>
              <w:tc>
                <w:tcPr>
                  <w:tcW w:w="1405" w:type="dxa"/>
                  <w:shd w:val="clear" w:color="auto" w:fill="FFFFFF"/>
                  <w:vAlign w:val="center"/>
                </w:tcPr>
                <w:p>
                  <w:pPr>
                    <w:widowControl/>
                    <w:jc w:val="center"/>
                    <w:rPr>
                      <w:rFonts w:hint="default" w:ascii="Times New Roman" w:hAnsi="Times New Roman" w:eastAsia="宋体" w:cs="Times New Roman"/>
                      <w:b/>
                      <w:kern w:val="0"/>
                      <w:szCs w:val="21"/>
                      <w:highlight w:val="none"/>
                      <w:lang w:val="en-US" w:eastAsia="zh-CN"/>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Cs w:val="21"/>
                      <w:highlight w:val="none"/>
                    </w:rPr>
                  </w:pPr>
                  <w:r>
                    <w:rPr>
                      <w:rFonts w:hint="default" w:ascii="Times New Roman" w:hAnsi="Times New Roman" w:cs="Times New Roman"/>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0.251</w:t>
                  </w:r>
                </w:p>
              </w:tc>
              <w:tc>
                <w:tcPr>
                  <w:tcW w:w="1405" w:type="dxa"/>
                  <w:shd w:val="clear" w:color="auto" w:fill="FFFFFF"/>
                  <w:vAlign w:val="center"/>
                </w:tcPr>
                <w:p>
                  <w:pPr>
                    <w:widowControl/>
                    <w:jc w:val="center"/>
                    <w:rPr>
                      <w:rFonts w:hint="default" w:ascii="Times New Roman" w:hAnsi="Times New Roman" w:eastAsia="宋体" w:cs="Times New Roman"/>
                      <w:b/>
                      <w:kern w:val="0"/>
                      <w:szCs w:val="21"/>
                      <w:highlight w:val="none"/>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Cs w:val="21"/>
                      <w:highlight w:val="none"/>
                    </w:rPr>
                  </w:pPr>
                  <w:r>
                    <w:rPr>
                      <w:rFonts w:hint="default" w:ascii="Times New Roman" w:hAnsi="Times New Roman" w:cs="Times New Roman"/>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0.285</w:t>
                  </w:r>
                </w:p>
              </w:tc>
              <w:tc>
                <w:tcPr>
                  <w:tcW w:w="1405" w:type="dxa"/>
                  <w:shd w:val="clear" w:color="auto" w:fill="FFFFFF"/>
                  <w:vAlign w:val="center"/>
                </w:tcPr>
                <w:p>
                  <w:pPr>
                    <w:widowControl/>
                    <w:jc w:val="center"/>
                    <w:rPr>
                      <w:rFonts w:hint="default" w:ascii="Times New Roman" w:hAnsi="Times New Roman" w:eastAsia="宋体" w:cs="Times New Roman"/>
                      <w:b/>
                      <w:kern w:val="0"/>
                      <w:szCs w:val="21"/>
                      <w:highlight w:val="none"/>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下风向</w:t>
                  </w:r>
                  <w:r>
                    <w:rPr>
                      <w:rFonts w:hint="default" w:ascii="Times New Roman" w:hAnsi="Times New Roman" w:cs="Times New Roman"/>
                      <w:szCs w:val="21"/>
                      <w:highlight w:val="none"/>
                      <w:lang w:val="en-US" w:eastAsia="zh-CN"/>
                    </w:rPr>
                    <w:t>2</w:t>
                  </w:r>
                </w:p>
              </w:tc>
              <w:tc>
                <w:tcPr>
                  <w:tcW w:w="1266" w:type="dxa"/>
                  <w:vMerge w:val="restart"/>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cs="Times New Roman"/>
                      <w:szCs w:val="21"/>
                      <w:highlight w:val="none"/>
                      <w:lang w:val="en-US" w:eastAsia="zh-CN"/>
                    </w:rPr>
                    <w:t>2020.05.30</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总悬浮颗粒物</w:t>
                  </w:r>
                </w:p>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（mg/m³）</w:t>
                  </w: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0.367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0.383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0.317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下风向</w:t>
                  </w:r>
                  <w:r>
                    <w:rPr>
                      <w:rFonts w:hint="default" w:ascii="Times New Roman" w:hAnsi="Times New Roman" w:cs="Times New Roman"/>
                      <w:szCs w:val="21"/>
                      <w:highlight w:val="none"/>
                      <w:lang w:val="en-US" w:eastAsia="zh-CN"/>
                    </w:rPr>
                    <w:t>3</w:t>
                  </w:r>
                </w:p>
              </w:tc>
              <w:tc>
                <w:tcPr>
                  <w:tcW w:w="1266" w:type="dxa"/>
                  <w:vMerge w:val="restart"/>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cs="Times New Roman"/>
                      <w:szCs w:val="21"/>
                      <w:highlight w:val="none"/>
                      <w:lang w:val="en-US" w:eastAsia="zh-CN"/>
                    </w:rPr>
                    <w:t>2020.05.30</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总悬浮颗粒物</w:t>
                  </w:r>
                </w:p>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（mg/m³）</w:t>
                  </w: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0.317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0.400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0.384</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下风向</w:t>
                  </w:r>
                  <w:r>
                    <w:rPr>
                      <w:rFonts w:hint="default" w:ascii="Times New Roman" w:hAnsi="Times New Roman" w:cs="Times New Roman"/>
                      <w:szCs w:val="21"/>
                      <w:highlight w:val="none"/>
                      <w:lang w:val="en-US" w:eastAsia="zh-CN"/>
                    </w:rPr>
                    <w:t>4</w:t>
                  </w:r>
                </w:p>
              </w:tc>
              <w:tc>
                <w:tcPr>
                  <w:tcW w:w="1266" w:type="dxa"/>
                  <w:vMerge w:val="restart"/>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cs="Times New Roman"/>
                      <w:szCs w:val="21"/>
                      <w:highlight w:val="none"/>
                      <w:lang w:val="en-US" w:eastAsia="zh-CN"/>
                    </w:rPr>
                    <w:t>2020.05.30</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总悬浮颗粒物</w:t>
                  </w:r>
                </w:p>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（mg/m³）</w:t>
                  </w: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0.383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0.333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0.367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none"/>
                      <w:lang w:val="en-US" w:eastAsia="zh-CN" w:bidi="ar-SA"/>
                    </w:rPr>
                  </w:pPr>
                  <w:r>
                    <w:rPr>
                      <w:rFonts w:hint="default" w:ascii="Times New Roman" w:hAnsi="Times New Roman"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ascii="Times New Roman" w:eastAsia="宋体"/>
                <w:kern w:val="0"/>
                <w:sz w:val="24"/>
                <w:szCs w:val="22"/>
                <w:highlight w:val="none"/>
                <w:lang w:val="en-US" w:eastAsia="zh-CN" w:bidi="zh-CN"/>
              </w:rPr>
            </w:pPr>
            <w:r>
              <w:rPr>
                <w:rFonts w:hint="eastAsia" w:ascii="Times New Roman" w:eastAsia="宋体"/>
                <w:kern w:val="0"/>
                <w:sz w:val="24"/>
                <w:szCs w:val="22"/>
                <w:highlight w:val="none"/>
                <w:lang w:val="en-US" w:eastAsia="zh-CN" w:bidi="zh-CN"/>
              </w:rPr>
              <w:t>无组织废气监测结果表明：2020年</w:t>
            </w:r>
            <w:r>
              <w:rPr>
                <w:rFonts w:hint="eastAsia"/>
                <w:kern w:val="0"/>
                <w:sz w:val="24"/>
                <w:szCs w:val="22"/>
                <w:highlight w:val="none"/>
                <w:lang w:val="en-US" w:eastAsia="zh-CN" w:bidi="zh-CN"/>
              </w:rPr>
              <w:t>5月30日</w:t>
            </w:r>
            <w:r>
              <w:rPr>
                <w:rFonts w:hint="eastAsia" w:ascii="Times New Roman" w:eastAsia="宋体"/>
                <w:kern w:val="0"/>
                <w:sz w:val="24"/>
                <w:szCs w:val="22"/>
                <w:highlight w:val="none"/>
                <w:lang w:val="en-US" w:eastAsia="zh-CN" w:bidi="zh-CN"/>
              </w:rPr>
              <w:t>，</w:t>
            </w:r>
            <w:r>
              <w:rPr>
                <w:rFonts w:hint="eastAsia"/>
                <w:kern w:val="0"/>
                <w:sz w:val="24"/>
                <w:szCs w:val="22"/>
                <w:highlight w:val="none"/>
                <w:lang w:val="en-US" w:eastAsia="zh-CN" w:bidi="zh-CN"/>
              </w:rPr>
              <w:t>芜湖市祥兴新型建材有限责任公司</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满足《大气污染物综合排放标准》（GB16297-1996）</w:t>
            </w:r>
            <w:r>
              <w:rPr>
                <w:rFonts w:hint="eastAsia"/>
                <w:kern w:val="0"/>
                <w:sz w:val="24"/>
                <w:szCs w:val="22"/>
                <w:highlight w:val="none"/>
                <w:lang w:val="en-US" w:eastAsia="zh-CN" w:bidi="zh-CN"/>
              </w:rPr>
              <w:t>无组织限值要求</w:t>
            </w:r>
            <w:r>
              <w:rPr>
                <w:rFonts w:hint="eastAsia" w:ascii="Times New Roman" w:eastAsia="宋体"/>
                <w:kern w:val="0"/>
                <w:sz w:val="24"/>
                <w:szCs w:val="22"/>
                <w:highlight w:val="none"/>
                <w:lang w:val="en-US" w:eastAsia="zh-CN" w:bidi="zh-CN"/>
              </w:rPr>
              <w:t>。</w:t>
            </w:r>
          </w:p>
          <w:p>
            <w:pPr>
              <w:keepNext w:val="0"/>
              <w:keepLines w:val="0"/>
              <w:suppressLineNumbers w:val="0"/>
              <w:autoSpaceDE w:val="0"/>
              <w:autoSpaceDN w:val="0"/>
              <w:bidi w:val="0"/>
              <w:spacing w:before="0" w:beforeAutospacing="0" w:after="0" w:afterAutospacing="0" w:line="360" w:lineRule="auto"/>
              <w:ind w:left="0" w:right="0" w:firstLine="482" w:firstLineChars="200"/>
              <w:rPr>
                <w:rFonts w:hint="eastAsia" w:ascii="Times New Roman" w:eastAsia="宋体"/>
                <w:b/>
                <w:bCs/>
                <w:kern w:val="0"/>
                <w:sz w:val="24"/>
                <w:szCs w:val="22"/>
                <w:highlight w:val="none"/>
                <w:lang w:val="en-US" w:eastAsia="zh-CN" w:bidi="zh-CN"/>
              </w:rPr>
            </w:pPr>
            <w:r>
              <w:rPr>
                <w:rFonts w:hint="eastAsia" w:ascii="Times New Roman" w:eastAsia="宋体"/>
                <w:b/>
                <w:bCs/>
                <w:kern w:val="0"/>
                <w:sz w:val="24"/>
                <w:szCs w:val="22"/>
                <w:highlight w:val="none"/>
                <w:lang w:val="en-US" w:eastAsia="zh-CN" w:bidi="zh-CN"/>
              </w:rPr>
              <w:t>验收监测期间气象条件</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24"/>
              <w:gridCol w:w="1354"/>
              <w:gridCol w:w="1270"/>
              <w:gridCol w:w="1232"/>
              <w:gridCol w:w="1430"/>
              <w:gridCol w:w="1521"/>
              <w:gridCol w:w="1100"/>
              <w:gridCol w:w="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40" w:hRule="atLeast"/>
                <w:jc w:val="center"/>
              </w:trPr>
              <w:tc>
                <w:tcPr>
                  <w:tcW w:w="162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采样日期</w:t>
                  </w:r>
                </w:p>
              </w:tc>
              <w:tc>
                <w:tcPr>
                  <w:tcW w:w="135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采样频次</w:t>
                  </w:r>
                </w:p>
              </w:tc>
              <w:tc>
                <w:tcPr>
                  <w:tcW w:w="127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温度（℃）</w:t>
                  </w:r>
                </w:p>
              </w:tc>
              <w:tc>
                <w:tcPr>
                  <w:tcW w:w="123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湿度（%）</w:t>
                  </w:r>
                </w:p>
              </w:tc>
              <w:tc>
                <w:tcPr>
                  <w:tcW w:w="143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气压（kPa）</w:t>
                  </w:r>
                </w:p>
              </w:tc>
              <w:tc>
                <w:tcPr>
                  <w:tcW w:w="1521"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风速（m/s）</w:t>
                  </w:r>
                </w:p>
              </w:tc>
              <w:tc>
                <w:tcPr>
                  <w:tcW w:w="110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风向</w:t>
                  </w:r>
                </w:p>
              </w:tc>
              <w:tc>
                <w:tcPr>
                  <w:tcW w:w="79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default" w:ascii="Times New Roman" w:hAnsi="Times New Roman" w:cs="Times New Roman"/>
                      <w:sz w:val="21"/>
                      <w:szCs w:val="21"/>
                      <w:highlight w:val="none"/>
                      <w:lang w:val="en-US" w:eastAsia="zh-CN"/>
                    </w:rPr>
                    <w:t>05.30</w:t>
                  </w:r>
                </w:p>
              </w:tc>
              <w:tc>
                <w:tcPr>
                  <w:tcW w:w="135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18.9</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54.9</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102.2</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1.8</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90"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20.4</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51.8</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102.2</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1.7</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9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62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21.0</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51.0</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102.2</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1.6</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90"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bl>
          <w:p>
            <w:pPr>
              <w:spacing w:line="360" w:lineRule="auto"/>
              <w:rPr>
                <w:rFonts w:ascii="宋体" w:hAnsi="宋体" w:eastAsia="宋体" w:cs="Times New Roman"/>
                <w:b/>
                <w:sz w:val="28"/>
                <w:szCs w:val="28"/>
                <w:highlight w:val="none"/>
              </w:rPr>
            </w:pPr>
            <w:r>
              <w:rPr>
                <w:rFonts w:hint="eastAsia" w:ascii="宋体" w:hAnsi="宋体" w:cs="Times New Roman"/>
                <w:b/>
                <w:sz w:val="28"/>
                <w:szCs w:val="28"/>
                <w:highlight w:val="none"/>
                <w:lang w:val="en-US" w:eastAsia="zh-CN"/>
              </w:rPr>
              <w:t>2</w:t>
            </w:r>
            <w:r>
              <w:rPr>
                <w:rFonts w:hint="eastAsia" w:ascii="宋体" w:hAnsi="宋体" w:eastAsia="宋体" w:cs="Times New Roman"/>
                <w:b/>
                <w:sz w:val="28"/>
                <w:szCs w:val="28"/>
                <w:highlight w:val="none"/>
              </w:rPr>
              <w:t>、噪声监测结果</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4</w:t>
            </w:r>
            <w:r>
              <w:rPr>
                <w:rFonts w:hint="eastAsia" w:ascii="宋体" w:hAnsi="宋体" w:eastAsia="宋体" w:cs="宋体"/>
                <w:b/>
                <w:sz w:val="24"/>
                <w:szCs w:val="24"/>
                <w:highlight w:val="none"/>
              </w:rPr>
              <w:t xml:space="preserve">  噪声监测结果表</w:t>
            </w:r>
          </w:p>
          <w:tbl>
            <w:tblPr>
              <w:tblStyle w:val="34"/>
              <w:tblW w:w="468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47"/>
              <w:gridCol w:w="1776"/>
              <w:gridCol w:w="2105"/>
              <w:gridCol w:w="2544"/>
              <w:gridCol w:w="20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3" w:hRule="atLeast"/>
                <w:jc w:val="center"/>
              </w:trPr>
              <w:tc>
                <w:tcPr>
                  <w:tcW w:w="1247"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177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2105"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4550"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0" w:hRule="atLeast"/>
                <w:jc w:val="center"/>
              </w:trPr>
              <w:tc>
                <w:tcPr>
                  <w:tcW w:w="124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77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210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254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200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0" w:hRule="atLeast"/>
                <w:jc w:val="center"/>
              </w:trPr>
              <w:tc>
                <w:tcPr>
                  <w:tcW w:w="1247"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工业企业厂界环境噪声</w:t>
                  </w:r>
                </w:p>
              </w:tc>
              <w:tc>
                <w:tcPr>
                  <w:tcW w:w="177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default" w:ascii="Times New Roman" w:hAnsi="Times New Roman" w:cs="Times New Roman"/>
                      <w:sz w:val="21"/>
                      <w:szCs w:val="21"/>
                      <w:highlight w:val="none"/>
                      <w:lang w:val="en-US" w:eastAsia="zh-CN"/>
                    </w:rPr>
                    <w:t>05.30</w:t>
                  </w:r>
                </w:p>
              </w:tc>
              <w:tc>
                <w:tcPr>
                  <w:tcW w:w="210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25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rPr>
                  </w:pPr>
                  <w:r>
                    <w:rPr>
                      <w:rFonts w:hint="default" w:ascii="Times New Roman" w:hAnsi="Times New Roman" w:cs="Times New Roman"/>
                      <w:i w:val="0"/>
                      <w:color w:val="000000"/>
                      <w:kern w:val="0"/>
                      <w:sz w:val="21"/>
                      <w:szCs w:val="21"/>
                      <w:highlight w:val="none"/>
                      <w:u w:val="none"/>
                      <w:lang w:val="en-US" w:eastAsia="zh-CN" w:bidi="ar"/>
                    </w:rPr>
                    <w:t>8:38-8:39</w:t>
                  </w:r>
                </w:p>
              </w:tc>
              <w:tc>
                <w:tcPr>
                  <w:tcW w:w="200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0" w:hRule="atLeast"/>
                <w:jc w:val="center"/>
              </w:trPr>
              <w:tc>
                <w:tcPr>
                  <w:tcW w:w="124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77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210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25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rPr>
                  </w:pPr>
                  <w:r>
                    <w:rPr>
                      <w:rFonts w:hint="default" w:ascii="Times New Roman" w:hAnsi="Times New Roman" w:cs="Times New Roman"/>
                      <w:i w:val="0"/>
                      <w:color w:val="000000"/>
                      <w:kern w:val="0"/>
                      <w:sz w:val="21"/>
                      <w:szCs w:val="21"/>
                      <w:highlight w:val="none"/>
                      <w:u w:val="none"/>
                      <w:lang w:val="en-US" w:eastAsia="zh-CN" w:bidi="ar"/>
                    </w:rPr>
                    <w:t>8:44-8:45</w:t>
                  </w:r>
                </w:p>
              </w:tc>
              <w:tc>
                <w:tcPr>
                  <w:tcW w:w="200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6" w:hRule="atLeast"/>
                <w:jc w:val="center"/>
              </w:trPr>
              <w:tc>
                <w:tcPr>
                  <w:tcW w:w="124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77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210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25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rPr>
                  </w:pPr>
                  <w:r>
                    <w:rPr>
                      <w:rFonts w:hint="default" w:ascii="Times New Roman" w:hAnsi="Times New Roman" w:cs="Times New Roman"/>
                      <w:i w:val="0"/>
                      <w:color w:val="000000"/>
                      <w:kern w:val="0"/>
                      <w:sz w:val="21"/>
                      <w:szCs w:val="21"/>
                      <w:highlight w:val="none"/>
                      <w:u w:val="none"/>
                      <w:lang w:val="en-US" w:eastAsia="zh-CN" w:bidi="ar"/>
                    </w:rPr>
                    <w:t>8:54-8:55</w:t>
                  </w:r>
                </w:p>
              </w:tc>
              <w:tc>
                <w:tcPr>
                  <w:tcW w:w="200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0" w:hRule="atLeast"/>
                <w:jc w:val="center"/>
              </w:trPr>
              <w:tc>
                <w:tcPr>
                  <w:tcW w:w="124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77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210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25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rPr>
                  </w:pPr>
                  <w:r>
                    <w:rPr>
                      <w:rFonts w:hint="default" w:ascii="Times New Roman" w:hAnsi="Times New Roman" w:cs="Times New Roman"/>
                      <w:i w:val="0"/>
                      <w:color w:val="000000"/>
                      <w:kern w:val="0"/>
                      <w:sz w:val="21"/>
                      <w:szCs w:val="21"/>
                      <w:highlight w:val="none"/>
                      <w:u w:val="none"/>
                      <w:lang w:val="en-US" w:eastAsia="zh-CN" w:bidi="ar"/>
                    </w:rPr>
                    <w:t>9:08-9:09</w:t>
                  </w:r>
                </w:p>
              </w:tc>
              <w:tc>
                <w:tcPr>
                  <w:tcW w:w="200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0" w:hRule="atLeast"/>
                <w:jc w:val="center"/>
              </w:trPr>
              <w:tc>
                <w:tcPr>
                  <w:tcW w:w="5128"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执行标准限值</w:t>
                  </w:r>
                </w:p>
              </w:tc>
              <w:tc>
                <w:tcPr>
                  <w:tcW w:w="4550"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6</w:t>
                  </w:r>
                  <w:r>
                    <w:rPr>
                      <w:rFonts w:hint="eastAsia" w:ascii="Times New Roman" w:hAnsi="Times New Roman" w:cs="Times New Roman"/>
                      <w:sz w:val="21"/>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5" w:hRule="atLeast"/>
                <w:jc w:val="center"/>
              </w:trPr>
              <w:tc>
                <w:tcPr>
                  <w:tcW w:w="5128"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监测结果</w:t>
                  </w:r>
                </w:p>
              </w:tc>
              <w:tc>
                <w:tcPr>
                  <w:tcW w:w="4550"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eastAsia="宋体" w:cs="宋体"/>
                <w:kern w:val="0"/>
              </w:rPr>
            </w:pPr>
            <w:r>
              <w:rPr>
                <w:rFonts w:hint="eastAsia" w:ascii="Times New Roman" w:eastAsia="宋体"/>
                <w:kern w:val="0"/>
                <w:sz w:val="24"/>
                <w:szCs w:val="22"/>
                <w:lang w:val="en-US" w:eastAsia="zh-CN" w:bidi="zh-CN"/>
              </w:rPr>
              <w:t>噪声监测结果表明：2020年</w:t>
            </w:r>
            <w:r>
              <w:rPr>
                <w:rFonts w:hint="eastAsia"/>
                <w:kern w:val="0"/>
                <w:sz w:val="24"/>
                <w:szCs w:val="22"/>
                <w:lang w:val="en-US" w:eastAsia="zh-CN" w:bidi="zh-CN"/>
              </w:rPr>
              <w:t>5</w:t>
            </w:r>
            <w:r>
              <w:rPr>
                <w:rFonts w:hint="eastAsia" w:ascii="Times New Roman" w:eastAsia="宋体"/>
                <w:kern w:val="0"/>
                <w:sz w:val="24"/>
                <w:szCs w:val="22"/>
                <w:lang w:val="en-US" w:eastAsia="zh-CN" w:bidi="zh-CN"/>
              </w:rPr>
              <w:t>月</w:t>
            </w:r>
            <w:r>
              <w:rPr>
                <w:rFonts w:hint="eastAsia"/>
                <w:kern w:val="0"/>
                <w:sz w:val="24"/>
                <w:szCs w:val="22"/>
                <w:lang w:val="en-US" w:eastAsia="zh-CN" w:bidi="zh-CN"/>
              </w:rPr>
              <w:t>30</w:t>
            </w:r>
            <w:r>
              <w:rPr>
                <w:rFonts w:hint="eastAsia" w:ascii="Times New Roman" w:eastAsia="宋体"/>
                <w:kern w:val="0"/>
                <w:sz w:val="24"/>
                <w:szCs w:val="22"/>
                <w:lang w:val="en-US" w:eastAsia="zh-CN" w:bidi="zh-CN"/>
              </w:rPr>
              <w:t>日，</w:t>
            </w:r>
            <w:r>
              <w:rPr>
                <w:rFonts w:hint="eastAsia"/>
                <w:kern w:val="0"/>
                <w:sz w:val="24"/>
                <w:szCs w:val="22"/>
                <w:lang w:val="en-US" w:eastAsia="zh-CN" w:bidi="zh-CN"/>
              </w:rPr>
              <w:t>芜湖市祥兴新型建材有限责任公司</w:t>
            </w:r>
            <w:r>
              <w:rPr>
                <w:rFonts w:hint="eastAsia" w:ascii="Times New Roman" w:eastAsia="宋体"/>
                <w:kern w:val="0"/>
                <w:sz w:val="24"/>
                <w:szCs w:val="22"/>
                <w:lang w:val="en-US" w:eastAsia="zh-CN" w:bidi="zh-CN"/>
              </w:rPr>
              <w:t>厂界东侧</w:t>
            </w:r>
            <w:r>
              <w:rPr>
                <w:rFonts w:hint="eastAsia"/>
                <w:kern w:val="0"/>
                <w:sz w:val="24"/>
                <w:szCs w:val="22"/>
                <w:lang w:val="en-US" w:eastAsia="zh-CN" w:bidi="zh-CN"/>
              </w:rPr>
              <w:t>、</w:t>
            </w:r>
            <w:r>
              <w:rPr>
                <w:rFonts w:hint="eastAsia" w:ascii="Times New Roman" w:eastAsia="宋体"/>
                <w:kern w:val="0"/>
                <w:sz w:val="24"/>
                <w:szCs w:val="22"/>
                <w:lang w:val="en-US" w:eastAsia="zh-CN" w:bidi="zh-CN"/>
              </w:rPr>
              <w:t>厂界</w:t>
            </w:r>
            <w:r>
              <w:rPr>
                <w:rFonts w:hint="eastAsia"/>
                <w:kern w:val="0"/>
                <w:sz w:val="24"/>
                <w:szCs w:val="22"/>
                <w:lang w:val="en-US" w:eastAsia="zh-CN" w:bidi="zh-CN"/>
              </w:rPr>
              <w:t>南</w:t>
            </w:r>
            <w:r>
              <w:rPr>
                <w:rFonts w:hint="eastAsia" w:ascii="Times New Roman" w:eastAsia="宋体"/>
                <w:kern w:val="0"/>
                <w:sz w:val="24"/>
                <w:szCs w:val="22"/>
                <w:lang w:val="en-US" w:eastAsia="zh-CN" w:bidi="zh-CN"/>
              </w:rPr>
              <w:t>侧、厂界</w:t>
            </w:r>
            <w:r>
              <w:rPr>
                <w:rFonts w:hint="eastAsia"/>
                <w:kern w:val="0"/>
                <w:sz w:val="24"/>
                <w:szCs w:val="22"/>
                <w:lang w:val="en-US" w:eastAsia="zh-CN" w:bidi="zh-CN"/>
              </w:rPr>
              <w:t>西</w:t>
            </w:r>
            <w:r>
              <w:rPr>
                <w:rFonts w:hint="eastAsia" w:ascii="Times New Roman" w:eastAsia="宋体"/>
                <w:kern w:val="0"/>
                <w:sz w:val="24"/>
                <w:szCs w:val="22"/>
                <w:lang w:val="en-US" w:eastAsia="zh-CN" w:bidi="zh-CN"/>
              </w:rPr>
              <w:t>侧、厂界</w:t>
            </w:r>
            <w:r>
              <w:rPr>
                <w:rFonts w:hint="eastAsia"/>
                <w:kern w:val="0"/>
                <w:sz w:val="24"/>
                <w:szCs w:val="22"/>
                <w:lang w:val="en-US" w:eastAsia="zh-CN" w:bidi="zh-CN"/>
              </w:rPr>
              <w:t>北</w:t>
            </w:r>
            <w:r>
              <w:rPr>
                <w:rFonts w:hint="eastAsia" w:ascii="Times New Roman" w:eastAsia="宋体"/>
                <w:kern w:val="0"/>
                <w:sz w:val="24"/>
                <w:szCs w:val="22"/>
                <w:lang w:val="en-US" w:eastAsia="zh-CN" w:bidi="zh-CN"/>
              </w:rPr>
              <w:t>侧昼间噪声满足《工业企业厂界环境噪声排放标准》（GB12348-2008）中</w:t>
            </w:r>
            <w:r>
              <w:rPr>
                <w:rFonts w:hint="eastAsia"/>
                <w:kern w:val="0"/>
                <w:sz w:val="24"/>
                <w:szCs w:val="22"/>
                <w:lang w:val="en-US" w:eastAsia="zh-CN" w:bidi="zh-CN"/>
              </w:rPr>
              <w:t>2</w:t>
            </w:r>
            <w:r>
              <w:rPr>
                <w:rFonts w:hint="eastAsia" w:ascii="Times New Roman" w:eastAsia="宋体"/>
                <w:kern w:val="0"/>
                <w:sz w:val="24"/>
                <w:szCs w:val="22"/>
                <w:lang w:val="en-US" w:eastAsia="zh-CN" w:bidi="zh-CN"/>
              </w:rPr>
              <w:t>类标准。</w:t>
            </w:r>
          </w:p>
          <w:p>
            <w:pPr>
              <w:spacing w:line="360" w:lineRule="auto"/>
              <w:rPr>
                <w:rFonts w:hint="eastAsia" w:ascii="宋体" w:hAnsi="宋体" w:cs="Times New Roman"/>
                <w:b/>
                <w:sz w:val="28"/>
                <w:szCs w:val="28"/>
                <w:highlight w:val="none"/>
                <w:lang w:val="en-US" w:eastAsia="zh-CN"/>
              </w:rPr>
            </w:pPr>
            <w:r>
              <w:rPr>
                <w:rFonts w:hint="eastAsia" w:ascii="宋体" w:hAnsi="宋体" w:cs="Times New Roman"/>
                <w:b/>
                <w:sz w:val="28"/>
                <w:szCs w:val="28"/>
                <w:highlight w:val="none"/>
                <w:lang w:val="en-US" w:eastAsia="zh-CN"/>
              </w:rPr>
              <w:t>3、敏感点废气、噪声监测结果</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kern w:val="0"/>
                <w:sz w:val="24"/>
                <w:szCs w:val="22"/>
                <w:lang w:val="en-US" w:eastAsia="zh-CN" w:bidi="zh-CN"/>
              </w:rPr>
            </w:pPr>
            <w:r>
              <w:rPr>
                <w:rFonts w:hint="eastAsia" w:ascii="Times New Roman" w:eastAsia="宋体"/>
                <w:kern w:val="0"/>
                <w:sz w:val="24"/>
                <w:szCs w:val="22"/>
                <w:lang w:val="en-US" w:eastAsia="zh-CN" w:bidi="zh-CN"/>
              </w:rPr>
              <w:t>为了</w:t>
            </w:r>
            <w:r>
              <w:rPr>
                <w:rFonts w:hint="eastAsia"/>
                <w:kern w:val="0"/>
                <w:sz w:val="24"/>
                <w:szCs w:val="22"/>
                <w:lang w:val="en-US" w:eastAsia="zh-CN" w:bidi="zh-CN"/>
              </w:rPr>
              <w:t>明确项目是否对周边居民环境质量造成影响，企业于2020年8月对项目周边敏感点的噪声和无组织废气进行了补测，监测结果见下表。</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5 </w:t>
            </w:r>
            <w:r>
              <w:rPr>
                <w:rFonts w:hint="eastAsia" w:ascii="宋体" w:hAnsi="宋体" w:eastAsia="宋体" w:cs="宋体"/>
                <w:b/>
                <w:sz w:val="24"/>
                <w:szCs w:val="24"/>
                <w:highlight w:val="none"/>
              </w:rPr>
              <w:t xml:space="preserve"> </w:t>
            </w:r>
            <w:r>
              <w:rPr>
                <w:rFonts w:hint="eastAsia" w:ascii="宋体" w:hAnsi="宋体" w:cs="宋体"/>
                <w:b/>
                <w:sz w:val="24"/>
                <w:szCs w:val="24"/>
                <w:highlight w:val="none"/>
                <w:lang w:val="en-US" w:eastAsia="zh-CN"/>
              </w:rPr>
              <w:t>敏感点</w:t>
            </w:r>
            <w:r>
              <w:rPr>
                <w:rFonts w:hint="eastAsia" w:ascii="宋体" w:hAnsi="宋体" w:eastAsia="宋体" w:cs="宋体"/>
                <w:b/>
                <w:sz w:val="24"/>
                <w:szCs w:val="24"/>
                <w:highlight w:val="none"/>
              </w:rPr>
              <w:t>无组织废气监测结果表</w:t>
            </w:r>
          </w:p>
          <w:tbl>
            <w:tblPr>
              <w:tblStyle w:val="33"/>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采样地点</w:t>
                  </w:r>
                </w:p>
              </w:tc>
              <w:tc>
                <w:tcPr>
                  <w:tcW w:w="2458" w:type="dxa"/>
                  <w:gridSpan w:val="2"/>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采样时间</w:t>
                  </w:r>
                </w:p>
              </w:tc>
              <w:tc>
                <w:tcPr>
                  <w:tcW w:w="2061" w:type="dxa"/>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检测指标</w:t>
                  </w:r>
                </w:p>
              </w:tc>
              <w:tc>
                <w:tcPr>
                  <w:tcW w:w="1860" w:type="dxa"/>
                  <w:shd w:val="clear" w:color="auto" w:fill="FFFFFF"/>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Cs w:val="21"/>
                      <w:highlight w:val="none"/>
                    </w:rPr>
                  </w:pPr>
                  <w:r>
                    <w:rPr>
                      <w:rFonts w:hint="default" w:ascii="Times New Roman" w:hAnsi="Times New Roman" w:eastAsia="宋体" w:cs="Times New Roman"/>
                      <w:sz w:val="21"/>
                      <w:szCs w:val="21"/>
                      <w:highlight w:val="none"/>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Cs w:val="21"/>
                      <w:highlight w:val="none"/>
                    </w:rPr>
                  </w:pPr>
                  <w:r>
                    <w:rPr>
                      <w:rFonts w:hint="default" w:ascii="Times New Roman" w:hAnsi="Times New Roman" w:eastAsia="宋体" w:cs="Times New Roman"/>
                      <w:b w:val="0"/>
                      <w:bCs/>
                      <w:kern w:val="0"/>
                      <w:szCs w:val="21"/>
                      <w:highlight w:val="none"/>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居民楼</w:t>
                  </w:r>
                </w:p>
              </w:tc>
              <w:tc>
                <w:tcPr>
                  <w:tcW w:w="1266" w:type="dxa"/>
                  <w:vMerge w:val="restart"/>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2020.</w:t>
                  </w:r>
                  <w:r>
                    <w:rPr>
                      <w:rFonts w:hint="eastAsia" w:cs="Times New Roman"/>
                      <w:szCs w:val="21"/>
                      <w:highlight w:val="none"/>
                      <w:lang w:val="en-US" w:eastAsia="zh-CN"/>
                    </w:rPr>
                    <w:t>08</w:t>
                  </w:r>
                  <w:r>
                    <w:rPr>
                      <w:rFonts w:hint="default" w:ascii="Times New Roman" w:hAnsi="Times New Roman" w:cs="Times New Roman"/>
                      <w:szCs w:val="21"/>
                      <w:highlight w:val="none"/>
                      <w:lang w:val="en-US" w:eastAsia="zh-CN"/>
                    </w:rPr>
                    <w:t>.</w:t>
                  </w:r>
                  <w:r>
                    <w:rPr>
                      <w:rFonts w:hint="eastAsia" w:cs="Times New Roman"/>
                      <w:szCs w:val="21"/>
                      <w:highlight w:val="none"/>
                      <w:lang w:val="en-US" w:eastAsia="zh-CN"/>
                    </w:rPr>
                    <w:t>12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Cs w:val="21"/>
                      <w:highlight w:val="none"/>
                    </w:rPr>
                  </w:pPr>
                  <w:r>
                    <w:rPr>
                      <w:rFonts w:hint="default" w:ascii="Times New Roman" w:hAnsi="Times New Roman" w:cs="Times New Roman"/>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总悬浮颗粒物</w:t>
                  </w:r>
                </w:p>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2"/>
                      <w:szCs w:val="22"/>
                      <w:highlight w:val="none"/>
                      <w:u w:val="none"/>
                      <w:lang w:val="en-US" w:eastAsia="zh-CN" w:bidi="ar-SA"/>
                    </w:rPr>
                  </w:pPr>
                  <w:r>
                    <w:rPr>
                      <w:rFonts w:hint="eastAsia" w:eastAsia="等线" w:cs="Times New Roman"/>
                      <w:i w:val="0"/>
                      <w:color w:val="000000"/>
                      <w:kern w:val="2"/>
                      <w:sz w:val="22"/>
                      <w:szCs w:val="22"/>
                      <w:highlight w:val="none"/>
                      <w:u w:val="none"/>
                      <w:lang w:val="en-US" w:eastAsia="zh-CN" w:bidi="ar-SA"/>
                    </w:rPr>
                    <w:t>0.296</w:t>
                  </w:r>
                </w:p>
              </w:tc>
              <w:tc>
                <w:tcPr>
                  <w:tcW w:w="1405" w:type="dxa"/>
                  <w:shd w:val="clear" w:color="auto" w:fill="FFFFFF"/>
                  <w:vAlign w:val="center"/>
                </w:tcPr>
                <w:p>
                  <w:pPr>
                    <w:widowControl/>
                    <w:jc w:val="center"/>
                    <w:rPr>
                      <w:rFonts w:hint="default" w:ascii="Times New Roman" w:hAnsi="Times New Roman" w:eastAsia="宋体" w:cs="Times New Roman"/>
                      <w:b/>
                      <w:kern w:val="0"/>
                      <w:szCs w:val="21"/>
                      <w:highlight w:val="none"/>
                      <w:lang w:val="en-US" w:eastAsia="zh-CN"/>
                    </w:rPr>
                  </w:pPr>
                  <w:r>
                    <w:rPr>
                      <w:rFonts w:hint="eastAsia"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Cs w:val="21"/>
                      <w:highlight w:val="none"/>
                    </w:rPr>
                  </w:pPr>
                  <w:r>
                    <w:rPr>
                      <w:rFonts w:hint="default" w:ascii="Times New Roman" w:hAnsi="Times New Roman" w:cs="Times New Roman"/>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0.298</w:t>
                  </w:r>
                </w:p>
              </w:tc>
              <w:tc>
                <w:tcPr>
                  <w:tcW w:w="1405" w:type="dxa"/>
                  <w:shd w:val="clear" w:color="auto" w:fill="FFFFFF"/>
                  <w:vAlign w:val="center"/>
                </w:tcPr>
                <w:p>
                  <w:pPr>
                    <w:widowControl/>
                    <w:jc w:val="center"/>
                    <w:rPr>
                      <w:rFonts w:hint="default" w:ascii="Times New Roman" w:hAnsi="Times New Roman" w:eastAsia="宋体" w:cs="Times New Roman"/>
                      <w:b/>
                      <w:kern w:val="0"/>
                      <w:szCs w:val="21"/>
                      <w:highlight w:val="none"/>
                      <w:lang w:val="en-US"/>
                    </w:rPr>
                  </w:pPr>
                  <w:r>
                    <w:rPr>
                      <w:rFonts w:hint="eastAsia"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266"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Cs w:val="21"/>
                      <w:highlight w:val="none"/>
                    </w:rPr>
                  </w:pPr>
                  <w:r>
                    <w:rPr>
                      <w:rFonts w:hint="default" w:ascii="Times New Roman" w:hAnsi="Times New Roman" w:cs="Times New Roman"/>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Cs w:val="21"/>
                      <w:highlight w:val="none"/>
                    </w:rPr>
                  </w:pPr>
                </w:p>
              </w:tc>
              <w:tc>
                <w:tcPr>
                  <w:tcW w:w="1860" w:type="dxa"/>
                  <w:shd w:val="clear" w:color="auto" w:fill="FFFFFF"/>
                  <w:vAlign w:val="center"/>
                </w:tcPr>
                <w:p>
                  <w:pPr>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0.280</w:t>
                  </w:r>
                </w:p>
              </w:tc>
              <w:tc>
                <w:tcPr>
                  <w:tcW w:w="1405" w:type="dxa"/>
                  <w:shd w:val="clear" w:color="auto" w:fill="FFFFFF"/>
                  <w:vAlign w:val="center"/>
                </w:tcPr>
                <w:p>
                  <w:pPr>
                    <w:widowControl/>
                    <w:jc w:val="center"/>
                    <w:rPr>
                      <w:rFonts w:hint="default" w:ascii="Times New Roman" w:hAnsi="Times New Roman" w:eastAsia="宋体" w:cs="Times New Roman"/>
                      <w:b/>
                      <w:kern w:val="0"/>
                      <w:szCs w:val="21"/>
                      <w:highlight w:val="none"/>
                      <w:lang w:val="en-US"/>
                    </w:rPr>
                  </w:pPr>
                  <w:r>
                    <w:rPr>
                      <w:rFonts w:hint="eastAsia" w:cs="Times New Roman"/>
                      <w:b w:val="0"/>
                      <w:bCs/>
                      <w:kern w:val="0"/>
                      <w:szCs w:val="21"/>
                      <w:highlight w:val="none"/>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Cs w:val="21"/>
                      <w:highlight w:val="none"/>
                    </w:rPr>
                  </w:pPr>
                  <w:r>
                    <w:rPr>
                      <w:rFonts w:hint="default" w:ascii="Times New Roman" w:hAnsi="Times New Roman" w:eastAsia="宋体" w:cs="Times New Roman"/>
                      <w:b w:val="0"/>
                      <w:bCs/>
                      <w:kern w:val="0"/>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lang w:val="en-US" w:eastAsia="zh-CN"/>
              </w:rPr>
            </w:pPr>
            <w:r>
              <w:rPr>
                <w:rFonts w:hint="eastAsia" w:ascii="Times New Roman" w:eastAsia="宋体"/>
                <w:kern w:val="0"/>
                <w:sz w:val="24"/>
                <w:szCs w:val="22"/>
                <w:highlight w:val="none"/>
                <w:lang w:val="en-US" w:eastAsia="zh-CN" w:bidi="zh-CN"/>
              </w:rPr>
              <w:t>无组织废气监测结果表明：2020年</w:t>
            </w:r>
            <w:r>
              <w:rPr>
                <w:rFonts w:hint="eastAsia"/>
                <w:kern w:val="0"/>
                <w:sz w:val="24"/>
                <w:szCs w:val="22"/>
                <w:highlight w:val="none"/>
                <w:lang w:val="en-US" w:eastAsia="zh-CN" w:bidi="zh-CN"/>
              </w:rPr>
              <w:t>8</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12</w:t>
            </w:r>
            <w:r>
              <w:rPr>
                <w:rFonts w:hint="eastAsia" w:ascii="Times New Roman" w:eastAsia="宋体"/>
                <w:kern w:val="0"/>
                <w:sz w:val="24"/>
                <w:szCs w:val="22"/>
                <w:highlight w:val="none"/>
                <w:lang w:val="en-US" w:eastAsia="zh-CN" w:bidi="zh-CN"/>
              </w:rPr>
              <w:t>日，芜湖市祥兴新型建材有限责任公司居民楼总悬浮颗粒物浓度满足《大气污染物综合排放标准》（GB16297-1996）无组织限值要求。</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6</w:t>
            </w:r>
            <w:r>
              <w:rPr>
                <w:rFonts w:hint="eastAsia" w:ascii="宋体" w:hAnsi="宋体" w:eastAsia="宋体" w:cs="宋体"/>
                <w:b/>
                <w:sz w:val="24"/>
                <w:szCs w:val="24"/>
                <w:highlight w:val="none"/>
              </w:rPr>
              <w:t xml:space="preserve">  </w:t>
            </w:r>
            <w:r>
              <w:rPr>
                <w:rFonts w:hint="eastAsia" w:ascii="宋体" w:hAnsi="宋体" w:cs="宋体"/>
                <w:b/>
                <w:sz w:val="24"/>
                <w:szCs w:val="24"/>
                <w:highlight w:val="none"/>
                <w:lang w:val="en-US" w:eastAsia="zh-CN"/>
              </w:rPr>
              <w:t>敏感点</w:t>
            </w:r>
            <w:r>
              <w:rPr>
                <w:rFonts w:hint="eastAsia" w:ascii="宋体" w:hAnsi="宋体" w:eastAsia="宋体" w:cs="宋体"/>
                <w:b/>
                <w:sz w:val="24"/>
                <w:szCs w:val="24"/>
                <w:highlight w:val="none"/>
              </w:rPr>
              <w:t>噪声监测结果表</w:t>
            </w:r>
          </w:p>
          <w:tbl>
            <w:tblPr>
              <w:tblStyle w:val="34"/>
              <w:tblW w:w="101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86"/>
              <w:gridCol w:w="1548"/>
              <w:gridCol w:w="1199"/>
              <w:gridCol w:w="1857"/>
              <w:gridCol w:w="1494"/>
              <w:gridCol w:w="1486"/>
              <w:gridCol w:w="14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08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154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19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3351"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c>
                <w:tcPr>
                  <w:tcW w:w="148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执行标准限值</w:t>
                  </w:r>
                </w:p>
              </w:tc>
              <w:tc>
                <w:tcPr>
                  <w:tcW w:w="148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08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19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85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9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c>
                <w:tcPr>
                  <w:tcW w:w="148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p>
              </w:tc>
              <w:tc>
                <w:tcPr>
                  <w:tcW w:w="148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08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rPr>
                  </w:pPr>
                  <w:r>
                    <w:rPr>
                      <w:rFonts w:hint="eastAsia" w:cs="Times New Roman"/>
                      <w:sz w:val="21"/>
                      <w:szCs w:val="21"/>
                      <w:highlight w:val="none"/>
                      <w:lang w:val="en-US" w:eastAsia="zh-CN"/>
                    </w:rPr>
                    <w:t>环境噪声</w:t>
                  </w:r>
                </w:p>
              </w:tc>
              <w:tc>
                <w:tcPr>
                  <w:tcW w:w="154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default" w:ascii="Times New Roman" w:hAnsi="Times New Roman" w:cs="Times New Roman"/>
                      <w:sz w:val="21"/>
                      <w:szCs w:val="21"/>
                      <w:highlight w:val="none"/>
                      <w:lang w:val="en-US" w:eastAsia="zh-CN"/>
                    </w:rPr>
                    <w:t>0</w:t>
                  </w:r>
                  <w:r>
                    <w:rPr>
                      <w:rFonts w:hint="eastAsia" w:cs="Times New Roman"/>
                      <w:sz w:val="21"/>
                      <w:szCs w:val="21"/>
                      <w:highlight w:val="none"/>
                      <w:lang w:val="en-US" w:eastAsia="zh-CN"/>
                    </w:rPr>
                    <w:t>8.12</w:t>
                  </w:r>
                </w:p>
              </w:tc>
              <w:tc>
                <w:tcPr>
                  <w:tcW w:w="119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居民楼</w:t>
                  </w:r>
                </w:p>
              </w:tc>
              <w:tc>
                <w:tcPr>
                  <w:tcW w:w="18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rPr>
                  </w:pPr>
                  <w:r>
                    <w:rPr>
                      <w:rFonts w:hint="eastAsia" w:cs="Times New Roman"/>
                      <w:i w:val="0"/>
                      <w:color w:val="000000"/>
                      <w:kern w:val="0"/>
                      <w:sz w:val="21"/>
                      <w:szCs w:val="21"/>
                      <w:highlight w:val="none"/>
                      <w:u w:val="none"/>
                      <w:lang w:val="en-US" w:eastAsia="zh-CN" w:bidi="ar"/>
                    </w:rPr>
                    <w:t>10.05</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52.3</w:t>
                  </w:r>
                </w:p>
              </w:tc>
              <w:tc>
                <w:tcPr>
                  <w:tcW w:w="1486" w:type="dxa"/>
                  <w:tcBorders>
                    <w:tl2br w:val="nil"/>
                    <w:tr2bl w:val="nil"/>
                  </w:tcBorders>
                  <w:shd w:val="clear" w:color="auto" w:fill="auto"/>
                  <w:vAlign w:val="center"/>
                </w:tcPr>
                <w:p>
                  <w:pPr>
                    <w:keepNext w:val="0"/>
                    <w:keepLines w:val="0"/>
                    <w:widowControl/>
                    <w:suppressLineNumbers w:val="0"/>
                    <w:jc w:val="center"/>
                    <w:textAlignment w:val="center"/>
                    <w:rPr>
                      <w:rFonts w:hint="default" w:cs="Times New Roman"/>
                      <w:sz w:val="21"/>
                      <w:szCs w:val="21"/>
                      <w:highlight w:val="none"/>
                      <w:lang w:val="en-US" w:eastAsia="zh-CN"/>
                    </w:rPr>
                  </w:pPr>
                  <w:r>
                    <w:rPr>
                      <w:rFonts w:hint="eastAsia" w:cs="Times New Roman"/>
                      <w:sz w:val="21"/>
                      <w:szCs w:val="21"/>
                      <w:highlight w:val="none"/>
                      <w:lang w:val="en-US" w:eastAsia="zh-CN"/>
                    </w:rPr>
                    <w:t>60</w:t>
                  </w:r>
                </w:p>
              </w:tc>
              <w:tc>
                <w:tcPr>
                  <w:tcW w:w="1486" w:type="dxa"/>
                  <w:tcBorders>
                    <w:tl2br w:val="nil"/>
                    <w:tr2bl w:val="nil"/>
                  </w:tcBorders>
                  <w:shd w:val="clear" w:color="auto" w:fill="auto"/>
                  <w:vAlign w:val="center"/>
                </w:tcPr>
                <w:p>
                  <w:pPr>
                    <w:keepNext w:val="0"/>
                    <w:keepLines w:val="0"/>
                    <w:widowControl/>
                    <w:suppressLineNumbers w:val="0"/>
                    <w:jc w:val="center"/>
                    <w:textAlignment w:val="center"/>
                    <w:rPr>
                      <w:rFonts w:hint="eastAsia" w:cs="Times New Roman"/>
                      <w:sz w:val="21"/>
                      <w:szCs w:val="21"/>
                      <w:highlight w:val="none"/>
                      <w:lang w:val="en-US" w:eastAsia="zh-CN"/>
                    </w:rPr>
                  </w:pPr>
                  <w:r>
                    <w:rPr>
                      <w:rFonts w:hint="eastAsia" w:cs="Times New Roman"/>
                      <w:sz w:val="21"/>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98" w:hRule="atLeast"/>
                <w:jc w:val="center"/>
              </w:trPr>
              <w:tc>
                <w:tcPr>
                  <w:tcW w:w="108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19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8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rPr>
                  </w:pPr>
                  <w:r>
                    <w:rPr>
                      <w:rFonts w:hint="eastAsia" w:cs="Times New Roman"/>
                      <w:i w:val="0"/>
                      <w:color w:val="000000"/>
                      <w:kern w:val="0"/>
                      <w:sz w:val="21"/>
                      <w:szCs w:val="21"/>
                      <w:highlight w:val="none"/>
                      <w:u w:val="none"/>
                      <w:lang w:val="en-US" w:eastAsia="zh-CN" w:bidi="ar"/>
                    </w:rPr>
                    <w:t>22:16</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46.7</w:t>
                  </w:r>
                </w:p>
              </w:tc>
              <w:tc>
                <w:tcPr>
                  <w:tcW w:w="1486" w:type="dxa"/>
                  <w:tcBorders>
                    <w:tl2br w:val="nil"/>
                    <w:tr2bl w:val="nil"/>
                  </w:tcBorders>
                  <w:shd w:val="clear" w:color="auto" w:fill="auto"/>
                  <w:vAlign w:val="center"/>
                </w:tcPr>
                <w:p>
                  <w:pPr>
                    <w:keepNext w:val="0"/>
                    <w:keepLines w:val="0"/>
                    <w:widowControl/>
                    <w:suppressLineNumbers w:val="0"/>
                    <w:jc w:val="center"/>
                    <w:textAlignment w:val="center"/>
                    <w:rPr>
                      <w:rFonts w:hint="default" w:cs="Times New Roman"/>
                      <w:sz w:val="21"/>
                      <w:szCs w:val="21"/>
                      <w:highlight w:val="none"/>
                      <w:lang w:val="en-US" w:eastAsia="zh-CN"/>
                    </w:rPr>
                  </w:pPr>
                  <w:r>
                    <w:rPr>
                      <w:rFonts w:hint="eastAsia" w:cs="Times New Roman"/>
                      <w:sz w:val="21"/>
                      <w:szCs w:val="21"/>
                      <w:highlight w:val="none"/>
                      <w:lang w:val="en-US" w:eastAsia="zh-CN"/>
                    </w:rPr>
                    <w:t>50</w:t>
                  </w:r>
                </w:p>
              </w:tc>
              <w:tc>
                <w:tcPr>
                  <w:tcW w:w="1486" w:type="dxa"/>
                  <w:tcBorders>
                    <w:tl2br w:val="nil"/>
                    <w:tr2bl w:val="nil"/>
                  </w:tcBorders>
                  <w:shd w:val="clear" w:color="auto" w:fill="auto"/>
                  <w:vAlign w:val="center"/>
                </w:tcPr>
                <w:p>
                  <w:pPr>
                    <w:keepNext w:val="0"/>
                    <w:keepLines w:val="0"/>
                    <w:widowControl/>
                    <w:suppressLineNumbers w:val="0"/>
                    <w:jc w:val="center"/>
                    <w:textAlignment w:val="center"/>
                    <w:rPr>
                      <w:rFonts w:hint="eastAsia" w:cs="Times New Roman"/>
                      <w:sz w:val="21"/>
                      <w:szCs w:val="21"/>
                      <w:highlight w:val="none"/>
                      <w:lang w:val="en-US" w:eastAsia="zh-CN"/>
                    </w:rPr>
                  </w:pPr>
                  <w:r>
                    <w:rPr>
                      <w:rFonts w:hint="eastAsia"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宋体" w:hAnsi="宋体" w:eastAsia="宋体" w:cs="宋体"/>
                <w:kern w:val="0"/>
                <w:lang w:val="en-US"/>
              </w:rPr>
            </w:pPr>
            <w:r>
              <w:rPr>
                <w:rFonts w:hint="eastAsia" w:ascii="Times New Roman" w:eastAsia="宋体"/>
                <w:kern w:val="0"/>
                <w:sz w:val="24"/>
                <w:szCs w:val="22"/>
                <w:lang w:val="en-US" w:eastAsia="zh-CN" w:bidi="zh-CN"/>
              </w:rPr>
              <w:t>噪声监测结果表明：2020年</w:t>
            </w:r>
            <w:r>
              <w:rPr>
                <w:rFonts w:hint="eastAsia"/>
                <w:kern w:val="0"/>
                <w:sz w:val="24"/>
                <w:szCs w:val="22"/>
                <w:lang w:val="en-US" w:eastAsia="zh-CN" w:bidi="zh-CN"/>
              </w:rPr>
              <w:t>8</w:t>
            </w:r>
            <w:r>
              <w:rPr>
                <w:rFonts w:hint="eastAsia" w:ascii="Times New Roman" w:eastAsia="宋体"/>
                <w:kern w:val="0"/>
                <w:sz w:val="24"/>
                <w:szCs w:val="22"/>
                <w:lang w:val="en-US" w:eastAsia="zh-CN" w:bidi="zh-CN"/>
              </w:rPr>
              <w:t>月</w:t>
            </w:r>
            <w:r>
              <w:rPr>
                <w:rFonts w:hint="eastAsia"/>
                <w:kern w:val="0"/>
                <w:sz w:val="24"/>
                <w:szCs w:val="22"/>
                <w:lang w:val="en-US" w:eastAsia="zh-CN" w:bidi="zh-CN"/>
              </w:rPr>
              <w:t>12</w:t>
            </w:r>
            <w:r>
              <w:rPr>
                <w:rFonts w:hint="eastAsia" w:ascii="Times New Roman" w:eastAsia="宋体"/>
                <w:kern w:val="0"/>
                <w:sz w:val="24"/>
                <w:szCs w:val="22"/>
                <w:lang w:val="en-US" w:eastAsia="zh-CN" w:bidi="zh-CN"/>
              </w:rPr>
              <w:t>日，芜湖市祥兴新型建材有限责任公司居民楼昼间</w:t>
            </w:r>
            <w:r>
              <w:rPr>
                <w:rFonts w:hint="eastAsia"/>
                <w:kern w:val="0"/>
                <w:sz w:val="24"/>
                <w:szCs w:val="22"/>
                <w:lang w:val="en-US" w:eastAsia="zh-CN" w:bidi="zh-CN"/>
              </w:rPr>
              <w:t>、夜间</w:t>
            </w:r>
            <w:r>
              <w:rPr>
                <w:rFonts w:hint="eastAsia" w:ascii="Times New Roman" w:eastAsia="宋体"/>
                <w:kern w:val="0"/>
                <w:sz w:val="24"/>
                <w:szCs w:val="22"/>
                <w:lang w:val="en-US" w:eastAsia="zh-CN" w:bidi="zh-CN"/>
              </w:rPr>
              <w:t>噪声</w:t>
            </w:r>
            <w:r>
              <w:rPr>
                <w:rFonts w:hint="eastAsia"/>
                <w:kern w:val="0"/>
                <w:sz w:val="24"/>
                <w:szCs w:val="22"/>
                <w:lang w:val="en-US" w:eastAsia="zh-CN" w:bidi="zh-CN"/>
              </w:rPr>
              <w:t>均</w:t>
            </w:r>
            <w:r>
              <w:rPr>
                <w:rFonts w:hint="eastAsia" w:ascii="Times New Roman" w:eastAsia="宋体"/>
                <w:kern w:val="0"/>
                <w:sz w:val="24"/>
                <w:szCs w:val="22"/>
                <w:lang w:val="en-US" w:eastAsia="zh-CN" w:bidi="zh-CN"/>
              </w:rPr>
              <w:t>满足《工业企业厂界环境噪声排放标准》（GB12348-2008）中2类标准。</w:t>
            </w:r>
          </w:p>
          <w:p>
            <w:pPr>
              <w:spacing w:line="360" w:lineRule="auto"/>
              <w:rPr>
                <w:rFonts w:ascii="宋体" w:hAnsi="宋体" w:eastAsia="宋体" w:cs="Times New Roman"/>
                <w:b/>
                <w:sz w:val="28"/>
                <w:szCs w:val="28"/>
                <w:highlight w:val="none"/>
              </w:rPr>
            </w:pPr>
            <w:r>
              <w:rPr>
                <w:rFonts w:hint="eastAsia" w:ascii="宋体" w:hAnsi="宋体" w:eastAsia="宋体" w:cs="Times New Roman"/>
                <w:b/>
                <w:sz w:val="28"/>
                <w:szCs w:val="28"/>
                <w:highlight w:val="none"/>
              </w:rPr>
              <w:t>4、污染物排放总量控制与分析</w:t>
            </w:r>
          </w:p>
          <w:p>
            <w:pPr>
              <w:spacing w:line="360" w:lineRule="auto"/>
              <w:rPr>
                <w:rFonts w:ascii="宋体" w:hAnsi="宋体" w:eastAsia="宋体" w:cs="Times New Roman"/>
                <w:b/>
                <w:sz w:val="24"/>
                <w:highlight w:val="none"/>
              </w:rPr>
            </w:pPr>
            <w:r>
              <w:rPr>
                <w:rFonts w:ascii="宋体" w:hAnsi="宋体" w:eastAsia="宋体" w:cs="Times New Roman"/>
                <w:b/>
                <w:sz w:val="24"/>
                <w:highlight w:val="none"/>
              </w:rPr>
              <w:t>4.</w:t>
            </w:r>
            <w:r>
              <w:rPr>
                <w:rFonts w:hint="eastAsia" w:ascii="宋体" w:hAnsi="宋体" w:eastAsia="宋体" w:cs="Times New Roman"/>
                <w:b/>
                <w:sz w:val="24"/>
                <w:highlight w:val="none"/>
              </w:rPr>
              <w:t>1总量控制指标</w:t>
            </w:r>
          </w:p>
          <w:p>
            <w:pPr>
              <w:spacing w:line="360" w:lineRule="auto"/>
              <w:ind w:firstLine="480" w:firstLineChars="200"/>
              <w:jc w:val="left"/>
              <w:rPr>
                <w:rFonts w:ascii="宋体" w:hAnsi="宋体"/>
                <w:bCs/>
                <w:color w:val="000000"/>
                <w:sz w:val="24"/>
                <w:highlight w:val="none"/>
              </w:rPr>
            </w:pPr>
            <w:r>
              <w:rPr>
                <w:rFonts w:hint="default" w:ascii="Times New Roman" w:hAnsi="Times New Roman" w:eastAsia="宋体" w:cs="Times New Roman"/>
                <w:kern w:val="2"/>
                <w:sz w:val="24"/>
                <w:szCs w:val="24"/>
                <w:highlight w:val="none"/>
                <w:lang w:val="en-US" w:eastAsia="zh-CN" w:bidi="ar-SA"/>
              </w:rPr>
              <w:t xml:space="preserve"> “十三五”规划期间我国纳入约束性考核的污染物：COD、NH</w:t>
            </w:r>
            <w:r>
              <w:rPr>
                <w:rFonts w:hint="default" w:ascii="Times New Roman" w:hAnsi="Times New Roman" w:eastAsia="宋体" w:cs="Times New Roman"/>
                <w:kern w:val="2"/>
                <w:sz w:val="24"/>
                <w:szCs w:val="24"/>
                <w:highlight w:val="none"/>
                <w:vertAlign w:val="subscript"/>
                <w:lang w:val="en-US" w:eastAsia="zh-CN" w:bidi="ar-SA"/>
              </w:rPr>
              <w:t>3</w:t>
            </w:r>
            <w:r>
              <w:rPr>
                <w:rFonts w:hint="default" w:ascii="Times New Roman" w:hAnsi="Times New Roman" w:eastAsia="宋体" w:cs="Times New Roman"/>
                <w:kern w:val="2"/>
                <w:sz w:val="24"/>
                <w:szCs w:val="24"/>
                <w:highlight w:val="none"/>
                <w:lang w:val="en-US" w:eastAsia="zh-CN" w:bidi="ar-SA"/>
              </w:rPr>
              <w:t>-N、SO</w:t>
            </w:r>
            <w:r>
              <w:rPr>
                <w:rFonts w:hint="default" w:ascii="Times New Roman" w:hAnsi="Times New Roman" w:eastAsia="宋体" w:cs="Times New Roman"/>
                <w:kern w:val="2"/>
                <w:sz w:val="24"/>
                <w:szCs w:val="24"/>
                <w:highlight w:val="none"/>
                <w:vertAlign w:val="subscript"/>
                <w:lang w:val="en-US" w:eastAsia="zh-CN" w:bidi="ar-SA"/>
              </w:rPr>
              <w:t>2</w:t>
            </w:r>
            <w:r>
              <w:rPr>
                <w:rFonts w:hint="default" w:ascii="Times New Roman" w:hAnsi="Times New Roman" w:eastAsia="宋体" w:cs="Times New Roman"/>
                <w:kern w:val="2"/>
                <w:sz w:val="24"/>
                <w:szCs w:val="24"/>
                <w:highlight w:val="none"/>
                <w:lang w:val="en-US" w:eastAsia="zh-CN" w:bidi="ar-SA"/>
              </w:rPr>
              <w:t>、NOx、烟（粉）尘、VOC</w:t>
            </w:r>
            <w:r>
              <w:rPr>
                <w:rFonts w:hint="default" w:ascii="Times New Roman" w:hAnsi="Times New Roman" w:eastAsia="宋体" w:cs="Times New Roman"/>
                <w:kern w:val="2"/>
                <w:sz w:val="24"/>
                <w:szCs w:val="24"/>
                <w:highlight w:val="none"/>
                <w:vertAlign w:val="subscript"/>
                <w:lang w:val="en-US" w:eastAsia="zh-CN" w:bidi="ar-SA"/>
              </w:rPr>
              <w:t>S</w:t>
            </w:r>
            <w:r>
              <w:rPr>
                <w:rFonts w:hint="default" w:ascii="Times New Roman" w:hAnsi="Times New Roman" w:eastAsia="宋体" w:cs="Times New Roman"/>
                <w:kern w:val="2"/>
                <w:sz w:val="24"/>
                <w:szCs w:val="24"/>
                <w:highlight w:val="none"/>
                <w:lang w:val="en-US" w:eastAsia="zh-CN" w:bidi="ar-SA"/>
              </w:rPr>
              <w:t>共6种主要污染物实行排放总量控制计划管理。根据</w:t>
            </w:r>
            <w:r>
              <w:rPr>
                <w:rFonts w:hint="eastAsia" w:cs="Times New Roman"/>
                <w:kern w:val="2"/>
                <w:sz w:val="24"/>
                <w:szCs w:val="24"/>
                <w:highlight w:val="none"/>
                <w:lang w:val="en-US" w:eastAsia="zh-CN" w:bidi="ar-SA"/>
              </w:rPr>
              <w:t>后评价</w:t>
            </w:r>
            <w:r>
              <w:rPr>
                <w:rFonts w:hint="default" w:ascii="Times New Roman" w:hAnsi="Times New Roman" w:eastAsia="宋体" w:cs="Times New Roman"/>
                <w:kern w:val="2"/>
                <w:sz w:val="24"/>
                <w:szCs w:val="24"/>
                <w:highlight w:val="none"/>
                <w:lang w:val="en-US" w:eastAsia="zh-CN" w:bidi="ar-SA"/>
              </w:rPr>
              <w:t>建议，本项目总量控制指标为SO</w:t>
            </w:r>
            <w:r>
              <w:rPr>
                <w:rFonts w:hint="default" w:ascii="Times New Roman" w:hAnsi="Times New Roman" w:eastAsia="宋体" w:cs="Times New Roman"/>
                <w:kern w:val="2"/>
                <w:sz w:val="24"/>
                <w:szCs w:val="24"/>
                <w:highlight w:val="none"/>
                <w:vertAlign w:val="subscript"/>
                <w:lang w:val="en-US" w:eastAsia="zh-CN" w:bidi="ar-SA"/>
              </w:rPr>
              <w:t>2</w:t>
            </w:r>
            <w:r>
              <w:rPr>
                <w:rFonts w:hint="eastAsia" w:cs="Times New Roman"/>
                <w:kern w:val="2"/>
                <w:sz w:val="24"/>
                <w:szCs w:val="24"/>
                <w:highlight w:val="none"/>
                <w:vertAlign w:val="subscript"/>
                <w:lang w:val="en-US" w:eastAsia="zh-CN" w:bidi="ar-SA"/>
              </w:rPr>
              <w:t xml:space="preserve">  </w:t>
            </w:r>
            <w:r>
              <w:rPr>
                <w:rFonts w:hint="eastAsia" w:cs="Times New Roman"/>
                <w:kern w:val="2"/>
                <w:sz w:val="24"/>
                <w:szCs w:val="24"/>
                <w:highlight w:val="none"/>
                <w:vertAlign w:val="baseline"/>
                <w:lang w:val="en-US" w:eastAsia="zh-CN" w:bidi="ar-SA"/>
              </w:rPr>
              <w:t>2.736t/a</w:t>
            </w:r>
            <w:r>
              <w:rPr>
                <w:rFonts w:hint="default" w:ascii="Times New Roman" w:hAnsi="Times New Roman" w:eastAsia="宋体" w:cs="Times New Roman"/>
                <w:kern w:val="2"/>
                <w:sz w:val="24"/>
                <w:szCs w:val="24"/>
                <w:highlight w:val="none"/>
                <w:lang w:val="en-US" w:eastAsia="zh-CN" w:bidi="ar-SA"/>
              </w:rPr>
              <w:t>、NOx</w:t>
            </w:r>
            <w:r>
              <w:rPr>
                <w:rFonts w:hint="eastAsia" w:cs="Times New Roman"/>
                <w:kern w:val="2"/>
                <w:sz w:val="24"/>
                <w:szCs w:val="24"/>
                <w:highlight w:val="none"/>
                <w:lang w:val="en-US" w:eastAsia="zh-CN" w:bidi="ar-SA"/>
              </w:rPr>
              <w:t xml:space="preserve"> 2.818t/a</w:t>
            </w:r>
            <w:r>
              <w:rPr>
                <w:rFonts w:hint="default" w:ascii="Times New Roman" w:hAnsi="Times New Roman" w:eastAsia="宋体" w:cs="Times New Roman"/>
                <w:kern w:val="2"/>
                <w:sz w:val="24"/>
                <w:szCs w:val="24"/>
                <w:highlight w:val="none"/>
                <w:lang w:val="en-US" w:eastAsia="zh-CN" w:bidi="ar-SA"/>
              </w:rPr>
              <w:t>、烟（粉）尘</w:t>
            </w:r>
            <w:r>
              <w:rPr>
                <w:rFonts w:hint="eastAsia" w:cs="Times New Roman"/>
                <w:kern w:val="2"/>
                <w:sz w:val="24"/>
                <w:szCs w:val="24"/>
                <w:highlight w:val="none"/>
                <w:lang w:val="en-US" w:eastAsia="zh-CN" w:bidi="ar-SA"/>
              </w:rPr>
              <w:t xml:space="preserve"> 2.596t/a</w:t>
            </w:r>
            <w:r>
              <w:rPr>
                <w:rFonts w:hint="eastAsia" w:ascii="宋体" w:hAnsi="宋体"/>
                <w:bCs/>
                <w:color w:val="000000"/>
                <w:sz w:val="24"/>
                <w:highlight w:val="none"/>
              </w:rPr>
              <w:t>。</w:t>
            </w:r>
          </w:p>
          <w:p>
            <w:pPr>
              <w:widowControl w:val="0"/>
              <w:spacing w:line="360" w:lineRule="auto"/>
              <w:jc w:val="both"/>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4.2 废水排污总量核算：</w:t>
            </w:r>
          </w:p>
          <w:p>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项目生活废水经化粪池处理后定期清掏作农肥，生产废水经沉淀池沉淀后循环使用，无废水外排，未设总量控制指标。</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 xml:space="preserve">4.3废气排污总量核算： </w:t>
            </w:r>
          </w:p>
          <w:p>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该项目</w:t>
            </w:r>
            <w:r>
              <w:rPr>
                <w:rFonts w:hint="default" w:ascii="Times New Roman" w:hAnsi="Times New Roman" w:eastAsia="宋体" w:cs="Times New Roman"/>
                <w:sz w:val="24"/>
                <w:highlight w:val="none"/>
                <w:lang w:val="en-US" w:eastAsia="zh-CN"/>
              </w:rPr>
              <w:t>破碎机排气筒</w:t>
            </w:r>
            <w:r>
              <w:rPr>
                <w:rFonts w:hint="default" w:ascii="Times New Roman" w:hAnsi="Times New Roman" w:eastAsia="宋体" w:cs="Times New Roman"/>
                <w:sz w:val="24"/>
                <w:highlight w:val="none"/>
              </w:rPr>
              <w:t>年</w:t>
            </w:r>
            <w:r>
              <w:rPr>
                <w:rFonts w:hint="default" w:ascii="Times New Roman" w:hAnsi="Times New Roman" w:cs="Times New Roman"/>
                <w:sz w:val="24"/>
                <w:highlight w:val="none"/>
                <w:lang w:val="en-US" w:eastAsia="zh-CN"/>
              </w:rPr>
              <w:t>工作约</w:t>
            </w:r>
            <w:r>
              <w:rPr>
                <w:rFonts w:hint="eastAsia" w:cs="Times New Roman"/>
                <w:sz w:val="24"/>
                <w:highlight w:val="none"/>
                <w:lang w:val="en-US" w:eastAsia="zh-CN"/>
              </w:rPr>
              <w:t>2400</w:t>
            </w:r>
            <w:r>
              <w:rPr>
                <w:rFonts w:hint="default" w:ascii="Times New Roman" w:hAnsi="Times New Roman" w:eastAsia="宋体" w:cs="Times New Roman"/>
                <w:sz w:val="24"/>
                <w:highlight w:val="none"/>
              </w:rPr>
              <w:t>小时</w:t>
            </w:r>
            <w:r>
              <w:rPr>
                <w:rFonts w:hint="eastAsia" w:cs="Times New Roman"/>
                <w:sz w:val="24"/>
                <w:highlight w:val="none"/>
                <w:lang w:eastAsia="zh-CN"/>
              </w:rPr>
              <w:t>，</w:t>
            </w:r>
            <w:r>
              <w:rPr>
                <w:rFonts w:hint="eastAsia" w:cs="Times New Roman"/>
                <w:sz w:val="24"/>
                <w:highlight w:val="none"/>
                <w:lang w:val="en-US" w:eastAsia="zh-CN"/>
              </w:rPr>
              <w:t>锅炉排气筒年工作约2400小时，</w:t>
            </w:r>
            <w:r>
              <w:rPr>
                <w:rFonts w:hint="default" w:ascii="Times New Roman" w:hAnsi="Times New Roman" w:eastAsia="宋体" w:cs="Times New Roman"/>
                <w:sz w:val="24"/>
                <w:highlight w:val="none"/>
                <w:lang w:val="en-US" w:eastAsia="zh-CN"/>
              </w:rPr>
              <w:t>项目</w:t>
            </w:r>
            <w:r>
              <w:rPr>
                <w:rFonts w:hint="eastAsia" w:cs="Times New Roman"/>
                <w:bCs/>
                <w:sz w:val="24"/>
                <w:highlight w:val="none"/>
                <w:lang w:val="en-US" w:eastAsia="zh-CN"/>
              </w:rPr>
              <w:t>烟（粉）尘</w:t>
            </w:r>
            <w:r>
              <w:rPr>
                <w:rFonts w:hint="default" w:ascii="Times New Roman" w:hAnsi="Times New Roman" w:eastAsia="宋体" w:cs="Times New Roman"/>
                <w:sz w:val="24"/>
                <w:highlight w:val="none"/>
              </w:rPr>
              <w:t>实际排放量为</w:t>
            </w:r>
            <w:r>
              <w:rPr>
                <w:rFonts w:hint="eastAsia" w:cs="Times New Roman"/>
                <w:bCs/>
                <w:sz w:val="24"/>
                <w:highlight w:val="none"/>
                <w:lang w:val="en-US" w:eastAsia="zh-CN"/>
              </w:rPr>
              <w:t>1.037</w:t>
            </w:r>
            <w:r>
              <w:rPr>
                <w:rFonts w:hint="default" w:ascii="Times New Roman" w:hAnsi="Times New Roman" w:eastAsia="宋体" w:cs="Times New Roman"/>
                <w:bCs/>
                <w:sz w:val="24"/>
                <w:highlight w:val="none"/>
              </w:rPr>
              <w:t>t/a</w:t>
            </w:r>
            <w:r>
              <w:rPr>
                <w:rFonts w:hint="eastAsia" w:cs="Times New Roman"/>
                <w:bCs/>
                <w:sz w:val="24"/>
                <w:highlight w:val="none"/>
                <w:lang w:eastAsia="zh-CN"/>
              </w:rPr>
              <w:t>，</w:t>
            </w:r>
            <w:r>
              <w:rPr>
                <w:rFonts w:hint="default" w:ascii="Times New Roman" w:hAnsi="Times New Roman" w:eastAsia="宋体" w:cs="Times New Roman"/>
                <w:kern w:val="2"/>
                <w:sz w:val="24"/>
                <w:szCs w:val="24"/>
                <w:highlight w:val="none"/>
                <w:lang w:val="en-US" w:eastAsia="zh-CN" w:bidi="ar-SA"/>
              </w:rPr>
              <w:t>SO</w:t>
            </w:r>
            <w:r>
              <w:rPr>
                <w:rFonts w:hint="default" w:ascii="Times New Roman" w:hAnsi="Times New Roman" w:eastAsia="宋体" w:cs="Times New Roman"/>
                <w:kern w:val="2"/>
                <w:sz w:val="24"/>
                <w:szCs w:val="24"/>
                <w:highlight w:val="none"/>
                <w:vertAlign w:val="subscript"/>
                <w:lang w:val="en-US" w:eastAsia="zh-CN" w:bidi="ar-SA"/>
              </w:rPr>
              <w:t>2</w:t>
            </w:r>
            <w:r>
              <w:rPr>
                <w:rFonts w:hint="eastAsia" w:cs="Times New Roman"/>
                <w:kern w:val="2"/>
                <w:sz w:val="24"/>
                <w:szCs w:val="24"/>
                <w:highlight w:val="none"/>
                <w:vertAlign w:val="subscript"/>
                <w:lang w:val="en-US" w:eastAsia="zh-CN" w:bidi="ar-SA"/>
              </w:rPr>
              <w:t xml:space="preserve"> </w:t>
            </w:r>
            <w:r>
              <w:rPr>
                <w:rFonts w:hint="default" w:ascii="Times New Roman" w:hAnsi="Times New Roman" w:eastAsia="宋体" w:cs="Times New Roman"/>
                <w:sz w:val="24"/>
                <w:highlight w:val="none"/>
              </w:rPr>
              <w:t>实际排放量为</w:t>
            </w:r>
            <w:r>
              <w:rPr>
                <w:rFonts w:hint="eastAsia" w:cs="Times New Roman"/>
                <w:bCs/>
                <w:sz w:val="24"/>
                <w:highlight w:val="none"/>
                <w:lang w:val="en-US" w:eastAsia="zh-CN"/>
              </w:rPr>
              <w:t>0.876</w:t>
            </w:r>
            <w:r>
              <w:rPr>
                <w:rFonts w:hint="default" w:ascii="Times New Roman" w:hAnsi="Times New Roman" w:eastAsia="宋体" w:cs="Times New Roman"/>
                <w:bCs/>
                <w:sz w:val="24"/>
                <w:highlight w:val="none"/>
              </w:rPr>
              <w:t>t/a</w:t>
            </w:r>
            <w:r>
              <w:rPr>
                <w:rFonts w:hint="eastAsia" w:cs="Times New Roman"/>
                <w:bCs/>
                <w:sz w:val="24"/>
                <w:highlight w:val="none"/>
                <w:lang w:eastAsia="zh-CN"/>
              </w:rPr>
              <w:t>，</w:t>
            </w:r>
            <w:r>
              <w:rPr>
                <w:rFonts w:hint="eastAsia" w:cs="Times New Roman"/>
                <w:bCs/>
                <w:sz w:val="24"/>
                <w:highlight w:val="none"/>
                <w:lang w:val="en-US" w:eastAsia="zh-CN"/>
              </w:rPr>
              <w:t>NOx实际排放量为2.59t/a，</w:t>
            </w:r>
            <w:r>
              <w:rPr>
                <w:rFonts w:hint="default" w:ascii="Times New Roman" w:hAnsi="Times New Roman" w:eastAsia="宋体" w:cs="Times New Roman"/>
                <w:sz w:val="24"/>
                <w:highlight w:val="none"/>
              </w:rPr>
              <w:t>符合环评控制要求，详见下表</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1585"/>
              <w:gridCol w:w="2094"/>
              <w:gridCol w:w="2220"/>
              <w:gridCol w:w="920"/>
              <w:gridCol w:w="9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041" w:type="dxa"/>
                  <w:shd w:val="clear" w:color="auto" w:fill="auto"/>
                  <w:vAlign w:val="center"/>
                </w:tcPr>
                <w:p>
                  <w:pPr>
                    <w:spacing w:line="276" w:lineRule="auto"/>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采样点位</w:t>
                  </w:r>
                </w:p>
              </w:tc>
              <w:tc>
                <w:tcPr>
                  <w:tcW w:w="1585" w:type="dxa"/>
                  <w:shd w:val="clear" w:color="auto" w:fill="auto"/>
                  <w:vAlign w:val="center"/>
                </w:tcPr>
                <w:p>
                  <w:pPr>
                    <w:spacing w:line="276" w:lineRule="auto"/>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监测项目</w:t>
                  </w:r>
                </w:p>
              </w:tc>
              <w:tc>
                <w:tcPr>
                  <w:tcW w:w="2094" w:type="dxa"/>
                  <w:shd w:val="clear" w:color="auto" w:fill="auto"/>
                  <w:vAlign w:val="center"/>
                </w:tcPr>
                <w:p>
                  <w:pPr>
                    <w:spacing w:line="276" w:lineRule="auto"/>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排放速率（kg/h）</w:t>
                  </w:r>
                </w:p>
              </w:tc>
              <w:tc>
                <w:tcPr>
                  <w:tcW w:w="2220" w:type="dxa"/>
                  <w:shd w:val="clear" w:color="auto" w:fill="auto"/>
                  <w:vAlign w:val="center"/>
                </w:tcPr>
                <w:p>
                  <w:pPr>
                    <w:spacing w:line="276" w:lineRule="auto"/>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实际年排放量（kg/a）</w:t>
                  </w:r>
                </w:p>
              </w:tc>
              <w:tc>
                <w:tcPr>
                  <w:tcW w:w="1841" w:type="dxa"/>
                  <w:gridSpan w:val="2"/>
                  <w:vAlign w:val="center"/>
                </w:tcPr>
                <w:p>
                  <w:pPr>
                    <w:spacing w:line="276" w:lineRule="auto"/>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合计排放量（</w:t>
                  </w:r>
                  <w:r>
                    <w:rPr>
                      <w:rFonts w:hint="default" w:ascii="Times New Roman" w:hAnsi="Times New Roman" w:eastAsia="宋体" w:cs="Times New Roman"/>
                      <w:bCs/>
                      <w:szCs w:val="21"/>
                      <w:highlight w:val="none"/>
                    </w:rPr>
                    <w:t>t/a</w:t>
                  </w:r>
                  <w:r>
                    <w:rPr>
                      <w:rFonts w:hint="default" w:ascii="Times New Roman" w:hAnsi="Times New Roman" w:eastAsia="宋体" w:cs="Times New Roman"/>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1" w:type="dxa"/>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破碎机排气筒出口</w:t>
                  </w:r>
                </w:p>
              </w:tc>
              <w:tc>
                <w:tcPr>
                  <w:tcW w:w="1585" w:type="dxa"/>
                  <w:shd w:val="clear" w:color="auto" w:fill="auto"/>
                  <w:vAlign w:val="center"/>
                </w:tcPr>
                <w:p>
                  <w:pPr>
                    <w:spacing w:line="276" w:lineRule="auto"/>
                    <w:jc w:val="center"/>
                    <w:rPr>
                      <w:rFonts w:hint="default" w:ascii="Times New Roman" w:hAnsi="Times New Roman" w:eastAsia="宋体" w:cs="Times New Roman"/>
                      <w:szCs w:val="21"/>
                      <w:highlight w:val="none"/>
                      <w:vertAlign w:val="subscript"/>
                    </w:rPr>
                  </w:pPr>
                  <w:r>
                    <w:rPr>
                      <w:rFonts w:hint="default" w:ascii="Times New Roman" w:hAnsi="Times New Roman" w:eastAsia="宋体" w:cs="Times New Roman"/>
                      <w:szCs w:val="21"/>
                      <w:highlight w:val="none"/>
                      <w:lang w:val="en-US" w:eastAsia="zh-CN"/>
                    </w:rPr>
                    <w:t>颗粒物</w:t>
                  </w:r>
                </w:p>
              </w:tc>
              <w:tc>
                <w:tcPr>
                  <w:tcW w:w="2094" w:type="dxa"/>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0.232</w:t>
                  </w:r>
                </w:p>
              </w:tc>
              <w:tc>
                <w:tcPr>
                  <w:tcW w:w="2220" w:type="dxa"/>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557</w:t>
                  </w:r>
                </w:p>
              </w:tc>
              <w:tc>
                <w:tcPr>
                  <w:tcW w:w="920" w:type="dxa"/>
                  <w:vAlign w:val="center"/>
                </w:tcPr>
                <w:p>
                  <w:pPr>
                    <w:spacing w:line="276" w:lineRule="auto"/>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0.557</w:t>
                  </w:r>
                </w:p>
              </w:tc>
              <w:tc>
                <w:tcPr>
                  <w:tcW w:w="921" w:type="dxa"/>
                  <w:vMerge w:val="restart"/>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1.037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1" w:type="dxa"/>
                  <w:vMerge w:val="restart"/>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锅炉排气筒</w:t>
                  </w:r>
                </w:p>
              </w:tc>
              <w:tc>
                <w:tcPr>
                  <w:tcW w:w="1585" w:type="dxa"/>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颗粒物</w:t>
                  </w:r>
                </w:p>
              </w:tc>
              <w:tc>
                <w:tcPr>
                  <w:tcW w:w="2094" w:type="dxa"/>
                  <w:shd w:val="clear" w:color="auto" w:fill="auto"/>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0.200</w:t>
                  </w:r>
                </w:p>
              </w:tc>
              <w:tc>
                <w:tcPr>
                  <w:tcW w:w="2220" w:type="dxa"/>
                  <w:shd w:val="clear" w:color="auto" w:fill="auto"/>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480</w:t>
                  </w:r>
                </w:p>
              </w:tc>
              <w:tc>
                <w:tcPr>
                  <w:tcW w:w="920" w:type="dxa"/>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0.480</w:t>
                  </w:r>
                </w:p>
              </w:tc>
              <w:tc>
                <w:tcPr>
                  <w:tcW w:w="921" w:type="dxa"/>
                  <w:vMerge w:val="continue"/>
                  <w:vAlign w:val="center"/>
                </w:tcPr>
                <w:p>
                  <w:pPr>
                    <w:spacing w:line="276" w:lineRule="auto"/>
                    <w:jc w:val="center"/>
                    <w:rPr>
                      <w:rFonts w:hint="eastAsia" w:cs="Times New Roman"/>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1" w:type="dxa"/>
                  <w:vMerge w:val="continue"/>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p>
              </w:tc>
              <w:tc>
                <w:tcPr>
                  <w:tcW w:w="1585" w:type="dxa"/>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二氧化硫</w:t>
                  </w:r>
                </w:p>
              </w:tc>
              <w:tc>
                <w:tcPr>
                  <w:tcW w:w="2094" w:type="dxa"/>
                  <w:shd w:val="clear" w:color="auto" w:fill="auto"/>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0.365</w:t>
                  </w:r>
                </w:p>
              </w:tc>
              <w:tc>
                <w:tcPr>
                  <w:tcW w:w="2220" w:type="dxa"/>
                  <w:shd w:val="clear" w:color="auto" w:fill="auto"/>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876</w:t>
                  </w:r>
                </w:p>
              </w:tc>
              <w:tc>
                <w:tcPr>
                  <w:tcW w:w="1841" w:type="dxa"/>
                  <w:gridSpan w:val="2"/>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0.876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1" w:type="dxa"/>
                  <w:vMerge w:val="continue"/>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p>
              </w:tc>
              <w:tc>
                <w:tcPr>
                  <w:tcW w:w="1585" w:type="dxa"/>
                  <w:shd w:val="clear" w:color="auto" w:fill="auto"/>
                  <w:vAlign w:val="center"/>
                </w:tcPr>
                <w:p>
                  <w:pPr>
                    <w:spacing w:line="276" w:lineRule="auto"/>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氮氧化物</w:t>
                  </w:r>
                </w:p>
              </w:tc>
              <w:tc>
                <w:tcPr>
                  <w:tcW w:w="2094" w:type="dxa"/>
                  <w:shd w:val="clear" w:color="auto" w:fill="auto"/>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1.081</w:t>
                  </w:r>
                </w:p>
              </w:tc>
              <w:tc>
                <w:tcPr>
                  <w:tcW w:w="2220" w:type="dxa"/>
                  <w:shd w:val="clear" w:color="auto" w:fill="auto"/>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2594</w:t>
                  </w:r>
                </w:p>
              </w:tc>
              <w:tc>
                <w:tcPr>
                  <w:tcW w:w="1841" w:type="dxa"/>
                  <w:gridSpan w:val="2"/>
                  <w:vAlign w:val="center"/>
                </w:tcPr>
                <w:p>
                  <w:pPr>
                    <w:spacing w:line="276" w:lineRule="auto"/>
                    <w:jc w:val="center"/>
                    <w:rPr>
                      <w:rFonts w:hint="default" w:cs="Times New Roman"/>
                      <w:szCs w:val="21"/>
                      <w:highlight w:val="none"/>
                      <w:lang w:val="en-US" w:eastAsia="zh-CN"/>
                    </w:rPr>
                  </w:pPr>
                  <w:r>
                    <w:rPr>
                      <w:rFonts w:hint="eastAsia" w:cs="Times New Roman"/>
                      <w:szCs w:val="21"/>
                      <w:highlight w:val="none"/>
                      <w:lang w:val="en-US" w:eastAsia="zh-CN"/>
                    </w:rPr>
                    <w:t>2.59</w:t>
                  </w:r>
                </w:p>
              </w:tc>
            </w:tr>
          </w:tbl>
          <w:p>
            <w:pPr>
              <w:spacing w:line="360" w:lineRule="auto"/>
              <w:rPr>
                <w:rFonts w:ascii="宋体" w:hAnsi="宋体" w:eastAsia="宋体" w:cs="Times New Roman"/>
                <w:sz w:val="18"/>
                <w:szCs w:val="18"/>
              </w:rPr>
            </w:pPr>
            <w:r>
              <w:rPr>
                <w:rFonts w:hint="eastAsia" w:ascii="宋体" w:hAnsi="宋体" w:eastAsia="宋体" w:cs="Times New Roman"/>
                <w:szCs w:val="21"/>
                <w:highlight w:val="none"/>
              </w:rPr>
              <w:t>注：本表排放速率为三次测量平均值</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表八</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vAlign w:val="center"/>
          </w:tcPr>
          <w:p>
            <w:pPr>
              <w:pStyle w:val="24"/>
              <w:jc w:val="both"/>
              <w:rPr>
                <w:rFonts w:ascii="宋体" w:hAnsi="宋体"/>
                <w:b/>
                <w:sz w:val="28"/>
                <w:szCs w:val="28"/>
                <w:highlight w:val="none"/>
                <w:lang w:eastAsia="zh-CN"/>
              </w:rPr>
            </w:pPr>
            <w:bookmarkStart w:id="43" w:name="_Toc8304035"/>
            <w:r>
              <w:rPr>
                <w:rFonts w:ascii="宋体" w:hAnsi="宋体"/>
                <w:b/>
                <w:sz w:val="28"/>
                <w:szCs w:val="28"/>
                <w:highlight w:val="none"/>
                <w:lang w:eastAsia="zh-CN"/>
              </w:rPr>
              <w:t>环评报告表及批复要求落实情况</w:t>
            </w:r>
            <w:bookmarkEnd w:id="43"/>
            <w:r>
              <w:rPr>
                <w:rFonts w:hint="eastAsia" w:ascii="宋体" w:hAnsi="宋体"/>
                <w:b/>
                <w:sz w:val="28"/>
                <w:szCs w:val="28"/>
                <w:highlight w:val="none"/>
                <w:lang w:eastAsia="zh-CN"/>
              </w:rPr>
              <w:t>：</w:t>
            </w:r>
          </w:p>
          <w:tbl>
            <w:tblPr>
              <w:tblStyle w:val="33"/>
              <w:tblW w:w="990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4053"/>
              <w:gridCol w:w="49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序号</w:t>
                  </w:r>
                </w:p>
              </w:tc>
              <w:tc>
                <w:tcPr>
                  <w:tcW w:w="4053"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报告表及批复要求</w:t>
                  </w:r>
                </w:p>
              </w:tc>
              <w:tc>
                <w:tcPr>
                  <w:tcW w:w="4918" w:type="dxa"/>
                  <w:shd w:val="clear" w:color="auto" w:fill="auto"/>
                  <w:vAlign w:val="center"/>
                </w:tcPr>
                <w:p>
                  <w:pPr>
                    <w:spacing w:line="276" w:lineRule="auto"/>
                    <w:jc w:val="center"/>
                    <w:rPr>
                      <w:rFonts w:ascii="宋体" w:hAnsi="宋体"/>
                      <w:szCs w:val="21"/>
                      <w:highlight w:val="yellow"/>
                    </w:rPr>
                  </w:pPr>
                  <w:r>
                    <w:rPr>
                      <w:rFonts w:hint="eastAsia" w:ascii="宋体" w:hAnsi="宋体"/>
                      <w:szCs w:val="21"/>
                      <w:highlight w:val="none"/>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1</w:t>
                  </w:r>
                </w:p>
              </w:tc>
              <w:tc>
                <w:tcPr>
                  <w:tcW w:w="4053" w:type="dxa"/>
                  <w:shd w:val="clear" w:color="auto" w:fill="auto"/>
                  <w:vAlign w:val="center"/>
                </w:tcPr>
                <w:p>
                  <w:pPr>
                    <w:spacing w:line="276" w:lineRule="auto"/>
                    <w:ind w:firstLine="436" w:firstLineChars="208"/>
                    <w:jc w:val="left"/>
                    <w:rPr>
                      <w:rFonts w:ascii="宋体" w:hAnsi="宋体"/>
                      <w:szCs w:val="21"/>
                      <w:highlight w:val="none"/>
                    </w:rPr>
                  </w:pPr>
                  <w:r>
                    <w:rPr>
                      <w:rFonts w:hint="eastAsia" w:ascii="宋体" w:hAnsi="宋体"/>
                      <w:szCs w:val="21"/>
                      <w:highlight w:val="none"/>
                    </w:rPr>
                    <w:t>该项目选址</w:t>
                  </w:r>
                  <w:r>
                    <w:rPr>
                      <w:rFonts w:hint="eastAsia" w:ascii="宋体" w:hAnsi="宋体"/>
                      <w:szCs w:val="21"/>
                      <w:highlight w:val="none"/>
                      <w:lang w:eastAsia="zh-CN"/>
                    </w:rPr>
                    <w:t>芜湖市沈巷镇保圩村</w:t>
                  </w:r>
                  <w:r>
                    <w:rPr>
                      <w:rFonts w:hint="eastAsia" w:ascii="宋体" w:hAnsi="宋体"/>
                      <w:szCs w:val="21"/>
                      <w:highlight w:val="none"/>
                    </w:rPr>
                    <w:t>，主要从事</w:t>
                  </w:r>
                  <w:r>
                    <w:rPr>
                      <w:rFonts w:hint="eastAsia" w:ascii="宋体" w:hAnsi="宋体"/>
                      <w:szCs w:val="21"/>
                      <w:highlight w:val="none"/>
                      <w:lang w:val="en-US" w:eastAsia="zh-CN"/>
                    </w:rPr>
                    <w:t>蒸压灰砂砖</w:t>
                  </w:r>
                  <w:r>
                    <w:rPr>
                      <w:rFonts w:hint="eastAsia" w:ascii="宋体" w:hAnsi="宋体"/>
                      <w:szCs w:val="21"/>
                      <w:highlight w:val="none"/>
                    </w:rPr>
                    <w:t>的生产加工。项目</w:t>
                  </w:r>
                  <w:r>
                    <w:rPr>
                      <w:rFonts w:ascii="宋体" w:hAnsi="宋体"/>
                      <w:szCs w:val="21"/>
                      <w:highlight w:val="none"/>
                    </w:rPr>
                    <w:t>投产后可实现</w:t>
                  </w:r>
                  <w:r>
                    <w:rPr>
                      <w:rFonts w:hint="eastAsia" w:ascii="宋体" w:hAnsi="宋体"/>
                      <w:szCs w:val="21"/>
                      <w:highlight w:val="none"/>
                    </w:rPr>
                    <w:t>年产</w:t>
                  </w:r>
                  <w:r>
                    <w:rPr>
                      <w:rFonts w:hint="eastAsia" w:ascii="宋体" w:hAnsi="宋体"/>
                      <w:szCs w:val="21"/>
                      <w:highlight w:val="none"/>
                      <w:lang w:val="en-US" w:eastAsia="zh-CN"/>
                    </w:rPr>
                    <w:t>1.2亿块蒸压灰砂砖</w:t>
                  </w:r>
                  <w:r>
                    <w:rPr>
                      <w:rFonts w:ascii="宋体" w:hAnsi="宋体"/>
                      <w:szCs w:val="21"/>
                      <w:highlight w:val="none"/>
                    </w:rPr>
                    <w:t>的生产规模</w:t>
                  </w:r>
                  <w:r>
                    <w:rPr>
                      <w:rFonts w:hint="eastAsia" w:ascii="宋体" w:hAnsi="宋体"/>
                      <w:szCs w:val="21"/>
                      <w:highlight w:val="none"/>
                    </w:rPr>
                    <w:t>。</w:t>
                  </w:r>
                </w:p>
              </w:tc>
              <w:tc>
                <w:tcPr>
                  <w:tcW w:w="4918" w:type="dxa"/>
                  <w:shd w:val="clear" w:color="auto" w:fill="auto"/>
                  <w:vAlign w:val="center"/>
                </w:tcPr>
                <w:p>
                  <w:pPr>
                    <w:numPr>
                      <w:ilvl w:val="0"/>
                      <w:numId w:val="3"/>
                    </w:numPr>
                    <w:spacing w:line="276" w:lineRule="auto"/>
                    <w:jc w:val="left"/>
                    <w:rPr>
                      <w:rFonts w:ascii="宋体" w:hAnsi="宋体"/>
                      <w:szCs w:val="21"/>
                      <w:highlight w:val="none"/>
                    </w:rPr>
                  </w:pPr>
                  <w:r>
                    <w:rPr>
                      <w:rFonts w:hint="eastAsia" w:ascii="宋体" w:hAnsi="宋体"/>
                      <w:szCs w:val="21"/>
                      <w:highlight w:val="none"/>
                    </w:rPr>
                    <w:t>该项目选址</w:t>
                  </w:r>
                  <w:r>
                    <w:rPr>
                      <w:rFonts w:hint="eastAsia" w:ascii="宋体" w:hAnsi="宋体"/>
                      <w:szCs w:val="21"/>
                      <w:highlight w:val="none"/>
                      <w:lang w:eastAsia="zh-CN"/>
                    </w:rPr>
                    <w:t>芜湖市沈巷镇保圩村</w:t>
                  </w:r>
                  <w:r>
                    <w:rPr>
                      <w:rFonts w:hint="eastAsia" w:ascii="宋体" w:hAnsi="宋体"/>
                      <w:szCs w:val="21"/>
                      <w:highlight w:val="none"/>
                    </w:rPr>
                    <w:t>进行</w:t>
                  </w:r>
                  <w:r>
                    <w:rPr>
                      <w:rFonts w:hint="eastAsia" w:ascii="宋体" w:hAnsi="宋体"/>
                      <w:szCs w:val="21"/>
                      <w:highlight w:val="none"/>
                      <w:lang w:eastAsia="zh-CN"/>
                    </w:rPr>
                    <w:t>年产1.2亿块蒸压灰砂砖项目</w:t>
                  </w:r>
                  <w:r>
                    <w:rPr>
                      <w:rFonts w:hint="eastAsia" w:ascii="宋体" w:hAnsi="宋体"/>
                      <w:szCs w:val="21"/>
                      <w:highlight w:val="none"/>
                    </w:rPr>
                    <w:t>的生产。</w:t>
                  </w:r>
                </w:p>
                <w:p>
                  <w:pPr>
                    <w:numPr>
                      <w:ilvl w:val="0"/>
                      <w:numId w:val="3"/>
                    </w:numPr>
                    <w:spacing w:line="276" w:lineRule="auto"/>
                    <w:jc w:val="left"/>
                    <w:rPr>
                      <w:rFonts w:ascii="宋体" w:hAnsi="宋体"/>
                      <w:szCs w:val="21"/>
                      <w:highlight w:val="none"/>
                    </w:rPr>
                  </w:pPr>
                  <w:r>
                    <w:rPr>
                      <w:rFonts w:hint="eastAsia" w:ascii="宋体" w:hAnsi="宋体"/>
                      <w:szCs w:val="21"/>
                      <w:highlight w:val="none"/>
                    </w:rPr>
                    <w:t>该项目实际生产能力已达到年产</w:t>
                  </w:r>
                  <w:r>
                    <w:rPr>
                      <w:rFonts w:hint="eastAsia" w:ascii="宋体" w:hAnsi="宋体"/>
                      <w:szCs w:val="21"/>
                      <w:highlight w:val="none"/>
                      <w:lang w:val="en-US" w:eastAsia="zh-CN"/>
                    </w:rPr>
                    <w:t>1.2亿块蒸压灰砂砖</w:t>
                  </w:r>
                  <w:r>
                    <w:rPr>
                      <w:rFonts w:hint="eastAsia" w:ascii="宋体" w:hAnsi="宋体"/>
                      <w:szCs w:val="21"/>
                      <w:highlight w:val="none"/>
                    </w:rPr>
                    <w:t xml:space="preserve">。 </w:t>
                  </w:r>
                </w:p>
                <w:p>
                  <w:pPr>
                    <w:numPr>
                      <w:ilvl w:val="0"/>
                      <w:numId w:val="3"/>
                    </w:numPr>
                    <w:spacing w:line="276" w:lineRule="auto"/>
                    <w:jc w:val="left"/>
                    <w:rPr>
                      <w:rFonts w:ascii="宋体" w:hAnsi="宋体"/>
                      <w:szCs w:val="21"/>
                      <w:highlight w:val="none"/>
                    </w:rPr>
                  </w:pPr>
                  <w:r>
                    <w:rPr>
                      <w:rFonts w:hint="eastAsia" w:ascii="宋体" w:hAnsi="宋体"/>
                      <w:szCs w:val="21"/>
                      <w:highlight w:val="none"/>
                    </w:rPr>
                    <w:t>该项目性质、平面布局及工艺均与环评相符。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2</w:t>
                  </w:r>
                </w:p>
              </w:tc>
              <w:tc>
                <w:tcPr>
                  <w:tcW w:w="4053" w:type="dxa"/>
                  <w:shd w:val="clear" w:color="auto" w:fill="auto"/>
                  <w:vAlign w:val="center"/>
                </w:tcPr>
                <w:p>
                  <w:pPr>
                    <w:spacing w:line="276" w:lineRule="auto"/>
                    <w:ind w:firstLine="436" w:firstLineChars="208"/>
                    <w:jc w:val="left"/>
                    <w:rPr>
                      <w:rFonts w:ascii="宋体" w:hAnsi="宋体"/>
                      <w:szCs w:val="21"/>
                      <w:highlight w:val="none"/>
                    </w:rPr>
                  </w:pPr>
                  <w:r>
                    <w:rPr>
                      <w:rFonts w:hint="eastAsia" w:ascii="宋体" w:hAnsi="宋体"/>
                      <w:szCs w:val="21"/>
                      <w:highlight w:val="none"/>
                    </w:rPr>
                    <w:t>项目必须按照“雨污分流”的原则，确保项目营运期产生的生活废水应采用化</w:t>
                  </w:r>
                  <w:r>
                    <w:rPr>
                      <w:rFonts w:hint="eastAsia" w:ascii="宋体" w:hAnsi="宋体"/>
                      <w:szCs w:val="21"/>
                      <w:highlight w:val="none"/>
                      <w:lang w:val="en-US" w:eastAsia="zh-CN"/>
                    </w:rPr>
                    <w:t>粪</w:t>
                  </w:r>
                  <w:r>
                    <w:rPr>
                      <w:rFonts w:hint="eastAsia" w:ascii="宋体" w:hAnsi="宋体"/>
                      <w:szCs w:val="21"/>
                      <w:highlight w:val="none"/>
                    </w:rPr>
                    <w:t>池收集处理，处理后水质满足《污水综合排放标准》(GB16297-1996)中的三</w:t>
                  </w:r>
                  <w:r>
                    <w:rPr>
                      <w:rFonts w:hint="eastAsia" w:ascii="宋体" w:hAnsi="宋体"/>
                      <w:szCs w:val="21"/>
                      <w:highlight w:val="none"/>
                      <w:lang w:val="en-US" w:eastAsia="zh-CN"/>
                    </w:rPr>
                    <w:t>级</w:t>
                  </w:r>
                  <w:r>
                    <w:rPr>
                      <w:rFonts w:hint="eastAsia" w:ascii="宋体" w:hAnsi="宋体"/>
                      <w:szCs w:val="21"/>
                      <w:highlight w:val="none"/>
                    </w:rPr>
                    <w:t>标准要求后进入沈巷工业园区污水管网，再由园区集中处理。</w:t>
                  </w:r>
                </w:p>
              </w:tc>
              <w:tc>
                <w:tcPr>
                  <w:tcW w:w="4918" w:type="dxa"/>
                  <w:shd w:val="clear" w:color="auto" w:fill="auto"/>
                  <w:vAlign w:val="center"/>
                </w:tcPr>
                <w:p>
                  <w:pPr>
                    <w:numPr>
                      <w:ilvl w:val="0"/>
                      <w:numId w:val="4"/>
                    </w:numPr>
                    <w:spacing w:line="276" w:lineRule="auto"/>
                    <w:jc w:val="left"/>
                    <w:rPr>
                      <w:rFonts w:hint="eastAsia" w:ascii="宋体" w:hAnsi="宋体"/>
                      <w:szCs w:val="21"/>
                      <w:highlight w:val="none"/>
                      <w:lang w:val="en-US" w:eastAsia="zh-CN"/>
                    </w:rPr>
                  </w:pPr>
                  <w:r>
                    <w:rPr>
                      <w:rFonts w:hint="eastAsia" w:ascii="宋体" w:hAnsi="宋体"/>
                      <w:szCs w:val="21"/>
                      <w:highlight w:val="none"/>
                      <w:lang w:val="en-US" w:eastAsia="zh-CN"/>
                    </w:rPr>
                    <w:t>项目废水主要为生活废水和生产废水。</w:t>
                  </w:r>
                </w:p>
                <w:p>
                  <w:pPr>
                    <w:numPr>
                      <w:ilvl w:val="0"/>
                      <w:numId w:val="4"/>
                    </w:numPr>
                    <w:spacing w:line="276" w:lineRule="auto"/>
                    <w:jc w:val="left"/>
                    <w:rPr>
                      <w:rFonts w:hint="eastAsia" w:ascii="宋体" w:hAnsi="宋体"/>
                      <w:szCs w:val="21"/>
                      <w:highlight w:val="none"/>
                    </w:rPr>
                  </w:pPr>
                  <w:r>
                    <w:rPr>
                      <w:rFonts w:hint="eastAsia" w:ascii="宋体" w:hAnsi="宋体"/>
                      <w:szCs w:val="21"/>
                      <w:highlight w:val="none"/>
                      <w:lang w:val="en-US" w:eastAsia="zh-CN"/>
                    </w:rPr>
                    <w:t>生活废水经化粪池处理后定期清掏作农肥，生产废水经沉淀池沉淀后循环使用，无废水外排。</w:t>
                  </w:r>
                </w:p>
                <w:p>
                  <w:pPr>
                    <w:numPr>
                      <w:ilvl w:val="0"/>
                      <w:numId w:val="4"/>
                    </w:numPr>
                    <w:spacing w:line="276" w:lineRule="auto"/>
                    <w:jc w:val="left"/>
                    <w:rPr>
                      <w:rFonts w:ascii="宋体" w:hAnsi="宋体"/>
                      <w:szCs w:val="21"/>
                      <w:highlight w:val="none"/>
                    </w:rPr>
                  </w:pPr>
                  <w:r>
                    <w:rPr>
                      <w:rFonts w:hint="eastAsia" w:ascii="宋体" w:hAnsi="宋体"/>
                      <w:color w:val="000000"/>
                      <w:szCs w:val="21"/>
                      <w:highlight w:val="none"/>
                      <w:lang w:val="en-US" w:eastAsia="zh-CN"/>
                    </w:rPr>
                    <w:t>项目产生的生活污水不外排，本次验收未对其进行监测。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3</w:t>
                  </w:r>
                </w:p>
              </w:tc>
              <w:tc>
                <w:tcPr>
                  <w:tcW w:w="4053" w:type="dxa"/>
                  <w:shd w:val="clear" w:color="auto" w:fill="auto"/>
                  <w:vAlign w:val="center"/>
                </w:tcPr>
                <w:p>
                  <w:pPr>
                    <w:spacing w:line="276" w:lineRule="auto"/>
                    <w:ind w:firstLine="420" w:firstLineChars="200"/>
                    <w:rPr>
                      <w:rFonts w:ascii="宋体" w:hAnsi="宋体"/>
                      <w:color w:val="000000"/>
                      <w:szCs w:val="21"/>
                      <w:highlight w:val="none"/>
                    </w:rPr>
                  </w:pPr>
                  <w:r>
                    <w:rPr>
                      <w:rFonts w:hint="eastAsia" w:ascii="宋体" w:hAnsi="宋体"/>
                      <w:color w:val="000000"/>
                      <w:szCs w:val="21"/>
                      <w:highlight w:val="none"/>
                    </w:rPr>
                    <w:t>锅炉必须配套安装脱硫除尘装置，保证锅炉废气排放达到《锅炉大气污物排放标准》(CB1321-2001)表1和表2中Ⅱ时段二类区排放标准值要求。</w:t>
                  </w:r>
                </w:p>
              </w:tc>
              <w:tc>
                <w:tcPr>
                  <w:tcW w:w="4918" w:type="dxa"/>
                  <w:shd w:val="clear" w:color="auto" w:fill="auto"/>
                  <w:vAlign w:val="center"/>
                </w:tcPr>
                <w:p>
                  <w:pPr>
                    <w:numPr>
                      <w:ilvl w:val="0"/>
                      <w:numId w:val="5"/>
                    </w:numPr>
                    <w:spacing w:line="276" w:lineRule="auto"/>
                    <w:jc w:val="left"/>
                  </w:pPr>
                  <w:r>
                    <w:rPr>
                      <w:rFonts w:hint="eastAsia"/>
                    </w:rPr>
                    <w:t>项目废气主要来源于</w:t>
                  </w:r>
                  <w:r>
                    <w:rPr>
                      <w:rFonts w:hint="eastAsia"/>
                      <w:lang w:val="en-US" w:eastAsia="zh-CN"/>
                    </w:rPr>
                    <w:t>原料运输、破碎、配料阶段产生的粉尘以及锅炉燃烧产生的烟尘</w:t>
                  </w:r>
                  <w:r>
                    <w:rPr>
                      <w:rFonts w:hint="eastAsia"/>
                    </w:rPr>
                    <w:t>。。</w:t>
                  </w:r>
                </w:p>
                <w:p>
                  <w:pPr>
                    <w:numPr>
                      <w:ilvl w:val="0"/>
                      <w:numId w:val="5"/>
                    </w:numPr>
                    <w:spacing w:line="276" w:lineRule="auto"/>
                    <w:jc w:val="left"/>
                  </w:pPr>
                  <w:r>
                    <w:rPr>
                      <w:rFonts w:hint="eastAsia"/>
                      <w:lang w:val="en-US" w:eastAsia="zh-CN"/>
                    </w:rPr>
                    <w:t>运输粉尘无组织排放；锅炉产生的烟尘经脉冲式布袋除尘器处理后由30米高1#排气筒排放；破碎产生的粉尘经脉冲式布袋除尘器处理后由15米高2#排气筒排放；配料搅拌工序废气经脉冲式布袋除尘器处理后以无组织形式外排。</w:t>
                  </w:r>
                </w:p>
                <w:p>
                  <w:pPr>
                    <w:numPr>
                      <w:ilvl w:val="0"/>
                      <w:numId w:val="5"/>
                    </w:numPr>
                    <w:spacing w:line="276" w:lineRule="auto"/>
                    <w:jc w:val="left"/>
                  </w:pPr>
                  <w:r>
                    <w:rPr>
                      <w:rFonts w:hint="eastAsia"/>
                    </w:rPr>
                    <w:t>有组织废气：</w:t>
                  </w:r>
                  <w:r>
                    <w:rPr>
                      <w:rFonts w:hint="eastAsia"/>
                      <w:lang w:val="en-US" w:eastAsia="zh-CN"/>
                    </w:rPr>
                    <w:t>2020年5月30日，芜湖市祥兴新型建材有限责任公司破碎机排气筒出口的颗粒物排放浓度和速率均满足《大气污染物综合排放标准》（GB16297-1996）中二级标准；锅炉排气筒出口颗粒物、二氧化硫、氮氧化物排放浓度均满足《锅炉大气污染物排放标准》（GB13271-2014）大气污染物特别排放限值中的燃煤锅炉标准。</w:t>
                  </w:r>
                </w:p>
                <w:p>
                  <w:pPr>
                    <w:numPr>
                      <w:ilvl w:val="0"/>
                      <w:numId w:val="0"/>
                    </w:numPr>
                    <w:spacing w:line="276" w:lineRule="auto"/>
                    <w:jc w:val="left"/>
                    <w:rPr>
                      <w:rFonts w:hint="eastAsia" w:eastAsia="宋体"/>
                      <w:lang w:eastAsia="zh-CN"/>
                    </w:rPr>
                  </w:pPr>
                  <w:r>
                    <w:rPr>
                      <w:rFonts w:hint="eastAsia"/>
                    </w:rPr>
                    <w:t>无组织废气：</w:t>
                  </w:r>
                  <w:r>
                    <w:rPr>
                      <w:rFonts w:hint="eastAsia"/>
                      <w:lang w:val="en-US" w:eastAsia="zh-CN"/>
                    </w:rPr>
                    <w:t>2020年5月30日，芜湖市祥兴新型建材有限责任公司上风向1个参照点，下风向3个监控点总悬浮颗粒物浓度均满足《大气污染物综合排放标准》（GB16297-1996）无组织限值要求。</w:t>
                  </w:r>
                  <w:r>
                    <w:rPr>
                      <w:rFonts w:hint="eastAsia"/>
                    </w:rPr>
                    <w:t>2020年8月12日，芜湖市祥兴新型建材有限责任公司居民楼总悬浮颗粒物浓度满足《大气污染物综合排放标准》（GB16297-1996）无组织限值要求</w:t>
                  </w:r>
                  <w:r>
                    <w:rPr>
                      <w:rFonts w:hint="eastAsia"/>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4</w:t>
                  </w:r>
                </w:p>
              </w:tc>
              <w:tc>
                <w:tcPr>
                  <w:tcW w:w="4053" w:type="dxa"/>
                  <w:shd w:val="clear" w:color="auto" w:fill="auto"/>
                  <w:vAlign w:val="center"/>
                </w:tcPr>
                <w:p>
                  <w:pPr>
                    <w:spacing w:line="276" w:lineRule="auto"/>
                    <w:ind w:firstLine="436" w:firstLineChars="208"/>
                    <w:jc w:val="left"/>
                    <w:rPr>
                      <w:rFonts w:ascii="宋体" w:hAnsi="宋体"/>
                      <w:szCs w:val="21"/>
                      <w:highlight w:val="none"/>
                    </w:rPr>
                  </w:pPr>
                  <w:r>
                    <w:rPr>
                      <w:rFonts w:hint="eastAsia" w:ascii="宋体" w:hAnsi="宋体"/>
                      <w:color w:val="000000"/>
                      <w:szCs w:val="21"/>
                      <w:highlight w:val="none"/>
                      <w:lang w:val="en-US" w:eastAsia="zh-CN"/>
                    </w:rPr>
                    <w:t>各类机械产生噪声，要采取减振、隔声、吸声、消声等降噪指施，确保厂界噪声达到《工业企业厂界环境噪声排放标准》(GB12348-2008)2类标准。</w:t>
                  </w:r>
                </w:p>
              </w:tc>
              <w:tc>
                <w:tcPr>
                  <w:tcW w:w="4918" w:type="dxa"/>
                  <w:shd w:val="clear" w:color="auto" w:fill="auto"/>
                  <w:vAlign w:val="center"/>
                </w:tcPr>
                <w:p>
                  <w:pPr>
                    <w:pStyle w:val="149"/>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cs="Times New Roman"/>
                      <w:sz w:val="21"/>
                      <w:szCs w:val="21"/>
                      <w:highlight w:val="none"/>
                    </w:rPr>
                    <w:t xml:space="preserve"> </w:t>
                  </w:r>
                  <w:r>
                    <w:rPr>
                      <w:rFonts w:hint="default" w:ascii="Times New Roman" w:hAnsi="Times New Roman" w:eastAsia="宋体" w:cs="Times New Roman"/>
                      <w:color w:val="auto"/>
                      <w:sz w:val="21"/>
                      <w:szCs w:val="21"/>
                      <w:highlight w:val="none"/>
                    </w:rPr>
                    <w:t>本项目主要噪声来自于</w:t>
                  </w:r>
                  <w:r>
                    <w:rPr>
                      <w:rFonts w:hint="default" w:ascii="Times New Roman" w:hAnsi="Times New Roman" w:eastAsia="宋体" w:cs="Times New Roman"/>
                      <w:color w:val="auto"/>
                      <w:sz w:val="21"/>
                      <w:szCs w:val="21"/>
                      <w:highlight w:val="none"/>
                      <w:lang w:val="en-US" w:eastAsia="zh-CN"/>
                    </w:rPr>
                    <w:t>破碎机、三斗配料系统等生产设备</w:t>
                  </w:r>
                  <w:r>
                    <w:rPr>
                      <w:rFonts w:hint="default" w:ascii="Times New Roman" w:hAnsi="Times New Roman" w:eastAsia="宋体" w:cs="Times New Roman"/>
                      <w:color w:val="auto"/>
                      <w:sz w:val="21"/>
                      <w:szCs w:val="21"/>
                      <w:highlight w:val="none"/>
                    </w:rPr>
                    <w:t>运行时产生的机械噪声。</w:t>
                  </w:r>
                </w:p>
                <w:p>
                  <w:pPr>
                    <w:pStyle w:val="149"/>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2.</w:t>
                  </w:r>
                  <w:r>
                    <w:rPr>
                      <w:rFonts w:hint="default" w:ascii="Times New Roman" w:hAnsi="Times New Roman" w:cs="Times New Roman"/>
                      <w:sz w:val="21"/>
                      <w:szCs w:val="21"/>
                      <w:highlight w:val="none"/>
                    </w:rPr>
                    <w:t xml:space="preserve"> </w:t>
                  </w:r>
                  <w:r>
                    <w:rPr>
                      <w:rFonts w:hint="default" w:ascii="Times New Roman" w:hAnsi="Times New Roman" w:eastAsia="宋体" w:cs="Times New Roman"/>
                      <w:color w:val="auto"/>
                      <w:sz w:val="21"/>
                      <w:szCs w:val="21"/>
                      <w:highlight w:val="none"/>
                    </w:rPr>
                    <w:t>企业通过设置减震基座、安装消声机、厂房隔声等措施降低噪声污染。</w:t>
                  </w:r>
                </w:p>
                <w:p>
                  <w:pPr>
                    <w:pStyle w:val="149"/>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default" w:ascii="Times New Roman" w:hAnsi="Times New Roman" w:eastAsia="宋体" w:cs="Times New Roman"/>
                      <w:sz w:val="21"/>
                      <w:szCs w:val="21"/>
                      <w:highlight w:val="none"/>
                      <w:lang w:val="en-US" w:eastAsia="zh-CN"/>
                    </w:rPr>
                    <w:t>2020年5月30日，芜湖市祥兴新型建材有限责任公司厂界东侧、厂界南侧、厂界西侧、厂界北侧昼间噪声满足《工业企业厂界环境噪声排放标准》（GB12348-2008）中2类标准。2020年8月12日，芜湖市祥兴新型建材有限责任公司居民楼昼间、夜间噪声均满足《工业企业厂界环境噪声排放标准》（GB12348-2008）中2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5</w:t>
                  </w:r>
                </w:p>
              </w:tc>
              <w:tc>
                <w:tcPr>
                  <w:tcW w:w="4053" w:type="dxa"/>
                  <w:shd w:val="clear" w:color="auto" w:fill="auto"/>
                  <w:vAlign w:val="center"/>
                </w:tcPr>
                <w:p>
                  <w:pPr>
                    <w:spacing w:line="276" w:lineRule="auto"/>
                    <w:ind w:firstLine="525" w:firstLineChars="250"/>
                    <w:rPr>
                      <w:rFonts w:ascii="宋体" w:hAnsi="宋体"/>
                      <w:color w:val="000000"/>
                      <w:szCs w:val="21"/>
                      <w:highlight w:val="none"/>
                    </w:rPr>
                  </w:pPr>
                  <w:r>
                    <w:rPr>
                      <w:rFonts w:hint="eastAsia" w:ascii="宋体" w:hAnsi="宋体"/>
                      <w:color w:val="000000"/>
                      <w:szCs w:val="21"/>
                      <w:highlight w:val="none"/>
                    </w:rPr>
                    <w:t>产生的固体废物必须采取综合利用或进行要善处置处理，不对外排放，严禁产生二次污染。</w:t>
                  </w:r>
                </w:p>
              </w:tc>
              <w:tc>
                <w:tcPr>
                  <w:tcW w:w="4918" w:type="dxa"/>
                  <w:shd w:val="clear" w:color="auto" w:fill="auto"/>
                  <w:vAlign w:val="center"/>
                </w:tcPr>
                <w:p>
                  <w:pPr>
                    <w:numPr>
                      <w:ilvl w:val="0"/>
                      <w:numId w:val="6"/>
                    </w:numPr>
                    <w:spacing w:line="276" w:lineRule="auto"/>
                    <w:jc w:val="left"/>
                    <w:rPr>
                      <w:rFonts w:hint="default" w:ascii="Times New Roman" w:hAnsi="Times New Roman" w:cs="Times New Roman"/>
                      <w:color w:val="000000"/>
                      <w:szCs w:val="21"/>
                      <w:highlight w:val="none"/>
                    </w:rPr>
                  </w:pPr>
                  <w:r>
                    <w:rPr>
                      <w:rFonts w:hint="default" w:ascii="Times New Roman" w:hAnsi="Times New Roman" w:cs="Times New Roman"/>
                      <w:kern w:val="0"/>
                      <w:szCs w:val="21"/>
                      <w:highlight w:val="none"/>
                    </w:rPr>
                    <w:t>本项目产生的固体废物为生产</w:t>
                  </w:r>
                  <w:r>
                    <w:rPr>
                      <w:rFonts w:hint="default" w:ascii="Times New Roman" w:hAnsi="Times New Roman" w:cs="Times New Roman"/>
                      <w:kern w:val="0"/>
                      <w:szCs w:val="21"/>
                      <w:highlight w:val="none"/>
                      <w:lang w:eastAsia="zh-CN"/>
                    </w:rPr>
                    <w:t>加压成型过程中产生的多余骨料，检验时</w:t>
                  </w:r>
                  <w:r>
                    <w:rPr>
                      <w:rFonts w:hint="default" w:ascii="Times New Roman" w:hAnsi="Times New Roman" w:cs="Times New Roman"/>
                      <w:kern w:val="0"/>
                      <w:szCs w:val="21"/>
                      <w:highlight w:val="none"/>
                      <w:lang w:val="en-US" w:eastAsia="zh-CN"/>
                    </w:rPr>
                    <w:t>产生的</w:t>
                  </w:r>
                  <w:r>
                    <w:rPr>
                      <w:rFonts w:hint="default" w:ascii="Times New Roman" w:hAnsi="Times New Roman" w:cs="Times New Roman"/>
                      <w:kern w:val="0"/>
                      <w:szCs w:val="21"/>
                      <w:highlight w:val="none"/>
                      <w:lang w:eastAsia="zh-CN"/>
                    </w:rPr>
                    <w:t>废品，</w:t>
                  </w:r>
                  <w:r>
                    <w:rPr>
                      <w:rFonts w:hint="default" w:ascii="Times New Roman" w:hAnsi="Times New Roman" w:cs="Times New Roman"/>
                      <w:kern w:val="0"/>
                      <w:szCs w:val="21"/>
                      <w:highlight w:val="none"/>
                      <w:lang w:val="en-US" w:eastAsia="zh-CN"/>
                    </w:rPr>
                    <w:t>以及员工日常生活垃圾。</w:t>
                  </w:r>
                </w:p>
                <w:p>
                  <w:pPr>
                    <w:numPr>
                      <w:ilvl w:val="0"/>
                      <w:numId w:val="6"/>
                    </w:numPr>
                    <w:spacing w:line="276" w:lineRule="auto"/>
                    <w:jc w:val="left"/>
                    <w:rPr>
                      <w:rFonts w:hint="default" w:ascii="Times New Roman" w:hAnsi="Times New Roman" w:cs="Times New Roman"/>
                      <w:color w:val="000000"/>
                      <w:szCs w:val="21"/>
                      <w:highlight w:val="none"/>
                    </w:rPr>
                  </w:pPr>
                  <w:r>
                    <w:rPr>
                      <w:rFonts w:hint="default" w:ascii="Times New Roman" w:hAnsi="Times New Roman" w:cs="Times New Roman"/>
                      <w:szCs w:val="21"/>
                      <w:highlight w:val="none"/>
                    </w:rPr>
                    <w:t>项目</w:t>
                  </w:r>
                  <w:r>
                    <w:rPr>
                      <w:rFonts w:hint="default" w:ascii="Times New Roman" w:hAnsi="Times New Roman" w:cs="Times New Roman"/>
                      <w:szCs w:val="21"/>
                      <w:highlight w:val="none"/>
                      <w:lang w:eastAsia="zh-CN"/>
                    </w:rPr>
                    <w:t>骨料、废品</w:t>
                  </w:r>
                  <w:r>
                    <w:rPr>
                      <w:rFonts w:hint="default" w:ascii="Times New Roman" w:hAnsi="Times New Roman" w:cs="Times New Roman"/>
                      <w:szCs w:val="21"/>
                      <w:highlight w:val="none"/>
                      <w:lang w:val="en-US" w:eastAsia="zh-CN"/>
                    </w:rPr>
                    <w:t>收集后回用于生产，生活垃圾集中收集后交由环卫部门清运，统一处理。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6" w:hRule="atLeast"/>
              </w:trPr>
              <w:tc>
                <w:tcPr>
                  <w:tcW w:w="930" w:type="dxa"/>
                  <w:shd w:val="clear" w:color="auto" w:fill="auto"/>
                  <w:vAlign w:val="center"/>
                </w:tcPr>
                <w:p>
                  <w:pPr>
                    <w:spacing w:line="276" w:lineRule="auto"/>
                    <w:jc w:val="center"/>
                    <w:rPr>
                      <w:rFonts w:hint="eastAsia" w:ascii="宋体" w:hAnsi="宋体" w:eastAsia="宋体"/>
                      <w:szCs w:val="21"/>
                      <w:highlight w:val="none"/>
                      <w:lang w:eastAsia="zh-CN"/>
                    </w:rPr>
                  </w:pPr>
                  <w:r>
                    <w:rPr>
                      <w:rFonts w:hint="eastAsia" w:ascii="宋体" w:hAnsi="宋体"/>
                      <w:szCs w:val="21"/>
                      <w:highlight w:val="none"/>
                      <w:lang w:val="en-US" w:eastAsia="zh-CN"/>
                    </w:rPr>
                    <w:t>6</w:t>
                  </w:r>
                </w:p>
              </w:tc>
              <w:tc>
                <w:tcPr>
                  <w:tcW w:w="4053" w:type="dxa"/>
                  <w:shd w:val="clear" w:color="auto" w:fill="auto"/>
                  <w:vAlign w:val="center"/>
                </w:tcPr>
                <w:p>
                  <w:pPr>
                    <w:spacing w:line="360" w:lineRule="auto"/>
                    <w:ind w:firstLine="420" w:firstLineChars="200"/>
                    <w:jc w:val="left"/>
                    <w:rPr>
                      <w:rFonts w:ascii="宋体" w:hAnsi="宋体"/>
                      <w:color w:val="000000"/>
                      <w:szCs w:val="21"/>
                      <w:highlight w:val="none"/>
                    </w:rPr>
                  </w:pPr>
                  <w:r>
                    <w:rPr>
                      <w:rFonts w:hint="default" w:ascii="Times New Roman" w:hAnsi="Times New Roman" w:eastAsia="宋体" w:cs="Times New Roman"/>
                      <w:kern w:val="2"/>
                      <w:sz w:val="21"/>
                      <w:szCs w:val="21"/>
                      <w:highlight w:val="none"/>
                      <w:lang w:val="en-US" w:eastAsia="zh-CN" w:bidi="ar-SA"/>
                    </w:rPr>
                    <w:t>本项目总量控制指标为SO</w:t>
                  </w:r>
                  <w:r>
                    <w:rPr>
                      <w:rFonts w:hint="default" w:ascii="Times New Roman" w:hAnsi="Times New Roman" w:eastAsia="宋体" w:cs="Times New Roman"/>
                      <w:kern w:val="2"/>
                      <w:sz w:val="21"/>
                      <w:szCs w:val="21"/>
                      <w:highlight w:val="none"/>
                      <w:vertAlign w:val="subscript"/>
                      <w:lang w:val="en-US" w:eastAsia="zh-CN" w:bidi="ar-SA"/>
                    </w:rPr>
                    <w:t>2</w:t>
                  </w:r>
                  <w:r>
                    <w:rPr>
                      <w:rFonts w:hint="eastAsia" w:cs="Times New Roman"/>
                      <w:kern w:val="2"/>
                      <w:sz w:val="21"/>
                      <w:szCs w:val="21"/>
                      <w:highlight w:val="none"/>
                      <w:vertAlign w:val="subscript"/>
                      <w:lang w:val="en-US" w:eastAsia="zh-CN" w:bidi="ar-SA"/>
                    </w:rPr>
                    <w:t xml:space="preserve">  </w:t>
                  </w:r>
                  <w:r>
                    <w:rPr>
                      <w:rFonts w:hint="eastAsia" w:cs="Times New Roman"/>
                      <w:kern w:val="2"/>
                      <w:sz w:val="21"/>
                      <w:szCs w:val="21"/>
                      <w:highlight w:val="none"/>
                      <w:vertAlign w:val="baseline"/>
                      <w:lang w:val="en-US" w:eastAsia="zh-CN" w:bidi="ar-SA"/>
                    </w:rPr>
                    <w:t>2.736t/a</w:t>
                  </w:r>
                  <w:r>
                    <w:rPr>
                      <w:rFonts w:hint="default" w:ascii="Times New Roman" w:hAnsi="Times New Roman" w:eastAsia="宋体" w:cs="Times New Roman"/>
                      <w:kern w:val="2"/>
                      <w:sz w:val="21"/>
                      <w:szCs w:val="21"/>
                      <w:highlight w:val="none"/>
                      <w:lang w:val="en-US" w:eastAsia="zh-CN" w:bidi="ar-SA"/>
                    </w:rPr>
                    <w:t>、NOx</w:t>
                  </w:r>
                  <w:r>
                    <w:rPr>
                      <w:rFonts w:hint="eastAsia" w:cs="Times New Roman"/>
                      <w:kern w:val="2"/>
                      <w:sz w:val="21"/>
                      <w:szCs w:val="21"/>
                      <w:highlight w:val="none"/>
                      <w:lang w:val="en-US" w:eastAsia="zh-CN" w:bidi="ar-SA"/>
                    </w:rPr>
                    <w:t xml:space="preserve"> 2.818t/a</w:t>
                  </w:r>
                  <w:r>
                    <w:rPr>
                      <w:rFonts w:hint="default" w:ascii="Times New Roman" w:hAnsi="Times New Roman" w:eastAsia="宋体" w:cs="Times New Roman"/>
                      <w:kern w:val="2"/>
                      <w:sz w:val="21"/>
                      <w:szCs w:val="21"/>
                      <w:highlight w:val="none"/>
                      <w:lang w:val="en-US" w:eastAsia="zh-CN" w:bidi="ar-SA"/>
                    </w:rPr>
                    <w:t>、烟（粉）尘</w:t>
                  </w:r>
                  <w:r>
                    <w:rPr>
                      <w:rFonts w:hint="eastAsia" w:cs="Times New Roman"/>
                      <w:kern w:val="2"/>
                      <w:sz w:val="21"/>
                      <w:szCs w:val="21"/>
                      <w:highlight w:val="none"/>
                      <w:lang w:val="en-US" w:eastAsia="zh-CN" w:bidi="ar-SA"/>
                    </w:rPr>
                    <w:t xml:space="preserve"> 2.596t/a</w:t>
                  </w:r>
                  <w:r>
                    <w:rPr>
                      <w:rFonts w:hint="eastAsia" w:ascii="宋体" w:hAnsi="宋体"/>
                      <w:bCs/>
                      <w:color w:val="000000"/>
                      <w:sz w:val="21"/>
                      <w:szCs w:val="21"/>
                      <w:highlight w:val="none"/>
                    </w:rPr>
                    <w:t>。</w:t>
                  </w:r>
                </w:p>
              </w:tc>
              <w:tc>
                <w:tcPr>
                  <w:tcW w:w="4918" w:type="dxa"/>
                  <w:shd w:val="clear" w:color="auto" w:fill="auto"/>
                  <w:vAlign w:val="center"/>
                </w:tcPr>
                <w:p>
                  <w:pPr>
                    <w:spacing w:line="276" w:lineRule="auto"/>
                    <w:ind w:left="220" w:leftChars="0" w:firstLine="178" w:firstLineChars="85"/>
                    <w:jc w:val="left"/>
                    <w:rPr>
                      <w:rFonts w:hint="eastAsia" w:eastAsia="宋体"/>
                      <w:kern w:val="0"/>
                      <w:szCs w:val="21"/>
                      <w:highlight w:val="yellow"/>
                      <w:lang w:val="en-US" w:eastAsia="zh-CN"/>
                    </w:rPr>
                  </w:pPr>
                  <w:r>
                    <w:rPr>
                      <w:rFonts w:hint="eastAsia"/>
                      <w:kern w:val="0"/>
                      <w:szCs w:val="21"/>
                      <w:highlight w:val="none"/>
                      <w:lang w:val="en-US" w:eastAsia="zh-CN"/>
                    </w:rPr>
                    <w:t>项目烟（粉）尘</w:t>
                  </w:r>
                  <w:r>
                    <w:rPr>
                      <w:rFonts w:hint="eastAsia"/>
                      <w:kern w:val="0"/>
                      <w:szCs w:val="21"/>
                      <w:highlight w:val="none"/>
                    </w:rPr>
                    <w:t>实际排放量为</w:t>
                  </w:r>
                  <w:r>
                    <w:rPr>
                      <w:rFonts w:hint="eastAsia"/>
                      <w:kern w:val="0"/>
                      <w:szCs w:val="21"/>
                      <w:highlight w:val="none"/>
                      <w:lang w:val="en-US" w:eastAsia="zh-CN"/>
                    </w:rPr>
                    <w:t>1.037</w:t>
                  </w:r>
                  <w:r>
                    <w:rPr>
                      <w:rFonts w:hint="eastAsia"/>
                      <w:kern w:val="0"/>
                      <w:szCs w:val="21"/>
                      <w:highlight w:val="none"/>
                    </w:rPr>
                    <w:t>t/a</w:t>
                  </w:r>
                  <w:r>
                    <w:rPr>
                      <w:rFonts w:hint="eastAsia"/>
                      <w:kern w:val="0"/>
                      <w:szCs w:val="21"/>
                      <w:highlight w:val="none"/>
                      <w:lang w:eastAsia="zh-CN"/>
                    </w:rPr>
                    <w:t>，</w:t>
                  </w:r>
                  <w:r>
                    <w:rPr>
                      <w:rFonts w:hint="eastAsia"/>
                      <w:kern w:val="0"/>
                      <w:szCs w:val="21"/>
                      <w:highlight w:val="none"/>
                      <w:lang w:val="en-US" w:eastAsia="zh-CN"/>
                    </w:rPr>
                    <w:t>SO</w:t>
                  </w:r>
                  <w:r>
                    <w:rPr>
                      <w:rFonts w:hint="eastAsia"/>
                      <w:kern w:val="0"/>
                      <w:szCs w:val="21"/>
                      <w:highlight w:val="none"/>
                      <w:vertAlign w:val="subscript"/>
                      <w:lang w:val="en-US" w:eastAsia="zh-CN"/>
                    </w:rPr>
                    <w:t>2</w:t>
                  </w:r>
                  <w:r>
                    <w:rPr>
                      <w:rFonts w:hint="eastAsia"/>
                      <w:kern w:val="0"/>
                      <w:szCs w:val="21"/>
                      <w:highlight w:val="none"/>
                      <w:lang w:val="en-US" w:eastAsia="zh-CN"/>
                    </w:rPr>
                    <w:t xml:space="preserve"> </w:t>
                  </w:r>
                  <w:r>
                    <w:rPr>
                      <w:rFonts w:hint="eastAsia"/>
                      <w:kern w:val="0"/>
                      <w:szCs w:val="21"/>
                      <w:highlight w:val="none"/>
                    </w:rPr>
                    <w:t>实际排放量为</w:t>
                  </w:r>
                  <w:r>
                    <w:rPr>
                      <w:rFonts w:hint="eastAsia"/>
                      <w:kern w:val="0"/>
                      <w:szCs w:val="21"/>
                      <w:highlight w:val="none"/>
                      <w:lang w:val="en-US" w:eastAsia="zh-CN"/>
                    </w:rPr>
                    <w:t>0.876</w:t>
                  </w:r>
                  <w:r>
                    <w:rPr>
                      <w:rFonts w:hint="eastAsia"/>
                      <w:kern w:val="0"/>
                      <w:szCs w:val="21"/>
                      <w:highlight w:val="none"/>
                    </w:rPr>
                    <w:t>t/a</w:t>
                  </w:r>
                  <w:r>
                    <w:rPr>
                      <w:rFonts w:hint="eastAsia"/>
                      <w:kern w:val="0"/>
                      <w:szCs w:val="21"/>
                      <w:highlight w:val="none"/>
                      <w:lang w:eastAsia="zh-CN"/>
                    </w:rPr>
                    <w:t>，</w:t>
                  </w:r>
                  <w:r>
                    <w:rPr>
                      <w:rFonts w:hint="eastAsia"/>
                      <w:kern w:val="0"/>
                      <w:szCs w:val="21"/>
                      <w:highlight w:val="none"/>
                      <w:lang w:val="en-US" w:eastAsia="zh-CN"/>
                    </w:rPr>
                    <w:t>NOx实际排放量为2.59t/a，</w:t>
                  </w:r>
                  <w:r>
                    <w:rPr>
                      <w:rFonts w:hint="eastAsia"/>
                      <w:kern w:val="0"/>
                      <w:szCs w:val="21"/>
                      <w:highlight w:val="none"/>
                    </w:rPr>
                    <w:t>符合环评控制要求</w:t>
                  </w:r>
                  <w:r>
                    <w:rPr>
                      <w:rFonts w:hint="eastAsia"/>
                      <w:kern w:val="0"/>
                      <w:szCs w:val="21"/>
                      <w:highlight w:val="none"/>
                      <w:lang w:eastAsia="zh-CN"/>
                    </w:rPr>
                    <w:t>。</w:t>
                  </w:r>
                </w:p>
              </w:tc>
            </w:tr>
          </w:tbl>
          <w:p>
            <w:pPr>
              <w:spacing w:line="360" w:lineRule="auto"/>
              <w:rPr>
                <w:rFonts w:ascii="宋体" w:hAnsi="宋体"/>
                <w:sz w:val="24"/>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表九</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验收监测结论：</w:t>
            </w:r>
          </w:p>
          <w:p>
            <w:pPr>
              <w:pStyle w:val="24"/>
              <w:jc w:val="both"/>
              <w:rPr>
                <w:rFonts w:ascii="宋体" w:hAnsi="宋体"/>
                <w:b/>
                <w:sz w:val="28"/>
                <w:szCs w:val="28"/>
                <w:lang w:eastAsia="zh-CN"/>
              </w:rPr>
            </w:pPr>
            <w:r>
              <w:rPr>
                <w:rFonts w:hint="eastAsia" w:ascii="宋体" w:hAnsi="宋体"/>
                <w:b/>
                <w:sz w:val="28"/>
                <w:szCs w:val="28"/>
                <w:lang w:val="en-US" w:eastAsia="zh-CN"/>
              </w:rPr>
              <w:t>1</w:t>
            </w:r>
            <w:r>
              <w:rPr>
                <w:rFonts w:hint="eastAsia" w:ascii="宋体" w:hAnsi="宋体"/>
                <w:b/>
                <w:sz w:val="28"/>
                <w:szCs w:val="28"/>
                <w:lang w:eastAsia="zh-CN"/>
              </w:rPr>
              <w:t>、废气</w:t>
            </w:r>
          </w:p>
          <w:p>
            <w:pPr>
              <w:spacing w:line="360" w:lineRule="auto"/>
              <w:rPr>
                <w:sz w:val="24"/>
                <w:lang w:val="zh-CN" w:bidi="en-US"/>
              </w:rPr>
            </w:pPr>
            <w:r>
              <w:rPr>
                <w:rFonts w:hint="eastAsia"/>
                <w:sz w:val="24"/>
                <w:lang w:val="zh-CN" w:bidi="en-US"/>
              </w:rPr>
              <w:t>本次监测结果显示：</w:t>
            </w:r>
          </w:p>
          <w:p>
            <w:pPr>
              <w:spacing w:line="360" w:lineRule="auto"/>
              <w:ind w:firstLine="480" w:firstLineChars="200"/>
              <w:rPr>
                <w:rFonts w:ascii="宋体" w:hAnsi="宋体"/>
                <w:sz w:val="24"/>
              </w:rPr>
            </w:pPr>
            <w:r>
              <w:rPr>
                <w:rFonts w:hint="eastAsia" w:ascii="宋体" w:hAnsi="宋体"/>
                <w:sz w:val="24"/>
              </w:rPr>
              <w:t>有组织废气：</w:t>
            </w:r>
            <w:r>
              <w:rPr>
                <w:rFonts w:hint="eastAsia" w:ascii="宋体" w:hAnsi="宋体"/>
                <w:sz w:val="24"/>
                <w:lang w:val="en-US" w:eastAsia="zh-CN"/>
              </w:rPr>
              <w:t>2020年5月30日，芜湖市祥兴新型建材有限责任公司破碎机排气筒出口的颗粒物排放浓度和速率均满足《大气污染物综合排放标准》（GB16297-1996）中二级标准；锅炉排气筒出口颗粒物、二氧化硫、氮氧化物排放浓度均满足《锅炉大气污染物排放标准》（GB13271-2014）大气污染物特别排放限值中的燃煤锅炉标准。</w:t>
            </w:r>
          </w:p>
          <w:p>
            <w:pPr>
              <w:spacing w:line="360" w:lineRule="auto"/>
              <w:ind w:firstLine="480" w:firstLineChars="200"/>
              <w:rPr>
                <w:rFonts w:ascii="宋体" w:hAnsi="宋体"/>
                <w:sz w:val="24"/>
                <w:highlight w:val="none"/>
              </w:rPr>
            </w:pPr>
            <w:r>
              <w:rPr>
                <w:rFonts w:hint="eastAsia" w:ascii="宋体" w:hAnsi="宋体"/>
                <w:sz w:val="24"/>
              </w:rPr>
              <w:t>无组织废气：</w:t>
            </w:r>
            <w:r>
              <w:rPr>
                <w:rFonts w:hint="eastAsia" w:ascii="宋体" w:hAnsi="宋体"/>
                <w:sz w:val="24"/>
                <w:lang w:val="en-US" w:eastAsia="zh-CN"/>
              </w:rPr>
              <w:t>2020年5月30日，芜湖市祥兴新型建材有限责任公司上风向1个参照点，下风向3个监控点总悬浮颗粒物浓度均满足《大气污染物综合排放标准》（GB16297-1996）无组织限值要求。</w:t>
            </w:r>
            <w:r>
              <w:rPr>
                <w:rFonts w:ascii="宋体" w:hAnsi="宋体"/>
                <w:sz w:val="24"/>
                <w:highlight w:val="none"/>
              </w:rPr>
              <w:t xml:space="preserve"> </w:t>
            </w:r>
            <w:r>
              <w:rPr>
                <w:rFonts w:hint="eastAsia" w:ascii="宋体" w:hAnsi="宋体"/>
                <w:sz w:val="24"/>
                <w:highlight w:val="none"/>
              </w:rPr>
              <w:t>2020年8月12日，芜湖市祥兴新型建材有限责任公司居民楼总悬浮颗粒物浓度满足《大气污染物综合排放标准》（GB16297-1996）无组织限值要求</w:t>
            </w:r>
            <w:r>
              <w:rPr>
                <w:rFonts w:hint="eastAsia" w:ascii="宋体" w:hAnsi="宋体"/>
                <w:sz w:val="24"/>
                <w:highlight w:val="none"/>
                <w:lang w:eastAsia="zh-CN"/>
              </w:rPr>
              <w:t>。</w:t>
            </w:r>
          </w:p>
          <w:p>
            <w:pPr>
              <w:pStyle w:val="24"/>
              <w:jc w:val="both"/>
              <w:rPr>
                <w:rFonts w:ascii="宋体" w:hAnsi="宋体"/>
                <w:b/>
                <w:sz w:val="28"/>
                <w:szCs w:val="28"/>
                <w:lang w:eastAsia="zh-CN"/>
              </w:rPr>
            </w:pPr>
            <w:r>
              <w:rPr>
                <w:rFonts w:hint="eastAsia" w:ascii="宋体" w:hAnsi="宋体"/>
                <w:b/>
                <w:sz w:val="28"/>
                <w:szCs w:val="28"/>
                <w:lang w:val="en-US" w:eastAsia="zh-CN"/>
              </w:rPr>
              <w:t>2</w:t>
            </w:r>
            <w:r>
              <w:rPr>
                <w:rFonts w:hint="eastAsia" w:ascii="宋体" w:hAnsi="宋体"/>
                <w:b/>
                <w:sz w:val="28"/>
                <w:szCs w:val="28"/>
                <w:lang w:eastAsia="zh-CN"/>
              </w:rPr>
              <w:t xml:space="preserve">、噪声 </w:t>
            </w:r>
          </w:p>
          <w:p>
            <w:pPr>
              <w:pStyle w:val="24"/>
              <w:ind w:firstLine="480" w:firstLineChars="200"/>
              <w:jc w:val="both"/>
              <w:rPr>
                <w:rFonts w:ascii="宋体" w:hAnsi="宋体" w:cs="宋体"/>
                <w:kern w:val="2"/>
                <w:sz w:val="24"/>
                <w:lang w:val="en-US" w:eastAsia="zh-CN" w:bidi="ar-SA"/>
              </w:rPr>
            </w:pPr>
            <w:r>
              <w:rPr>
                <w:rFonts w:hint="eastAsia" w:ascii="宋体" w:hAnsi="宋体"/>
                <w:sz w:val="24"/>
                <w:lang w:eastAsia="zh-CN"/>
              </w:rPr>
              <w:t>本次监测结果显示：</w:t>
            </w:r>
            <w:r>
              <w:rPr>
                <w:rFonts w:hint="eastAsia" w:ascii="宋体" w:hAnsi="宋体"/>
                <w:sz w:val="24"/>
                <w:lang w:val="en-US" w:eastAsia="zh-CN"/>
              </w:rPr>
              <w:t>2020年5月30日，芜湖市祥兴新型建材有限责任公司厂界东侧、厂界南侧、厂界西侧、厂界北侧昼间噪声满足《工业企业厂界环境噪声排放标准》（GB12348-2008）中2类标准。2020年8月12日，芜湖市祥兴新型建材有限责任公司居民楼昼间、夜间噪声均满足《工业企业厂界环境噪声排放标准》（GB12348-2008）中2类标准。</w:t>
            </w:r>
          </w:p>
          <w:p>
            <w:pPr>
              <w:pStyle w:val="24"/>
              <w:jc w:val="both"/>
              <w:rPr>
                <w:rFonts w:ascii="宋体" w:hAnsi="宋体"/>
                <w:b/>
                <w:sz w:val="28"/>
                <w:szCs w:val="28"/>
                <w:lang w:eastAsia="zh-CN"/>
              </w:rPr>
            </w:pPr>
            <w:r>
              <w:rPr>
                <w:rFonts w:hint="eastAsia" w:ascii="宋体" w:hAnsi="宋体"/>
                <w:b/>
                <w:sz w:val="28"/>
                <w:szCs w:val="28"/>
                <w:lang w:val="en-US" w:eastAsia="zh-CN"/>
              </w:rPr>
              <w:t>3</w:t>
            </w:r>
            <w:r>
              <w:rPr>
                <w:rFonts w:hint="eastAsia" w:ascii="宋体" w:hAnsi="宋体"/>
                <w:b/>
                <w:sz w:val="28"/>
                <w:szCs w:val="28"/>
                <w:lang w:eastAsia="zh-CN"/>
              </w:rPr>
              <w:t>、固体废物</w:t>
            </w:r>
          </w:p>
          <w:p>
            <w:pPr>
              <w:spacing w:line="360" w:lineRule="auto"/>
              <w:ind w:firstLine="480" w:firstLineChars="200"/>
              <w:rPr>
                <w:rFonts w:ascii="宋体" w:hAnsi="宋体"/>
                <w:sz w:val="24"/>
              </w:rPr>
            </w:pPr>
            <w:r>
              <w:rPr>
                <w:rFonts w:hint="eastAsia"/>
                <w:kern w:val="0"/>
                <w:sz w:val="24"/>
              </w:rPr>
              <w:t>项目</w:t>
            </w:r>
            <w:r>
              <w:rPr>
                <w:rFonts w:hint="eastAsia"/>
                <w:kern w:val="0"/>
                <w:sz w:val="24"/>
                <w:lang w:eastAsia="zh-CN"/>
              </w:rPr>
              <w:t>骨料、废品</w:t>
            </w:r>
            <w:r>
              <w:rPr>
                <w:rFonts w:hint="eastAsia"/>
                <w:kern w:val="0"/>
                <w:sz w:val="24"/>
                <w:lang w:val="en-US" w:eastAsia="zh-CN"/>
              </w:rPr>
              <w:t>收集后回用于生产，生活垃圾集中收集后交由环卫部门清运，统一处理。</w:t>
            </w:r>
          </w:p>
          <w:p>
            <w:pPr>
              <w:pStyle w:val="24"/>
              <w:jc w:val="both"/>
              <w:rPr>
                <w:rFonts w:ascii="宋体" w:hAnsi="宋体"/>
                <w:b/>
                <w:sz w:val="28"/>
                <w:szCs w:val="28"/>
                <w:lang w:eastAsia="zh-CN"/>
              </w:rPr>
            </w:pPr>
            <w:r>
              <w:rPr>
                <w:rFonts w:hint="eastAsia" w:ascii="宋体" w:hAnsi="宋体"/>
                <w:b/>
                <w:sz w:val="28"/>
                <w:szCs w:val="28"/>
                <w:lang w:val="en-US" w:eastAsia="zh-CN"/>
              </w:rPr>
              <w:t>4</w:t>
            </w:r>
            <w:r>
              <w:rPr>
                <w:rFonts w:hint="eastAsia" w:ascii="宋体" w:hAnsi="宋体"/>
                <w:b/>
                <w:sz w:val="28"/>
                <w:szCs w:val="28"/>
                <w:lang w:eastAsia="zh-CN"/>
              </w:rPr>
              <w:t>、</w:t>
            </w:r>
            <w:r>
              <w:rPr>
                <w:rFonts w:ascii="宋体" w:hAnsi="宋体"/>
                <w:b/>
                <w:sz w:val="28"/>
                <w:szCs w:val="28"/>
                <w:lang w:eastAsia="zh-CN"/>
              </w:rPr>
              <w:t>竣工验收监测总结论</w:t>
            </w:r>
          </w:p>
          <w:p>
            <w:pPr>
              <w:tabs>
                <w:tab w:val="left" w:pos="757"/>
              </w:tabs>
              <w:spacing w:line="360" w:lineRule="auto"/>
              <w:ind w:firstLine="480" w:firstLineChars="200"/>
              <w:rPr>
                <w:rFonts w:ascii="宋体" w:hAnsi="宋体"/>
                <w:sz w:val="24"/>
              </w:rPr>
            </w:pPr>
            <w:r>
              <w:rPr>
                <w:rFonts w:ascii="宋体" w:hAnsi="宋体"/>
                <w:sz w:val="24"/>
              </w:rPr>
              <w:t>根据本次建设项目环保设施竣工环境保护验收监测结果可知：</w:t>
            </w:r>
          </w:p>
          <w:p>
            <w:pPr>
              <w:tabs>
                <w:tab w:val="left" w:pos="757"/>
              </w:tabs>
              <w:spacing w:line="360" w:lineRule="auto"/>
              <w:ind w:firstLine="480" w:firstLineChars="200"/>
              <w:rPr>
                <w:rFonts w:ascii="宋体" w:hAnsi="宋体"/>
                <w:sz w:val="24"/>
              </w:rPr>
            </w:pPr>
            <w:r>
              <w:rPr>
                <w:rFonts w:ascii="宋体" w:hAnsi="宋体"/>
                <w:sz w:val="24"/>
              </w:rPr>
              <w:t>本项目落实了环境保护“三同时”制度和环境影响评价报告表及批复的意见。有较齐全的环保管理制度，在正常营业的情况下，废水</w:t>
            </w:r>
            <w:r>
              <w:rPr>
                <w:rFonts w:hint="eastAsia" w:ascii="宋体" w:hAnsi="宋体"/>
                <w:sz w:val="24"/>
              </w:rPr>
              <w:t>、废气、</w:t>
            </w:r>
            <w:r>
              <w:rPr>
                <w:rFonts w:ascii="宋体" w:hAnsi="宋体"/>
                <w:sz w:val="24"/>
              </w:rPr>
              <w:t>噪声污染物排放符合有关标准。该项目基本符合建设项目环境保护设施竣工验收要求。</w:t>
            </w:r>
          </w:p>
          <w:p>
            <w:pPr>
              <w:pStyle w:val="24"/>
              <w:jc w:val="both"/>
              <w:rPr>
                <w:rFonts w:ascii="宋体" w:hAnsi="宋体"/>
                <w:b/>
                <w:sz w:val="28"/>
                <w:szCs w:val="28"/>
                <w:lang w:eastAsia="zh-CN"/>
              </w:rPr>
            </w:pPr>
            <w:r>
              <w:rPr>
                <w:rFonts w:hint="eastAsia" w:ascii="宋体" w:hAnsi="宋体"/>
                <w:b/>
                <w:sz w:val="28"/>
                <w:szCs w:val="28"/>
                <w:lang w:val="en-US" w:eastAsia="zh-CN"/>
              </w:rPr>
              <w:t>5</w:t>
            </w:r>
            <w:r>
              <w:rPr>
                <w:rFonts w:hint="eastAsia" w:ascii="宋体" w:hAnsi="宋体"/>
                <w:b/>
                <w:sz w:val="28"/>
                <w:szCs w:val="28"/>
                <w:lang w:eastAsia="zh-CN"/>
              </w:rPr>
              <w:t>、建议</w:t>
            </w:r>
            <w:r>
              <w:rPr>
                <w:rFonts w:ascii="宋体" w:hAnsi="宋体"/>
                <w:b/>
                <w:sz w:val="28"/>
                <w:szCs w:val="28"/>
                <w:lang w:eastAsia="zh-CN"/>
              </w:rPr>
              <w:t xml:space="preserve"> </w:t>
            </w:r>
          </w:p>
          <w:p>
            <w:pPr>
              <w:spacing w:line="360" w:lineRule="auto"/>
              <w:ind w:firstLine="480" w:firstLineChars="200"/>
              <w:rPr>
                <w:rFonts w:ascii="宋体" w:hAnsi="宋体"/>
                <w:sz w:val="24"/>
              </w:rPr>
            </w:pPr>
            <w:r>
              <w:rPr>
                <w:rFonts w:hint="eastAsia" w:ascii="宋体" w:hAnsi="宋体"/>
                <w:sz w:val="24"/>
                <w:highlight w:val="none"/>
              </w:rPr>
              <w:t>根据此次</w:t>
            </w:r>
            <w:r>
              <w:rPr>
                <w:rFonts w:hint="eastAsia" w:ascii="宋体" w:hAnsi="宋体"/>
                <w:sz w:val="24"/>
                <w:highlight w:val="none"/>
                <w:lang w:eastAsia="zh-CN"/>
              </w:rPr>
              <w:t>芜湖市祥兴新型建材有限责任公司</w:t>
            </w:r>
            <w:r>
              <w:rPr>
                <w:rFonts w:hint="eastAsia" w:ascii="宋体" w:hAnsi="宋体"/>
                <w:sz w:val="24"/>
                <w:highlight w:val="none"/>
              </w:rPr>
              <w:t>监测结果，建议</w:t>
            </w:r>
            <w:r>
              <w:rPr>
                <w:rFonts w:hint="eastAsia" w:ascii="宋体" w:hAnsi="宋体"/>
                <w:sz w:val="24"/>
                <w:highlight w:val="none"/>
                <w:lang w:eastAsia="zh-CN"/>
              </w:rPr>
              <w:t>芜湖市祥兴新型建材有限责任公司</w:t>
            </w:r>
            <w:r>
              <w:rPr>
                <w:rFonts w:hint="eastAsia" w:ascii="宋体" w:hAnsi="宋体"/>
                <w:sz w:val="24"/>
                <w:highlight w:val="none"/>
              </w:rPr>
              <w:t>加强废水收集处理工作，确保废水稳定达标排放</w:t>
            </w:r>
            <w:r>
              <w:rPr>
                <w:rFonts w:hint="eastAsia" w:ascii="宋体" w:hAnsi="宋体"/>
                <w:sz w:val="24"/>
                <w:highlight w:val="none"/>
                <w:lang w:eastAsia="zh-CN"/>
              </w:rPr>
              <w:t>。</w:t>
            </w:r>
            <w:r>
              <w:rPr>
                <w:rFonts w:hint="eastAsia" w:ascii="宋体" w:hAnsi="宋体"/>
                <w:sz w:val="24"/>
                <w:highlight w:val="none"/>
                <w:lang w:val="en-US" w:eastAsia="zh-CN"/>
              </w:rPr>
              <w:t>增加厂内降尘洒水措施，</w:t>
            </w:r>
            <w:r>
              <w:rPr>
                <w:rFonts w:hint="eastAsia" w:ascii="宋体" w:hAnsi="宋体"/>
                <w:sz w:val="24"/>
                <w:highlight w:val="none"/>
              </w:rPr>
              <w:t>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b/>
          <w:sz w:val="24"/>
        </w:rPr>
      </w:pPr>
      <w:r>
        <w:rPr>
          <w:rFonts w:hint="eastAsia"/>
          <w:b/>
          <w:sz w:val="24"/>
        </w:rPr>
        <w:t>本报告表有以下附图、附件：</w:t>
      </w:r>
    </w:p>
    <w:p>
      <w:pPr>
        <w:snapToGrid w:val="0"/>
        <w:spacing w:before="240" w:line="276"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附图 1  建设项目厂区地理位置示意图</w:t>
      </w:r>
    </w:p>
    <w:p>
      <w:pPr>
        <w:spacing w:line="276" w:lineRule="auto"/>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附图 2  建设项目</w:t>
      </w:r>
      <w:r>
        <w:rPr>
          <w:rFonts w:hint="default" w:ascii="Times New Roman" w:hAnsi="Times New Roman" w:cs="Times New Roman"/>
          <w:sz w:val="24"/>
          <w:highlight w:val="none"/>
          <w:lang w:val="en-US" w:eastAsia="zh-CN"/>
        </w:rPr>
        <w:t>周边环境图</w:t>
      </w:r>
    </w:p>
    <w:p>
      <w:pPr>
        <w:spacing w:line="276"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 xml:space="preserve">附图 </w:t>
      </w:r>
      <w:r>
        <w:rPr>
          <w:rFonts w:hint="default" w:ascii="Times New Roman" w:hAnsi="Times New Roman" w:cs="Times New Roman"/>
          <w:sz w:val="24"/>
          <w:highlight w:val="none"/>
          <w:lang w:val="en-US" w:eastAsia="zh-CN"/>
        </w:rPr>
        <w:t>3</w:t>
      </w:r>
      <w:r>
        <w:rPr>
          <w:rFonts w:hint="default" w:ascii="Times New Roman" w:hAnsi="Times New Roman" w:cs="Times New Roman"/>
          <w:sz w:val="24"/>
          <w:highlight w:val="none"/>
        </w:rPr>
        <w:t xml:space="preserve">  建设项目平面布置示意图</w:t>
      </w:r>
    </w:p>
    <w:p>
      <w:pPr>
        <w:spacing w:line="276"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 xml:space="preserve">附图 </w:t>
      </w:r>
      <w:r>
        <w:rPr>
          <w:rFonts w:hint="default" w:ascii="Times New Roman" w:hAnsi="Times New Roman" w:cs="Times New Roman"/>
          <w:sz w:val="24"/>
          <w:highlight w:val="none"/>
          <w:lang w:val="en-US" w:eastAsia="zh-CN"/>
        </w:rPr>
        <w:t>4</w:t>
      </w:r>
      <w:r>
        <w:rPr>
          <w:rFonts w:hint="default" w:ascii="Times New Roman" w:hAnsi="Times New Roman" w:cs="Times New Roman"/>
          <w:sz w:val="24"/>
          <w:highlight w:val="none"/>
        </w:rPr>
        <w:t xml:space="preserve">  现场监测采样图</w:t>
      </w:r>
    </w:p>
    <w:p>
      <w:pPr>
        <w:spacing w:line="276" w:lineRule="auto"/>
        <w:jc w:val="left"/>
        <w:rPr>
          <w:rFonts w:hint="default" w:ascii="Times New Roman" w:hAnsi="Times New Roman" w:cs="Times New Roman"/>
          <w:b/>
          <w:sz w:val="24"/>
          <w:highlight w:val="none"/>
        </w:rPr>
      </w:pPr>
      <w:r>
        <w:rPr>
          <w:rFonts w:hint="default" w:ascii="Times New Roman" w:hAnsi="Times New Roman" w:cs="Times New Roman"/>
          <w:sz w:val="24"/>
          <w:highlight w:val="none"/>
        </w:rPr>
        <w:t xml:space="preserve">附件 1  </w:t>
      </w:r>
      <w:r>
        <w:rPr>
          <w:rFonts w:hint="default" w:ascii="Times New Roman" w:hAnsi="Times New Roman" w:cs="Times New Roman"/>
          <w:sz w:val="24"/>
          <w:highlight w:val="none"/>
          <w:lang w:eastAsia="zh-CN"/>
        </w:rPr>
        <w:t>芜湖市祥兴新型建材有限责任公司</w:t>
      </w:r>
      <w:r>
        <w:rPr>
          <w:rFonts w:hint="default" w:ascii="Times New Roman" w:hAnsi="Times New Roman" w:cs="Times New Roman"/>
          <w:sz w:val="24"/>
          <w:highlight w:val="none"/>
        </w:rPr>
        <w:t>的营业执照</w:t>
      </w:r>
    </w:p>
    <w:p>
      <w:pPr>
        <w:spacing w:line="276" w:lineRule="auto"/>
        <w:ind w:left="972" w:hanging="972" w:hangingChars="405"/>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 xml:space="preserve">附件 2  </w:t>
      </w:r>
      <w:r>
        <w:rPr>
          <w:rFonts w:hint="default" w:ascii="Times New Roman" w:hAnsi="Times New Roman" w:cs="Times New Roman"/>
          <w:sz w:val="24"/>
          <w:highlight w:val="none"/>
          <w:lang w:eastAsia="zh-CN"/>
        </w:rPr>
        <w:t>和县环境保护局审批的</w:t>
      </w:r>
      <w:r>
        <w:rPr>
          <w:rFonts w:hint="default" w:ascii="Times New Roman" w:hAnsi="Times New Roman" w:cs="Times New Roman"/>
          <w:sz w:val="24"/>
          <w:highlight w:val="none"/>
          <w:lang w:val="en-US" w:eastAsia="zh-CN"/>
        </w:rPr>
        <w:t>原</w:t>
      </w:r>
      <w:r>
        <w:rPr>
          <w:rFonts w:hint="default" w:ascii="Times New Roman" w:hAnsi="Times New Roman" w:cs="Times New Roman"/>
          <w:sz w:val="24"/>
          <w:highlight w:val="none"/>
          <w:lang w:eastAsia="zh-CN"/>
        </w:rPr>
        <w:t>环评批复</w:t>
      </w:r>
    </w:p>
    <w:p>
      <w:pPr>
        <w:spacing w:line="276" w:lineRule="auto"/>
        <w:ind w:left="972" w:hanging="972" w:hangingChars="405"/>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 xml:space="preserve">附件 3  </w:t>
      </w:r>
      <w:r>
        <w:rPr>
          <w:rFonts w:hint="default" w:ascii="Times New Roman" w:hAnsi="Times New Roman" w:cs="Times New Roman"/>
          <w:sz w:val="24"/>
          <w:highlight w:val="none"/>
          <w:lang w:val="en-US" w:eastAsia="zh-CN"/>
        </w:rPr>
        <w:t>芜湖市环境保护局审批的原环评验收批复</w:t>
      </w:r>
    </w:p>
    <w:p>
      <w:pPr>
        <w:spacing w:line="276" w:lineRule="auto"/>
        <w:ind w:left="972" w:hanging="972" w:hangingChars="405"/>
        <w:jc w:val="left"/>
        <w:rPr>
          <w:rFonts w:hint="default" w:ascii="Times New Roman" w:hAnsi="Times New Roman" w:cs="Times New Roman"/>
          <w:sz w:val="24"/>
          <w:highlight w:val="none"/>
        </w:rPr>
      </w:pPr>
      <w:r>
        <w:rPr>
          <w:rFonts w:hint="default" w:ascii="Times New Roman" w:hAnsi="Times New Roman" w:cs="Times New Roman"/>
          <w:sz w:val="24"/>
          <w:highlight w:val="none"/>
        </w:rPr>
        <w:t xml:space="preserve">附件 4  </w:t>
      </w:r>
      <w:r>
        <w:rPr>
          <w:rFonts w:hint="default" w:ascii="Times New Roman" w:hAnsi="Times New Roman" w:cs="Times New Roman"/>
          <w:sz w:val="24"/>
          <w:highlight w:val="none"/>
          <w:lang w:eastAsia="zh-CN"/>
        </w:rPr>
        <w:t>芜湖市祥兴新型建材有限责任公司</w:t>
      </w:r>
      <w:r>
        <w:rPr>
          <w:rFonts w:hint="default" w:ascii="Times New Roman" w:hAnsi="Times New Roman" w:cs="Times New Roman"/>
          <w:sz w:val="24"/>
          <w:highlight w:val="none"/>
        </w:rPr>
        <w:t>项目备案</w:t>
      </w:r>
      <w:bookmarkStart w:id="45" w:name="_GoBack"/>
      <w:bookmarkEnd w:id="45"/>
    </w:p>
    <w:p>
      <w:pPr>
        <w:spacing w:line="276" w:lineRule="auto"/>
        <w:ind w:left="972" w:hanging="972" w:hangingChars="405"/>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 xml:space="preserve">附件 </w:t>
      </w:r>
      <w:r>
        <w:rPr>
          <w:rFonts w:hint="default" w:ascii="Times New Roman" w:hAnsi="Times New Roman" w:cs="Times New Roman"/>
          <w:sz w:val="24"/>
          <w:highlight w:val="none"/>
          <w:lang w:val="en-US" w:eastAsia="zh-CN"/>
        </w:rPr>
        <w:t>5</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eastAsia="zh-CN"/>
        </w:rPr>
        <w:t>芜湖市祥兴新型建材有限责任公司</w:t>
      </w:r>
      <w:r>
        <w:rPr>
          <w:rFonts w:hint="default" w:ascii="Times New Roman" w:hAnsi="Times New Roman" w:cs="Times New Roman"/>
          <w:sz w:val="24"/>
          <w:highlight w:val="none"/>
          <w:lang w:val="en-US" w:eastAsia="zh-CN"/>
        </w:rPr>
        <w:t>更名记录</w:t>
      </w:r>
    </w:p>
    <w:p>
      <w:pPr>
        <w:spacing w:line="276" w:lineRule="auto"/>
        <w:ind w:left="972" w:hanging="972" w:hangingChars="405"/>
        <w:jc w:val="left"/>
        <w:rPr>
          <w:rFonts w:hint="default" w:ascii="Times New Roman" w:hAnsi="Times New Roman" w:cs="Times New Roman"/>
          <w:sz w:val="24"/>
          <w:highlight w:val="yellow"/>
        </w:rPr>
      </w:pPr>
      <w:r>
        <w:rPr>
          <w:rFonts w:hint="default" w:ascii="Times New Roman" w:hAnsi="Times New Roman" w:cs="Times New Roman"/>
          <w:sz w:val="24"/>
          <w:highlight w:val="none"/>
        </w:rPr>
        <w:t xml:space="preserve">附件 </w:t>
      </w:r>
      <w:r>
        <w:rPr>
          <w:rFonts w:hint="default" w:ascii="Times New Roman" w:hAnsi="Times New Roman" w:cs="Times New Roman"/>
          <w:sz w:val="24"/>
          <w:highlight w:val="none"/>
          <w:lang w:val="en-US" w:eastAsia="zh-CN"/>
        </w:rPr>
        <w:t>6</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eastAsia="zh-CN"/>
        </w:rPr>
        <w:t>年产1.2亿块蒸压灰砂砖项目</w:t>
      </w:r>
      <w:r>
        <w:rPr>
          <w:rFonts w:hint="default" w:ascii="Times New Roman" w:hAnsi="Times New Roman" w:cs="Times New Roman"/>
          <w:sz w:val="24"/>
          <w:highlight w:val="none"/>
        </w:rPr>
        <w:t>竣工验收环境保护检测报告</w:t>
      </w:r>
    </w:p>
    <w:p>
      <w:pPr>
        <w:spacing w:line="276" w:lineRule="auto"/>
        <w:ind w:left="972" w:hanging="972" w:hangingChars="405"/>
        <w:jc w:val="left"/>
        <w:rPr>
          <w:rFonts w:hint="eastAsia" w:cs="Times New Roman"/>
          <w:sz w:val="24"/>
          <w:highlight w:val="none"/>
          <w:lang w:val="en-US" w:eastAsia="zh-CN"/>
        </w:rPr>
      </w:pPr>
      <w:r>
        <w:rPr>
          <w:rFonts w:hint="default" w:ascii="Times New Roman" w:hAnsi="Times New Roman" w:cs="Times New Roman"/>
          <w:sz w:val="24"/>
          <w:highlight w:val="none"/>
        </w:rPr>
        <w:t xml:space="preserve">附件 </w:t>
      </w:r>
      <w:r>
        <w:rPr>
          <w:rFonts w:hint="eastAsia" w:cs="Times New Roman"/>
          <w:sz w:val="24"/>
          <w:highlight w:val="none"/>
          <w:lang w:val="en-US" w:eastAsia="zh-CN"/>
        </w:rPr>
        <w:t>7</w:t>
      </w:r>
      <w:r>
        <w:rPr>
          <w:rFonts w:hint="default" w:ascii="Times New Roman" w:hAnsi="Times New Roman" w:cs="Times New Roman"/>
          <w:sz w:val="24"/>
          <w:highlight w:val="none"/>
        </w:rPr>
        <w:t xml:space="preserve">  </w:t>
      </w:r>
      <w:r>
        <w:rPr>
          <w:rFonts w:hint="eastAsia" w:cs="Times New Roman"/>
          <w:sz w:val="24"/>
          <w:highlight w:val="none"/>
          <w:lang w:val="en-US" w:eastAsia="zh-CN"/>
        </w:rPr>
        <w:t>建设项目锅炉合格证明</w:t>
      </w:r>
    </w:p>
    <w:p>
      <w:pPr>
        <w:spacing w:line="276" w:lineRule="auto"/>
        <w:ind w:left="972" w:hanging="972" w:hangingChars="405"/>
        <w:jc w:val="left"/>
        <w:rPr>
          <w:rFonts w:hint="eastAsia" w:cs="Times New Roman"/>
          <w:sz w:val="24"/>
          <w:highlight w:val="none"/>
          <w:lang w:val="en-US" w:eastAsia="zh-CN"/>
        </w:rPr>
      </w:pPr>
      <w:r>
        <w:rPr>
          <w:rFonts w:hint="default" w:ascii="Times New Roman" w:hAnsi="Times New Roman" w:cs="Times New Roman"/>
          <w:sz w:val="24"/>
          <w:highlight w:val="none"/>
        </w:rPr>
        <w:t xml:space="preserve">附件 </w:t>
      </w:r>
      <w:r>
        <w:rPr>
          <w:rFonts w:hint="eastAsia" w:cs="Times New Roman"/>
          <w:sz w:val="24"/>
          <w:highlight w:val="none"/>
          <w:lang w:val="en-US" w:eastAsia="zh-CN"/>
        </w:rPr>
        <w:t>8</w:t>
      </w:r>
      <w:r>
        <w:rPr>
          <w:rFonts w:hint="default" w:ascii="Times New Roman" w:hAnsi="Times New Roman" w:cs="Times New Roman"/>
          <w:sz w:val="24"/>
          <w:highlight w:val="none"/>
        </w:rPr>
        <w:t xml:space="preserve">  </w:t>
      </w:r>
      <w:r>
        <w:rPr>
          <w:rFonts w:hint="eastAsia" w:cs="Times New Roman"/>
          <w:sz w:val="24"/>
          <w:highlight w:val="none"/>
          <w:lang w:val="en-US" w:eastAsia="zh-CN"/>
        </w:rPr>
        <w:t>建设项目原料检测报告</w:t>
      </w:r>
    </w:p>
    <w:p>
      <w:pPr>
        <w:spacing w:line="276" w:lineRule="auto"/>
        <w:ind w:left="972" w:hanging="972" w:hangingChars="405"/>
        <w:jc w:val="left"/>
        <w:rPr>
          <w:rFonts w:hint="default"/>
          <w:lang w:val="en-US"/>
        </w:rPr>
      </w:pPr>
      <w:r>
        <w:rPr>
          <w:rFonts w:hint="default" w:ascii="Times New Roman" w:hAnsi="Times New Roman" w:cs="Times New Roman"/>
          <w:sz w:val="24"/>
          <w:highlight w:val="none"/>
        </w:rPr>
        <w:t xml:space="preserve">附件 </w:t>
      </w:r>
      <w:r>
        <w:rPr>
          <w:rFonts w:hint="eastAsia" w:cs="Times New Roman"/>
          <w:sz w:val="24"/>
          <w:highlight w:val="none"/>
          <w:lang w:val="en-US" w:eastAsia="zh-CN"/>
        </w:rPr>
        <w:t>9</w:t>
      </w:r>
      <w:r>
        <w:rPr>
          <w:rFonts w:hint="default" w:ascii="Times New Roman" w:hAnsi="Times New Roman" w:cs="Times New Roman"/>
          <w:sz w:val="24"/>
          <w:highlight w:val="none"/>
        </w:rPr>
        <w:t xml:space="preserve">  </w:t>
      </w:r>
      <w:r>
        <w:rPr>
          <w:rFonts w:hint="eastAsia" w:cs="Times New Roman"/>
          <w:sz w:val="24"/>
          <w:highlight w:val="none"/>
          <w:lang w:val="en-US" w:eastAsia="zh-CN"/>
        </w:rPr>
        <w:t>建设项目废水清掏协议</w:t>
      </w:r>
    </w:p>
    <w:p>
      <w:pPr>
        <w:spacing w:line="276" w:lineRule="auto"/>
        <w:ind w:left="960" w:hanging="960" w:hangingChars="400"/>
        <w:jc w:val="left"/>
        <w:rPr>
          <w:rFonts w:hint="default" w:ascii="Times New Roman" w:hAnsi="Times New Roman" w:cs="Times New Roman"/>
          <w:sz w:val="24"/>
          <w:highlight w:val="none"/>
        </w:rPr>
      </w:pPr>
      <w:r>
        <w:rPr>
          <w:rFonts w:hint="default" w:ascii="Times New Roman" w:hAnsi="Times New Roman" w:cs="Times New Roman"/>
          <w:sz w:val="24"/>
          <w:highlight w:val="none"/>
        </w:rPr>
        <w:t xml:space="preserve">附件 </w:t>
      </w:r>
      <w:r>
        <w:rPr>
          <w:rFonts w:hint="eastAsia" w:cs="Times New Roman"/>
          <w:sz w:val="24"/>
          <w:highlight w:val="none"/>
          <w:lang w:val="en-US" w:eastAsia="zh-CN"/>
        </w:rPr>
        <w:t>10</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eastAsia="zh-CN"/>
        </w:rPr>
        <w:t>年产1.2亿块蒸压灰砂砖项目</w:t>
      </w:r>
      <w:r>
        <w:rPr>
          <w:rFonts w:hint="default" w:ascii="Times New Roman" w:hAnsi="Times New Roman" w:cs="Times New Roman"/>
          <w:sz w:val="24"/>
          <w:highlight w:val="none"/>
        </w:rPr>
        <w:t>竣工验收环境保护验收意见</w:t>
      </w:r>
    </w:p>
    <w:p>
      <w:pPr>
        <w:spacing w:line="276" w:lineRule="auto"/>
        <w:ind w:left="972" w:hanging="972" w:hangingChars="405"/>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lang w:val="en-US" w:eastAsia="zh-CN"/>
        </w:rPr>
        <w:t xml:space="preserve">附件 </w:t>
      </w:r>
      <w:r>
        <w:rPr>
          <w:rFonts w:hint="eastAsia" w:cs="Times New Roman"/>
          <w:sz w:val="24"/>
          <w:highlight w:val="none"/>
          <w:lang w:val="en-US" w:eastAsia="zh-CN"/>
        </w:rPr>
        <w:t>11</w:t>
      </w:r>
      <w:r>
        <w:rPr>
          <w:rFonts w:hint="default" w:ascii="Times New Roman" w:hAnsi="Times New Roman" w:cs="Times New Roman"/>
          <w:sz w:val="24"/>
          <w:highlight w:val="none"/>
          <w:lang w:val="en-US" w:eastAsia="zh-CN"/>
        </w:rPr>
        <w:t xml:space="preserve">  年产1.2亿块蒸压灰砂砖项目验收公示情况</w:t>
      </w:r>
    </w:p>
    <w:p>
      <w:pPr>
        <w:rPr>
          <w:b/>
          <w:sz w:val="28"/>
          <w:szCs w:val="28"/>
        </w:rPr>
      </w:pPr>
    </w:p>
    <w:p>
      <w:pPr>
        <w:rPr>
          <w:b/>
          <w:sz w:val="28"/>
          <w:szCs w:val="28"/>
        </w:rPr>
      </w:pPr>
    </w:p>
    <w:p>
      <w:pPr>
        <w:widowControl/>
        <w:jc w:val="left"/>
        <w:rPr>
          <w:b/>
          <w:sz w:val="28"/>
          <w:szCs w:val="28"/>
        </w:rPr>
      </w:pPr>
    </w:p>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3"/>
        <w:tblW w:w="544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61"/>
        <w:gridCol w:w="1727"/>
        <w:gridCol w:w="794"/>
        <w:gridCol w:w="1325"/>
        <w:gridCol w:w="1050"/>
        <w:gridCol w:w="955"/>
        <w:gridCol w:w="464"/>
        <w:gridCol w:w="602"/>
        <w:gridCol w:w="1090"/>
        <w:gridCol w:w="1147"/>
        <w:gridCol w:w="1527"/>
        <w:gridCol w:w="645"/>
        <w:gridCol w:w="340"/>
        <w:gridCol w:w="663"/>
        <w:gridCol w:w="538"/>
        <w:gridCol w:w="139"/>
        <w:gridCol w:w="920"/>
        <w:gridCol w:w="7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44" w:name="_Hlk6228189"/>
            <w:r>
              <w:rPr>
                <w:rFonts w:ascii="宋体" w:hAnsi="宋体"/>
                <w:b/>
                <w:sz w:val="18"/>
                <w:szCs w:val="18"/>
                <w:highlight w:val="none"/>
              </w:rPr>
              <w:t>建设项目</w:t>
            </w:r>
          </w:p>
        </w:tc>
        <w:tc>
          <w:tcPr>
            <w:tcW w:w="1886"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5183"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年产1.2亿块蒸压灰砂砖项目</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1646"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2360"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芜湖市沈巷镇保圩村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C</w:t>
            </w:r>
            <w:r>
              <w:rPr>
                <w:rFonts w:hint="eastAsia" w:ascii="宋体" w:hAnsi="宋体"/>
                <w:sz w:val="18"/>
                <w:szCs w:val="18"/>
                <w:highlight w:val="none"/>
                <w:lang w:val="en-US" w:eastAsia="zh-CN"/>
              </w:rPr>
              <w:t>3029</w:t>
            </w:r>
            <w:r>
              <w:rPr>
                <w:rFonts w:hint="eastAsia" w:ascii="宋体" w:hAnsi="宋体"/>
                <w:sz w:val="18"/>
                <w:szCs w:val="18"/>
                <w:highlight w:val="none"/>
              </w:rPr>
              <w:t>】</w:t>
            </w:r>
            <w:r>
              <w:rPr>
                <w:rFonts w:hint="eastAsia" w:ascii="宋体" w:hAnsi="宋体"/>
                <w:sz w:val="18"/>
                <w:szCs w:val="18"/>
                <w:highlight w:val="none"/>
                <w:lang w:val="en-US" w:eastAsia="zh-CN"/>
              </w:rPr>
              <w:t>其他水泥类似制品制造</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216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w:t>
            </w:r>
            <w:r>
              <w:rPr>
                <w:rFonts w:hint="eastAsia" w:ascii="宋体" w:hAnsi="宋体"/>
                <w:sz w:val="18"/>
                <w:szCs w:val="18"/>
                <w:highlight w:val="none"/>
                <w:lang w:eastAsia="zh-CN"/>
              </w:rPr>
              <w:t>☑</w:t>
            </w:r>
            <w:r>
              <w:rPr>
                <w:rFonts w:ascii="宋体" w:hAnsi="宋体"/>
                <w:sz w:val="18"/>
                <w:szCs w:val="18"/>
                <w:highlight w:val="none"/>
              </w:rPr>
              <w:t>技术改造</w:t>
            </w:r>
          </w:p>
        </w:tc>
        <w:tc>
          <w:tcPr>
            <w:tcW w:w="1678" w:type="dxa"/>
            <w:gridSpan w:val="4"/>
            <w:tcMar>
              <w:left w:w="0" w:type="dxa"/>
              <w:right w:w="0" w:type="dxa"/>
            </w:tcMar>
            <w:vAlign w:val="center"/>
          </w:tcPr>
          <w:p>
            <w:pPr>
              <w:spacing w:line="200" w:lineRule="exact"/>
              <w:jc w:val="center"/>
              <w:rPr>
                <w:rFonts w:ascii="宋体" w:hAnsi="宋体"/>
                <w:b/>
                <w:sz w:val="18"/>
                <w:szCs w:val="18"/>
                <w:highlight w:val="yellow"/>
              </w:rPr>
            </w:pPr>
            <w:r>
              <w:rPr>
                <w:rFonts w:hint="eastAsia" w:ascii="宋体" w:hAnsi="宋体"/>
                <w:b/>
                <w:sz w:val="18"/>
                <w:szCs w:val="18"/>
                <w:highlight w:val="none"/>
              </w:rPr>
              <w:t>项目厂区中心经度/纬度</w:t>
            </w:r>
          </w:p>
        </w:tc>
        <w:tc>
          <w:tcPr>
            <w:tcW w:w="1684" w:type="dxa"/>
            <w:gridSpan w:val="2"/>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 xml:space="preserve">118.219333 </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highlight w:val="yellow"/>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31.484072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1.2亿块/a</w:t>
            </w:r>
          </w:p>
        </w:tc>
        <w:tc>
          <w:tcPr>
            <w:tcW w:w="2234"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实际生产能力</w:t>
            </w:r>
          </w:p>
        </w:tc>
        <w:tc>
          <w:tcPr>
            <w:tcW w:w="1525"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val="0"/>
                <w:bCs/>
                <w:sz w:val="18"/>
                <w:szCs w:val="18"/>
                <w:highlight w:val="none"/>
                <w:lang w:val="en-US" w:eastAsia="zh-CN"/>
              </w:rPr>
              <w:t>1.2亿块/a</w:t>
            </w:r>
          </w:p>
        </w:tc>
        <w:tc>
          <w:tcPr>
            <w:tcW w:w="1646"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2360"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安徽禹水华阳环境工程技术有限公司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和县环境保护局</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和环审[2011]34号</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2360"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rPr>
              <w:t>环境影响</w:t>
            </w:r>
            <w:r>
              <w:rPr>
                <w:rFonts w:hint="eastAsia" w:ascii="宋体" w:hAnsi="宋体"/>
                <w:sz w:val="18"/>
                <w:szCs w:val="18"/>
                <w:highlight w:val="none"/>
                <w:lang w:val="en-US" w:eastAsia="zh-CN"/>
              </w:rPr>
              <w:t>后评价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12</w:t>
            </w:r>
            <w:r>
              <w:rPr>
                <w:rFonts w:hint="eastAsia" w:ascii="宋体" w:hAnsi="宋体"/>
                <w:sz w:val="18"/>
                <w:szCs w:val="18"/>
                <w:highlight w:val="none"/>
              </w:rPr>
              <w:t>年</w:t>
            </w:r>
            <w:r>
              <w:rPr>
                <w:rFonts w:hint="eastAsia" w:ascii="宋体" w:hAnsi="宋体"/>
                <w:sz w:val="18"/>
                <w:szCs w:val="18"/>
                <w:highlight w:val="none"/>
                <w:lang w:val="en-US" w:eastAsia="zh-CN"/>
              </w:rPr>
              <w:t>6</w:t>
            </w:r>
            <w:r>
              <w:rPr>
                <w:rFonts w:hint="eastAsia" w:ascii="宋体" w:hAnsi="宋体"/>
                <w:sz w:val="18"/>
                <w:szCs w:val="18"/>
                <w:highlight w:val="none"/>
              </w:rPr>
              <w:t>月</w:t>
            </w:r>
          </w:p>
        </w:tc>
        <w:tc>
          <w:tcPr>
            <w:tcW w:w="2234" w:type="dxa"/>
            <w:gridSpan w:val="2"/>
            <w:tcMar>
              <w:left w:w="0" w:type="dxa"/>
              <w:right w:w="0" w:type="dxa"/>
            </w:tcMar>
            <w:vAlign w:val="center"/>
          </w:tcPr>
          <w:p>
            <w:pPr>
              <w:spacing w:line="200" w:lineRule="exact"/>
              <w:jc w:val="center"/>
              <w:rPr>
                <w:rFonts w:ascii="宋体" w:hAnsi="宋体"/>
                <w:b/>
                <w:sz w:val="18"/>
                <w:szCs w:val="18"/>
                <w:highlight w:val="yellow"/>
              </w:rPr>
            </w:pPr>
            <w:r>
              <w:rPr>
                <w:rFonts w:ascii="宋体" w:hAnsi="宋体"/>
                <w:b/>
                <w:sz w:val="18"/>
                <w:szCs w:val="18"/>
                <w:highlight w:val="none"/>
              </w:rPr>
              <w:t>竣工日期</w:t>
            </w:r>
          </w:p>
        </w:tc>
        <w:tc>
          <w:tcPr>
            <w:tcW w:w="1525" w:type="dxa"/>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20</w:t>
            </w:r>
            <w:r>
              <w:rPr>
                <w:rFonts w:hint="eastAsia" w:ascii="宋体" w:hAnsi="宋体"/>
                <w:sz w:val="18"/>
                <w:szCs w:val="18"/>
                <w:highlight w:val="none"/>
                <w:lang w:val="en-US" w:eastAsia="zh-CN"/>
              </w:rPr>
              <w:t>20</w:t>
            </w:r>
            <w:r>
              <w:rPr>
                <w:rFonts w:hint="eastAsia" w:ascii="宋体" w:hAnsi="宋体"/>
                <w:sz w:val="18"/>
                <w:szCs w:val="18"/>
                <w:highlight w:val="none"/>
              </w:rPr>
              <w:t>年</w:t>
            </w:r>
            <w:r>
              <w:rPr>
                <w:rFonts w:hint="eastAsia" w:ascii="宋体" w:hAnsi="宋体"/>
                <w:sz w:val="18"/>
                <w:szCs w:val="18"/>
                <w:highlight w:val="none"/>
                <w:lang w:val="en-US" w:eastAsia="zh-CN"/>
              </w:rPr>
              <w:t>5</w:t>
            </w:r>
            <w:r>
              <w:rPr>
                <w:rFonts w:hint="eastAsia" w:ascii="宋体" w:hAnsi="宋体"/>
                <w:sz w:val="18"/>
                <w:szCs w:val="18"/>
                <w:highlight w:val="none"/>
              </w:rPr>
              <w:t>月</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5183" w:type="dxa"/>
            <w:gridSpan w:val="6"/>
            <w:tcMar>
              <w:left w:w="0" w:type="dxa"/>
              <w:right w:w="0" w:type="dxa"/>
            </w:tcMar>
            <w:vAlign w:val="center"/>
          </w:tcPr>
          <w:p>
            <w:pPr>
              <w:spacing w:line="200" w:lineRule="exact"/>
              <w:jc w:val="center"/>
              <w:rPr>
                <w:rFonts w:ascii="宋体" w:hAnsi="宋体"/>
                <w:b/>
                <w:sz w:val="18"/>
                <w:szCs w:val="18"/>
                <w:highlight w:val="yellow"/>
              </w:rPr>
            </w:pPr>
            <w:r>
              <w:rPr>
                <w:rFonts w:hint="eastAsia" w:ascii="宋体" w:hAnsi="宋体"/>
                <w:bCs/>
                <w:sz w:val="18"/>
                <w:szCs w:val="18"/>
                <w:highlight w:val="none"/>
              </w:rPr>
              <w:t>/</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5183" w:type="dxa"/>
            <w:gridSpan w:val="6"/>
            <w:tcMar>
              <w:left w:w="0" w:type="dxa"/>
              <w:right w:w="0" w:type="dxa"/>
            </w:tcMar>
            <w:vAlign w:val="center"/>
          </w:tcPr>
          <w:p>
            <w:pPr>
              <w:spacing w:line="200" w:lineRule="exact"/>
              <w:jc w:val="center"/>
              <w:rPr>
                <w:rFonts w:hint="eastAsia" w:ascii="宋体" w:hAnsi="宋体" w:eastAsia="宋体"/>
                <w:b/>
                <w:sz w:val="18"/>
                <w:szCs w:val="18"/>
                <w:highlight w:val="yellow"/>
                <w:lang w:eastAsia="zh-CN"/>
              </w:rPr>
            </w:pPr>
            <w:r>
              <w:rPr>
                <w:rFonts w:hint="eastAsia" w:ascii="宋体" w:hAnsi="宋体"/>
                <w:sz w:val="18"/>
                <w:szCs w:val="18"/>
                <w:highlight w:val="none"/>
                <w:lang w:eastAsia="zh-CN"/>
              </w:rPr>
              <w:t>芜湖市祥兴新型建材有限责任公司</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152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安徽天净环绿科技有限公司</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5183" w:type="dxa"/>
            <w:gridSpan w:val="6"/>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3200</w:t>
            </w:r>
          </w:p>
        </w:tc>
        <w:tc>
          <w:tcPr>
            <w:tcW w:w="2234" w:type="dxa"/>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1525"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154</w:t>
            </w:r>
          </w:p>
        </w:tc>
        <w:tc>
          <w:tcPr>
            <w:tcW w:w="1646" w:type="dxa"/>
            <w:gridSpan w:val="3"/>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2360" w:type="dxa"/>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w:t>
            </w:r>
          </w:p>
        </w:tc>
        <w:tc>
          <w:tcPr>
            <w:tcW w:w="5183" w:type="dxa"/>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3200</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152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154</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2360"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793"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15</w:t>
            </w:r>
          </w:p>
        </w:tc>
        <w:tc>
          <w:tcPr>
            <w:tcW w:w="1323"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104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85</w:t>
            </w:r>
          </w:p>
        </w:tc>
        <w:tc>
          <w:tcPr>
            <w:tcW w:w="141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601"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30</w:t>
            </w:r>
          </w:p>
        </w:tc>
        <w:tc>
          <w:tcPr>
            <w:tcW w:w="2234"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152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4</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53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20</w:t>
            </w:r>
          </w:p>
        </w:tc>
        <w:tc>
          <w:tcPr>
            <w:tcW w:w="1058"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76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2234"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1646"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
                <w:sz w:val="18"/>
                <w:szCs w:val="18"/>
                <w:highlight w:val="none"/>
                <w:lang w:val="en-US" w:eastAsia="zh-CN"/>
              </w:rPr>
              <w:t>2400</w:t>
            </w:r>
            <w:r>
              <w:rPr>
                <w:rFonts w:ascii="宋体" w:hAnsi="宋体"/>
                <w:b/>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2302" w:type="dxa"/>
            <w:gridSpan w:val="3"/>
            <w:tcMar>
              <w:left w:w="0" w:type="dxa"/>
              <w:right w:w="0" w:type="dxa"/>
            </w:tcMar>
            <w:vAlign w:val="center"/>
          </w:tcPr>
          <w:p>
            <w:pPr>
              <w:spacing w:line="200" w:lineRule="exact"/>
              <w:jc w:val="center"/>
              <w:rPr>
                <w:rFonts w:ascii="宋体" w:hAnsi="宋体"/>
                <w:b/>
                <w:sz w:val="18"/>
                <w:szCs w:val="18"/>
                <w:highlight w:val="yellow"/>
              </w:rPr>
            </w:pPr>
            <w:r>
              <w:rPr>
                <w:rFonts w:ascii="宋体" w:hAnsi="宋体"/>
                <w:b/>
                <w:sz w:val="18"/>
                <w:szCs w:val="18"/>
                <w:highlight w:val="none"/>
              </w:rPr>
              <w:t>运营单位</w:t>
            </w:r>
          </w:p>
        </w:tc>
        <w:tc>
          <w:tcPr>
            <w:tcW w:w="4119" w:type="dxa"/>
            <w:gridSpan w:val="4"/>
            <w:tcMar>
              <w:left w:w="0" w:type="dxa"/>
              <w:right w:w="0" w:type="dxa"/>
            </w:tcMar>
            <w:vAlign w:val="center"/>
          </w:tcPr>
          <w:p>
            <w:pPr>
              <w:spacing w:line="200" w:lineRule="exact"/>
              <w:jc w:val="center"/>
              <w:rPr>
                <w:rFonts w:hint="eastAsia" w:ascii="宋体" w:hAnsi="宋体" w:eastAsia="宋体"/>
                <w:sz w:val="18"/>
                <w:szCs w:val="18"/>
                <w:highlight w:val="yellow"/>
                <w:lang w:eastAsia="zh-CN"/>
              </w:rPr>
            </w:pPr>
            <w:r>
              <w:rPr>
                <w:rFonts w:hint="eastAsia" w:ascii="宋体" w:hAnsi="宋体"/>
                <w:sz w:val="18"/>
                <w:szCs w:val="18"/>
                <w:highlight w:val="none"/>
                <w:lang w:eastAsia="zh-CN"/>
              </w:rPr>
              <w:t>芜湖市祥兴新型建材有限责任公司</w:t>
            </w:r>
          </w:p>
        </w:tc>
        <w:tc>
          <w:tcPr>
            <w:tcW w:w="3298"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'91340207581534026W</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验收时间</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5</w:t>
            </w:r>
            <w:r>
              <w:rPr>
                <w:rFonts w:hint="eastAsia" w:ascii="宋体" w:hAnsi="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1725"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793"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1323"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104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954"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106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108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114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15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98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119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1058"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76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0.018</w:t>
            </w:r>
          </w:p>
        </w:tc>
        <w:tc>
          <w:tcPr>
            <w:tcW w:w="1145"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0.024</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5"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5"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1.037</w:t>
            </w:r>
          </w:p>
        </w:tc>
        <w:tc>
          <w:tcPr>
            <w:tcW w:w="114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2.596</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0.876</w:t>
            </w:r>
          </w:p>
        </w:tc>
        <w:tc>
          <w:tcPr>
            <w:tcW w:w="114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2.736</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2.59</w:t>
            </w:r>
          </w:p>
        </w:tc>
        <w:tc>
          <w:tcPr>
            <w:tcW w:w="114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2.818</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793"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44"/>
    </w:tbl>
    <w:p>
      <w:pPr>
        <w:ind w:left="-708" w:leftChars="-337" w:right="-1210" w:rightChars="-576"/>
        <w:rPr>
          <w:rFonts w:ascii="宋体" w:hAnsi="宋体" w:cs="宋体"/>
          <w:sz w:val="24"/>
          <w:highlight w:val="yellow"/>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吨/年</w:t>
      </w:r>
    </w:p>
    <w:sectPr>
      <w:footerReference r:id="rId7"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PMingLiU">
    <w:altName w:val="Microsoft JhengHei UI"/>
    <w:panose1 w:val="02010601000101010101"/>
    <w:charset w:val="88"/>
    <w:family w:val="roman"/>
    <w:pitch w:val="default"/>
    <w:sig w:usb0="00000000" w:usb1="00000000" w:usb2="00000016" w:usb3="00000000" w:csb0="00100001" w:csb1="00000000"/>
  </w:font>
  <w:font w:name="Segoe UI Emoji">
    <w:panose1 w:val="020B0502040204020203"/>
    <w:charset w:val="00"/>
    <w:family w:val="swiss"/>
    <w:pitch w:val="default"/>
    <w:sig w:usb0="00000001" w:usb1="02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sdt>
    <w:sdtPr>
      <w:id w:val="165759787"/>
      <w:docPartObj>
        <w:docPartGallery w:val="autotext"/>
      </w:docPartObj>
    </w:sdtPr>
    <w:sdtContent>
      <w:p>
        <w:pPr>
          <w:pStyle w:val="21"/>
          <w:jc w:val="center"/>
        </w:pPr>
        <w:r>
          <w:fldChar w:fldCharType="begin"/>
        </w:r>
        <w:r>
          <w:instrText xml:space="preserve">PAGE   \* MERGEFORMAT</w:instrText>
        </w:r>
        <w:r>
          <w:fldChar w:fldCharType="separate"/>
        </w:r>
        <w:r>
          <w:rPr>
            <w:lang w:val="zh-CN"/>
          </w:rPr>
          <w:t>2</w:t>
        </w:r>
        <w:r>
          <w:fldChar w:fldCharType="end"/>
        </w:r>
      </w:p>
    </w:sdtContent>
  </w:sdt>
  <w:p>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jc w:val="center"/>
    </w:pPr>
  </w:p>
  <w:p>
    <w:pPr>
      <w:pStyle w:val="2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jc w:val="center"/>
    </w:pPr>
  </w:p>
  <w:p>
    <w:pPr>
      <w:pStyle w:val="2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800D4E"/>
    <w:multiLevelType w:val="singleLevel"/>
    <w:tmpl w:val="9E800D4E"/>
    <w:lvl w:ilvl="0" w:tentative="0">
      <w:start w:val="1"/>
      <w:numFmt w:val="decimal"/>
      <w:suff w:val="nothing"/>
      <w:lvlText w:val="%1、"/>
      <w:lvlJc w:val="left"/>
    </w:lvl>
  </w:abstractNum>
  <w:abstractNum w:abstractNumId="1">
    <w:nsid w:val="A97B3611"/>
    <w:multiLevelType w:val="singleLevel"/>
    <w:tmpl w:val="A97B3611"/>
    <w:lvl w:ilvl="0" w:tentative="0">
      <w:start w:val="1"/>
      <w:numFmt w:val="chineseCounting"/>
      <w:suff w:val="nothing"/>
      <w:lvlText w:val="%1、"/>
      <w:lvlJc w:val="left"/>
      <w:rPr>
        <w:rFonts w:hint="eastAsia"/>
      </w:rPr>
    </w:lvl>
  </w:abstractNum>
  <w:abstractNum w:abstractNumId="2">
    <w:nsid w:val="2B9950B6"/>
    <w:multiLevelType w:val="singleLevel"/>
    <w:tmpl w:val="2B9950B6"/>
    <w:lvl w:ilvl="0" w:tentative="0">
      <w:start w:val="1"/>
      <w:numFmt w:val="decimal"/>
      <w:suff w:val="nothing"/>
      <w:lvlText w:val="%1．"/>
      <w:lvlJc w:val="left"/>
      <w:pPr>
        <w:ind w:left="25" w:firstLine="400"/>
      </w:pPr>
      <w:rPr>
        <w:rFonts w:hint="default"/>
      </w:rPr>
    </w:lvl>
  </w:abstractNum>
  <w:abstractNum w:abstractNumId="3">
    <w:nsid w:val="43FD0980"/>
    <w:multiLevelType w:val="multilevel"/>
    <w:tmpl w:val="43FD0980"/>
    <w:lvl w:ilvl="0" w:tentative="0">
      <w:start w:val="1"/>
      <w:numFmt w:val="decimal"/>
      <w:suff w:val="nothing"/>
      <w:lvlText w:val="%1．"/>
      <w:lvlJc w:val="left"/>
      <w:pPr>
        <w:ind w:left="0" w:firstLine="4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4F93E17"/>
    <w:multiLevelType w:val="singleLevel"/>
    <w:tmpl w:val="44F93E17"/>
    <w:lvl w:ilvl="0" w:tentative="0">
      <w:start w:val="1"/>
      <w:numFmt w:val="decimal"/>
      <w:suff w:val="nothing"/>
      <w:lvlText w:val="%1．"/>
      <w:lvlJc w:val="left"/>
      <w:pPr>
        <w:ind w:left="25" w:firstLine="400"/>
      </w:pPr>
      <w:rPr>
        <w:rFonts w:hint="default"/>
      </w:rPr>
    </w:lvl>
  </w:abstractNum>
  <w:abstractNum w:abstractNumId="5">
    <w:nsid w:val="53C681AC"/>
    <w:multiLevelType w:val="singleLevel"/>
    <w:tmpl w:val="53C681AC"/>
    <w:lvl w:ilvl="0" w:tentative="0">
      <w:start w:val="1"/>
      <w:numFmt w:val="decimal"/>
      <w:suff w:val="nothing"/>
      <w:lvlText w:val="%1．"/>
      <w:lvlJc w:val="left"/>
      <w:pPr>
        <w:ind w:left="0" w:firstLine="400"/>
      </w:pPr>
      <w:rPr>
        <w:rFonts w:hint="default"/>
      </w:rPr>
    </w:lvl>
  </w:abstractNum>
  <w:num w:numId="1">
    <w:abstractNumId w:val="1"/>
  </w:num>
  <w:num w:numId="2">
    <w:abstractNumId w:val="0"/>
  </w:num>
  <w:num w:numId="3">
    <w:abstractNumId w:val="5"/>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2F74E7"/>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F0D"/>
    <w:rsid w:val="003818EB"/>
    <w:rsid w:val="003825A1"/>
    <w:rsid w:val="003826B6"/>
    <w:rsid w:val="00382BEB"/>
    <w:rsid w:val="00382CDC"/>
    <w:rsid w:val="003830CB"/>
    <w:rsid w:val="00383518"/>
    <w:rsid w:val="0038375F"/>
    <w:rsid w:val="00383F54"/>
    <w:rsid w:val="0038417B"/>
    <w:rsid w:val="003844DF"/>
    <w:rsid w:val="00385393"/>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27F"/>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412"/>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1A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6A"/>
    <w:rsid w:val="00731126"/>
    <w:rsid w:val="007312AD"/>
    <w:rsid w:val="0073147A"/>
    <w:rsid w:val="0073156A"/>
    <w:rsid w:val="007315FA"/>
    <w:rsid w:val="0073285D"/>
    <w:rsid w:val="00732CA8"/>
    <w:rsid w:val="007336C8"/>
    <w:rsid w:val="00733753"/>
    <w:rsid w:val="007338C5"/>
    <w:rsid w:val="00734077"/>
    <w:rsid w:val="007346E4"/>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627"/>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048D"/>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4E79"/>
    <w:rsid w:val="00B453EB"/>
    <w:rsid w:val="00B47FB6"/>
    <w:rsid w:val="00B502FA"/>
    <w:rsid w:val="00B50679"/>
    <w:rsid w:val="00B51D94"/>
    <w:rsid w:val="00B52B23"/>
    <w:rsid w:val="00B5328A"/>
    <w:rsid w:val="00B535C2"/>
    <w:rsid w:val="00B53A84"/>
    <w:rsid w:val="00B546D6"/>
    <w:rsid w:val="00B54895"/>
    <w:rsid w:val="00B54AF9"/>
    <w:rsid w:val="00B555A0"/>
    <w:rsid w:val="00B56150"/>
    <w:rsid w:val="00B56705"/>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87C30"/>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14DC3"/>
    <w:rsid w:val="01040538"/>
    <w:rsid w:val="01065A00"/>
    <w:rsid w:val="010C7205"/>
    <w:rsid w:val="01155EC5"/>
    <w:rsid w:val="01156C2E"/>
    <w:rsid w:val="011A7091"/>
    <w:rsid w:val="011D12FE"/>
    <w:rsid w:val="01305BB3"/>
    <w:rsid w:val="01352AA0"/>
    <w:rsid w:val="01413F00"/>
    <w:rsid w:val="01495AC2"/>
    <w:rsid w:val="014D49FE"/>
    <w:rsid w:val="01747A15"/>
    <w:rsid w:val="01985DF9"/>
    <w:rsid w:val="01A90907"/>
    <w:rsid w:val="01BE6D70"/>
    <w:rsid w:val="01C81DAC"/>
    <w:rsid w:val="01CA1450"/>
    <w:rsid w:val="01D020C5"/>
    <w:rsid w:val="01D141E4"/>
    <w:rsid w:val="01D76C1F"/>
    <w:rsid w:val="01EE33B8"/>
    <w:rsid w:val="01FB1D51"/>
    <w:rsid w:val="020D1AFE"/>
    <w:rsid w:val="021C1DB4"/>
    <w:rsid w:val="02220ACE"/>
    <w:rsid w:val="02251BEB"/>
    <w:rsid w:val="022B5FC0"/>
    <w:rsid w:val="024C215F"/>
    <w:rsid w:val="025167EF"/>
    <w:rsid w:val="0256321E"/>
    <w:rsid w:val="0261526F"/>
    <w:rsid w:val="02681492"/>
    <w:rsid w:val="027107EA"/>
    <w:rsid w:val="027A28B5"/>
    <w:rsid w:val="027F5F2C"/>
    <w:rsid w:val="0281530D"/>
    <w:rsid w:val="029B3CE2"/>
    <w:rsid w:val="029D4CFA"/>
    <w:rsid w:val="02AD464A"/>
    <w:rsid w:val="02BF60A0"/>
    <w:rsid w:val="02CB178C"/>
    <w:rsid w:val="02CB2A52"/>
    <w:rsid w:val="02D73871"/>
    <w:rsid w:val="02F41DD5"/>
    <w:rsid w:val="03006960"/>
    <w:rsid w:val="03066B03"/>
    <w:rsid w:val="03090370"/>
    <w:rsid w:val="03095B84"/>
    <w:rsid w:val="031C04FC"/>
    <w:rsid w:val="03234ED3"/>
    <w:rsid w:val="032B0E17"/>
    <w:rsid w:val="03421D13"/>
    <w:rsid w:val="03502220"/>
    <w:rsid w:val="035100A1"/>
    <w:rsid w:val="03557E92"/>
    <w:rsid w:val="03602001"/>
    <w:rsid w:val="036D51F3"/>
    <w:rsid w:val="0371136C"/>
    <w:rsid w:val="038E31E1"/>
    <w:rsid w:val="03990526"/>
    <w:rsid w:val="039D69B5"/>
    <w:rsid w:val="03AA4817"/>
    <w:rsid w:val="03AF3B39"/>
    <w:rsid w:val="03B030AD"/>
    <w:rsid w:val="03B63C65"/>
    <w:rsid w:val="03C20F6B"/>
    <w:rsid w:val="03C6241F"/>
    <w:rsid w:val="03C80C55"/>
    <w:rsid w:val="03E35565"/>
    <w:rsid w:val="03E4661B"/>
    <w:rsid w:val="03E54729"/>
    <w:rsid w:val="03F3645C"/>
    <w:rsid w:val="03FD54E6"/>
    <w:rsid w:val="04043697"/>
    <w:rsid w:val="04134866"/>
    <w:rsid w:val="041F6B7A"/>
    <w:rsid w:val="043744F3"/>
    <w:rsid w:val="043F3CAA"/>
    <w:rsid w:val="0448168C"/>
    <w:rsid w:val="044B39D1"/>
    <w:rsid w:val="04503788"/>
    <w:rsid w:val="04791203"/>
    <w:rsid w:val="04793211"/>
    <w:rsid w:val="04934E79"/>
    <w:rsid w:val="04AF52B3"/>
    <w:rsid w:val="04B466D3"/>
    <w:rsid w:val="04B612F8"/>
    <w:rsid w:val="04C95282"/>
    <w:rsid w:val="04CF7306"/>
    <w:rsid w:val="04F54BA3"/>
    <w:rsid w:val="04F7627E"/>
    <w:rsid w:val="04FB09BF"/>
    <w:rsid w:val="04FD4436"/>
    <w:rsid w:val="050514F5"/>
    <w:rsid w:val="050D5E94"/>
    <w:rsid w:val="050E75E7"/>
    <w:rsid w:val="052079A3"/>
    <w:rsid w:val="05291665"/>
    <w:rsid w:val="052A3CDD"/>
    <w:rsid w:val="052B4825"/>
    <w:rsid w:val="052E2843"/>
    <w:rsid w:val="054C01C9"/>
    <w:rsid w:val="055C3FEF"/>
    <w:rsid w:val="056E19BB"/>
    <w:rsid w:val="05982ECB"/>
    <w:rsid w:val="059A5E82"/>
    <w:rsid w:val="05A36948"/>
    <w:rsid w:val="05B11E81"/>
    <w:rsid w:val="05C87FF1"/>
    <w:rsid w:val="05DB799D"/>
    <w:rsid w:val="05E60C76"/>
    <w:rsid w:val="05E73E94"/>
    <w:rsid w:val="05F245DF"/>
    <w:rsid w:val="060A771F"/>
    <w:rsid w:val="062E0820"/>
    <w:rsid w:val="063241A5"/>
    <w:rsid w:val="06361D75"/>
    <w:rsid w:val="063801A9"/>
    <w:rsid w:val="06504D55"/>
    <w:rsid w:val="06533EE7"/>
    <w:rsid w:val="065448F1"/>
    <w:rsid w:val="06554146"/>
    <w:rsid w:val="0657553A"/>
    <w:rsid w:val="065D4547"/>
    <w:rsid w:val="065E3702"/>
    <w:rsid w:val="06636B48"/>
    <w:rsid w:val="06750416"/>
    <w:rsid w:val="067C0238"/>
    <w:rsid w:val="06801E2D"/>
    <w:rsid w:val="06856C70"/>
    <w:rsid w:val="06A10C83"/>
    <w:rsid w:val="06A66EAD"/>
    <w:rsid w:val="06B35415"/>
    <w:rsid w:val="06C11E6A"/>
    <w:rsid w:val="06CF36C0"/>
    <w:rsid w:val="06D61973"/>
    <w:rsid w:val="06EC0985"/>
    <w:rsid w:val="06F237A3"/>
    <w:rsid w:val="06F9526B"/>
    <w:rsid w:val="07093E61"/>
    <w:rsid w:val="07175697"/>
    <w:rsid w:val="07287644"/>
    <w:rsid w:val="07397709"/>
    <w:rsid w:val="073D66AF"/>
    <w:rsid w:val="07421661"/>
    <w:rsid w:val="07456416"/>
    <w:rsid w:val="074E084E"/>
    <w:rsid w:val="0755634D"/>
    <w:rsid w:val="075A223A"/>
    <w:rsid w:val="07682B64"/>
    <w:rsid w:val="076E3469"/>
    <w:rsid w:val="07791BB9"/>
    <w:rsid w:val="077F225B"/>
    <w:rsid w:val="07867889"/>
    <w:rsid w:val="079A58BF"/>
    <w:rsid w:val="079B0415"/>
    <w:rsid w:val="079E3211"/>
    <w:rsid w:val="07A23EA4"/>
    <w:rsid w:val="07B63E4F"/>
    <w:rsid w:val="07C21C61"/>
    <w:rsid w:val="07D7610A"/>
    <w:rsid w:val="07D93FC0"/>
    <w:rsid w:val="07E122A1"/>
    <w:rsid w:val="07E81A6F"/>
    <w:rsid w:val="07F0489F"/>
    <w:rsid w:val="07F43E8D"/>
    <w:rsid w:val="08061329"/>
    <w:rsid w:val="08127E9F"/>
    <w:rsid w:val="081E266E"/>
    <w:rsid w:val="08241985"/>
    <w:rsid w:val="0824775F"/>
    <w:rsid w:val="082D15E7"/>
    <w:rsid w:val="083A0BE1"/>
    <w:rsid w:val="083E6317"/>
    <w:rsid w:val="085841CC"/>
    <w:rsid w:val="085858CB"/>
    <w:rsid w:val="085C236F"/>
    <w:rsid w:val="08901C95"/>
    <w:rsid w:val="08AA6928"/>
    <w:rsid w:val="08B71222"/>
    <w:rsid w:val="08B829A2"/>
    <w:rsid w:val="08BE432A"/>
    <w:rsid w:val="08DE13AE"/>
    <w:rsid w:val="08E31450"/>
    <w:rsid w:val="08FB5DDC"/>
    <w:rsid w:val="08FC4BAC"/>
    <w:rsid w:val="09032CB0"/>
    <w:rsid w:val="09087044"/>
    <w:rsid w:val="091B225B"/>
    <w:rsid w:val="093864E3"/>
    <w:rsid w:val="093C47ED"/>
    <w:rsid w:val="093E2E8C"/>
    <w:rsid w:val="095A4F34"/>
    <w:rsid w:val="095B570F"/>
    <w:rsid w:val="096545FA"/>
    <w:rsid w:val="0967533C"/>
    <w:rsid w:val="096B6A7B"/>
    <w:rsid w:val="096E6AE6"/>
    <w:rsid w:val="098553C5"/>
    <w:rsid w:val="099E4323"/>
    <w:rsid w:val="09AC2705"/>
    <w:rsid w:val="09B55ED4"/>
    <w:rsid w:val="09B93582"/>
    <w:rsid w:val="09C32705"/>
    <w:rsid w:val="09C618E4"/>
    <w:rsid w:val="09CD1EA6"/>
    <w:rsid w:val="09EA469C"/>
    <w:rsid w:val="09FC6AFC"/>
    <w:rsid w:val="0A065425"/>
    <w:rsid w:val="0A0713F5"/>
    <w:rsid w:val="0A0B7025"/>
    <w:rsid w:val="0A1352A3"/>
    <w:rsid w:val="0A1933BF"/>
    <w:rsid w:val="0A1C2F41"/>
    <w:rsid w:val="0A2909D9"/>
    <w:rsid w:val="0A392ED3"/>
    <w:rsid w:val="0A4C0D61"/>
    <w:rsid w:val="0A572034"/>
    <w:rsid w:val="0A591A0D"/>
    <w:rsid w:val="0A594625"/>
    <w:rsid w:val="0A5A7C6D"/>
    <w:rsid w:val="0A625B6D"/>
    <w:rsid w:val="0A694648"/>
    <w:rsid w:val="0A704CF2"/>
    <w:rsid w:val="0A7464CA"/>
    <w:rsid w:val="0A7B1B12"/>
    <w:rsid w:val="0AA03EBC"/>
    <w:rsid w:val="0ABD1A3F"/>
    <w:rsid w:val="0ACC18C5"/>
    <w:rsid w:val="0AF0403F"/>
    <w:rsid w:val="0B186023"/>
    <w:rsid w:val="0B320803"/>
    <w:rsid w:val="0B324E62"/>
    <w:rsid w:val="0B3B2772"/>
    <w:rsid w:val="0B3B5687"/>
    <w:rsid w:val="0B3D5DA0"/>
    <w:rsid w:val="0B3D6DBC"/>
    <w:rsid w:val="0B562915"/>
    <w:rsid w:val="0B663B10"/>
    <w:rsid w:val="0B6B6136"/>
    <w:rsid w:val="0B6C0656"/>
    <w:rsid w:val="0B770C6B"/>
    <w:rsid w:val="0B774EE3"/>
    <w:rsid w:val="0B785E91"/>
    <w:rsid w:val="0B93711D"/>
    <w:rsid w:val="0BB10598"/>
    <w:rsid w:val="0BB13F8C"/>
    <w:rsid w:val="0BBF76A5"/>
    <w:rsid w:val="0BC52E88"/>
    <w:rsid w:val="0BD62EBE"/>
    <w:rsid w:val="0BD661E2"/>
    <w:rsid w:val="0BDA04F5"/>
    <w:rsid w:val="0BDD0EF7"/>
    <w:rsid w:val="0BE1728D"/>
    <w:rsid w:val="0BF3453E"/>
    <w:rsid w:val="0BF5487C"/>
    <w:rsid w:val="0C0755C8"/>
    <w:rsid w:val="0C0962D8"/>
    <w:rsid w:val="0C0C2FCA"/>
    <w:rsid w:val="0C135662"/>
    <w:rsid w:val="0C1671E4"/>
    <w:rsid w:val="0C3B07CE"/>
    <w:rsid w:val="0C4678FC"/>
    <w:rsid w:val="0C590655"/>
    <w:rsid w:val="0C5A2C51"/>
    <w:rsid w:val="0C6639F7"/>
    <w:rsid w:val="0C757E0D"/>
    <w:rsid w:val="0C931F38"/>
    <w:rsid w:val="0CA734A4"/>
    <w:rsid w:val="0CC734AD"/>
    <w:rsid w:val="0CD42009"/>
    <w:rsid w:val="0D0F4A1F"/>
    <w:rsid w:val="0D110865"/>
    <w:rsid w:val="0D23485A"/>
    <w:rsid w:val="0D3D1396"/>
    <w:rsid w:val="0D4C6DE3"/>
    <w:rsid w:val="0D5474D7"/>
    <w:rsid w:val="0D77353B"/>
    <w:rsid w:val="0D7C1DA4"/>
    <w:rsid w:val="0D824227"/>
    <w:rsid w:val="0D89595A"/>
    <w:rsid w:val="0D937E0B"/>
    <w:rsid w:val="0DAB7EFD"/>
    <w:rsid w:val="0DAD0EEF"/>
    <w:rsid w:val="0DB05903"/>
    <w:rsid w:val="0DB068AC"/>
    <w:rsid w:val="0DC14537"/>
    <w:rsid w:val="0DD965C6"/>
    <w:rsid w:val="0E103DAA"/>
    <w:rsid w:val="0E1950C9"/>
    <w:rsid w:val="0E1E63F7"/>
    <w:rsid w:val="0E25617C"/>
    <w:rsid w:val="0E262DB2"/>
    <w:rsid w:val="0E266916"/>
    <w:rsid w:val="0E2D3A4A"/>
    <w:rsid w:val="0E401285"/>
    <w:rsid w:val="0E462611"/>
    <w:rsid w:val="0E5A0919"/>
    <w:rsid w:val="0E7B64FA"/>
    <w:rsid w:val="0E9D6938"/>
    <w:rsid w:val="0EA72395"/>
    <w:rsid w:val="0EB14F06"/>
    <w:rsid w:val="0EBA7429"/>
    <w:rsid w:val="0ED26ECA"/>
    <w:rsid w:val="0ED96012"/>
    <w:rsid w:val="0EFA370E"/>
    <w:rsid w:val="0F111137"/>
    <w:rsid w:val="0F1540AD"/>
    <w:rsid w:val="0F221BC9"/>
    <w:rsid w:val="0F551102"/>
    <w:rsid w:val="0F5C6024"/>
    <w:rsid w:val="0F5D021C"/>
    <w:rsid w:val="0F7D7174"/>
    <w:rsid w:val="0F905A3B"/>
    <w:rsid w:val="0F993384"/>
    <w:rsid w:val="0FA9781E"/>
    <w:rsid w:val="0FAB0F84"/>
    <w:rsid w:val="0FAF4D2D"/>
    <w:rsid w:val="0FB33788"/>
    <w:rsid w:val="10013A4B"/>
    <w:rsid w:val="10087B66"/>
    <w:rsid w:val="10094D5F"/>
    <w:rsid w:val="100A5742"/>
    <w:rsid w:val="102D2210"/>
    <w:rsid w:val="102F5D98"/>
    <w:rsid w:val="103A0A8B"/>
    <w:rsid w:val="103D1E85"/>
    <w:rsid w:val="103E10DE"/>
    <w:rsid w:val="105675DB"/>
    <w:rsid w:val="105A3632"/>
    <w:rsid w:val="10621A85"/>
    <w:rsid w:val="106E54BC"/>
    <w:rsid w:val="10997348"/>
    <w:rsid w:val="109E2F43"/>
    <w:rsid w:val="10C270F4"/>
    <w:rsid w:val="10CB2A70"/>
    <w:rsid w:val="10E027A1"/>
    <w:rsid w:val="10EB511D"/>
    <w:rsid w:val="10EE161B"/>
    <w:rsid w:val="11056366"/>
    <w:rsid w:val="110B0A68"/>
    <w:rsid w:val="111479CA"/>
    <w:rsid w:val="112C796F"/>
    <w:rsid w:val="1138612A"/>
    <w:rsid w:val="113E6492"/>
    <w:rsid w:val="11524294"/>
    <w:rsid w:val="11615BCF"/>
    <w:rsid w:val="117245B2"/>
    <w:rsid w:val="117604CC"/>
    <w:rsid w:val="11890674"/>
    <w:rsid w:val="119865CA"/>
    <w:rsid w:val="11AE3C96"/>
    <w:rsid w:val="11BB0448"/>
    <w:rsid w:val="11BB76EB"/>
    <w:rsid w:val="11D17555"/>
    <w:rsid w:val="11E766C8"/>
    <w:rsid w:val="11F00E4E"/>
    <w:rsid w:val="11F573DE"/>
    <w:rsid w:val="11FA2112"/>
    <w:rsid w:val="12037675"/>
    <w:rsid w:val="12085CF7"/>
    <w:rsid w:val="120C5F06"/>
    <w:rsid w:val="120E3458"/>
    <w:rsid w:val="12163C49"/>
    <w:rsid w:val="121D2DF1"/>
    <w:rsid w:val="12221555"/>
    <w:rsid w:val="1245261C"/>
    <w:rsid w:val="12495FAD"/>
    <w:rsid w:val="124E27C1"/>
    <w:rsid w:val="12535036"/>
    <w:rsid w:val="12633798"/>
    <w:rsid w:val="12653905"/>
    <w:rsid w:val="126631D8"/>
    <w:rsid w:val="126B751B"/>
    <w:rsid w:val="12715E31"/>
    <w:rsid w:val="12796996"/>
    <w:rsid w:val="127A273B"/>
    <w:rsid w:val="12800932"/>
    <w:rsid w:val="12862AC4"/>
    <w:rsid w:val="12883A67"/>
    <w:rsid w:val="12AE4D44"/>
    <w:rsid w:val="12B76F28"/>
    <w:rsid w:val="12D03EA1"/>
    <w:rsid w:val="12E52029"/>
    <w:rsid w:val="12E6761D"/>
    <w:rsid w:val="12F633BA"/>
    <w:rsid w:val="12FC1E5E"/>
    <w:rsid w:val="13035319"/>
    <w:rsid w:val="13072830"/>
    <w:rsid w:val="130B0F8E"/>
    <w:rsid w:val="130B1923"/>
    <w:rsid w:val="1319453B"/>
    <w:rsid w:val="131D3348"/>
    <w:rsid w:val="1332065B"/>
    <w:rsid w:val="13342778"/>
    <w:rsid w:val="13354B30"/>
    <w:rsid w:val="1339279B"/>
    <w:rsid w:val="135F289D"/>
    <w:rsid w:val="13600D5C"/>
    <w:rsid w:val="137253E1"/>
    <w:rsid w:val="13745FC7"/>
    <w:rsid w:val="137C08CB"/>
    <w:rsid w:val="137E6E06"/>
    <w:rsid w:val="13816AE9"/>
    <w:rsid w:val="13A51B9B"/>
    <w:rsid w:val="13B93638"/>
    <w:rsid w:val="13E0148E"/>
    <w:rsid w:val="13EE75EA"/>
    <w:rsid w:val="13F607BD"/>
    <w:rsid w:val="13FC4E99"/>
    <w:rsid w:val="14006FC1"/>
    <w:rsid w:val="14042606"/>
    <w:rsid w:val="14065607"/>
    <w:rsid w:val="140D16C6"/>
    <w:rsid w:val="14106573"/>
    <w:rsid w:val="141A03EF"/>
    <w:rsid w:val="14294210"/>
    <w:rsid w:val="143E53CB"/>
    <w:rsid w:val="143F530B"/>
    <w:rsid w:val="14490CD9"/>
    <w:rsid w:val="14577B03"/>
    <w:rsid w:val="14645E1C"/>
    <w:rsid w:val="1473362B"/>
    <w:rsid w:val="147D2949"/>
    <w:rsid w:val="14827F33"/>
    <w:rsid w:val="14841859"/>
    <w:rsid w:val="148610E3"/>
    <w:rsid w:val="149D0940"/>
    <w:rsid w:val="14A42154"/>
    <w:rsid w:val="14B955DF"/>
    <w:rsid w:val="14C76F17"/>
    <w:rsid w:val="14CF353F"/>
    <w:rsid w:val="14D83EB1"/>
    <w:rsid w:val="14E21D97"/>
    <w:rsid w:val="14EF3037"/>
    <w:rsid w:val="14F65E5A"/>
    <w:rsid w:val="14F7436C"/>
    <w:rsid w:val="14F96D32"/>
    <w:rsid w:val="14FC0F34"/>
    <w:rsid w:val="15351DE7"/>
    <w:rsid w:val="1540791D"/>
    <w:rsid w:val="15416726"/>
    <w:rsid w:val="15451FCE"/>
    <w:rsid w:val="15515DAC"/>
    <w:rsid w:val="1551646D"/>
    <w:rsid w:val="15583D28"/>
    <w:rsid w:val="155C212E"/>
    <w:rsid w:val="15696C0D"/>
    <w:rsid w:val="15776E04"/>
    <w:rsid w:val="15A210E3"/>
    <w:rsid w:val="15BB2436"/>
    <w:rsid w:val="15C5105B"/>
    <w:rsid w:val="15D504F6"/>
    <w:rsid w:val="15D55A71"/>
    <w:rsid w:val="15DD74F9"/>
    <w:rsid w:val="15DF45D9"/>
    <w:rsid w:val="15F256E3"/>
    <w:rsid w:val="15F77C14"/>
    <w:rsid w:val="16020413"/>
    <w:rsid w:val="16064B95"/>
    <w:rsid w:val="16112D5C"/>
    <w:rsid w:val="162C263D"/>
    <w:rsid w:val="163A0CB7"/>
    <w:rsid w:val="16516436"/>
    <w:rsid w:val="16644110"/>
    <w:rsid w:val="16644E05"/>
    <w:rsid w:val="166C1183"/>
    <w:rsid w:val="1676699A"/>
    <w:rsid w:val="167C3929"/>
    <w:rsid w:val="1682501C"/>
    <w:rsid w:val="16883C42"/>
    <w:rsid w:val="16896874"/>
    <w:rsid w:val="168A6622"/>
    <w:rsid w:val="16CA31C6"/>
    <w:rsid w:val="16CE4C09"/>
    <w:rsid w:val="16D779DB"/>
    <w:rsid w:val="16E60058"/>
    <w:rsid w:val="170227BF"/>
    <w:rsid w:val="170B6D31"/>
    <w:rsid w:val="17207E40"/>
    <w:rsid w:val="172658DC"/>
    <w:rsid w:val="172D3174"/>
    <w:rsid w:val="17325784"/>
    <w:rsid w:val="173A1E42"/>
    <w:rsid w:val="173A36FE"/>
    <w:rsid w:val="173D3A45"/>
    <w:rsid w:val="17410373"/>
    <w:rsid w:val="174B716D"/>
    <w:rsid w:val="1758047A"/>
    <w:rsid w:val="176459CC"/>
    <w:rsid w:val="176A10B2"/>
    <w:rsid w:val="17993E70"/>
    <w:rsid w:val="17B53ABD"/>
    <w:rsid w:val="17B95B76"/>
    <w:rsid w:val="17BA1FC2"/>
    <w:rsid w:val="17BB0700"/>
    <w:rsid w:val="17C745EB"/>
    <w:rsid w:val="17D92C5D"/>
    <w:rsid w:val="17D96455"/>
    <w:rsid w:val="17E23324"/>
    <w:rsid w:val="17F101CD"/>
    <w:rsid w:val="17F80071"/>
    <w:rsid w:val="181B4837"/>
    <w:rsid w:val="18204F5C"/>
    <w:rsid w:val="1831265A"/>
    <w:rsid w:val="18361615"/>
    <w:rsid w:val="183F630B"/>
    <w:rsid w:val="1857119F"/>
    <w:rsid w:val="185908E5"/>
    <w:rsid w:val="185A2813"/>
    <w:rsid w:val="185A3D32"/>
    <w:rsid w:val="185D7696"/>
    <w:rsid w:val="186D07D0"/>
    <w:rsid w:val="188C1375"/>
    <w:rsid w:val="18900BE5"/>
    <w:rsid w:val="18A64D9B"/>
    <w:rsid w:val="18BA0EA0"/>
    <w:rsid w:val="18C20EE4"/>
    <w:rsid w:val="18C31792"/>
    <w:rsid w:val="18D3550B"/>
    <w:rsid w:val="18E033D2"/>
    <w:rsid w:val="18EE248F"/>
    <w:rsid w:val="18F21D06"/>
    <w:rsid w:val="18F3097E"/>
    <w:rsid w:val="18FE4E86"/>
    <w:rsid w:val="19040C09"/>
    <w:rsid w:val="19074038"/>
    <w:rsid w:val="1915479B"/>
    <w:rsid w:val="191D5C41"/>
    <w:rsid w:val="191F3B71"/>
    <w:rsid w:val="19215280"/>
    <w:rsid w:val="192A6212"/>
    <w:rsid w:val="194175CA"/>
    <w:rsid w:val="1952613B"/>
    <w:rsid w:val="195F7D8B"/>
    <w:rsid w:val="198A0DF8"/>
    <w:rsid w:val="198C3609"/>
    <w:rsid w:val="19B04E12"/>
    <w:rsid w:val="19B134E8"/>
    <w:rsid w:val="19CD7EA8"/>
    <w:rsid w:val="19D546C4"/>
    <w:rsid w:val="19DB3BE3"/>
    <w:rsid w:val="19DC3FF0"/>
    <w:rsid w:val="19F81B82"/>
    <w:rsid w:val="19FF095A"/>
    <w:rsid w:val="1A09628F"/>
    <w:rsid w:val="1A28596B"/>
    <w:rsid w:val="1A363C26"/>
    <w:rsid w:val="1A454C1F"/>
    <w:rsid w:val="1A6472DF"/>
    <w:rsid w:val="1A662EC8"/>
    <w:rsid w:val="1A802B16"/>
    <w:rsid w:val="1A834961"/>
    <w:rsid w:val="1A877BA4"/>
    <w:rsid w:val="1A917150"/>
    <w:rsid w:val="1AA12900"/>
    <w:rsid w:val="1AA83338"/>
    <w:rsid w:val="1AAB35B8"/>
    <w:rsid w:val="1AAB50C6"/>
    <w:rsid w:val="1AB55FF9"/>
    <w:rsid w:val="1AB64CB4"/>
    <w:rsid w:val="1AB66BC4"/>
    <w:rsid w:val="1ABB19DA"/>
    <w:rsid w:val="1ACC74AC"/>
    <w:rsid w:val="1AF31659"/>
    <w:rsid w:val="1AFB3B45"/>
    <w:rsid w:val="1B002D0C"/>
    <w:rsid w:val="1B1E2784"/>
    <w:rsid w:val="1B325F26"/>
    <w:rsid w:val="1B3A2FAA"/>
    <w:rsid w:val="1B6276F1"/>
    <w:rsid w:val="1B695BEB"/>
    <w:rsid w:val="1B703EE1"/>
    <w:rsid w:val="1B923834"/>
    <w:rsid w:val="1BAC64C4"/>
    <w:rsid w:val="1BB171C1"/>
    <w:rsid w:val="1BBD369E"/>
    <w:rsid w:val="1BC20F57"/>
    <w:rsid w:val="1BE074B9"/>
    <w:rsid w:val="1BEA47A6"/>
    <w:rsid w:val="1BFB3568"/>
    <w:rsid w:val="1C1C7300"/>
    <w:rsid w:val="1C694607"/>
    <w:rsid w:val="1C6F51F9"/>
    <w:rsid w:val="1C7A3144"/>
    <w:rsid w:val="1C930083"/>
    <w:rsid w:val="1C9A293B"/>
    <w:rsid w:val="1C9E6F9E"/>
    <w:rsid w:val="1CA93819"/>
    <w:rsid w:val="1CE71156"/>
    <w:rsid w:val="1CE9671F"/>
    <w:rsid w:val="1D067A53"/>
    <w:rsid w:val="1D082EA0"/>
    <w:rsid w:val="1D0E60F9"/>
    <w:rsid w:val="1D2506DD"/>
    <w:rsid w:val="1D285748"/>
    <w:rsid w:val="1D2A25EF"/>
    <w:rsid w:val="1D3C07BB"/>
    <w:rsid w:val="1D4135FC"/>
    <w:rsid w:val="1D4D3C28"/>
    <w:rsid w:val="1D617ECD"/>
    <w:rsid w:val="1D6B0C53"/>
    <w:rsid w:val="1D745763"/>
    <w:rsid w:val="1D873542"/>
    <w:rsid w:val="1D8F2A0C"/>
    <w:rsid w:val="1DA36861"/>
    <w:rsid w:val="1DB3347E"/>
    <w:rsid w:val="1DED7A62"/>
    <w:rsid w:val="1E03464E"/>
    <w:rsid w:val="1E054446"/>
    <w:rsid w:val="1E0C45BD"/>
    <w:rsid w:val="1E24727F"/>
    <w:rsid w:val="1E294504"/>
    <w:rsid w:val="1E3128A0"/>
    <w:rsid w:val="1E330055"/>
    <w:rsid w:val="1E381F2E"/>
    <w:rsid w:val="1E3C7069"/>
    <w:rsid w:val="1E3E05BD"/>
    <w:rsid w:val="1E3F0106"/>
    <w:rsid w:val="1E4206B7"/>
    <w:rsid w:val="1E427698"/>
    <w:rsid w:val="1E4A162B"/>
    <w:rsid w:val="1E586823"/>
    <w:rsid w:val="1E5C57E5"/>
    <w:rsid w:val="1E6C787D"/>
    <w:rsid w:val="1E6D0335"/>
    <w:rsid w:val="1E7031DA"/>
    <w:rsid w:val="1E714D36"/>
    <w:rsid w:val="1E8958B8"/>
    <w:rsid w:val="1E9933EE"/>
    <w:rsid w:val="1E9A5BDA"/>
    <w:rsid w:val="1EAD28A2"/>
    <w:rsid w:val="1EC01C43"/>
    <w:rsid w:val="1EC62EB9"/>
    <w:rsid w:val="1ECF1CFE"/>
    <w:rsid w:val="1EFE24ED"/>
    <w:rsid w:val="1F005FD5"/>
    <w:rsid w:val="1F0D3C9F"/>
    <w:rsid w:val="1F100F40"/>
    <w:rsid w:val="1F12161F"/>
    <w:rsid w:val="1F245739"/>
    <w:rsid w:val="1F3740AF"/>
    <w:rsid w:val="1F460725"/>
    <w:rsid w:val="1F4E4C51"/>
    <w:rsid w:val="1F4F404F"/>
    <w:rsid w:val="1F5758D8"/>
    <w:rsid w:val="1F5E368C"/>
    <w:rsid w:val="1F7B6472"/>
    <w:rsid w:val="1F8617EC"/>
    <w:rsid w:val="1F8D4FAD"/>
    <w:rsid w:val="1FC32FCE"/>
    <w:rsid w:val="1FD0488D"/>
    <w:rsid w:val="1FD470E6"/>
    <w:rsid w:val="1FE86894"/>
    <w:rsid w:val="1FEC6DE2"/>
    <w:rsid w:val="1FF41FD4"/>
    <w:rsid w:val="1FF85169"/>
    <w:rsid w:val="1FF936FF"/>
    <w:rsid w:val="20032255"/>
    <w:rsid w:val="200752FC"/>
    <w:rsid w:val="200903AC"/>
    <w:rsid w:val="202454E8"/>
    <w:rsid w:val="202A3468"/>
    <w:rsid w:val="202C21AA"/>
    <w:rsid w:val="202C2CCC"/>
    <w:rsid w:val="203443A5"/>
    <w:rsid w:val="2037725D"/>
    <w:rsid w:val="20550D62"/>
    <w:rsid w:val="209611A3"/>
    <w:rsid w:val="209C14B6"/>
    <w:rsid w:val="20B578B0"/>
    <w:rsid w:val="20C477AA"/>
    <w:rsid w:val="20D114DC"/>
    <w:rsid w:val="20D54DE8"/>
    <w:rsid w:val="20E00AC0"/>
    <w:rsid w:val="20E17E2E"/>
    <w:rsid w:val="20E3151B"/>
    <w:rsid w:val="21077F78"/>
    <w:rsid w:val="2108519A"/>
    <w:rsid w:val="21106F72"/>
    <w:rsid w:val="21197081"/>
    <w:rsid w:val="214252FE"/>
    <w:rsid w:val="21550DF1"/>
    <w:rsid w:val="216C3FCF"/>
    <w:rsid w:val="217C3CCE"/>
    <w:rsid w:val="218B332E"/>
    <w:rsid w:val="218B7FD3"/>
    <w:rsid w:val="21917DC6"/>
    <w:rsid w:val="219A14AB"/>
    <w:rsid w:val="21BF01FB"/>
    <w:rsid w:val="21C464AD"/>
    <w:rsid w:val="21C76A4E"/>
    <w:rsid w:val="21D42B4A"/>
    <w:rsid w:val="21D55222"/>
    <w:rsid w:val="21D65B03"/>
    <w:rsid w:val="21E43C11"/>
    <w:rsid w:val="21EA6050"/>
    <w:rsid w:val="21EF7BBE"/>
    <w:rsid w:val="22120661"/>
    <w:rsid w:val="222E2243"/>
    <w:rsid w:val="2231449C"/>
    <w:rsid w:val="22353BD9"/>
    <w:rsid w:val="223F0A24"/>
    <w:rsid w:val="22465C22"/>
    <w:rsid w:val="22577133"/>
    <w:rsid w:val="225B0436"/>
    <w:rsid w:val="225E1146"/>
    <w:rsid w:val="22676D69"/>
    <w:rsid w:val="226D0327"/>
    <w:rsid w:val="2273352B"/>
    <w:rsid w:val="227D1F5A"/>
    <w:rsid w:val="228B3497"/>
    <w:rsid w:val="22900AD6"/>
    <w:rsid w:val="22990C8A"/>
    <w:rsid w:val="229D4CBB"/>
    <w:rsid w:val="22AB7E1E"/>
    <w:rsid w:val="22AC4538"/>
    <w:rsid w:val="22B61180"/>
    <w:rsid w:val="22E62728"/>
    <w:rsid w:val="22EC5517"/>
    <w:rsid w:val="22EF3920"/>
    <w:rsid w:val="22F07628"/>
    <w:rsid w:val="22FA0C7C"/>
    <w:rsid w:val="23062551"/>
    <w:rsid w:val="231349A6"/>
    <w:rsid w:val="23165B8D"/>
    <w:rsid w:val="231A3E39"/>
    <w:rsid w:val="231D6822"/>
    <w:rsid w:val="232416B9"/>
    <w:rsid w:val="2339618C"/>
    <w:rsid w:val="23460670"/>
    <w:rsid w:val="234966F2"/>
    <w:rsid w:val="234D19DF"/>
    <w:rsid w:val="234E0383"/>
    <w:rsid w:val="23567733"/>
    <w:rsid w:val="235C03D9"/>
    <w:rsid w:val="235E287C"/>
    <w:rsid w:val="235F4566"/>
    <w:rsid w:val="238C6E96"/>
    <w:rsid w:val="23974F92"/>
    <w:rsid w:val="2399781F"/>
    <w:rsid w:val="239B2F59"/>
    <w:rsid w:val="23B56DE4"/>
    <w:rsid w:val="23D75F21"/>
    <w:rsid w:val="23E34A00"/>
    <w:rsid w:val="23EF59F0"/>
    <w:rsid w:val="23F533E5"/>
    <w:rsid w:val="241F19B3"/>
    <w:rsid w:val="2420132E"/>
    <w:rsid w:val="24206411"/>
    <w:rsid w:val="242D1D9C"/>
    <w:rsid w:val="242F24FB"/>
    <w:rsid w:val="243139F2"/>
    <w:rsid w:val="2444287E"/>
    <w:rsid w:val="245363C5"/>
    <w:rsid w:val="245A1250"/>
    <w:rsid w:val="24600BCA"/>
    <w:rsid w:val="24607325"/>
    <w:rsid w:val="246538E3"/>
    <w:rsid w:val="247B2AA9"/>
    <w:rsid w:val="247C0A6F"/>
    <w:rsid w:val="248372EE"/>
    <w:rsid w:val="249D2C95"/>
    <w:rsid w:val="249E47C9"/>
    <w:rsid w:val="24A65F21"/>
    <w:rsid w:val="24AF0264"/>
    <w:rsid w:val="24B20225"/>
    <w:rsid w:val="24B54893"/>
    <w:rsid w:val="24CD66D2"/>
    <w:rsid w:val="24D27652"/>
    <w:rsid w:val="24D7398A"/>
    <w:rsid w:val="24DA7E2D"/>
    <w:rsid w:val="24DC6887"/>
    <w:rsid w:val="251846EE"/>
    <w:rsid w:val="251D2D5B"/>
    <w:rsid w:val="25206795"/>
    <w:rsid w:val="252231D1"/>
    <w:rsid w:val="25252DC0"/>
    <w:rsid w:val="25294AA4"/>
    <w:rsid w:val="2534101A"/>
    <w:rsid w:val="254243CF"/>
    <w:rsid w:val="254C096F"/>
    <w:rsid w:val="25601A50"/>
    <w:rsid w:val="258A6A08"/>
    <w:rsid w:val="258D2C14"/>
    <w:rsid w:val="25A6728E"/>
    <w:rsid w:val="25BA7179"/>
    <w:rsid w:val="25BD58A6"/>
    <w:rsid w:val="25C02FD2"/>
    <w:rsid w:val="25C02FF7"/>
    <w:rsid w:val="25CE4312"/>
    <w:rsid w:val="25D40BE9"/>
    <w:rsid w:val="25D41687"/>
    <w:rsid w:val="25DF0353"/>
    <w:rsid w:val="25FE077B"/>
    <w:rsid w:val="260A4D55"/>
    <w:rsid w:val="260C1577"/>
    <w:rsid w:val="260D5427"/>
    <w:rsid w:val="2613748F"/>
    <w:rsid w:val="2619763A"/>
    <w:rsid w:val="26283458"/>
    <w:rsid w:val="264E2E42"/>
    <w:rsid w:val="26523493"/>
    <w:rsid w:val="26540953"/>
    <w:rsid w:val="265537F2"/>
    <w:rsid w:val="265C61A8"/>
    <w:rsid w:val="266648BC"/>
    <w:rsid w:val="267177DD"/>
    <w:rsid w:val="26790974"/>
    <w:rsid w:val="26943455"/>
    <w:rsid w:val="26B12369"/>
    <w:rsid w:val="26B661B3"/>
    <w:rsid w:val="26BB311B"/>
    <w:rsid w:val="26CE2419"/>
    <w:rsid w:val="26D71257"/>
    <w:rsid w:val="26E05E6D"/>
    <w:rsid w:val="26FF187F"/>
    <w:rsid w:val="2713186B"/>
    <w:rsid w:val="27381ACA"/>
    <w:rsid w:val="273F0FCF"/>
    <w:rsid w:val="2751667B"/>
    <w:rsid w:val="27524484"/>
    <w:rsid w:val="27603E78"/>
    <w:rsid w:val="277F4262"/>
    <w:rsid w:val="2788178D"/>
    <w:rsid w:val="27886378"/>
    <w:rsid w:val="278A2C0A"/>
    <w:rsid w:val="27B311E8"/>
    <w:rsid w:val="27E54603"/>
    <w:rsid w:val="27EE4951"/>
    <w:rsid w:val="28075F4F"/>
    <w:rsid w:val="28226AB2"/>
    <w:rsid w:val="28256C1A"/>
    <w:rsid w:val="28333229"/>
    <w:rsid w:val="28430929"/>
    <w:rsid w:val="28463999"/>
    <w:rsid w:val="28513564"/>
    <w:rsid w:val="286C31F6"/>
    <w:rsid w:val="28725629"/>
    <w:rsid w:val="28741B67"/>
    <w:rsid w:val="2880225C"/>
    <w:rsid w:val="28843CFD"/>
    <w:rsid w:val="288B0246"/>
    <w:rsid w:val="28935866"/>
    <w:rsid w:val="28A5196E"/>
    <w:rsid w:val="28A811DB"/>
    <w:rsid w:val="28B76E4B"/>
    <w:rsid w:val="28BD0616"/>
    <w:rsid w:val="28C80069"/>
    <w:rsid w:val="28D20B36"/>
    <w:rsid w:val="28D5020D"/>
    <w:rsid w:val="29020AE4"/>
    <w:rsid w:val="29086C0C"/>
    <w:rsid w:val="291A1E58"/>
    <w:rsid w:val="292600DA"/>
    <w:rsid w:val="29273450"/>
    <w:rsid w:val="29357681"/>
    <w:rsid w:val="29367250"/>
    <w:rsid w:val="293D2B0F"/>
    <w:rsid w:val="294033CF"/>
    <w:rsid w:val="29411664"/>
    <w:rsid w:val="29485E23"/>
    <w:rsid w:val="295B1C64"/>
    <w:rsid w:val="295C20AC"/>
    <w:rsid w:val="29674440"/>
    <w:rsid w:val="296B6FEB"/>
    <w:rsid w:val="29911AE5"/>
    <w:rsid w:val="29917682"/>
    <w:rsid w:val="299A77A5"/>
    <w:rsid w:val="299D2121"/>
    <w:rsid w:val="299E27C5"/>
    <w:rsid w:val="299F7BA4"/>
    <w:rsid w:val="29A13E61"/>
    <w:rsid w:val="29A90E2F"/>
    <w:rsid w:val="29B4209C"/>
    <w:rsid w:val="29BD404E"/>
    <w:rsid w:val="29C07338"/>
    <w:rsid w:val="29D67690"/>
    <w:rsid w:val="29D869AE"/>
    <w:rsid w:val="29DF464F"/>
    <w:rsid w:val="29E27016"/>
    <w:rsid w:val="29EB708C"/>
    <w:rsid w:val="29EC048B"/>
    <w:rsid w:val="29F42434"/>
    <w:rsid w:val="2A0F387B"/>
    <w:rsid w:val="2A116D2C"/>
    <w:rsid w:val="2A156DB1"/>
    <w:rsid w:val="2A275533"/>
    <w:rsid w:val="2A327970"/>
    <w:rsid w:val="2A3759E3"/>
    <w:rsid w:val="2A431DC2"/>
    <w:rsid w:val="2A4B1C65"/>
    <w:rsid w:val="2A4B73E2"/>
    <w:rsid w:val="2A4C4840"/>
    <w:rsid w:val="2A551EAF"/>
    <w:rsid w:val="2A64047E"/>
    <w:rsid w:val="2A6D1849"/>
    <w:rsid w:val="2A864EEF"/>
    <w:rsid w:val="2A8A0315"/>
    <w:rsid w:val="2A8C0891"/>
    <w:rsid w:val="2AA227C4"/>
    <w:rsid w:val="2AAA52F7"/>
    <w:rsid w:val="2ADC04BC"/>
    <w:rsid w:val="2AEC5DC1"/>
    <w:rsid w:val="2AEF534B"/>
    <w:rsid w:val="2B1A19E8"/>
    <w:rsid w:val="2B20344F"/>
    <w:rsid w:val="2B21701D"/>
    <w:rsid w:val="2B28456B"/>
    <w:rsid w:val="2B2D6F0B"/>
    <w:rsid w:val="2B343C7A"/>
    <w:rsid w:val="2B39477F"/>
    <w:rsid w:val="2B403826"/>
    <w:rsid w:val="2B5210B3"/>
    <w:rsid w:val="2B584AEA"/>
    <w:rsid w:val="2B5A482E"/>
    <w:rsid w:val="2B7F34AC"/>
    <w:rsid w:val="2B8F7FC0"/>
    <w:rsid w:val="2BA053CF"/>
    <w:rsid w:val="2BA1087A"/>
    <w:rsid w:val="2BC06393"/>
    <w:rsid w:val="2BCB34C6"/>
    <w:rsid w:val="2BD346EF"/>
    <w:rsid w:val="2BE059A0"/>
    <w:rsid w:val="2BEA144B"/>
    <w:rsid w:val="2BEB3FC5"/>
    <w:rsid w:val="2C182C84"/>
    <w:rsid w:val="2C1F3B06"/>
    <w:rsid w:val="2C23112B"/>
    <w:rsid w:val="2C2A0A0E"/>
    <w:rsid w:val="2C374788"/>
    <w:rsid w:val="2C3C1015"/>
    <w:rsid w:val="2C3F3390"/>
    <w:rsid w:val="2C437BF3"/>
    <w:rsid w:val="2C6B1C7B"/>
    <w:rsid w:val="2C71355B"/>
    <w:rsid w:val="2C71451E"/>
    <w:rsid w:val="2C806C38"/>
    <w:rsid w:val="2C8B58A6"/>
    <w:rsid w:val="2C904FCF"/>
    <w:rsid w:val="2C906F14"/>
    <w:rsid w:val="2C9A125E"/>
    <w:rsid w:val="2CA9512B"/>
    <w:rsid w:val="2CAE0DDF"/>
    <w:rsid w:val="2CB85135"/>
    <w:rsid w:val="2CC12FE3"/>
    <w:rsid w:val="2CCA57E2"/>
    <w:rsid w:val="2CE13EA1"/>
    <w:rsid w:val="2CF6402E"/>
    <w:rsid w:val="2CF719A3"/>
    <w:rsid w:val="2CF73B45"/>
    <w:rsid w:val="2D291D0F"/>
    <w:rsid w:val="2D4B57B5"/>
    <w:rsid w:val="2D4E7D1F"/>
    <w:rsid w:val="2D79047A"/>
    <w:rsid w:val="2D8816DD"/>
    <w:rsid w:val="2D8B6504"/>
    <w:rsid w:val="2DA066CE"/>
    <w:rsid w:val="2DCB7564"/>
    <w:rsid w:val="2DCF0621"/>
    <w:rsid w:val="2DDA74C5"/>
    <w:rsid w:val="2DDB1844"/>
    <w:rsid w:val="2DDC6886"/>
    <w:rsid w:val="2DDE6913"/>
    <w:rsid w:val="2DE53E8E"/>
    <w:rsid w:val="2DF15AF7"/>
    <w:rsid w:val="2E062A0D"/>
    <w:rsid w:val="2E0D6D7A"/>
    <w:rsid w:val="2E124996"/>
    <w:rsid w:val="2E177523"/>
    <w:rsid w:val="2E1F377F"/>
    <w:rsid w:val="2E212338"/>
    <w:rsid w:val="2E2225E6"/>
    <w:rsid w:val="2E2607B3"/>
    <w:rsid w:val="2E3A0924"/>
    <w:rsid w:val="2E4353DA"/>
    <w:rsid w:val="2E463DE3"/>
    <w:rsid w:val="2E510EE3"/>
    <w:rsid w:val="2E552ED7"/>
    <w:rsid w:val="2E573B9D"/>
    <w:rsid w:val="2E69135D"/>
    <w:rsid w:val="2E7C71A6"/>
    <w:rsid w:val="2E9F4D71"/>
    <w:rsid w:val="2EA17D43"/>
    <w:rsid w:val="2EA375E0"/>
    <w:rsid w:val="2EA42062"/>
    <w:rsid w:val="2EAE6FEF"/>
    <w:rsid w:val="2EBC15D9"/>
    <w:rsid w:val="2EBF503A"/>
    <w:rsid w:val="2ED824C5"/>
    <w:rsid w:val="2EED725F"/>
    <w:rsid w:val="2EF72275"/>
    <w:rsid w:val="2EFA5DF5"/>
    <w:rsid w:val="2F0A1E10"/>
    <w:rsid w:val="2F1237A0"/>
    <w:rsid w:val="2F231681"/>
    <w:rsid w:val="2F3179BC"/>
    <w:rsid w:val="2F33748F"/>
    <w:rsid w:val="2F382481"/>
    <w:rsid w:val="2F3F235E"/>
    <w:rsid w:val="2F440AB8"/>
    <w:rsid w:val="2F445077"/>
    <w:rsid w:val="2F453115"/>
    <w:rsid w:val="2F4630F3"/>
    <w:rsid w:val="2F4B4214"/>
    <w:rsid w:val="2F5260B8"/>
    <w:rsid w:val="2F5A4274"/>
    <w:rsid w:val="2F764EFF"/>
    <w:rsid w:val="2F834F4C"/>
    <w:rsid w:val="2F8A404B"/>
    <w:rsid w:val="2F903402"/>
    <w:rsid w:val="2F9D78BE"/>
    <w:rsid w:val="2FD03016"/>
    <w:rsid w:val="2FD611FB"/>
    <w:rsid w:val="2FE66D4B"/>
    <w:rsid w:val="2FEF1DE9"/>
    <w:rsid w:val="2FF4629D"/>
    <w:rsid w:val="30073864"/>
    <w:rsid w:val="30261ECC"/>
    <w:rsid w:val="302E099A"/>
    <w:rsid w:val="30344D72"/>
    <w:rsid w:val="30370912"/>
    <w:rsid w:val="303C1C96"/>
    <w:rsid w:val="303D4E95"/>
    <w:rsid w:val="30536AF3"/>
    <w:rsid w:val="3061776A"/>
    <w:rsid w:val="30667187"/>
    <w:rsid w:val="306A7C50"/>
    <w:rsid w:val="306B587D"/>
    <w:rsid w:val="306E1321"/>
    <w:rsid w:val="30723988"/>
    <w:rsid w:val="307E2473"/>
    <w:rsid w:val="308913ED"/>
    <w:rsid w:val="308A29F4"/>
    <w:rsid w:val="308D4218"/>
    <w:rsid w:val="30917DEE"/>
    <w:rsid w:val="309C594A"/>
    <w:rsid w:val="30A67175"/>
    <w:rsid w:val="30AD0005"/>
    <w:rsid w:val="30C874BB"/>
    <w:rsid w:val="30CD2042"/>
    <w:rsid w:val="30CF1B61"/>
    <w:rsid w:val="30D304F4"/>
    <w:rsid w:val="30DC30B4"/>
    <w:rsid w:val="30E7460B"/>
    <w:rsid w:val="30F52DC8"/>
    <w:rsid w:val="30F6299C"/>
    <w:rsid w:val="3101514E"/>
    <w:rsid w:val="310F1716"/>
    <w:rsid w:val="31427CA1"/>
    <w:rsid w:val="31467155"/>
    <w:rsid w:val="31604329"/>
    <w:rsid w:val="31641D44"/>
    <w:rsid w:val="3167327A"/>
    <w:rsid w:val="316C225B"/>
    <w:rsid w:val="316F6698"/>
    <w:rsid w:val="317808ED"/>
    <w:rsid w:val="31814D0D"/>
    <w:rsid w:val="31843F85"/>
    <w:rsid w:val="31855669"/>
    <w:rsid w:val="319861BF"/>
    <w:rsid w:val="319A0AD1"/>
    <w:rsid w:val="31A12ED9"/>
    <w:rsid w:val="31A37B90"/>
    <w:rsid w:val="31BA57F4"/>
    <w:rsid w:val="31C01938"/>
    <w:rsid w:val="31C26D7C"/>
    <w:rsid w:val="31DA2D48"/>
    <w:rsid w:val="31E35229"/>
    <w:rsid w:val="31ED5C9A"/>
    <w:rsid w:val="320473B4"/>
    <w:rsid w:val="320A585D"/>
    <w:rsid w:val="32335971"/>
    <w:rsid w:val="323C683D"/>
    <w:rsid w:val="325B1369"/>
    <w:rsid w:val="32613053"/>
    <w:rsid w:val="326567D4"/>
    <w:rsid w:val="326D18C5"/>
    <w:rsid w:val="327F4478"/>
    <w:rsid w:val="32991B4E"/>
    <w:rsid w:val="32BD6FBE"/>
    <w:rsid w:val="32D43677"/>
    <w:rsid w:val="32DA347E"/>
    <w:rsid w:val="32DE7FE1"/>
    <w:rsid w:val="32F42A93"/>
    <w:rsid w:val="32F44EE3"/>
    <w:rsid w:val="32F47455"/>
    <w:rsid w:val="33026FAE"/>
    <w:rsid w:val="330A3095"/>
    <w:rsid w:val="330A68F8"/>
    <w:rsid w:val="33136AC0"/>
    <w:rsid w:val="331A41C2"/>
    <w:rsid w:val="331F0C6D"/>
    <w:rsid w:val="3333606E"/>
    <w:rsid w:val="33375A26"/>
    <w:rsid w:val="333F5CFA"/>
    <w:rsid w:val="334F20AE"/>
    <w:rsid w:val="3351083C"/>
    <w:rsid w:val="33662867"/>
    <w:rsid w:val="337D716A"/>
    <w:rsid w:val="33956CB7"/>
    <w:rsid w:val="33A75C1B"/>
    <w:rsid w:val="33B24C8D"/>
    <w:rsid w:val="33B32935"/>
    <w:rsid w:val="33C2588F"/>
    <w:rsid w:val="33CA3B75"/>
    <w:rsid w:val="33E723D6"/>
    <w:rsid w:val="33EC36AE"/>
    <w:rsid w:val="33FC7CE6"/>
    <w:rsid w:val="340B6428"/>
    <w:rsid w:val="340E25D4"/>
    <w:rsid w:val="34147780"/>
    <w:rsid w:val="34255D1D"/>
    <w:rsid w:val="34257A83"/>
    <w:rsid w:val="34263F83"/>
    <w:rsid w:val="342A1023"/>
    <w:rsid w:val="34311CBB"/>
    <w:rsid w:val="34361D2C"/>
    <w:rsid w:val="34482F05"/>
    <w:rsid w:val="34521A1C"/>
    <w:rsid w:val="34571A5C"/>
    <w:rsid w:val="345A1A25"/>
    <w:rsid w:val="345C5EC1"/>
    <w:rsid w:val="346270E2"/>
    <w:rsid w:val="34776ED9"/>
    <w:rsid w:val="347870FE"/>
    <w:rsid w:val="34865319"/>
    <w:rsid w:val="348B49D3"/>
    <w:rsid w:val="34971089"/>
    <w:rsid w:val="349D082B"/>
    <w:rsid w:val="34A342F7"/>
    <w:rsid w:val="34A841C8"/>
    <w:rsid w:val="34B658F1"/>
    <w:rsid w:val="34C75F92"/>
    <w:rsid w:val="34C90D17"/>
    <w:rsid w:val="34D53386"/>
    <w:rsid w:val="35001B30"/>
    <w:rsid w:val="350F731B"/>
    <w:rsid w:val="35153247"/>
    <w:rsid w:val="352375A0"/>
    <w:rsid w:val="353D2C14"/>
    <w:rsid w:val="354F7ED3"/>
    <w:rsid w:val="35531D63"/>
    <w:rsid w:val="35541457"/>
    <w:rsid w:val="35796677"/>
    <w:rsid w:val="3583663D"/>
    <w:rsid w:val="3584010E"/>
    <w:rsid w:val="35845403"/>
    <w:rsid w:val="359568ED"/>
    <w:rsid w:val="359E3076"/>
    <w:rsid w:val="35A51368"/>
    <w:rsid w:val="35AE467F"/>
    <w:rsid w:val="35B13B64"/>
    <w:rsid w:val="35BE6B8C"/>
    <w:rsid w:val="35C44324"/>
    <w:rsid w:val="35E10260"/>
    <w:rsid w:val="35E37A01"/>
    <w:rsid w:val="35E471C3"/>
    <w:rsid w:val="35EF2CEA"/>
    <w:rsid w:val="36012AB3"/>
    <w:rsid w:val="360828C0"/>
    <w:rsid w:val="36214773"/>
    <w:rsid w:val="36274398"/>
    <w:rsid w:val="36332687"/>
    <w:rsid w:val="365671CC"/>
    <w:rsid w:val="369E5385"/>
    <w:rsid w:val="36A1727E"/>
    <w:rsid w:val="36A24804"/>
    <w:rsid w:val="36A6368D"/>
    <w:rsid w:val="36AB4F84"/>
    <w:rsid w:val="36AC0A38"/>
    <w:rsid w:val="36B543D6"/>
    <w:rsid w:val="36B736C6"/>
    <w:rsid w:val="36B94AF5"/>
    <w:rsid w:val="36BE53B2"/>
    <w:rsid w:val="36D25801"/>
    <w:rsid w:val="36DD5641"/>
    <w:rsid w:val="36E85119"/>
    <w:rsid w:val="36F25B9D"/>
    <w:rsid w:val="36F803CA"/>
    <w:rsid w:val="372B40C9"/>
    <w:rsid w:val="373558BD"/>
    <w:rsid w:val="374B36B7"/>
    <w:rsid w:val="374F7C98"/>
    <w:rsid w:val="37684744"/>
    <w:rsid w:val="377F478A"/>
    <w:rsid w:val="37801373"/>
    <w:rsid w:val="3794711D"/>
    <w:rsid w:val="37A1310D"/>
    <w:rsid w:val="37B37488"/>
    <w:rsid w:val="37BF3FE5"/>
    <w:rsid w:val="37C305E9"/>
    <w:rsid w:val="37D71605"/>
    <w:rsid w:val="37E827EF"/>
    <w:rsid w:val="37EB4DA0"/>
    <w:rsid w:val="37EB7AA7"/>
    <w:rsid w:val="37F16B61"/>
    <w:rsid w:val="37FA5669"/>
    <w:rsid w:val="38106459"/>
    <w:rsid w:val="381F1494"/>
    <w:rsid w:val="38225D4B"/>
    <w:rsid w:val="382C498E"/>
    <w:rsid w:val="3838368A"/>
    <w:rsid w:val="384B0D2B"/>
    <w:rsid w:val="38531C75"/>
    <w:rsid w:val="385B38A6"/>
    <w:rsid w:val="386E0E2E"/>
    <w:rsid w:val="38763792"/>
    <w:rsid w:val="387F1853"/>
    <w:rsid w:val="388B699F"/>
    <w:rsid w:val="38987E3C"/>
    <w:rsid w:val="389E3CD5"/>
    <w:rsid w:val="38AA3AB8"/>
    <w:rsid w:val="38B7732C"/>
    <w:rsid w:val="38CD3C68"/>
    <w:rsid w:val="38DB05DE"/>
    <w:rsid w:val="38DC4588"/>
    <w:rsid w:val="38E1626D"/>
    <w:rsid w:val="38EA78F9"/>
    <w:rsid w:val="38FE779B"/>
    <w:rsid w:val="390402B9"/>
    <w:rsid w:val="392875BE"/>
    <w:rsid w:val="392B1FC1"/>
    <w:rsid w:val="392E2ED6"/>
    <w:rsid w:val="39901AC9"/>
    <w:rsid w:val="39AE6D84"/>
    <w:rsid w:val="39C650CD"/>
    <w:rsid w:val="39CA58A7"/>
    <w:rsid w:val="39EE08BE"/>
    <w:rsid w:val="39F619AE"/>
    <w:rsid w:val="3A0730D1"/>
    <w:rsid w:val="3A08530F"/>
    <w:rsid w:val="3A14675C"/>
    <w:rsid w:val="3A26475F"/>
    <w:rsid w:val="3A521EC6"/>
    <w:rsid w:val="3A623C75"/>
    <w:rsid w:val="3A633962"/>
    <w:rsid w:val="3A665CAC"/>
    <w:rsid w:val="3A811B6A"/>
    <w:rsid w:val="3A9B588D"/>
    <w:rsid w:val="3AC01675"/>
    <w:rsid w:val="3AC27FFE"/>
    <w:rsid w:val="3AC84B9F"/>
    <w:rsid w:val="3AD7624C"/>
    <w:rsid w:val="3AE3142F"/>
    <w:rsid w:val="3AE72366"/>
    <w:rsid w:val="3B0118FC"/>
    <w:rsid w:val="3B0F7D05"/>
    <w:rsid w:val="3B107531"/>
    <w:rsid w:val="3B293BFF"/>
    <w:rsid w:val="3B3979D2"/>
    <w:rsid w:val="3B4D78C9"/>
    <w:rsid w:val="3B51001C"/>
    <w:rsid w:val="3B5A0133"/>
    <w:rsid w:val="3B6A2873"/>
    <w:rsid w:val="3B6A659B"/>
    <w:rsid w:val="3B7255A2"/>
    <w:rsid w:val="3B7C4A77"/>
    <w:rsid w:val="3B7E036E"/>
    <w:rsid w:val="3B801D42"/>
    <w:rsid w:val="3B961ACF"/>
    <w:rsid w:val="3B9D599E"/>
    <w:rsid w:val="3B9F0AA0"/>
    <w:rsid w:val="3BA00257"/>
    <w:rsid w:val="3BB12805"/>
    <w:rsid w:val="3BB479CF"/>
    <w:rsid w:val="3BC32D64"/>
    <w:rsid w:val="3BC52E4B"/>
    <w:rsid w:val="3BD342D8"/>
    <w:rsid w:val="3BF0781C"/>
    <w:rsid w:val="3C114CDA"/>
    <w:rsid w:val="3C302DAD"/>
    <w:rsid w:val="3C4256C0"/>
    <w:rsid w:val="3C4C3E86"/>
    <w:rsid w:val="3C562639"/>
    <w:rsid w:val="3C5C1F3D"/>
    <w:rsid w:val="3C5F05FB"/>
    <w:rsid w:val="3C6254EE"/>
    <w:rsid w:val="3C693B24"/>
    <w:rsid w:val="3C6F29A1"/>
    <w:rsid w:val="3C6F5FAA"/>
    <w:rsid w:val="3C73708D"/>
    <w:rsid w:val="3C8C7DF0"/>
    <w:rsid w:val="3C8D2CCC"/>
    <w:rsid w:val="3C8E1701"/>
    <w:rsid w:val="3C991533"/>
    <w:rsid w:val="3C9F0ADE"/>
    <w:rsid w:val="3CA719AF"/>
    <w:rsid w:val="3CA96917"/>
    <w:rsid w:val="3CB6223D"/>
    <w:rsid w:val="3CC7541F"/>
    <w:rsid w:val="3CCE622A"/>
    <w:rsid w:val="3CD20F57"/>
    <w:rsid w:val="3CDE54FC"/>
    <w:rsid w:val="3CE75124"/>
    <w:rsid w:val="3CFA6A1F"/>
    <w:rsid w:val="3CFD2508"/>
    <w:rsid w:val="3D0D237E"/>
    <w:rsid w:val="3D184818"/>
    <w:rsid w:val="3D1B1713"/>
    <w:rsid w:val="3D1C5FC0"/>
    <w:rsid w:val="3D2A4798"/>
    <w:rsid w:val="3D351731"/>
    <w:rsid w:val="3D3E33A0"/>
    <w:rsid w:val="3D42217A"/>
    <w:rsid w:val="3D587AA6"/>
    <w:rsid w:val="3D597BD2"/>
    <w:rsid w:val="3D666E3D"/>
    <w:rsid w:val="3D8D3DC5"/>
    <w:rsid w:val="3D906CD2"/>
    <w:rsid w:val="3DA522E3"/>
    <w:rsid w:val="3DA57116"/>
    <w:rsid w:val="3DBA2706"/>
    <w:rsid w:val="3DBB10BC"/>
    <w:rsid w:val="3DC13D14"/>
    <w:rsid w:val="3DD718C0"/>
    <w:rsid w:val="3DD7386E"/>
    <w:rsid w:val="3DDD0175"/>
    <w:rsid w:val="3DE80E52"/>
    <w:rsid w:val="3E1B29F7"/>
    <w:rsid w:val="3E1C66EA"/>
    <w:rsid w:val="3E2D244D"/>
    <w:rsid w:val="3E392E98"/>
    <w:rsid w:val="3E3A6A3C"/>
    <w:rsid w:val="3E405A2E"/>
    <w:rsid w:val="3E4B7DBD"/>
    <w:rsid w:val="3E50786D"/>
    <w:rsid w:val="3E524285"/>
    <w:rsid w:val="3E56288F"/>
    <w:rsid w:val="3E5B12A7"/>
    <w:rsid w:val="3E6131FA"/>
    <w:rsid w:val="3E645159"/>
    <w:rsid w:val="3E887690"/>
    <w:rsid w:val="3E8A6B7E"/>
    <w:rsid w:val="3E8C1BE4"/>
    <w:rsid w:val="3EA03482"/>
    <w:rsid w:val="3EBC3A5A"/>
    <w:rsid w:val="3EC25A99"/>
    <w:rsid w:val="3EC834A3"/>
    <w:rsid w:val="3ECF014D"/>
    <w:rsid w:val="3ED67021"/>
    <w:rsid w:val="3ED82D3F"/>
    <w:rsid w:val="3EE27653"/>
    <w:rsid w:val="3EE76D9A"/>
    <w:rsid w:val="3EE81C15"/>
    <w:rsid w:val="3EEA37AB"/>
    <w:rsid w:val="3EEB157B"/>
    <w:rsid w:val="3F03188C"/>
    <w:rsid w:val="3F077648"/>
    <w:rsid w:val="3F116BE0"/>
    <w:rsid w:val="3F2D18C3"/>
    <w:rsid w:val="3F3145A8"/>
    <w:rsid w:val="3F3249A0"/>
    <w:rsid w:val="3F5816BA"/>
    <w:rsid w:val="3F7E35A5"/>
    <w:rsid w:val="3F7F557F"/>
    <w:rsid w:val="3F8A5414"/>
    <w:rsid w:val="3F934BC9"/>
    <w:rsid w:val="3FA80C8C"/>
    <w:rsid w:val="3FB455CF"/>
    <w:rsid w:val="3FC5790E"/>
    <w:rsid w:val="3FCA5AFE"/>
    <w:rsid w:val="3FE46F83"/>
    <w:rsid w:val="3FE56BF8"/>
    <w:rsid w:val="3FFC3934"/>
    <w:rsid w:val="40060B68"/>
    <w:rsid w:val="4023042F"/>
    <w:rsid w:val="4023385E"/>
    <w:rsid w:val="402722EE"/>
    <w:rsid w:val="403B1ACD"/>
    <w:rsid w:val="404F727A"/>
    <w:rsid w:val="405B1DB9"/>
    <w:rsid w:val="40601067"/>
    <w:rsid w:val="40656F4D"/>
    <w:rsid w:val="4066176F"/>
    <w:rsid w:val="406864E3"/>
    <w:rsid w:val="4075188B"/>
    <w:rsid w:val="40880A90"/>
    <w:rsid w:val="40884C56"/>
    <w:rsid w:val="40AA3F2F"/>
    <w:rsid w:val="40C13249"/>
    <w:rsid w:val="40D40110"/>
    <w:rsid w:val="40D97C49"/>
    <w:rsid w:val="40DD5CB7"/>
    <w:rsid w:val="40FA4A81"/>
    <w:rsid w:val="411B485B"/>
    <w:rsid w:val="411E2CF0"/>
    <w:rsid w:val="412950D4"/>
    <w:rsid w:val="412A3ED8"/>
    <w:rsid w:val="413F5075"/>
    <w:rsid w:val="414E022A"/>
    <w:rsid w:val="41513141"/>
    <w:rsid w:val="419A5DFF"/>
    <w:rsid w:val="41B33226"/>
    <w:rsid w:val="41B54C42"/>
    <w:rsid w:val="41B776AA"/>
    <w:rsid w:val="41B91162"/>
    <w:rsid w:val="41F661C8"/>
    <w:rsid w:val="41F80693"/>
    <w:rsid w:val="41F80F99"/>
    <w:rsid w:val="421477C5"/>
    <w:rsid w:val="42184BC1"/>
    <w:rsid w:val="42236D47"/>
    <w:rsid w:val="42276B9A"/>
    <w:rsid w:val="4235743D"/>
    <w:rsid w:val="4239767B"/>
    <w:rsid w:val="4243382E"/>
    <w:rsid w:val="42457FB1"/>
    <w:rsid w:val="42544461"/>
    <w:rsid w:val="425F1269"/>
    <w:rsid w:val="426A4C7C"/>
    <w:rsid w:val="42893866"/>
    <w:rsid w:val="429A5322"/>
    <w:rsid w:val="429A6685"/>
    <w:rsid w:val="429C4E1C"/>
    <w:rsid w:val="42CF39C0"/>
    <w:rsid w:val="42D871B4"/>
    <w:rsid w:val="42E67B83"/>
    <w:rsid w:val="42FC34B3"/>
    <w:rsid w:val="431D1968"/>
    <w:rsid w:val="432306FC"/>
    <w:rsid w:val="432A217E"/>
    <w:rsid w:val="434377FF"/>
    <w:rsid w:val="43475F43"/>
    <w:rsid w:val="43537153"/>
    <w:rsid w:val="43684B19"/>
    <w:rsid w:val="436E35F8"/>
    <w:rsid w:val="437075E3"/>
    <w:rsid w:val="43772FA3"/>
    <w:rsid w:val="43777881"/>
    <w:rsid w:val="438020F3"/>
    <w:rsid w:val="438F6304"/>
    <w:rsid w:val="43993142"/>
    <w:rsid w:val="439D75E7"/>
    <w:rsid w:val="43A10B41"/>
    <w:rsid w:val="43A87BF0"/>
    <w:rsid w:val="43A96D47"/>
    <w:rsid w:val="43E301F6"/>
    <w:rsid w:val="43F638F3"/>
    <w:rsid w:val="43FF5995"/>
    <w:rsid w:val="441F5B73"/>
    <w:rsid w:val="442302CA"/>
    <w:rsid w:val="442F2676"/>
    <w:rsid w:val="4437498A"/>
    <w:rsid w:val="443A36AE"/>
    <w:rsid w:val="447023E0"/>
    <w:rsid w:val="447A0C36"/>
    <w:rsid w:val="4485492D"/>
    <w:rsid w:val="448B58E6"/>
    <w:rsid w:val="44995B11"/>
    <w:rsid w:val="449F7E0E"/>
    <w:rsid w:val="44A0419A"/>
    <w:rsid w:val="44B076CC"/>
    <w:rsid w:val="44CB17D2"/>
    <w:rsid w:val="44CD13B5"/>
    <w:rsid w:val="44D079F2"/>
    <w:rsid w:val="44D40D10"/>
    <w:rsid w:val="44D46F52"/>
    <w:rsid w:val="44E53FB0"/>
    <w:rsid w:val="45041599"/>
    <w:rsid w:val="4515533B"/>
    <w:rsid w:val="45214C5D"/>
    <w:rsid w:val="4529754A"/>
    <w:rsid w:val="4531626C"/>
    <w:rsid w:val="453A289D"/>
    <w:rsid w:val="453C7448"/>
    <w:rsid w:val="45526FF0"/>
    <w:rsid w:val="455375CC"/>
    <w:rsid w:val="456F432B"/>
    <w:rsid w:val="45700F37"/>
    <w:rsid w:val="457154EC"/>
    <w:rsid w:val="4572706B"/>
    <w:rsid w:val="457B5CDC"/>
    <w:rsid w:val="458C3BA1"/>
    <w:rsid w:val="459B6D0F"/>
    <w:rsid w:val="45AE338E"/>
    <w:rsid w:val="45D45EB1"/>
    <w:rsid w:val="45E867E1"/>
    <w:rsid w:val="45E92AB3"/>
    <w:rsid w:val="4601326B"/>
    <w:rsid w:val="46024DD8"/>
    <w:rsid w:val="460C41F8"/>
    <w:rsid w:val="46113BB1"/>
    <w:rsid w:val="46147A06"/>
    <w:rsid w:val="46291D3C"/>
    <w:rsid w:val="462B60D3"/>
    <w:rsid w:val="463B57C2"/>
    <w:rsid w:val="4651687E"/>
    <w:rsid w:val="46562C1B"/>
    <w:rsid w:val="46593BEC"/>
    <w:rsid w:val="465A2764"/>
    <w:rsid w:val="465E323E"/>
    <w:rsid w:val="46787CE6"/>
    <w:rsid w:val="467C1B99"/>
    <w:rsid w:val="4683714B"/>
    <w:rsid w:val="468401B0"/>
    <w:rsid w:val="46870EBB"/>
    <w:rsid w:val="46942B23"/>
    <w:rsid w:val="46B83653"/>
    <w:rsid w:val="46C156F1"/>
    <w:rsid w:val="46CF0686"/>
    <w:rsid w:val="46D040A0"/>
    <w:rsid w:val="46D226E1"/>
    <w:rsid w:val="46E910CC"/>
    <w:rsid w:val="47392191"/>
    <w:rsid w:val="473A6981"/>
    <w:rsid w:val="475B7416"/>
    <w:rsid w:val="475C032B"/>
    <w:rsid w:val="47607526"/>
    <w:rsid w:val="476B5BF5"/>
    <w:rsid w:val="47984B5D"/>
    <w:rsid w:val="479A3EB8"/>
    <w:rsid w:val="47A04C10"/>
    <w:rsid w:val="47B5564C"/>
    <w:rsid w:val="47BF0ED4"/>
    <w:rsid w:val="47D12764"/>
    <w:rsid w:val="47E033CA"/>
    <w:rsid w:val="47EB198B"/>
    <w:rsid w:val="47F50C6C"/>
    <w:rsid w:val="47F55A2E"/>
    <w:rsid w:val="48007D67"/>
    <w:rsid w:val="48120C3F"/>
    <w:rsid w:val="481742E7"/>
    <w:rsid w:val="482A2B28"/>
    <w:rsid w:val="48361F49"/>
    <w:rsid w:val="483F56E3"/>
    <w:rsid w:val="48491FCB"/>
    <w:rsid w:val="484A0F1B"/>
    <w:rsid w:val="484B5C86"/>
    <w:rsid w:val="485767CB"/>
    <w:rsid w:val="487C0A49"/>
    <w:rsid w:val="48834858"/>
    <w:rsid w:val="489B173A"/>
    <w:rsid w:val="489D3E1A"/>
    <w:rsid w:val="489E48FC"/>
    <w:rsid w:val="48A93E12"/>
    <w:rsid w:val="48BB43D0"/>
    <w:rsid w:val="48BD0CA7"/>
    <w:rsid w:val="48F65EE2"/>
    <w:rsid w:val="490A3D9C"/>
    <w:rsid w:val="49144982"/>
    <w:rsid w:val="49152BF0"/>
    <w:rsid w:val="49161E9E"/>
    <w:rsid w:val="492411AC"/>
    <w:rsid w:val="492F720E"/>
    <w:rsid w:val="49302D48"/>
    <w:rsid w:val="49393771"/>
    <w:rsid w:val="494D2FFB"/>
    <w:rsid w:val="49586723"/>
    <w:rsid w:val="495C4C37"/>
    <w:rsid w:val="49682334"/>
    <w:rsid w:val="49761FFB"/>
    <w:rsid w:val="49815463"/>
    <w:rsid w:val="49975FDF"/>
    <w:rsid w:val="49BE4BE4"/>
    <w:rsid w:val="49C80A6C"/>
    <w:rsid w:val="49D02B12"/>
    <w:rsid w:val="49D50FE0"/>
    <w:rsid w:val="49D87720"/>
    <w:rsid w:val="49DE55F5"/>
    <w:rsid w:val="49E854D0"/>
    <w:rsid w:val="49FE6909"/>
    <w:rsid w:val="49FF45F0"/>
    <w:rsid w:val="4A085CD8"/>
    <w:rsid w:val="4A147B3C"/>
    <w:rsid w:val="4A1E4778"/>
    <w:rsid w:val="4A1F206F"/>
    <w:rsid w:val="4A474C0D"/>
    <w:rsid w:val="4A4E1BA0"/>
    <w:rsid w:val="4A676E7A"/>
    <w:rsid w:val="4A782A83"/>
    <w:rsid w:val="4A7A3AD6"/>
    <w:rsid w:val="4A7D7154"/>
    <w:rsid w:val="4A9C706D"/>
    <w:rsid w:val="4A9F621E"/>
    <w:rsid w:val="4A9F71A0"/>
    <w:rsid w:val="4AA0091E"/>
    <w:rsid w:val="4AAD673B"/>
    <w:rsid w:val="4AB40A6C"/>
    <w:rsid w:val="4ABA3D47"/>
    <w:rsid w:val="4ACB5424"/>
    <w:rsid w:val="4ACC0299"/>
    <w:rsid w:val="4AE517C1"/>
    <w:rsid w:val="4AF225F5"/>
    <w:rsid w:val="4AF53EA9"/>
    <w:rsid w:val="4AF85A62"/>
    <w:rsid w:val="4AFF2D1F"/>
    <w:rsid w:val="4B045A55"/>
    <w:rsid w:val="4B110339"/>
    <w:rsid w:val="4B1776EE"/>
    <w:rsid w:val="4B263C56"/>
    <w:rsid w:val="4B2A60A9"/>
    <w:rsid w:val="4B43102F"/>
    <w:rsid w:val="4B43284A"/>
    <w:rsid w:val="4B6C5BE7"/>
    <w:rsid w:val="4B727F80"/>
    <w:rsid w:val="4B7A4851"/>
    <w:rsid w:val="4B7B003E"/>
    <w:rsid w:val="4B843864"/>
    <w:rsid w:val="4B935406"/>
    <w:rsid w:val="4B9F024A"/>
    <w:rsid w:val="4BC8764A"/>
    <w:rsid w:val="4BD614AE"/>
    <w:rsid w:val="4BD71E76"/>
    <w:rsid w:val="4BD91258"/>
    <w:rsid w:val="4BD94D29"/>
    <w:rsid w:val="4BDD3D1E"/>
    <w:rsid w:val="4C0868DC"/>
    <w:rsid w:val="4C087FFC"/>
    <w:rsid w:val="4C11696D"/>
    <w:rsid w:val="4C153201"/>
    <w:rsid w:val="4C1F373C"/>
    <w:rsid w:val="4C202C59"/>
    <w:rsid w:val="4C363EFE"/>
    <w:rsid w:val="4C3A21F9"/>
    <w:rsid w:val="4C4E6541"/>
    <w:rsid w:val="4C6E5491"/>
    <w:rsid w:val="4C720CEE"/>
    <w:rsid w:val="4C7252EA"/>
    <w:rsid w:val="4C7A22EC"/>
    <w:rsid w:val="4C7D0B6A"/>
    <w:rsid w:val="4C8C4875"/>
    <w:rsid w:val="4C8E7BC4"/>
    <w:rsid w:val="4C935CCF"/>
    <w:rsid w:val="4CAE0B43"/>
    <w:rsid w:val="4CB75640"/>
    <w:rsid w:val="4CBE238F"/>
    <w:rsid w:val="4CC7153B"/>
    <w:rsid w:val="4CCE3BC9"/>
    <w:rsid w:val="4CEB0D22"/>
    <w:rsid w:val="4D0C0AD3"/>
    <w:rsid w:val="4D161D6A"/>
    <w:rsid w:val="4D3D5D27"/>
    <w:rsid w:val="4D3E534F"/>
    <w:rsid w:val="4D572880"/>
    <w:rsid w:val="4D584B02"/>
    <w:rsid w:val="4D614A5F"/>
    <w:rsid w:val="4D6D4028"/>
    <w:rsid w:val="4D6E2FAA"/>
    <w:rsid w:val="4D764065"/>
    <w:rsid w:val="4D794BCF"/>
    <w:rsid w:val="4D7C3503"/>
    <w:rsid w:val="4D8477AA"/>
    <w:rsid w:val="4D937655"/>
    <w:rsid w:val="4D9A6395"/>
    <w:rsid w:val="4DA05B04"/>
    <w:rsid w:val="4DB13C16"/>
    <w:rsid w:val="4DBF0DE5"/>
    <w:rsid w:val="4DBF4C9F"/>
    <w:rsid w:val="4DDD2E14"/>
    <w:rsid w:val="4DED4FAA"/>
    <w:rsid w:val="4DF810B5"/>
    <w:rsid w:val="4DFC582F"/>
    <w:rsid w:val="4E1D2672"/>
    <w:rsid w:val="4E344F9D"/>
    <w:rsid w:val="4E441E0A"/>
    <w:rsid w:val="4E7406B8"/>
    <w:rsid w:val="4E7546C5"/>
    <w:rsid w:val="4E8D5EDB"/>
    <w:rsid w:val="4E97609D"/>
    <w:rsid w:val="4EB45FCA"/>
    <w:rsid w:val="4EB850F3"/>
    <w:rsid w:val="4ECB6374"/>
    <w:rsid w:val="4ECF1A27"/>
    <w:rsid w:val="4ED45BD9"/>
    <w:rsid w:val="4ED61BD8"/>
    <w:rsid w:val="4EE83167"/>
    <w:rsid w:val="4EEF6457"/>
    <w:rsid w:val="4EF41051"/>
    <w:rsid w:val="4F064AFB"/>
    <w:rsid w:val="4F4F180C"/>
    <w:rsid w:val="4F556A76"/>
    <w:rsid w:val="4F645524"/>
    <w:rsid w:val="4F775090"/>
    <w:rsid w:val="4F8D30C5"/>
    <w:rsid w:val="4F8F1EC0"/>
    <w:rsid w:val="4F992107"/>
    <w:rsid w:val="4FA650A9"/>
    <w:rsid w:val="4FAF37F3"/>
    <w:rsid w:val="4FBE443A"/>
    <w:rsid w:val="4FBF291F"/>
    <w:rsid w:val="4FC5467C"/>
    <w:rsid w:val="4FCB4AF9"/>
    <w:rsid w:val="4FCF51DE"/>
    <w:rsid w:val="4FE15106"/>
    <w:rsid w:val="4FF140F5"/>
    <w:rsid w:val="4FF927C0"/>
    <w:rsid w:val="500907F0"/>
    <w:rsid w:val="50131DFA"/>
    <w:rsid w:val="50420302"/>
    <w:rsid w:val="50543D51"/>
    <w:rsid w:val="50553B80"/>
    <w:rsid w:val="505645CA"/>
    <w:rsid w:val="505D79A8"/>
    <w:rsid w:val="506E0B59"/>
    <w:rsid w:val="506F36DA"/>
    <w:rsid w:val="507733B4"/>
    <w:rsid w:val="507D73D3"/>
    <w:rsid w:val="50832E31"/>
    <w:rsid w:val="508D7571"/>
    <w:rsid w:val="50AD24D6"/>
    <w:rsid w:val="50BD70DA"/>
    <w:rsid w:val="50DA4233"/>
    <w:rsid w:val="50EC6330"/>
    <w:rsid w:val="50F7080E"/>
    <w:rsid w:val="5105015F"/>
    <w:rsid w:val="51105136"/>
    <w:rsid w:val="511D7300"/>
    <w:rsid w:val="5129388C"/>
    <w:rsid w:val="513B2746"/>
    <w:rsid w:val="513D0FC2"/>
    <w:rsid w:val="51471690"/>
    <w:rsid w:val="514D0DD3"/>
    <w:rsid w:val="51666902"/>
    <w:rsid w:val="518353A7"/>
    <w:rsid w:val="518D0C58"/>
    <w:rsid w:val="51901F5C"/>
    <w:rsid w:val="519D5A14"/>
    <w:rsid w:val="51B02190"/>
    <w:rsid w:val="51B43EEA"/>
    <w:rsid w:val="51BD042D"/>
    <w:rsid w:val="51CF7C2E"/>
    <w:rsid w:val="51D400C1"/>
    <w:rsid w:val="51D539E2"/>
    <w:rsid w:val="51DD0CEB"/>
    <w:rsid w:val="51E66345"/>
    <w:rsid w:val="51EC7919"/>
    <w:rsid w:val="51ED543B"/>
    <w:rsid w:val="51F175CA"/>
    <w:rsid w:val="51F430A6"/>
    <w:rsid w:val="51F913D3"/>
    <w:rsid w:val="52010F1D"/>
    <w:rsid w:val="5201303A"/>
    <w:rsid w:val="520253E4"/>
    <w:rsid w:val="5203685E"/>
    <w:rsid w:val="52106EDD"/>
    <w:rsid w:val="523E51A1"/>
    <w:rsid w:val="52562683"/>
    <w:rsid w:val="525819E4"/>
    <w:rsid w:val="52584B55"/>
    <w:rsid w:val="525B6EA5"/>
    <w:rsid w:val="52861FB9"/>
    <w:rsid w:val="529F105D"/>
    <w:rsid w:val="52BE31DB"/>
    <w:rsid w:val="52BE367F"/>
    <w:rsid w:val="52C83138"/>
    <w:rsid w:val="52CD04BF"/>
    <w:rsid w:val="52D47182"/>
    <w:rsid w:val="52D6580A"/>
    <w:rsid w:val="52DB74BB"/>
    <w:rsid w:val="52EB4584"/>
    <w:rsid w:val="52EF31E7"/>
    <w:rsid w:val="52FA5654"/>
    <w:rsid w:val="5300129D"/>
    <w:rsid w:val="530363FB"/>
    <w:rsid w:val="530C0D03"/>
    <w:rsid w:val="530C65F3"/>
    <w:rsid w:val="53106A55"/>
    <w:rsid w:val="53123FB2"/>
    <w:rsid w:val="53127FCB"/>
    <w:rsid w:val="53170A58"/>
    <w:rsid w:val="531F7574"/>
    <w:rsid w:val="5325096E"/>
    <w:rsid w:val="5327262E"/>
    <w:rsid w:val="53272E5B"/>
    <w:rsid w:val="534A70F2"/>
    <w:rsid w:val="53597F54"/>
    <w:rsid w:val="539B74B5"/>
    <w:rsid w:val="539C479B"/>
    <w:rsid w:val="53A14533"/>
    <w:rsid w:val="53A1497F"/>
    <w:rsid w:val="53AF5372"/>
    <w:rsid w:val="53C03F18"/>
    <w:rsid w:val="53F1535C"/>
    <w:rsid w:val="54010F2A"/>
    <w:rsid w:val="541203D2"/>
    <w:rsid w:val="54174FE3"/>
    <w:rsid w:val="5418032A"/>
    <w:rsid w:val="546A0CD6"/>
    <w:rsid w:val="547F23FA"/>
    <w:rsid w:val="5481658B"/>
    <w:rsid w:val="549B171F"/>
    <w:rsid w:val="549B613D"/>
    <w:rsid w:val="54A65B4B"/>
    <w:rsid w:val="54AC1BA8"/>
    <w:rsid w:val="54B0246F"/>
    <w:rsid w:val="54C52710"/>
    <w:rsid w:val="54CA6EA8"/>
    <w:rsid w:val="54CC6F72"/>
    <w:rsid w:val="54D930FD"/>
    <w:rsid w:val="54DF5E81"/>
    <w:rsid w:val="54E34CFD"/>
    <w:rsid w:val="54E43715"/>
    <w:rsid w:val="54EB6D3C"/>
    <w:rsid w:val="54EE4764"/>
    <w:rsid w:val="54EF28D4"/>
    <w:rsid w:val="54F15F8C"/>
    <w:rsid w:val="54F274A3"/>
    <w:rsid w:val="550007F9"/>
    <w:rsid w:val="55086443"/>
    <w:rsid w:val="5516336A"/>
    <w:rsid w:val="552E3C55"/>
    <w:rsid w:val="55435C0A"/>
    <w:rsid w:val="55452D9A"/>
    <w:rsid w:val="554B7F4E"/>
    <w:rsid w:val="554D32A9"/>
    <w:rsid w:val="554E5BA8"/>
    <w:rsid w:val="55572EAD"/>
    <w:rsid w:val="556F60A6"/>
    <w:rsid w:val="5570626B"/>
    <w:rsid w:val="55730EE3"/>
    <w:rsid w:val="55860413"/>
    <w:rsid w:val="558852DD"/>
    <w:rsid w:val="559E5BA4"/>
    <w:rsid w:val="55A81885"/>
    <w:rsid w:val="55B61C5A"/>
    <w:rsid w:val="55C41BBF"/>
    <w:rsid w:val="55C64E91"/>
    <w:rsid w:val="55C73022"/>
    <w:rsid w:val="55DF7F0B"/>
    <w:rsid w:val="55E274D5"/>
    <w:rsid w:val="55E950E7"/>
    <w:rsid w:val="55EA7AC9"/>
    <w:rsid w:val="55EC2329"/>
    <w:rsid w:val="55F153E4"/>
    <w:rsid w:val="56055130"/>
    <w:rsid w:val="56262A9D"/>
    <w:rsid w:val="56273B46"/>
    <w:rsid w:val="562F3230"/>
    <w:rsid w:val="564209E4"/>
    <w:rsid w:val="564232E4"/>
    <w:rsid w:val="56440901"/>
    <w:rsid w:val="565548F7"/>
    <w:rsid w:val="56576AEA"/>
    <w:rsid w:val="56594F75"/>
    <w:rsid w:val="565C0712"/>
    <w:rsid w:val="56671BA0"/>
    <w:rsid w:val="568710B1"/>
    <w:rsid w:val="56A03946"/>
    <w:rsid w:val="56AF440D"/>
    <w:rsid w:val="56CA6640"/>
    <w:rsid w:val="56CC193F"/>
    <w:rsid w:val="56CC41C2"/>
    <w:rsid w:val="56DF4E09"/>
    <w:rsid w:val="56E01BBE"/>
    <w:rsid w:val="56ED05AB"/>
    <w:rsid w:val="56F41267"/>
    <w:rsid w:val="56F53CE5"/>
    <w:rsid w:val="56FC360F"/>
    <w:rsid w:val="57364B4F"/>
    <w:rsid w:val="5740067E"/>
    <w:rsid w:val="57452DAD"/>
    <w:rsid w:val="574E54DC"/>
    <w:rsid w:val="57645827"/>
    <w:rsid w:val="576A3E8A"/>
    <w:rsid w:val="57776879"/>
    <w:rsid w:val="578452A3"/>
    <w:rsid w:val="579B76DF"/>
    <w:rsid w:val="57A3151E"/>
    <w:rsid w:val="57C61150"/>
    <w:rsid w:val="57C702DE"/>
    <w:rsid w:val="57C971D0"/>
    <w:rsid w:val="57DB3EA0"/>
    <w:rsid w:val="57E138B4"/>
    <w:rsid w:val="57E50089"/>
    <w:rsid w:val="57EB6ACF"/>
    <w:rsid w:val="57F6108B"/>
    <w:rsid w:val="58044BFF"/>
    <w:rsid w:val="58073DF4"/>
    <w:rsid w:val="580A7835"/>
    <w:rsid w:val="581710E7"/>
    <w:rsid w:val="581B303A"/>
    <w:rsid w:val="58232F61"/>
    <w:rsid w:val="58323E49"/>
    <w:rsid w:val="5847199D"/>
    <w:rsid w:val="585354FC"/>
    <w:rsid w:val="585C23A7"/>
    <w:rsid w:val="585C3814"/>
    <w:rsid w:val="58606BAD"/>
    <w:rsid w:val="586149B9"/>
    <w:rsid w:val="58621729"/>
    <w:rsid w:val="586361D4"/>
    <w:rsid w:val="58714E38"/>
    <w:rsid w:val="58861757"/>
    <w:rsid w:val="588D2EA4"/>
    <w:rsid w:val="58A31419"/>
    <w:rsid w:val="58AB0A3E"/>
    <w:rsid w:val="58B32340"/>
    <w:rsid w:val="58C37666"/>
    <w:rsid w:val="58C53BEE"/>
    <w:rsid w:val="58D43DAD"/>
    <w:rsid w:val="58F1021D"/>
    <w:rsid w:val="58F80808"/>
    <w:rsid w:val="58FF3F35"/>
    <w:rsid w:val="5904025D"/>
    <w:rsid w:val="5907006E"/>
    <w:rsid w:val="59147122"/>
    <w:rsid w:val="59246401"/>
    <w:rsid w:val="59310627"/>
    <w:rsid w:val="59322C3F"/>
    <w:rsid w:val="59684C5D"/>
    <w:rsid w:val="596B6C0F"/>
    <w:rsid w:val="59732B8B"/>
    <w:rsid w:val="598A1AB6"/>
    <w:rsid w:val="59A06FAE"/>
    <w:rsid w:val="59B75221"/>
    <w:rsid w:val="59D33CC4"/>
    <w:rsid w:val="59E42770"/>
    <w:rsid w:val="59E6117B"/>
    <w:rsid w:val="59FF6C98"/>
    <w:rsid w:val="5A014F8D"/>
    <w:rsid w:val="5A0453B0"/>
    <w:rsid w:val="5A146259"/>
    <w:rsid w:val="5A1E14BD"/>
    <w:rsid w:val="5A286AFF"/>
    <w:rsid w:val="5A38552E"/>
    <w:rsid w:val="5A4D7689"/>
    <w:rsid w:val="5A5F54A5"/>
    <w:rsid w:val="5A622C62"/>
    <w:rsid w:val="5A654918"/>
    <w:rsid w:val="5A702793"/>
    <w:rsid w:val="5A75795D"/>
    <w:rsid w:val="5A9048C9"/>
    <w:rsid w:val="5A936DAF"/>
    <w:rsid w:val="5AA91898"/>
    <w:rsid w:val="5AAB4724"/>
    <w:rsid w:val="5AB83780"/>
    <w:rsid w:val="5ABA3050"/>
    <w:rsid w:val="5ABE5D64"/>
    <w:rsid w:val="5AD8123F"/>
    <w:rsid w:val="5ADF7CBB"/>
    <w:rsid w:val="5AFB5FFB"/>
    <w:rsid w:val="5B01333D"/>
    <w:rsid w:val="5B27089F"/>
    <w:rsid w:val="5B421E86"/>
    <w:rsid w:val="5B737982"/>
    <w:rsid w:val="5B825496"/>
    <w:rsid w:val="5B847014"/>
    <w:rsid w:val="5B887B6F"/>
    <w:rsid w:val="5B8C467B"/>
    <w:rsid w:val="5BA624AB"/>
    <w:rsid w:val="5BB225B7"/>
    <w:rsid w:val="5BDE72C2"/>
    <w:rsid w:val="5BE7566F"/>
    <w:rsid w:val="5BE8547F"/>
    <w:rsid w:val="5C017D6B"/>
    <w:rsid w:val="5C0221CE"/>
    <w:rsid w:val="5C024B0D"/>
    <w:rsid w:val="5C057167"/>
    <w:rsid w:val="5C096CF4"/>
    <w:rsid w:val="5C112AC0"/>
    <w:rsid w:val="5C2F6D3A"/>
    <w:rsid w:val="5C403B60"/>
    <w:rsid w:val="5C4B7BB1"/>
    <w:rsid w:val="5C52051E"/>
    <w:rsid w:val="5C66608F"/>
    <w:rsid w:val="5C6D5E9D"/>
    <w:rsid w:val="5C7221D8"/>
    <w:rsid w:val="5C774529"/>
    <w:rsid w:val="5C7D4354"/>
    <w:rsid w:val="5C8C1F56"/>
    <w:rsid w:val="5C942113"/>
    <w:rsid w:val="5CA16A48"/>
    <w:rsid w:val="5CAB42E2"/>
    <w:rsid w:val="5CAC62E0"/>
    <w:rsid w:val="5CBA7364"/>
    <w:rsid w:val="5CC470FD"/>
    <w:rsid w:val="5CC66529"/>
    <w:rsid w:val="5CC713A9"/>
    <w:rsid w:val="5CCB4D60"/>
    <w:rsid w:val="5CCD5C84"/>
    <w:rsid w:val="5CD57CAC"/>
    <w:rsid w:val="5CDF7EC4"/>
    <w:rsid w:val="5CF54485"/>
    <w:rsid w:val="5D250270"/>
    <w:rsid w:val="5D304B9F"/>
    <w:rsid w:val="5D361F47"/>
    <w:rsid w:val="5D4179B0"/>
    <w:rsid w:val="5D49763B"/>
    <w:rsid w:val="5D593E92"/>
    <w:rsid w:val="5D5A3C33"/>
    <w:rsid w:val="5D617090"/>
    <w:rsid w:val="5D647F12"/>
    <w:rsid w:val="5D6A6E31"/>
    <w:rsid w:val="5D755B10"/>
    <w:rsid w:val="5D7A3B1C"/>
    <w:rsid w:val="5D7C7C53"/>
    <w:rsid w:val="5D81631E"/>
    <w:rsid w:val="5D8A66D4"/>
    <w:rsid w:val="5D943A1A"/>
    <w:rsid w:val="5D97088B"/>
    <w:rsid w:val="5D97255A"/>
    <w:rsid w:val="5DA76F2D"/>
    <w:rsid w:val="5DB84369"/>
    <w:rsid w:val="5DC12A1D"/>
    <w:rsid w:val="5DCF0819"/>
    <w:rsid w:val="5DCF4EE9"/>
    <w:rsid w:val="5DD21D5C"/>
    <w:rsid w:val="5DD23014"/>
    <w:rsid w:val="5DD81BB2"/>
    <w:rsid w:val="5DE1430C"/>
    <w:rsid w:val="5DE64602"/>
    <w:rsid w:val="5DED30FE"/>
    <w:rsid w:val="5E0957AD"/>
    <w:rsid w:val="5E0C7682"/>
    <w:rsid w:val="5E137FC7"/>
    <w:rsid w:val="5E220DF6"/>
    <w:rsid w:val="5E232BED"/>
    <w:rsid w:val="5E255685"/>
    <w:rsid w:val="5E2C14B9"/>
    <w:rsid w:val="5E303CE3"/>
    <w:rsid w:val="5E3B4E35"/>
    <w:rsid w:val="5E5C6C3F"/>
    <w:rsid w:val="5E67266A"/>
    <w:rsid w:val="5E7A5D4A"/>
    <w:rsid w:val="5EA003C2"/>
    <w:rsid w:val="5EA254B1"/>
    <w:rsid w:val="5EA93A79"/>
    <w:rsid w:val="5EB7427B"/>
    <w:rsid w:val="5EB9210D"/>
    <w:rsid w:val="5EEA4D74"/>
    <w:rsid w:val="5EEA4F00"/>
    <w:rsid w:val="5EF20E3F"/>
    <w:rsid w:val="5F04411D"/>
    <w:rsid w:val="5F2704AE"/>
    <w:rsid w:val="5F2E24A3"/>
    <w:rsid w:val="5F2F1224"/>
    <w:rsid w:val="5F4927D7"/>
    <w:rsid w:val="5F4D2C1C"/>
    <w:rsid w:val="5F670420"/>
    <w:rsid w:val="5F6D2DD9"/>
    <w:rsid w:val="5F7470EE"/>
    <w:rsid w:val="5F7E501B"/>
    <w:rsid w:val="5F92152D"/>
    <w:rsid w:val="5F9870C7"/>
    <w:rsid w:val="5FA64853"/>
    <w:rsid w:val="5FA862E7"/>
    <w:rsid w:val="5FB459F2"/>
    <w:rsid w:val="5FB64E37"/>
    <w:rsid w:val="5FBB2F3B"/>
    <w:rsid w:val="5FCA2FF2"/>
    <w:rsid w:val="5FD7714F"/>
    <w:rsid w:val="5FF06265"/>
    <w:rsid w:val="5FF57D4C"/>
    <w:rsid w:val="60000A7F"/>
    <w:rsid w:val="600F3172"/>
    <w:rsid w:val="60237213"/>
    <w:rsid w:val="60251B47"/>
    <w:rsid w:val="6026570E"/>
    <w:rsid w:val="602D5E45"/>
    <w:rsid w:val="60341606"/>
    <w:rsid w:val="60462A3F"/>
    <w:rsid w:val="604A352D"/>
    <w:rsid w:val="60510C08"/>
    <w:rsid w:val="60540C58"/>
    <w:rsid w:val="605A7B7D"/>
    <w:rsid w:val="605D0BE8"/>
    <w:rsid w:val="606C7BB0"/>
    <w:rsid w:val="606F603F"/>
    <w:rsid w:val="608356BA"/>
    <w:rsid w:val="60982FDD"/>
    <w:rsid w:val="609B2DDD"/>
    <w:rsid w:val="60A128B6"/>
    <w:rsid w:val="60A15E57"/>
    <w:rsid w:val="60A371AD"/>
    <w:rsid w:val="60AC5E58"/>
    <w:rsid w:val="60B0606B"/>
    <w:rsid w:val="60BA6E9B"/>
    <w:rsid w:val="60BB22FE"/>
    <w:rsid w:val="60BB7A4B"/>
    <w:rsid w:val="60C82685"/>
    <w:rsid w:val="60D266A9"/>
    <w:rsid w:val="60E53D02"/>
    <w:rsid w:val="610E0BF6"/>
    <w:rsid w:val="613214B6"/>
    <w:rsid w:val="61383167"/>
    <w:rsid w:val="613A6DAA"/>
    <w:rsid w:val="615515FC"/>
    <w:rsid w:val="61585034"/>
    <w:rsid w:val="615C3F4A"/>
    <w:rsid w:val="617F1A1B"/>
    <w:rsid w:val="61844AA1"/>
    <w:rsid w:val="618B077E"/>
    <w:rsid w:val="61C43783"/>
    <w:rsid w:val="61C811DA"/>
    <w:rsid w:val="61D22B70"/>
    <w:rsid w:val="61D756DC"/>
    <w:rsid w:val="61D814FF"/>
    <w:rsid w:val="61D90DCE"/>
    <w:rsid w:val="61D920C5"/>
    <w:rsid w:val="61E55BB3"/>
    <w:rsid w:val="61EA0214"/>
    <w:rsid w:val="61F12FED"/>
    <w:rsid w:val="622422EB"/>
    <w:rsid w:val="62463B72"/>
    <w:rsid w:val="624939C4"/>
    <w:rsid w:val="625023A2"/>
    <w:rsid w:val="62513AA0"/>
    <w:rsid w:val="625F276F"/>
    <w:rsid w:val="627146B7"/>
    <w:rsid w:val="62853302"/>
    <w:rsid w:val="62886014"/>
    <w:rsid w:val="628B7AAD"/>
    <w:rsid w:val="62944E98"/>
    <w:rsid w:val="629750CC"/>
    <w:rsid w:val="62AF67A9"/>
    <w:rsid w:val="62B65495"/>
    <w:rsid w:val="62BD588D"/>
    <w:rsid w:val="62C75FF5"/>
    <w:rsid w:val="62CB10E7"/>
    <w:rsid w:val="62D14847"/>
    <w:rsid w:val="62D738A6"/>
    <w:rsid w:val="62EC5BA4"/>
    <w:rsid w:val="62F129C3"/>
    <w:rsid w:val="63085246"/>
    <w:rsid w:val="631A2116"/>
    <w:rsid w:val="631F2BB9"/>
    <w:rsid w:val="633F1D0E"/>
    <w:rsid w:val="634621E9"/>
    <w:rsid w:val="63592204"/>
    <w:rsid w:val="63694450"/>
    <w:rsid w:val="636D1E5B"/>
    <w:rsid w:val="6372559E"/>
    <w:rsid w:val="63811D0F"/>
    <w:rsid w:val="63852D24"/>
    <w:rsid w:val="63972FF2"/>
    <w:rsid w:val="639936C0"/>
    <w:rsid w:val="639F4E4C"/>
    <w:rsid w:val="63A67D29"/>
    <w:rsid w:val="63BA5440"/>
    <w:rsid w:val="63D953C1"/>
    <w:rsid w:val="63DD10A0"/>
    <w:rsid w:val="63EC46C4"/>
    <w:rsid w:val="63ED7BB9"/>
    <w:rsid w:val="63F16914"/>
    <w:rsid w:val="63FD40D2"/>
    <w:rsid w:val="64121B5F"/>
    <w:rsid w:val="64143468"/>
    <w:rsid w:val="6414414E"/>
    <w:rsid w:val="64163464"/>
    <w:rsid w:val="641B196C"/>
    <w:rsid w:val="64227F96"/>
    <w:rsid w:val="642C0292"/>
    <w:rsid w:val="642C7340"/>
    <w:rsid w:val="642F4E0A"/>
    <w:rsid w:val="643C0E96"/>
    <w:rsid w:val="643E7314"/>
    <w:rsid w:val="644B059C"/>
    <w:rsid w:val="645F52B0"/>
    <w:rsid w:val="6460139F"/>
    <w:rsid w:val="646F2853"/>
    <w:rsid w:val="64742891"/>
    <w:rsid w:val="649B0451"/>
    <w:rsid w:val="64A21F1F"/>
    <w:rsid w:val="64A52F92"/>
    <w:rsid w:val="64B121AB"/>
    <w:rsid w:val="64BC2C6A"/>
    <w:rsid w:val="64E113E2"/>
    <w:rsid w:val="64E91CFD"/>
    <w:rsid w:val="64FE6D70"/>
    <w:rsid w:val="6522475D"/>
    <w:rsid w:val="65260090"/>
    <w:rsid w:val="652E46D3"/>
    <w:rsid w:val="65300199"/>
    <w:rsid w:val="65300B52"/>
    <w:rsid w:val="653213B7"/>
    <w:rsid w:val="65335B4B"/>
    <w:rsid w:val="65731A9A"/>
    <w:rsid w:val="658D6144"/>
    <w:rsid w:val="65BA61C7"/>
    <w:rsid w:val="65F23CB3"/>
    <w:rsid w:val="65FA7A7B"/>
    <w:rsid w:val="660B5B66"/>
    <w:rsid w:val="660F083D"/>
    <w:rsid w:val="661054EC"/>
    <w:rsid w:val="66191EA9"/>
    <w:rsid w:val="66316B9F"/>
    <w:rsid w:val="663A47B8"/>
    <w:rsid w:val="6640601B"/>
    <w:rsid w:val="66417AE3"/>
    <w:rsid w:val="66424F54"/>
    <w:rsid w:val="66550586"/>
    <w:rsid w:val="66612625"/>
    <w:rsid w:val="66617BD1"/>
    <w:rsid w:val="66647BB1"/>
    <w:rsid w:val="667A31C0"/>
    <w:rsid w:val="668503F4"/>
    <w:rsid w:val="66862B62"/>
    <w:rsid w:val="668D343B"/>
    <w:rsid w:val="668F06E3"/>
    <w:rsid w:val="66960651"/>
    <w:rsid w:val="669D5A25"/>
    <w:rsid w:val="66A010B6"/>
    <w:rsid w:val="66A334EA"/>
    <w:rsid w:val="66B06B73"/>
    <w:rsid w:val="66C163B8"/>
    <w:rsid w:val="66C64C03"/>
    <w:rsid w:val="66E33761"/>
    <w:rsid w:val="66E87FC2"/>
    <w:rsid w:val="66FB7F3A"/>
    <w:rsid w:val="670925BC"/>
    <w:rsid w:val="67186248"/>
    <w:rsid w:val="672316FF"/>
    <w:rsid w:val="672B3BF5"/>
    <w:rsid w:val="673F3B5E"/>
    <w:rsid w:val="67546A0E"/>
    <w:rsid w:val="67590382"/>
    <w:rsid w:val="67596B1A"/>
    <w:rsid w:val="67674FEB"/>
    <w:rsid w:val="67940FDD"/>
    <w:rsid w:val="67AD73D4"/>
    <w:rsid w:val="67AF3AC1"/>
    <w:rsid w:val="67BB3164"/>
    <w:rsid w:val="67E03513"/>
    <w:rsid w:val="67E56938"/>
    <w:rsid w:val="67E57C24"/>
    <w:rsid w:val="67EC2FDF"/>
    <w:rsid w:val="68035234"/>
    <w:rsid w:val="680507A9"/>
    <w:rsid w:val="683F5BB3"/>
    <w:rsid w:val="686330C2"/>
    <w:rsid w:val="68674B06"/>
    <w:rsid w:val="686D3202"/>
    <w:rsid w:val="686F5F24"/>
    <w:rsid w:val="688715C2"/>
    <w:rsid w:val="68931A52"/>
    <w:rsid w:val="68991EFB"/>
    <w:rsid w:val="68AF5643"/>
    <w:rsid w:val="68DA769A"/>
    <w:rsid w:val="68DE76AE"/>
    <w:rsid w:val="68E03FBB"/>
    <w:rsid w:val="68F721CA"/>
    <w:rsid w:val="68FB4257"/>
    <w:rsid w:val="68FF0DAD"/>
    <w:rsid w:val="69090B75"/>
    <w:rsid w:val="69187A83"/>
    <w:rsid w:val="692759DC"/>
    <w:rsid w:val="69447E4D"/>
    <w:rsid w:val="694C638F"/>
    <w:rsid w:val="69534B8B"/>
    <w:rsid w:val="695440D3"/>
    <w:rsid w:val="69746794"/>
    <w:rsid w:val="69A64474"/>
    <w:rsid w:val="69B55F6D"/>
    <w:rsid w:val="69E5750C"/>
    <w:rsid w:val="69FF5C29"/>
    <w:rsid w:val="6A043392"/>
    <w:rsid w:val="6A2C168C"/>
    <w:rsid w:val="6A3615A4"/>
    <w:rsid w:val="6A57114A"/>
    <w:rsid w:val="6A5B44E5"/>
    <w:rsid w:val="6A7A5A68"/>
    <w:rsid w:val="6A7B0A08"/>
    <w:rsid w:val="6A7C3A68"/>
    <w:rsid w:val="6A803A38"/>
    <w:rsid w:val="6A852DD3"/>
    <w:rsid w:val="6A8F0019"/>
    <w:rsid w:val="6A941D08"/>
    <w:rsid w:val="6A9E5112"/>
    <w:rsid w:val="6AA53CB9"/>
    <w:rsid w:val="6AB3562D"/>
    <w:rsid w:val="6AB46018"/>
    <w:rsid w:val="6AC016FE"/>
    <w:rsid w:val="6ACD3CA9"/>
    <w:rsid w:val="6AE8704D"/>
    <w:rsid w:val="6AF132E9"/>
    <w:rsid w:val="6B091462"/>
    <w:rsid w:val="6B273216"/>
    <w:rsid w:val="6B311853"/>
    <w:rsid w:val="6B3908CF"/>
    <w:rsid w:val="6B3F5C2C"/>
    <w:rsid w:val="6B4A0491"/>
    <w:rsid w:val="6B5C3BBD"/>
    <w:rsid w:val="6B5E767B"/>
    <w:rsid w:val="6B6768EA"/>
    <w:rsid w:val="6B7A3661"/>
    <w:rsid w:val="6BA75FA3"/>
    <w:rsid w:val="6BAD0388"/>
    <w:rsid w:val="6BAE1F3A"/>
    <w:rsid w:val="6BC84BE4"/>
    <w:rsid w:val="6BD627B8"/>
    <w:rsid w:val="6BDA2C04"/>
    <w:rsid w:val="6BFB2726"/>
    <w:rsid w:val="6BFB70EF"/>
    <w:rsid w:val="6C1254AA"/>
    <w:rsid w:val="6C160EB9"/>
    <w:rsid w:val="6C1C281E"/>
    <w:rsid w:val="6C1D6234"/>
    <w:rsid w:val="6C294FB3"/>
    <w:rsid w:val="6C3034E5"/>
    <w:rsid w:val="6C3756E9"/>
    <w:rsid w:val="6C413C52"/>
    <w:rsid w:val="6C522E5B"/>
    <w:rsid w:val="6C5A7F54"/>
    <w:rsid w:val="6C635518"/>
    <w:rsid w:val="6C6B3F78"/>
    <w:rsid w:val="6C6C29EE"/>
    <w:rsid w:val="6C6D4223"/>
    <w:rsid w:val="6C6E6B06"/>
    <w:rsid w:val="6C822E76"/>
    <w:rsid w:val="6C843A1D"/>
    <w:rsid w:val="6C8C5E8F"/>
    <w:rsid w:val="6C916564"/>
    <w:rsid w:val="6C9856EE"/>
    <w:rsid w:val="6C9C4844"/>
    <w:rsid w:val="6CA9068A"/>
    <w:rsid w:val="6CB712AE"/>
    <w:rsid w:val="6CB766F8"/>
    <w:rsid w:val="6CBF4FB5"/>
    <w:rsid w:val="6CD13B76"/>
    <w:rsid w:val="6CE07BEE"/>
    <w:rsid w:val="6CF90BB4"/>
    <w:rsid w:val="6D034132"/>
    <w:rsid w:val="6D06745C"/>
    <w:rsid w:val="6D08588D"/>
    <w:rsid w:val="6D0D2B66"/>
    <w:rsid w:val="6D0D516D"/>
    <w:rsid w:val="6D1E3178"/>
    <w:rsid w:val="6D2166F1"/>
    <w:rsid w:val="6D2317F9"/>
    <w:rsid w:val="6D241D45"/>
    <w:rsid w:val="6D3364B4"/>
    <w:rsid w:val="6D412F10"/>
    <w:rsid w:val="6D484FDA"/>
    <w:rsid w:val="6D4D4523"/>
    <w:rsid w:val="6D622261"/>
    <w:rsid w:val="6D627534"/>
    <w:rsid w:val="6D67519F"/>
    <w:rsid w:val="6D7E06EF"/>
    <w:rsid w:val="6D8B0CB3"/>
    <w:rsid w:val="6D963059"/>
    <w:rsid w:val="6D984331"/>
    <w:rsid w:val="6D997AFC"/>
    <w:rsid w:val="6DA1788B"/>
    <w:rsid w:val="6DA434AF"/>
    <w:rsid w:val="6DE5103F"/>
    <w:rsid w:val="6DEE733D"/>
    <w:rsid w:val="6DF479C3"/>
    <w:rsid w:val="6E0322A3"/>
    <w:rsid w:val="6E057442"/>
    <w:rsid w:val="6E13662E"/>
    <w:rsid w:val="6E157B98"/>
    <w:rsid w:val="6E172929"/>
    <w:rsid w:val="6E1848B3"/>
    <w:rsid w:val="6E1B5637"/>
    <w:rsid w:val="6E2030D3"/>
    <w:rsid w:val="6E272A39"/>
    <w:rsid w:val="6E3544F2"/>
    <w:rsid w:val="6E4720F5"/>
    <w:rsid w:val="6E5C72F2"/>
    <w:rsid w:val="6E714281"/>
    <w:rsid w:val="6E756BF5"/>
    <w:rsid w:val="6E764E84"/>
    <w:rsid w:val="6E8D07A7"/>
    <w:rsid w:val="6E8F0010"/>
    <w:rsid w:val="6EB66DE2"/>
    <w:rsid w:val="6ED62F61"/>
    <w:rsid w:val="6F0867D6"/>
    <w:rsid w:val="6F0F349E"/>
    <w:rsid w:val="6F162257"/>
    <w:rsid w:val="6F1D1813"/>
    <w:rsid w:val="6F207E33"/>
    <w:rsid w:val="6F253ED3"/>
    <w:rsid w:val="6F277108"/>
    <w:rsid w:val="6F292EC0"/>
    <w:rsid w:val="6F2E1569"/>
    <w:rsid w:val="6F3271D5"/>
    <w:rsid w:val="6F3421B9"/>
    <w:rsid w:val="6F346501"/>
    <w:rsid w:val="6F392C3E"/>
    <w:rsid w:val="6F3C17C8"/>
    <w:rsid w:val="6F415887"/>
    <w:rsid w:val="6F596322"/>
    <w:rsid w:val="6F624F8C"/>
    <w:rsid w:val="6F6C0A40"/>
    <w:rsid w:val="6F6D5E50"/>
    <w:rsid w:val="6F7177D8"/>
    <w:rsid w:val="6F735AD0"/>
    <w:rsid w:val="6F7776A7"/>
    <w:rsid w:val="6F7D1A42"/>
    <w:rsid w:val="6F832AD6"/>
    <w:rsid w:val="6F952B72"/>
    <w:rsid w:val="6F9B45A7"/>
    <w:rsid w:val="6FB24574"/>
    <w:rsid w:val="6FC0379A"/>
    <w:rsid w:val="6FC04DD0"/>
    <w:rsid w:val="6FC6021A"/>
    <w:rsid w:val="6FD30AC4"/>
    <w:rsid w:val="6FD812A0"/>
    <w:rsid w:val="6FE94F45"/>
    <w:rsid w:val="6FEA5FD7"/>
    <w:rsid w:val="700204D1"/>
    <w:rsid w:val="70127B3B"/>
    <w:rsid w:val="701A0067"/>
    <w:rsid w:val="70451B1A"/>
    <w:rsid w:val="70811959"/>
    <w:rsid w:val="70821FF5"/>
    <w:rsid w:val="70892EB7"/>
    <w:rsid w:val="70926B0E"/>
    <w:rsid w:val="709F0D5A"/>
    <w:rsid w:val="70B31679"/>
    <w:rsid w:val="70D932E8"/>
    <w:rsid w:val="70F11325"/>
    <w:rsid w:val="71127567"/>
    <w:rsid w:val="71260DD8"/>
    <w:rsid w:val="713A0A4A"/>
    <w:rsid w:val="71434E00"/>
    <w:rsid w:val="714C6211"/>
    <w:rsid w:val="715E2221"/>
    <w:rsid w:val="716A0810"/>
    <w:rsid w:val="716A5457"/>
    <w:rsid w:val="717B5392"/>
    <w:rsid w:val="71A22462"/>
    <w:rsid w:val="71B1257B"/>
    <w:rsid w:val="71B55333"/>
    <w:rsid w:val="71B86D3B"/>
    <w:rsid w:val="71BA7EA9"/>
    <w:rsid w:val="71BE2234"/>
    <w:rsid w:val="71C268A8"/>
    <w:rsid w:val="71C362EB"/>
    <w:rsid w:val="71C442A4"/>
    <w:rsid w:val="71CF1BDE"/>
    <w:rsid w:val="71CF461F"/>
    <w:rsid w:val="71D85F8D"/>
    <w:rsid w:val="71DE20AD"/>
    <w:rsid w:val="71E763D5"/>
    <w:rsid w:val="71EC4C43"/>
    <w:rsid w:val="71EE4F07"/>
    <w:rsid w:val="71F536A3"/>
    <w:rsid w:val="71FC4351"/>
    <w:rsid w:val="72081AE9"/>
    <w:rsid w:val="7214146C"/>
    <w:rsid w:val="721F376D"/>
    <w:rsid w:val="72217277"/>
    <w:rsid w:val="724E33F8"/>
    <w:rsid w:val="72585E70"/>
    <w:rsid w:val="726774A5"/>
    <w:rsid w:val="726D71D0"/>
    <w:rsid w:val="728004E7"/>
    <w:rsid w:val="72CA4DEC"/>
    <w:rsid w:val="72CE33E6"/>
    <w:rsid w:val="72F0647A"/>
    <w:rsid w:val="72F32A34"/>
    <w:rsid w:val="730C7362"/>
    <w:rsid w:val="73214C6D"/>
    <w:rsid w:val="73326BCD"/>
    <w:rsid w:val="73343731"/>
    <w:rsid w:val="735036F8"/>
    <w:rsid w:val="73687752"/>
    <w:rsid w:val="73717DEA"/>
    <w:rsid w:val="73745130"/>
    <w:rsid w:val="73787755"/>
    <w:rsid w:val="738659E1"/>
    <w:rsid w:val="738860E7"/>
    <w:rsid w:val="738B0D0B"/>
    <w:rsid w:val="73AB4EEC"/>
    <w:rsid w:val="73B02D67"/>
    <w:rsid w:val="73B24B13"/>
    <w:rsid w:val="73C25375"/>
    <w:rsid w:val="73CE5809"/>
    <w:rsid w:val="73D13AA8"/>
    <w:rsid w:val="73E00B69"/>
    <w:rsid w:val="73FC5163"/>
    <w:rsid w:val="7404127A"/>
    <w:rsid w:val="740C0B3F"/>
    <w:rsid w:val="740F02C5"/>
    <w:rsid w:val="74194D93"/>
    <w:rsid w:val="741B2BB6"/>
    <w:rsid w:val="74344918"/>
    <w:rsid w:val="74353040"/>
    <w:rsid w:val="744B1F4E"/>
    <w:rsid w:val="744C672D"/>
    <w:rsid w:val="746A0D9A"/>
    <w:rsid w:val="746B76C5"/>
    <w:rsid w:val="74700A49"/>
    <w:rsid w:val="747A371D"/>
    <w:rsid w:val="748560A5"/>
    <w:rsid w:val="749E0FA0"/>
    <w:rsid w:val="74C75CAA"/>
    <w:rsid w:val="74CC6B96"/>
    <w:rsid w:val="74FC6FFD"/>
    <w:rsid w:val="750C5A29"/>
    <w:rsid w:val="750C7E74"/>
    <w:rsid w:val="75162896"/>
    <w:rsid w:val="75200360"/>
    <w:rsid w:val="75271124"/>
    <w:rsid w:val="75283652"/>
    <w:rsid w:val="752918ED"/>
    <w:rsid w:val="752B78A0"/>
    <w:rsid w:val="75351A4D"/>
    <w:rsid w:val="75396B41"/>
    <w:rsid w:val="754133C0"/>
    <w:rsid w:val="755E6D33"/>
    <w:rsid w:val="756002CE"/>
    <w:rsid w:val="756749D3"/>
    <w:rsid w:val="756E2101"/>
    <w:rsid w:val="758F2FF0"/>
    <w:rsid w:val="75901984"/>
    <w:rsid w:val="7596291C"/>
    <w:rsid w:val="75980013"/>
    <w:rsid w:val="75A35E57"/>
    <w:rsid w:val="75A37A25"/>
    <w:rsid w:val="75A534D7"/>
    <w:rsid w:val="75AC35F4"/>
    <w:rsid w:val="75B742D7"/>
    <w:rsid w:val="75BD7FF5"/>
    <w:rsid w:val="75C57681"/>
    <w:rsid w:val="75EC7DDE"/>
    <w:rsid w:val="75F56B64"/>
    <w:rsid w:val="762108F9"/>
    <w:rsid w:val="76275F68"/>
    <w:rsid w:val="762F3419"/>
    <w:rsid w:val="76357912"/>
    <w:rsid w:val="764728D5"/>
    <w:rsid w:val="764D4D25"/>
    <w:rsid w:val="766670C2"/>
    <w:rsid w:val="766949C9"/>
    <w:rsid w:val="76735CD1"/>
    <w:rsid w:val="76915552"/>
    <w:rsid w:val="76992039"/>
    <w:rsid w:val="76C74B28"/>
    <w:rsid w:val="76D9239B"/>
    <w:rsid w:val="772A6CCF"/>
    <w:rsid w:val="7736471D"/>
    <w:rsid w:val="77372926"/>
    <w:rsid w:val="775F11E7"/>
    <w:rsid w:val="77637B57"/>
    <w:rsid w:val="777A40B0"/>
    <w:rsid w:val="7780780C"/>
    <w:rsid w:val="778227FD"/>
    <w:rsid w:val="77AB5D5B"/>
    <w:rsid w:val="77AC4096"/>
    <w:rsid w:val="77BA65E9"/>
    <w:rsid w:val="77E302CC"/>
    <w:rsid w:val="77E7300E"/>
    <w:rsid w:val="77EE0510"/>
    <w:rsid w:val="780B2F89"/>
    <w:rsid w:val="78195C4A"/>
    <w:rsid w:val="782B3697"/>
    <w:rsid w:val="783B565B"/>
    <w:rsid w:val="7848590F"/>
    <w:rsid w:val="784E1C07"/>
    <w:rsid w:val="784F2C7E"/>
    <w:rsid w:val="784F4FCD"/>
    <w:rsid w:val="78586A95"/>
    <w:rsid w:val="786C593A"/>
    <w:rsid w:val="78711E8B"/>
    <w:rsid w:val="787331A0"/>
    <w:rsid w:val="788651D9"/>
    <w:rsid w:val="78A52E2C"/>
    <w:rsid w:val="78AB3350"/>
    <w:rsid w:val="78B115BC"/>
    <w:rsid w:val="78C376AA"/>
    <w:rsid w:val="78D35E3F"/>
    <w:rsid w:val="78D671FA"/>
    <w:rsid w:val="78D70945"/>
    <w:rsid w:val="78E812DB"/>
    <w:rsid w:val="78EB3926"/>
    <w:rsid w:val="78F437D6"/>
    <w:rsid w:val="78FC61DA"/>
    <w:rsid w:val="79067F1A"/>
    <w:rsid w:val="7908099A"/>
    <w:rsid w:val="793272FC"/>
    <w:rsid w:val="793B2150"/>
    <w:rsid w:val="79482846"/>
    <w:rsid w:val="796815FE"/>
    <w:rsid w:val="7968571D"/>
    <w:rsid w:val="79895029"/>
    <w:rsid w:val="79985BAE"/>
    <w:rsid w:val="799A708E"/>
    <w:rsid w:val="79A20E8E"/>
    <w:rsid w:val="79A44A29"/>
    <w:rsid w:val="79AD5AE3"/>
    <w:rsid w:val="79BC3F02"/>
    <w:rsid w:val="79BE340B"/>
    <w:rsid w:val="79E33C9C"/>
    <w:rsid w:val="79E71DC1"/>
    <w:rsid w:val="79F543FD"/>
    <w:rsid w:val="79F7419D"/>
    <w:rsid w:val="79FB0785"/>
    <w:rsid w:val="79FC4DA1"/>
    <w:rsid w:val="79FF1865"/>
    <w:rsid w:val="7A0F09A6"/>
    <w:rsid w:val="7A1D776F"/>
    <w:rsid w:val="7A2C729D"/>
    <w:rsid w:val="7A312697"/>
    <w:rsid w:val="7A5B5DBC"/>
    <w:rsid w:val="7A8457B0"/>
    <w:rsid w:val="7A8516A5"/>
    <w:rsid w:val="7A8D58F7"/>
    <w:rsid w:val="7A975CF3"/>
    <w:rsid w:val="7A9A6BC7"/>
    <w:rsid w:val="7AA155DC"/>
    <w:rsid w:val="7AAE0C7A"/>
    <w:rsid w:val="7AB656FC"/>
    <w:rsid w:val="7ADA2D7A"/>
    <w:rsid w:val="7ADE113B"/>
    <w:rsid w:val="7AE47AB8"/>
    <w:rsid w:val="7AE81470"/>
    <w:rsid w:val="7AEB4818"/>
    <w:rsid w:val="7AF877E8"/>
    <w:rsid w:val="7B006E8A"/>
    <w:rsid w:val="7B141D15"/>
    <w:rsid w:val="7B1D6448"/>
    <w:rsid w:val="7B244DCE"/>
    <w:rsid w:val="7B350E3A"/>
    <w:rsid w:val="7B3A1648"/>
    <w:rsid w:val="7B3B2D7A"/>
    <w:rsid w:val="7B404FFF"/>
    <w:rsid w:val="7B47697F"/>
    <w:rsid w:val="7B542467"/>
    <w:rsid w:val="7B6847AC"/>
    <w:rsid w:val="7B747F2A"/>
    <w:rsid w:val="7B7D4EE6"/>
    <w:rsid w:val="7B9707B1"/>
    <w:rsid w:val="7B9F208A"/>
    <w:rsid w:val="7BB617A3"/>
    <w:rsid w:val="7BC97378"/>
    <w:rsid w:val="7BD3697D"/>
    <w:rsid w:val="7BD6557C"/>
    <w:rsid w:val="7BF059CF"/>
    <w:rsid w:val="7BF111A8"/>
    <w:rsid w:val="7BFB7C0E"/>
    <w:rsid w:val="7BFC394D"/>
    <w:rsid w:val="7C046A6C"/>
    <w:rsid w:val="7C0A0629"/>
    <w:rsid w:val="7C0A48F6"/>
    <w:rsid w:val="7C0E7861"/>
    <w:rsid w:val="7C1C2A77"/>
    <w:rsid w:val="7C291C61"/>
    <w:rsid w:val="7C385370"/>
    <w:rsid w:val="7C533E8E"/>
    <w:rsid w:val="7C570C67"/>
    <w:rsid w:val="7C585472"/>
    <w:rsid w:val="7C6637ED"/>
    <w:rsid w:val="7C7616C1"/>
    <w:rsid w:val="7C7B377A"/>
    <w:rsid w:val="7C7D4A93"/>
    <w:rsid w:val="7C8841D0"/>
    <w:rsid w:val="7CAA4F1D"/>
    <w:rsid w:val="7CAF11E3"/>
    <w:rsid w:val="7CAF2FD5"/>
    <w:rsid w:val="7CB00432"/>
    <w:rsid w:val="7CB204EC"/>
    <w:rsid w:val="7CB26256"/>
    <w:rsid w:val="7CB96571"/>
    <w:rsid w:val="7CBD142C"/>
    <w:rsid w:val="7CBF419B"/>
    <w:rsid w:val="7CC7104C"/>
    <w:rsid w:val="7CCB6018"/>
    <w:rsid w:val="7CD22E03"/>
    <w:rsid w:val="7CE96A5E"/>
    <w:rsid w:val="7CF15A36"/>
    <w:rsid w:val="7CF92969"/>
    <w:rsid w:val="7D103CA2"/>
    <w:rsid w:val="7D11101C"/>
    <w:rsid w:val="7D142149"/>
    <w:rsid w:val="7D27054B"/>
    <w:rsid w:val="7D2A3D01"/>
    <w:rsid w:val="7D3523BD"/>
    <w:rsid w:val="7D35727D"/>
    <w:rsid w:val="7D5453B5"/>
    <w:rsid w:val="7D65663E"/>
    <w:rsid w:val="7D6F48FE"/>
    <w:rsid w:val="7D7138AD"/>
    <w:rsid w:val="7D7A10E0"/>
    <w:rsid w:val="7D7E02F2"/>
    <w:rsid w:val="7D907F28"/>
    <w:rsid w:val="7D934304"/>
    <w:rsid w:val="7DAB0888"/>
    <w:rsid w:val="7DAF4A53"/>
    <w:rsid w:val="7DB206EF"/>
    <w:rsid w:val="7DBA7728"/>
    <w:rsid w:val="7DE27779"/>
    <w:rsid w:val="7DF12C1A"/>
    <w:rsid w:val="7DF50664"/>
    <w:rsid w:val="7DF81778"/>
    <w:rsid w:val="7DFF5133"/>
    <w:rsid w:val="7E015F26"/>
    <w:rsid w:val="7E2C166E"/>
    <w:rsid w:val="7E3B4346"/>
    <w:rsid w:val="7E3C3476"/>
    <w:rsid w:val="7E3C497C"/>
    <w:rsid w:val="7E433F43"/>
    <w:rsid w:val="7E4C5755"/>
    <w:rsid w:val="7E607178"/>
    <w:rsid w:val="7E6F36D8"/>
    <w:rsid w:val="7E731B01"/>
    <w:rsid w:val="7E992BAA"/>
    <w:rsid w:val="7EA07638"/>
    <w:rsid w:val="7EAB0E19"/>
    <w:rsid w:val="7EBF161B"/>
    <w:rsid w:val="7EC22FFF"/>
    <w:rsid w:val="7ECA5DAA"/>
    <w:rsid w:val="7ED44D56"/>
    <w:rsid w:val="7EE77CF5"/>
    <w:rsid w:val="7EFF248B"/>
    <w:rsid w:val="7F0D0C24"/>
    <w:rsid w:val="7F1B4BF7"/>
    <w:rsid w:val="7F23752D"/>
    <w:rsid w:val="7F306E0F"/>
    <w:rsid w:val="7F3407BB"/>
    <w:rsid w:val="7F341821"/>
    <w:rsid w:val="7F39577E"/>
    <w:rsid w:val="7F3A561D"/>
    <w:rsid w:val="7F4C006A"/>
    <w:rsid w:val="7F587E33"/>
    <w:rsid w:val="7F6C5529"/>
    <w:rsid w:val="7F7B124B"/>
    <w:rsid w:val="7F7F6923"/>
    <w:rsid w:val="7F806FE5"/>
    <w:rsid w:val="7F851B64"/>
    <w:rsid w:val="7F871C75"/>
    <w:rsid w:val="7F8D085B"/>
    <w:rsid w:val="7F9A7794"/>
    <w:rsid w:val="7FA03B81"/>
    <w:rsid w:val="7FB72B7E"/>
    <w:rsid w:val="7FCB0446"/>
    <w:rsid w:val="7FD53475"/>
    <w:rsid w:val="7FE268A0"/>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0"/>
    <w:qFormat/>
    <w:uiPriority w:val="99"/>
    <w:pPr>
      <w:keepNext/>
      <w:spacing w:line="500" w:lineRule="exact"/>
      <w:outlineLvl w:val="0"/>
    </w:pPr>
    <w:rPr>
      <w:w w:val="90"/>
      <w:sz w:val="28"/>
    </w:rPr>
  </w:style>
  <w:style w:type="paragraph" w:styleId="5">
    <w:name w:val="heading 2"/>
    <w:basedOn w:val="1"/>
    <w:next w:val="6"/>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7">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8">
    <w:name w:val="heading 4"/>
    <w:basedOn w:val="1"/>
    <w:next w:val="1"/>
    <w:link w:val="52"/>
    <w:qFormat/>
    <w:uiPriority w:val="0"/>
    <w:pPr>
      <w:keepNext/>
      <w:spacing w:line="440" w:lineRule="exact"/>
      <w:ind w:left="-50" w:right="-50"/>
      <w:jc w:val="center"/>
      <w:outlineLvl w:val="3"/>
    </w:pPr>
    <w:rPr>
      <w:sz w:val="28"/>
    </w:rPr>
  </w:style>
  <w:style w:type="paragraph" w:styleId="9">
    <w:name w:val="heading 7"/>
    <w:basedOn w:val="1"/>
    <w:next w:val="1"/>
    <w:link w:val="53"/>
    <w:qFormat/>
    <w:uiPriority w:val="0"/>
    <w:pPr>
      <w:keepNext/>
      <w:tabs>
        <w:tab w:val="left" w:pos="360"/>
      </w:tabs>
      <w:spacing w:line="348" w:lineRule="auto"/>
      <w:outlineLvl w:val="6"/>
    </w:pPr>
    <w:rPr>
      <w:color w:val="000000"/>
      <w:sz w:val="28"/>
    </w:rPr>
  </w:style>
  <w:style w:type="character" w:default="1" w:styleId="39">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link w:val="59"/>
    <w:qFormat/>
    <w:uiPriority w:val="0"/>
    <w:rPr>
      <w:rFonts w:ascii="宋体" w:hAnsi="Courier New" w:cs="Courier New"/>
      <w:szCs w:val="21"/>
    </w:rPr>
  </w:style>
  <w:style w:type="paragraph" w:styleId="3">
    <w:name w:val="Salutation"/>
    <w:basedOn w:val="1"/>
    <w:next w:val="1"/>
    <w:qFormat/>
    <w:uiPriority w:val="0"/>
    <w:pPr>
      <w:spacing w:line="240" w:lineRule="auto"/>
      <w:ind w:firstLine="0" w:firstLineChars="0"/>
    </w:pPr>
    <w:rPr>
      <w:sz w:val="28"/>
      <w:szCs w:val="20"/>
    </w:rPr>
  </w:style>
  <w:style w:type="paragraph" w:styleId="6">
    <w:name w:val="Normal Indent"/>
    <w:basedOn w:val="1"/>
    <w:link w:val="63"/>
    <w:qFormat/>
    <w:uiPriority w:val="0"/>
    <w:pPr>
      <w:widowControl/>
      <w:ind w:firstLine="420"/>
      <w:jc w:val="left"/>
    </w:pPr>
    <w:rPr>
      <w:rFonts w:eastAsia="华文中宋" w:asciiTheme="minorHAnsi" w:hAnsiTheme="minorHAnsi" w:cstheme="minorBidi"/>
      <w:w w:val="90"/>
      <w:sz w:val="28"/>
      <w:szCs w:val="22"/>
    </w:rPr>
  </w:style>
  <w:style w:type="paragraph" w:styleId="10">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1">
    <w:name w:val="Document Map"/>
    <w:basedOn w:val="1"/>
    <w:link w:val="144"/>
    <w:qFormat/>
    <w:uiPriority w:val="99"/>
    <w:pPr>
      <w:shd w:val="clear" w:color="auto" w:fill="000080"/>
    </w:pPr>
    <w:rPr>
      <w:lang w:val="zh-CN" w:eastAsia="zh-CN"/>
    </w:rPr>
  </w:style>
  <w:style w:type="paragraph" w:styleId="12">
    <w:name w:val="annotation text"/>
    <w:basedOn w:val="1"/>
    <w:link w:val="129"/>
    <w:qFormat/>
    <w:uiPriority w:val="99"/>
    <w:pPr>
      <w:jc w:val="left"/>
    </w:pPr>
    <w:rPr>
      <w:lang w:val="zh-CN" w:eastAsia="zh-CN"/>
    </w:rPr>
  </w:style>
  <w:style w:type="paragraph" w:styleId="13">
    <w:name w:val="Body Text 3"/>
    <w:basedOn w:val="1"/>
    <w:link w:val="84"/>
    <w:qFormat/>
    <w:uiPriority w:val="0"/>
    <w:pPr>
      <w:widowControl/>
      <w:jc w:val="center"/>
    </w:pPr>
    <w:rPr>
      <w:rFonts w:eastAsia="方正书宋简体"/>
      <w:w w:val="90"/>
      <w:kern w:val="0"/>
      <w:sz w:val="28"/>
      <w:szCs w:val="20"/>
    </w:rPr>
  </w:style>
  <w:style w:type="paragraph" w:styleId="14">
    <w:name w:val="Body Text"/>
    <w:basedOn w:val="1"/>
    <w:next w:val="1"/>
    <w:link w:val="79"/>
    <w:qFormat/>
    <w:uiPriority w:val="0"/>
    <w:rPr>
      <w:sz w:val="28"/>
    </w:rPr>
  </w:style>
  <w:style w:type="paragraph" w:styleId="15">
    <w:name w:val="Body Text Indent"/>
    <w:basedOn w:val="1"/>
    <w:next w:val="16"/>
    <w:link w:val="85"/>
    <w:qFormat/>
    <w:uiPriority w:val="0"/>
    <w:pPr>
      <w:ind w:firstLine="538" w:firstLineChars="192"/>
    </w:pPr>
    <w:rPr>
      <w:sz w:val="28"/>
    </w:rPr>
  </w:style>
  <w:style w:type="paragraph" w:styleId="16">
    <w:name w:val="Body Text Indent 2"/>
    <w:basedOn w:val="1"/>
    <w:next w:val="17"/>
    <w:link w:val="74"/>
    <w:qFormat/>
    <w:uiPriority w:val="0"/>
    <w:pPr>
      <w:tabs>
        <w:tab w:val="left" w:pos="180"/>
      </w:tabs>
      <w:ind w:firstLine="567"/>
    </w:pPr>
    <w:rPr>
      <w:rFonts w:ascii="宋体" w:hAnsi="宋体"/>
      <w:sz w:val="28"/>
    </w:rPr>
  </w:style>
  <w:style w:type="paragraph" w:styleId="17">
    <w:name w:val="Body Text First Indent 2"/>
    <w:basedOn w:val="15"/>
    <w:link w:val="146"/>
    <w:semiHidden/>
    <w:unhideWhenUsed/>
    <w:qFormat/>
    <w:uiPriority w:val="99"/>
    <w:pPr>
      <w:spacing w:after="120"/>
      <w:ind w:left="420" w:leftChars="200" w:firstLine="420" w:firstLineChars="200"/>
    </w:pPr>
    <w:rPr>
      <w:sz w:val="21"/>
    </w:rPr>
  </w:style>
  <w:style w:type="paragraph" w:styleId="18">
    <w:name w:val="Block Text"/>
    <w:basedOn w:val="1"/>
    <w:qFormat/>
    <w:uiPriority w:val="0"/>
    <w:pPr>
      <w:spacing w:line="360" w:lineRule="exact"/>
      <w:ind w:left="105" w:leftChars="50" w:right="105" w:rightChars="50"/>
    </w:pPr>
    <w:rPr>
      <w:sz w:val="24"/>
    </w:rPr>
  </w:style>
  <w:style w:type="paragraph" w:styleId="19">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20">
    <w:name w:val="Balloon Text"/>
    <w:basedOn w:val="1"/>
    <w:link w:val="72"/>
    <w:qFormat/>
    <w:uiPriority w:val="99"/>
    <w:rPr>
      <w:sz w:val="18"/>
      <w:szCs w:val="18"/>
    </w:rPr>
  </w:style>
  <w:style w:type="paragraph" w:styleId="21">
    <w:name w:val="footer"/>
    <w:basedOn w:val="1"/>
    <w:link w:val="47"/>
    <w:unhideWhenUsed/>
    <w:qFormat/>
    <w:uiPriority w:val="99"/>
    <w:pPr>
      <w:tabs>
        <w:tab w:val="center" w:pos="4153"/>
        <w:tab w:val="right" w:pos="8306"/>
      </w:tabs>
      <w:snapToGrid w:val="0"/>
      <w:jc w:val="left"/>
    </w:pPr>
    <w:rPr>
      <w:sz w:val="18"/>
      <w:szCs w:val="18"/>
    </w:rPr>
  </w:style>
  <w:style w:type="paragraph" w:styleId="22">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semiHidden/>
    <w:unhideWhenUsed/>
    <w:qFormat/>
    <w:uiPriority w:val="39"/>
  </w:style>
  <w:style w:type="paragraph" w:styleId="24">
    <w:name w:val="Subtitle"/>
    <w:basedOn w:val="1"/>
    <w:next w:val="1"/>
    <w:link w:val="128"/>
    <w:qFormat/>
    <w:uiPriority w:val="0"/>
    <w:pPr>
      <w:spacing w:line="480" w:lineRule="exact"/>
      <w:jc w:val="center"/>
      <w:outlineLvl w:val="4"/>
    </w:pPr>
    <w:rPr>
      <w:rFonts w:ascii="Cambria" w:hAnsi="Cambria"/>
      <w:kern w:val="0"/>
      <w:lang w:val="zh-CN" w:eastAsia="en-US" w:bidi="en-US"/>
    </w:rPr>
  </w:style>
  <w:style w:type="paragraph" w:styleId="25">
    <w:name w:val="List"/>
    <w:basedOn w:val="1"/>
    <w:qFormat/>
    <w:uiPriority w:val="0"/>
    <w:pPr>
      <w:ind w:left="200" w:hanging="200" w:hangingChars="200"/>
    </w:pPr>
  </w:style>
  <w:style w:type="paragraph" w:styleId="26">
    <w:name w:val="Body Text Indent 3"/>
    <w:basedOn w:val="1"/>
    <w:link w:val="83"/>
    <w:qFormat/>
    <w:uiPriority w:val="0"/>
    <w:pPr>
      <w:spacing w:line="560" w:lineRule="exact"/>
      <w:ind w:firstLine="560" w:firstLineChars="200"/>
    </w:pPr>
    <w:rPr>
      <w:sz w:val="28"/>
    </w:rPr>
  </w:style>
  <w:style w:type="paragraph" w:styleId="27">
    <w:name w:val="Body Text 2"/>
    <w:basedOn w:val="1"/>
    <w:link w:val="62"/>
    <w:qFormat/>
    <w:uiPriority w:val="0"/>
    <w:rPr>
      <w:rFonts w:asciiTheme="minorHAnsi" w:hAnsiTheme="minorHAnsi" w:eastAsiaTheme="minorEastAsia" w:cstheme="minorBidi"/>
      <w:sz w:val="24"/>
    </w:rPr>
  </w:style>
  <w:style w:type="paragraph" w:styleId="28">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9">
    <w:name w:val="Normal (Web)"/>
    <w:basedOn w:val="1"/>
    <w:qFormat/>
    <w:uiPriority w:val="0"/>
    <w:pPr>
      <w:widowControl/>
      <w:spacing w:before="100" w:beforeAutospacing="1" w:after="100" w:afterAutospacing="1"/>
      <w:jc w:val="left"/>
    </w:pPr>
    <w:rPr>
      <w:rFonts w:ascii="宋体" w:hAnsi="宋体"/>
      <w:kern w:val="0"/>
      <w:sz w:val="24"/>
    </w:rPr>
  </w:style>
  <w:style w:type="paragraph" w:styleId="30">
    <w:name w:val="index 1"/>
    <w:basedOn w:val="1"/>
    <w:next w:val="1"/>
    <w:qFormat/>
    <w:uiPriority w:val="0"/>
    <w:pPr>
      <w:jc w:val="center"/>
    </w:pPr>
    <w:rPr>
      <w:rFonts w:eastAsia="仿宋_GB2312"/>
    </w:rPr>
  </w:style>
  <w:style w:type="paragraph" w:styleId="31">
    <w:name w:val="annotation subject"/>
    <w:basedOn w:val="12"/>
    <w:next w:val="12"/>
    <w:link w:val="76"/>
    <w:qFormat/>
    <w:uiPriority w:val="99"/>
    <w:rPr>
      <w:b/>
      <w:bCs/>
    </w:rPr>
  </w:style>
  <w:style w:type="paragraph" w:styleId="32">
    <w:name w:val="Body Text First Indent"/>
    <w:basedOn w:val="14"/>
    <w:link w:val="145"/>
    <w:semiHidden/>
    <w:unhideWhenUsed/>
    <w:qFormat/>
    <w:uiPriority w:val="99"/>
    <w:pPr>
      <w:spacing w:after="120"/>
      <w:ind w:firstLine="420" w:firstLineChars="100"/>
    </w:pPr>
    <w:rPr>
      <w:sz w:val="21"/>
    </w:rPr>
  </w:style>
  <w:style w:type="table" w:styleId="34">
    <w:name w:val="Table Grid"/>
    <w:basedOn w:val="3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Light Shading Accent 2"/>
    <w:basedOn w:val="33"/>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6">
    <w:name w:val="Light Shading Accent 3"/>
    <w:basedOn w:val="33"/>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7">
    <w:name w:val="Light Shading Accent 4"/>
    <w:basedOn w:val="33"/>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8">
    <w:name w:val="Light List Accent 3"/>
    <w:basedOn w:val="33"/>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40">
    <w:name w:val="Strong"/>
    <w:qFormat/>
    <w:uiPriority w:val="0"/>
    <w:rPr>
      <w:b/>
      <w:bCs/>
    </w:rPr>
  </w:style>
  <w:style w:type="character" w:styleId="41">
    <w:name w:val="page number"/>
    <w:basedOn w:val="39"/>
    <w:qFormat/>
    <w:uiPriority w:val="99"/>
  </w:style>
  <w:style w:type="character" w:styleId="42">
    <w:name w:val="line number"/>
    <w:basedOn w:val="39"/>
    <w:semiHidden/>
    <w:unhideWhenUsed/>
    <w:qFormat/>
    <w:uiPriority w:val="99"/>
  </w:style>
  <w:style w:type="character" w:styleId="43">
    <w:name w:val="Hyperlink"/>
    <w:qFormat/>
    <w:uiPriority w:val="99"/>
    <w:rPr>
      <w:color w:val="0000FF"/>
      <w:u w:val="none"/>
    </w:rPr>
  </w:style>
  <w:style w:type="character" w:styleId="44">
    <w:name w:val="annotation reference"/>
    <w:qFormat/>
    <w:uiPriority w:val="99"/>
    <w:rPr>
      <w:sz w:val="21"/>
      <w:szCs w:val="21"/>
    </w:rPr>
  </w:style>
  <w:style w:type="paragraph" w:customStyle="1" w:styleId="45">
    <w:name w:val="样式1"/>
    <w:basedOn w:val="23"/>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6">
    <w:name w:val="页眉 字符"/>
    <w:basedOn w:val="39"/>
    <w:link w:val="22"/>
    <w:qFormat/>
    <w:uiPriority w:val="99"/>
    <w:rPr>
      <w:sz w:val="18"/>
      <w:szCs w:val="18"/>
    </w:rPr>
  </w:style>
  <w:style w:type="character" w:customStyle="1" w:styleId="47">
    <w:name w:val="页脚 字符"/>
    <w:basedOn w:val="39"/>
    <w:link w:val="21"/>
    <w:qFormat/>
    <w:uiPriority w:val="99"/>
    <w:rPr>
      <w:sz w:val="18"/>
      <w:szCs w:val="18"/>
    </w:rPr>
  </w:style>
  <w:style w:type="character" w:customStyle="1" w:styleId="48">
    <w:name w:val="标题 2 字符"/>
    <w:basedOn w:val="39"/>
    <w:link w:val="5"/>
    <w:qFormat/>
    <w:uiPriority w:val="0"/>
    <w:rPr>
      <w:rFonts w:ascii="楷体_GB2312" w:hAnsi="Times New Roman" w:eastAsia="楷体_GB2312" w:cs="Times New Roman"/>
      <w:b/>
      <w:sz w:val="28"/>
      <w:szCs w:val="28"/>
    </w:rPr>
  </w:style>
  <w:style w:type="paragraph" w:customStyle="1" w:styleId="49">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0">
    <w:name w:val="标题 1 字符"/>
    <w:basedOn w:val="39"/>
    <w:link w:val="4"/>
    <w:qFormat/>
    <w:uiPriority w:val="99"/>
    <w:rPr>
      <w:rFonts w:ascii="Times New Roman" w:hAnsi="Times New Roman" w:eastAsia="宋体" w:cs="Times New Roman"/>
      <w:w w:val="90"/>
      <w:sz w:val="28"/>
      <w:szCs w:val="24"/>
    </w:rPr>
  </w:style>
  <w:style w:type="character" w:customStyle="1" w:styleId="51">
    <w:name w:val="标题 3 字符"/>
    <w:basedOn w:val="39"/>
    <w:link w:val="7"/>
    <w:qFormat/>
    <w:uiPriority w:val="0"/>
    <w:rPr>
      <w:rFonts w:ascii="Times New Roman" w:hAnsi="Times New Roman" w:eastAsia="宋体" w:cs="Times New Roman"/>
      <w:w w:val="90"/>
      <w:sz w:val="28"/>
      <w:szCs w:val="24"/>
    </w:rPr>
  </w:style>
  <w:style w:type="character" w:customStyle="1" w:styleId="52">
    <w:name w:val="标题 4 字符"/>
    <w:basedOn w:val="39"/>
    <w:link w:val="8"/>
    <w:qFormat/>
    <w:uiPriority w:val="0"/>
    <w:rPr>
      <w:rFonts w:ascii="Times New Roman" w:hAnsi="Times New Roman" w:eastAsia="宋体" w:cs="Times New Roman"/>
      <w:sz w:val="28"/>
      <w:szCs w:val="24"/>
    </w:rPr>
  </w:style>
  <w:style w:type="character" w:customStyle="1" w:styleId="53">
    <w:name w:val="标题 7 字符"/>
    <w:basedOn w:val="39"/>
    <w:link w:val="9"/>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9"/>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9"/>
    <w:qFormat/>
    <w:uiPriority w:val="0"/>
  </w:style>
  <w:style w:type="character" w:customStyle="1" w:styleId="58">
    <w:name w:val="style10"/>
    <w:basedOn w:val="39"/>
    <w:qFormat/>
    <w:uiPriority w:val="0"/>
  </w:style>
  <w:style w:type="character" w:customStyle="1" w:styleId="59">
    <w:name w:val="纯文本 字符1"/>
    <w:link w:val="2"/>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字符1"/>
    <w:link w:val="27"/>
    <w:qFormat/>
    <w:uiPriority w:val="0"/>
    <w:rPr>
      <w:sz w:val="24"/>
      <w:szCs w:val="24"/>
    </w:rPr>
  </w:style>
  <w:style w:type="character" w:customStyle="1" w:styleId="63">
    <w:name w:val="正文缩进 字符"/>
    <w:link w:val="6"/>
    <w:qFormat/>
    <w:uiPriority w:val="0"/>
    <w:rPr>
      <w:rFonts w:eastAsia="华文中宋"/>
      <w:w w:val="90"/>
      <w:sz w:val="28"/>
    </w:rPr>
  </w:style>
  <w:style w:type="character" w:customStyle="1" w:styleId="64">
    <w:name w:val="表头 Char"/>
    <w:link w:val="65"/>
    <w:qFormat/>
    <w:locked/>
    <w:uiPriority w:val="0"/>
    <w:rPr>
      <w:rFonts w:ascii="宋体"/>
      <w:sz w:val="28"/>
    </w:rPr>
  </w:style>
  <w:style w:type="paragraph" w:customStyle="1" w:styleId="65">
    <w:name w:val="表头"/>
    <w:basedOn w:val="1"/>
    <w:next w:val="66"/>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字符"/>
    <w:basedOn w:val="39"/>
    <w:link w:val="20"/>
    <w:qFormat/>
    <w:uiPriority w:val="99"/>
    <w:rPr>
      <w:rFonts w:ascii="Times New Roman" w:hAnsi="Times New Roman" w:eastAsia="宋体" w:cs="Times New Roman"/>
      <w:sz w:val="18"/>
      <w:szCs w:val="18"/>
    </w:rPr>
  </w:style>
  <w:style w:type="paragraph" w:customStyle="1" w:styleId="73">
    <w:name w:val="_Style 40"/>
    <w:basedOn w:val="15"/>
    <w:next w:val="17"/>
    <w:qFormat/>
    <w:uiPriority w:val="0"/>
    <w:pPr>
      <w:spacing w:after="120"/>
      <w:ind w:left="420" w:leftChars="200" w:firstLine="210" w:firstLineChars="200"/>
    </w:pPr>
    <w:rPr>
      <w:sz w:val="21"/>
    </w:rPr>
  </w:style>
  <w:style w:type="character" w:customStyle="1" w:styleId="74">
    <w:name w:val="正文文本缩进 2 字符"/>
    <w:basedOn w:val="39"/>
    <w:link w:val="16"/>
    <w:qFormat/>
    <w:uiPriority w:val="0"/>
    <w:rPr>
      <w:rFonts w:ascii="宋体" w:hAnsi="宋体" w:eastAsia="宋体" w:cs="Times New Roman"/>
      <w:sz w:val="28"/>
      <w:szCs w:val="24"/>
    </w:rPr>
  </w:style>
  <w:style w:type="character" w:customStyle="1" w:styleId="75">
    <w:name w:val="批注文字 字符"/>
    <w:basedOn w:val="39"/>
    <w:semiHidden/>
    <w:qFormat/>
    <w:uiPriority w:val="99"/>
    <w:rPr>
      <w:rFonts w:ascii="Times New Roman" w:hAnsi="Times New Roman" w:eastAsia="宋体" w:cs="Times New Roman"/>
      <w:szCs w:val="24"/>
    </w:rPr>
  </w:style>
  <w:style w:type="character" w:customStyle="1" w:styleId="76">
    <w:name w:val="批注主题 字符"/>
    <w:basedOn w:val="75"/>
    <w:link w:val="31"/>
    <w:qFormat/>
    <w:uiPriority w:val="99"/>
    <w:rPr>
      <w:rFonts w:ascii="Times New Roman" w:hAnsi="Times New Roman" w:eastAsia="宋体" w:cs="Times New Roman"/>
      <w:b/>
      <w:bCs/>
      <w:szCs w:val="24"/>
      <w:lang w:val="zh-CN" w:eastAsia="zh-CN"/>
    </w:rPr>
  </w:style>
  <w:style w:type="character" w:customStyle="1" w:styleId="77">
    <w:name w:val="正文文本 2 字符"/>
    <w:basedOn w:val="39"/>
    <w:semiHidden/>
    <w:qFormat/>
    <w:uiPriority w:val="99"/>
    <w:rPr>
      <w:rFonts w:ascii="Times New Roman" w:hAnsi="Times New Roman" w:eastAsia="宋体" w:cs="Times New Roman"/>
      <w:szCs w:val="24"/>
    </w:rPr>
  </w:style>
  <w:style w:type="character" w:customStyle="1" w:styleId="78">
    <w:name w:val="日期 字符"/>
    <w:basedOn w:val="39"/>
    <w:link w:val="19"/>
    <w:qFormat/>
    <w:uiPriority w:val="0"/>
    <w:rPr>
      <w:rFonts w:ascii="Times New Roman" w:hAnsi="Times New Roman" w:eastAsia="楷体_GB2312" w:cs="Times New Roman"/>
      <w:kern w:val="0"/>
      <w:sz w:val="28"/>
      <w:szCs w:val="20"/>
    </w:rPr>
  </w:style>
  <w:style w:type="character" w:customStyle="1" w:styleId="79">
    <w:name w:val="正文文本 字符"/>
    <w:basedOn w:val="39"/>
    <w:link w:val="14"/>
    <w:qFormat/>
    <w:uiPriority w:val="0"/>
    <w:rPr>
      <w:rFonts w:ascii="Times New Roman" w:hAnsi="Times New Roman" w:eastAsia="宋体" w:cs="Times New Roman"/>
      <w:sz w:val="28"/>
      <w:szCs w:val="24"/>
    </w:rPr>
  </w:style>
  <w:style w:type="character" w:customStyle="1" w:styleId="80">
    <w:name w:val="纯文本 字符"/>
    <w:basedOn w:val="39"/>
    <w:qFormat/>
    <w:uiPriority w:val="0"/>
    <w:rPr>
      <w:rFonts w:hAnsi="Courier New" w:cs="Courier New" w:asciiTheme="minorEastAsia"/>
      <w:szCs w:val="24"/>
    </w:rPr>
  </w:style>
  <w:style w:type="character" w:customStyle="1" w:styleId="81">
    <w:name w:val="HTML 预设格式 字符"/>
    <w:basedOn w:val="39"/>
    <w:link w:val="28"/>
    <w:qFormat/>
    <w:uiPriority w:val="0"/>
    <w:rPr>
      <w:rFonts w:ascii="Arial" w:hAnsi="Arial" w:eastAsia="宋体" w:cs="Arial"/>
      <w:kern w:val="0"/>
      <w:szCs w:val="21"/>
    </w:rPr>
  </w:style>
  <w:style w:type="character" w:customStyle="1" w:styleId="82">
    <w:name w:val="文档结构图 字符"/>
    <w:basedOn w:val="39"/>
    <w:semiHidden/>
    <w:qFormat/>
    <w:uiPriority w:val="99"/>
    <w:rPr>
      <w:rFonts w:ascii="Microsoft YaHei UI" w:hAnsi="Times New Roman" w:eastAsia="Microsoft YaHei UI" w:cs="Times New Roman"/>
      <w:sz w:val="18"/>
      <w:szCs w:val="18"/>
    </w:rPr>
  </w:style>
  <w:style w:type="character" w:customStyle="1" w:styleId="83">
    <w:name w:val="正文文本缩进 3 字符"/>
    <w:basedOn w:val="39"/>
    <w:link w:val="26"/>
    <w:qFormat/>
    <w:uiPriority w:val="0"/>
    <w:rPr>
      <w:rFonts w:ascii="Times New Roman" w:hAnsi="Times New Roman" w:eastAsia="宋体" w:cs="Times New Roman"/>
      <w:sz w:val="28"/>
      <w:szCs w:val="24"/>
    </w:rPr>
  </w:style>
  <w:style w:type="character" w:customStyle="1" w:styleId="84">
    <w:name w:val="正文文本 3 字符"/>
    <w:basedOn w:val="39"/>
    <w:link w:val="13"/>
    <w:qFormat/>
    <w:uiPriority w:val="0"/>
    <w:rPr>
      <w:rFonts w:ascii="Times New Roman" w:hAnsi="Times New Roman" w:eastAsia="方正书宋简体" w:cs="Times New Roman"/>
      <w:w w:val="90"/>
      <w:kern w:val="0"/>
      <w:sz w:val="28"/>
      <w:szCs w:val="20"/>
    </w:rPr>
  </w:style>
  <w:style w:type="character" w:customStyle="1" w:styleId="85">
    <w:name w:val="正文文本缩进 字符"/>
    <w:basedOn w:val="39"/>
    <w:link w:val="15"/>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2"/>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6">
    <w:name w:val="默认段落字体 Para Char"/>
    <w:basedOn w:val="1"/>
    <w:qFormat/>
    <w:uiPriority w:val="0"/>
    <w:rPr>
      <w:sz w:val="24"/>
    </w:rPr>
  </w:style>
  <w:style w:type="paragraph" w:customStyle="1" w:styleId="97">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8">
    <w:name w:val="表格文字"/>
    <w:basedOn w:val="1"/>
    <w:link w:val="15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9">
    <w:name w:val="默认段落字体 Para Char Char Char Char"/>
    <w:basedOn w:val="1"/>
    <w:qFormat/>
    <w:uiPriority w:val="99"/>
    <w:rPr>
      <w:sz w:val="24"/>
    </w:rPr>
  </w:style>
  <w:style w:type="paragraph" w:customStyle="1" w:styleId="100">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1">
    <w:name w:val="默认段落字体 Para Char Char Char Char Char Char Char Char Char Char Char Char Char"/>
    <w:basedOn w:val="1"/>
    <w:qFormat/>
    <w:uiPriority w:val="0"/>
    <w:rPr>
      <w:sz w:val="24"/>
    </w:rPr>
  </w:style>
  <w:style w:type="paragraph" w:customStyle="1" w:styleId="102">
    <w:name w:val="Char Char Char Char"/>
    <w:basedOn w:val="1"/>
    <w:qFormat/>
    <w:uiPriority w:val="0"/>
    <w:rPr>
      <w:sz w:val="24"/>
    </w:rPr>
  </w:style>
  <w:style w:type="paragraph" w:customStyle="1" w:styleId="103">
    <w:name w:val="Char1"/>
    <w:basedOn w:val="1"/>
    <w:qFormat/>
    <w:uiPriority w:val="0"/>
    <w:rPr>
      <w:sz w:val="24"/>
    </w:rPr>
  </w:style>
  <w:style w:type="paragraph" w:customStyle="1" w:styleId="104">
    <w:name w:val="Char Char Char Char1"/>
    <w:basedOn w:val="1"/>
    <w:qFormat/>
    <w:uiPriority w:val="0"/>
    <w:rPr>
      <w:sz w:val="24"/>
    </w:rPr>
  </w:style>
  <w:style w:type="paragraph" w:customStyle="1" w:styleId="105">
    <w:name w:val="表格式"/>
    <w:basedOn w:val="25"/>
    <w:qFormat/>
    <w:uiPriority w:val="0"/>
    <w:pPr>
      <w:spacing w:before="156" w:beforeLines="50" w:after="156" w:afterLines="50" w:line="200" w:lineRule="exact"/>
      <w:ind w:left="0" w:firstLine="0" w:firstLineChars="0"/>
      <w:jc w:val="center"/>
    </w:pPr>
    <w:rPr>
      <w:szCs w:val="20"/>
    </w:rPr>
  </w:style>
  <w:style w:type="paragraph" w:customStyle="1" w:styleId="106">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7">
    <w:name w:val="1 Char Char Char Char Char Char Char Char Char Char"/>
    <w:basedOn w:val="1"/>
    <w:qFormat/>
    <w:uiPriority w:val="0"/>
  </w:style>
  <w:style w:type="paragraph" w:customStyle="1" w:styleId="108">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9">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0">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1">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2">
    <w:name w:val="三级标题"/>
    <w:basedOn w:val="1"/>
    <w:next w:val="17"/>
    <w:qFormat/>
    <w:uiPriority w:val="0"/>
    <w:pPr>
      <w:spacing w:line="440" w:lineRule="exact"/>
      <w:jc w:val="center"/>
    </w:pPr>
    <w:rPr>
      <w:w w:val="90"/>
      <w:sz w:val="24"/>
    </w:rPr>
  </w:style>
  <w:style w:type="paragraph" w:customStyle="1" w:styleId="113">
    <w:name w:val="样式35"/>
    <w:basedOn w:val="1"/>
    <w:qFormat/>
    <w:uiPriority w:val="0"/>
    <w:pPr>
      <w:adjustRightInd w:val="0"/>
      <w:spacing w:line="312" w:lineRule="auto"/>
      <w:ind w:firstLine="567"/>
    </w:pPr>
    <w:rPr>
      <w:rFonts w:ascii="宋体"/>
      <w:kern w:val="0"/>
      <w:sz w:val="28"/>
      <w:szCs w:val="20"/>
    </w:rPr>
  </w:style>
  <w:style w:type="paragraph" w:customStyle="1" w:styleId="114">
    <w:name w:val="Char Char Char Char Char Char Char Char2 Char"/>
    <w:basedOn w:val="1"/>
    <w:qFormat/>
    <w:uiPriority w:val="0"/>
    <w:pPr>
      <w:widowControl/>
      <w:spacing w:after="160" w:line="240" w:lineRule="exact"/>
      <w:jc w:val="left"/>
    </w:pPr>
    <w:rPr>
      <w:szCs w:val="20"/>
    </w:rPr>
  </w:style>
  <w:style w:type="paragraph" w:customStyle="1" w:styleId="115">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6">
    <w:name w:val="表名"/>
    <w:basedOn w:val="1"/>
    <w:qFormat/>
    <w:uiPriority w:val="0"/>
    <w:pPr>
      <w:spacing w:line="240" w:lineRule="exact"/>
      <w:jc w:val="center"/>
    </w:pPr>
    <w:rPr>
      <w:rFonts w:ascii="宋体" w:hAnsi="宋体"/>
      <w:b/>
      <w:color w:val="000000"/>
      <w:sz w:val="24"/>
    </w:rPr>
  </w:style>
  <w:style w:type="paragraph" w:customStyle="1" w:styleId="117">
    <w:name w:val="正文001"/>
    <w:basedOn w:val="1"/>
    <w:qFormat/>
    <w:uiPriority w:val="0"/>
    <w:pPr>
      <w:spacing w:before="60" w:line="420" w:lineRule="exact"/>
      <w:ind w:firstLine="482"/>
    </w:pPr>
    <w:rPr>
      <w:sz w:val="24"/>
      <w:szCs w:val="20"/>
    </w:rPr>
  </w:style>
  <w:style w:type="paragraph" w:customStyle="1" w:styleId="118">
    <w:name w:val="1表格"/>
    <w:basedOn w:val="1"/>
    <w:qFormat/>
    <w:uiPriority w:val="0"/>
    <w:pPr>
      <w:snapToGrid w:val="0"/>
      <w:jc w:val="center"/>
      <w:outlineLvl w:val="4"/>
    </w:pPr>
    <w:rPr>
      <w:rFonts w:eastAsia="仿宋_GB2312"/>
    </w:rPr>
  </w:style>
  <w:style w:type="paragraph" w:customStyle="1" w:styleId="119">
    <w:name w:val="1标题2级"/>
    <w:basedOn w:val="1"/>
    <w:qFormat/>
    <w:uiPriority w:val="0"/>
    <w:pPr>
      <w:keepNext/>
      <w:snapToGrid w:val="0"/>
      <w:spacing w:line="420" w:lineRule="auto"/>
      <w:outlineLvl w:val="1"/>
    </w:pPr>
    <w:rPr>
      <w:rFonts w:eastAsia="黑体"/>
      <w:b/>
      <w:sz w:val="28"/>
      <w:szCs w:val="20"/>
    </w:rPr>
  </w:style>
  <w:style w:type="paragraph" w:customStyle="1" w:styleId="120">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2">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4">
    <w:name w:val="表格内文字 Char"/>
    <w:link w:val="125"/>
    <w:qFormat/>
    <w:uiPriority w:val="0"/>
    <w:rPr>
      <w:rFonts w:eastAsia="仿宋_GB2312"/>
      <w:sz w:val="24"/>
      <w:szCs w:val="24"/>
    </w:rPr>
  </w:style>
  <w:style w:type="paragraph" w:customStyle="1" w:styleId="125">
    <w:name w:val="表格内文字"/>
    <w:basedOn w:val="1"/>
    <w:link w:val="124"/>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6">
    <w:name w:val="WPS Plain"/>
    <w:qFormat/>
    <w:uiPriority w:val="0"/>
    <w:rPr>
      <w:rFonts w:ascii="Times New Roman" w:hAnsi="Times New Roman" w:eastAsia="宋体" w:cs="Times New Roman"/>
      <w:kern w:val="0"/>
      <w:sz w:val="24"/>
      <w:szCs w:val="24"/>
      <w:lang w:val="en-US" w:eastAsia="zh-CN" w:bidi="ar-SA"/>
    </w:rPr>
  </w:style>
  <w:style w:type="character" w:customStyle="1" w:styleId="127">
    <w:name w:val="副标题 字符"/>
    <w:basedOn w:val="39"/>
    <w:qFormat/>
    <w:uiPriority w:val="11"/>
    <w:rPr>
      <w:b/>
      <w:bCs/>
      <w:kern w:val="28"/>
      <w:sz w:val="32"/>
      <w:szCs w:val="32"/>
    </w:rPr>
  </w:style>
  <w:style w:type="character" w:customStyle="1" w:styleId="128">
    <w:name w:val="副标题 字符1"/>
    <w:link w:val="24"/>
    <w:qFormat/>
    <w:uiPriority w:val="0"/>
    <w:rPr>
      <w:rFonts w:ascii="Cambria" w:hAnsi="Cambria" w:eastAsia="宋体" w:cs="Times New Roman"/>
      <w:kern w:val="0"/>
      <w:szCs w:val="24"/>
      <w:lang w:val="zh-CN" w:eastAsia="en-US" w:bidi="en-US"/>
    </w:rPr>
  </w:style>
  <w:style w:type="character" w:customStyle="1" w:styleId="129">
    <w:name w:val="批注文字 字符1"/>
    <w:link w:val="12"/>
    <w:qFormat/>
    <w:uiPriority w:val="0"/>
    <w:rPr>
      <w:rFonts w:ascii="Times New Roman" w:hAnsi="Times New Roman" w:eastAsia="宋体" w:cs="Times New Roman"/>
      <w:szCs w:val="24"/>
      <w:lang w:val="zh-CN" w:eastAsia="zh-CN"/>
    </w:rPr>
  </w:style>
  <w:style w:type="character" w:customStyle="1" w:styleId="130">
    <w:name w:val="海尔正文 Char"/>
    <w:link w:val="131"/>
    <w:qFormat/>
    <w:uiPriority w:val="0"/>
    <w:rPr>
      <w:rFonts w:ascii="宋体" w:hAnsi="宋体" w:cs="宋体"/>
      <w:sz w:val="28"/>
    </w:rPr>
  </w:style>
  <w:style w:type="paragraph" w:customStyle="1" w:styleId="131">
    <w:name w:val="海尔正文"/>
    <w:basedOn w:val="1"/>
    <w:link w:val="130"/>
    <w:qFormat/>
    <w:uiPriority w:val="0"/>
    <w:pPr>
      <w:spacing w:line="360" w:lineRule="auto"/>
      <w:ind w:firstLine="560" w:firstLineChars="200"/>
    </w:pPr>
    <w:rPr>
      <w:rFonts w:ascii="宋体" w:hAnsi="宋体" w:cs="宋体" w:eastAsiaTheme="minorEastAsia"/>
      <w:sz w:val="28"/>
      <w:szCs w:val="22"/>
    </w:rPr>
  </w:style>
  <w:style w:type="paragraph" w:customStyle="1" w:styleId="132">
    <w:name w:val="海尔标题3 + 加粗"/>
    <w:basedOn w:val="131"/>
    <w:qFormat/>
    <w:uiPriority w:val="0"/>
    <w:pPr>
      <w:ind w:firstLine="0" w:firstLineChars="0"/>
    </w:pPr>
    <w:rPr>
      <w:rFonts w:eastAsia="黑体"/>
      <w:b/>
      <w:bCs/>
    </w:rPr>
  </w:style>
  <w:style w:type="paragraph" w:customStyle="1" w:styleId="133">
    <w:name w:val="海尔标题2"/>
    <w:basedOn w:val="5"/>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4">
    <w:name w:val="正文（首行缩进2字） Char1"/>
    <w:link w:val="135"/>
    <w:qFormat/>
    <w:uiPriority w:val="0"/>
    <w:rPr>
      <w:sz w:val="24"/>
      <w:szCs w:val="30"/>
    </w:rPr>
  </w:style>
  <w:style w:type="paragraph" w:customStyle="1" w:styleId="135">
    <w:name w:val="正文（首行缩进2字）"/>
    <w:basedOn w:val="1"/>
    <w:link w:val="134"/>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6">
    <w:name w:val="1正文段落"/>
    <w:basedOn w:val="1"/>
    <w:link w:val="137"/>
    <w:qFormat/>
    <w:uiPriority w:val="0"/>
    <w:pPr>
      <w:spacing w:line="360" w:lineRule="auto"/>
      <w:ind w:firstLine="480" w:firstLineChars="200"/>
      <w:jc w:val="left"/>
    </w:pPr>
    <w:rPr>
      <w:snapToGrid w:val="0"/>
      <w:kern w:val="0"/>
      <w:sz w:val="24"/>
      <w:lang w:val="zh-CN" w:eastAsia="zh-CN"/>
    </w:rPr>
  </w:style>
  <w:style w:type="character" w:customStyle="1" w:styleId="137">
    <w:name w:val="1正文段落 Char"/>
    <w:link w:val="136"/>
    <w:qFormat/>
    <w:uiPriority w:val="0"/>
    <w:rPr>
      <w:rFonts w:ascii="Times New Roman" w:hAnsi="Times New Roman" w:eastAsia="宋体" w:cs="Times New Roman"/>
      <w:snapToGrid w:val="0"/>
      <w:kern w:val="0"/>
      <w:sz w:val="24"/>
      <w:szCs w:val="24"/>
      <w:lang w:val="zh-CN" w:eastAsia="zh-CN"/>
    </w:rPr>
  </w:style>
  <w:style w:type="paragraph" w:customStyle="1" w:styleId="138">
    <w:name w:val="表内文字小10"/>
    <w:basedOn w:val="1"/>
    <w:qFormat/>
    <w:uiPriority w:val="0"/>
    <w:pPr>
      <w:adjustRightInd w:val="0"/>
      <w:snapToGrid w:val="0"/>
      <w:jc w:val="center"/>
    </w:pPr>
    <w:rPr>
      <w:bCs/>
      <w:color w:val="003366"/>
      <w:szCs w:val="20"/>
    </w:rPr>
  </w:style>
  <w:style w:type="paragraph" w:customStyle="1" w:styleId="139">
    <w:name w:val="表格内容自定"/>
    <w:basedOn w:val="1"/>
    <w:qFormat/>
    <w:uiPriority w:val="0"/>
    <w:pPr>
      <w:spacing w:line="280" w:lineRule="exact"/>
      <w:jc w:val="center"/>
    </w:pPr>
    <w:rPr>
      <w:kern w:val="0"/>
      <w:sz w:val="18"/>
      <w:szCs w:val="21"/>
    </w:rPr>
  </w:style>
  <w:style w:type="paragraph" w:customStyle="1" w:styleId="140">
    <w:name w:val="表格内容"/>
    <w:basedOn w:val="1"/>
    <w:link w:val="141"/>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1">
    <w:name w:val="表格内容 Char"/>
    <w:link w:val="140"/>
    <w:qFormat/>
    <w:uiPriority w:val="0"/>
    <w:rPr>
      <w:rFonts w:ascii="Arial" w:hAnsi="Arial" w:eastAsia="仿宋_GB2312" w:cs="Times New Roman"/>
      <w:kern w:val="0"/>
      <w:sz w:val="24"/>
      <w:szCs w:val="20"/>
      <w:lang w:val="zh-CN" w:eastAsia="zh-CN"/>
    </w:rPr>
  </w:style>
  <w:style w:type="character" w:customStyle="1" w:styleId="142">
    <w:name w:val="z101"/>
    <w:qFormat/>
    <w:uiPriority w:val="0"/>
    <w:rPr>
      <w:color w:val="000000"/>
      <w:sz w:val="21"/>
      <w:szCs w:val="21"/>
    </w:rPr>
  </w:style>
  <w:style w:type="paragraph" w:customStyle="1" w:styleId="14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4">
    <w:name w:val="文档结构图 字符1"/>
    <w:link w:val="11"/>
    <w:qFormat/>
    <w:uiPriority w:val="0"/>
    <w:rPr>
      <w:rFonts w:ascii="Times New Roman" w:hAnsi="Times New Roman" w:eastAsia="宋体" w:cs="Times New Roman"/>
      <w:szCs w:val="24"/>
      <w:shd w:val="clear" w:color="auto" w:fill="000080"/>
      <w:lang w:val="zh-CN" w:eastAsia="zh-CN"/>
    </w:rPr>
  </w:style>
  <w:style w:type="character" w:customStyle="1" w:styleId="145">
    <w:name w:val="正文文本首行缩进 字符"/>
    <w:basedOn w:val="79"/>
    <w:link w:val="32"/>
    <w:semiHidden/>
    <w:qFormat/>
    <w:uiPriority w:val="99"/>
    <w:rPr>
      <w:rFonts w:ascii="Times New Roman" w:hAnsi="Times New Roman" w:eastAsia="宋体" w:cs="Times New Roman"/>
      <w:sz w:val="28"/>
      <w:szCs w:val="24"/>
    </w:rPr>
  </w:style>
  <w:style w:type="character" w:customStyle="1" w:styleId="146">
    <w:name w:val="正文文本首行缩进 2 字符"/>
    <w:basedOn w:val="85"/>
    <w:link w:val="17"/>
    <w:semiHidden/>
    <w:qFormat/>
    <w:uiPriority w:val="99"/>
    <w:rPr>
      <w:rFonts w:ascii="Times New Roman" w:hAnsi="Times New Roman" w:eastAsia="宋体" w:cs="Times New Roman"/>
      <w:sz w:val="28"/>
      <w:szCs w:val="24"/>
    </w:rPr>
  </w:style>
  <w:style w:type="paragraph" w:styleId="147">
    <w:name w:val="List Paragraph"/>
    <w:basedOn w:val="1"/>
    <w:qFormat/>
    <w:uiPriority w:val="34"/>
    <w:pPr>
      <w:ind w:firstLine="420" w:firstLineChars="200"/>
    </w:pPr>
  </w:style>
  <w:style w:type="character" w:customStyle="1" w:styleId="148">
    <w:name w:val="样式23 Char Char"/>
    <w:link w:val="149"/>
    <w:qFormat/>
    <w:uiPriority w:val="0"/>
    <w:rPr>
      <w:rFonts w:ascii="宋体" w:hAnsi="宋体"/>
      <w:color w:val="000000"/>
      <w:sz w:val="24"/>
      <w:szCs w:val="24"/>
    </w:rPr>
  </w:style>
  <w:style w:type="paragraph" w:customStyle="1" w:styleId="149">
    <w:name w:val="样式23"/>
    <w:basedOn w:val="1"/>
    <w:link w:val="148"/>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0">
    <w:name w:val="标题 2 Char"/>
    <w:qFormat/>
    <w:uiPriority w:val="0"/>
    <w:rPr>
      <w:rFonts w:ascii="宋体" w:hAnsi="宋体" w:eastAsia="宋体"/>
      <w:b/>
      <w:bCs/>
      <w:kern w:val="2"/>
      <w:sz w:val="32"/>
      <w:szCs w:val="32"/>
    </w:rPr>
  </w:style>
  <w:style w:type="character" w:customStyle="1" w:styleId="151">
    <w:name w:val="正文01 Char"/>
    <w:link w:val="152"/>
    <w:qFormat/>
    <w:uiPriority w:val="0"/>
    <w:rPr>
      <w:rFonts w:eastAsia="宋体"/>
      <w:sz w:val="24"/>
    </w:rPr>
  </w:style>
  <w:style w:type="paragraph" w:customStyle="1" w:styleId="152">
    <w:name w:val="正文01"/>
    <w:basedOn w:val="6"/>
    <w:link w:val="151"/>
    <w:qFormat/>
    <w:uiPriority w:val="0"/>
    <w:pPr>
      <w:widowControl w:val="0"/>
      <w:spacing w:line="360" w:lineRule="auto"/>
      <w:ind w:firstLine="480" w:firstLineChars="200"/>
      <w:jc w:val="both"/>
    </w:pPr>
    <w:rPr>
      <w:rFonts w:eastAsia="宋体"/>
      <w:w w:val="100"/>
      <w:sz w:val="24"/>
    </w:rPr>
  </w:style>
  <w:style w:type="table" w:customStyle="1" w:styleId="153">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4">
    <w:name w:val="表样式1"/>
    <w:basedOn w:val="1"/>
    <w:qFormat/>
    <w:uiPriority w:val="0"/>
    <w:pPr>
      <w:snapToGrid w:val="0"/>
      <w:jc w:val="center"/>
    </w:pPr>
    <w:rPr>
      <w:rFonts w:ascii="Calibri" w:hAnsi="Calibri"/>
      <w:color w:val="000000"/>
      <w:szCs w:val="21"/>
    </w:rPr>
  </w:style>
  <w:style w:type="character" w:customStyle="1" w:styleId="155">
    <w:name w:val="表格文字 Char"/>
    <w:link w:val="98"/>
    <w:qFormat/>
    <w:locked/>
    <w:uiPriority w:val="0"/>
    <w:rPr>
      <w:rFonts w:ascii="Times New Roman" w:hAnsi="Times New Roman" w:eastAsia="仿宋_GB2312" w:cs="Times New Roman"/>
      <w:kern w:val="0"/>
      <w:sz w:val="24"/>
      <w:szCs w:val="20"/>
    </w:rPr>
  </w:style>
  <w:style w:type="table" w:customStyle="1" w:styleId="156">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7">
    <w:name w:val="浅色底纹1"/>
    <w:basedOn w:val="33"/>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8">
    <w:name w:val="浅色底纹 - 强调文字颜色 11"/>
    <w:basedOn w:val="33"/>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9">
    <w:name w:val="font21"/>
    <w:basedOn w:val="39"/>
    <w:qFormat/>
    <w:uiPriority w:val="0"/>
    <w:rPr>
      <w:rFonts w:hint="eastAsia" w:ascii="等线" w:hAnsi="等线" w:eastAsia="等线" w:cs="等线"/>
      <w:color w:val="000000"/>
      <w:sz w:val="20"/>
      <w:szCs w:val="20"/>
      <w:u w:val="none"/>
    </w:rPr>
  </w:style>
  <w:style w:type="character" w:customStyle="1" w:styleId="160">
    <w:name w:val="font01"/>
    <w:basedOn w:val="39"/>
    <w:qFormat/>
    <w:uiPriority w:val="0"/>
    <w:rPr>
      <w:rFonts w:hint="eastAsia" w:ascii="等线" w:hAnsi="等线" w:eastAsia="等线" w:cs="等线"/>
      <w:color w:val="000000"/>
      <w:sz w:val="20"/>
      <w:szCs w:val="20"/>
      <w:u w:val="none"/>
      <w:vertAlign w:val="subscript"/>
    </w:rPr>
  </w:style>
  <w:style w:type="character" w:customStyle="1" w:styleId="161">
    <w:name w:val="font11"/>
    <w:basedOn w:val="39"/>
    <w:qFormat/>
    <w:uiPriority w:val="0"/>
    <w:rPr>
      <w:rFonts w:hint="eastAsia" w:ascii="等线" w:hAnsi="等线" w:eastAsia="等线" w:cs="等线"/>
      <w:color w:val="000000"/>
      <w:sz w:val="22"/>
      <w:szCs w:val="22"/>
      <w:u w:val="none"/>
    </w:rPr>
  </w:style>
  <w:style w:type="paragraph" w:customStyle="1" w:styleId="162">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3">
    <w:name w:val="报告1"/>
    <w:basedOn w:val="1"/>
    <w:qFormat/>
    <w:uiPriority w:val="0"/>
    <w:pPr>
      <w:adjustRightInd w:val="0"/>
      <w:spacing w:line="360" w:lineRule="auto"/>
      <w:ind w:firstLine="505"/>
      <w:jc w:val="left"/>
      <w:textAlignment w:val="baseline"/>
    </w:pPr>
    <w:rPr>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2</TotalTime>
  <ScaleCrop>false</ScaleCrop>
  <LinksUpToDate>false</LinksUpToDate>
  <CharactersWithSpaces>18983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WPS_1591236775</cp:lastModifiedBy>
  <cp:lastPrinted>2019-09-21T09:22:00Z</cp:lastPrinted>
  <dcterms:modified xsi:type="dcterms:W3CDTF">2020-08-20T01:50:45Z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