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ascii="Times New Roman" w:hAnsi="Times New Roman" w:eastAsia="宋体"/>
          <w:color w:val="auto"/>
        </w:rPr>
      </w:pPr>
      <w:r>
        <w:rPr>
          <w:rFonts w:ascii="Times New Roman" w:hAnsi="Times New Roman" w:eastAsia="宋体"/>
          <w:color w:val="auto"/>
        </w:rPr>
        <w:t>建设项目基本情况</w:t>
      </w:r>
    </w:p>
    <w:tbl>
      <w:tblPr>
        <w:tblStyle w:val="22"/>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2"/>
        <w:gridCol w:w="974"/>
        <w:gridCol w:w="2265"/>
        <w:gridCol w:w="1684"/>
        <w:gridCol w:w="1449"/>
        <w:gridCol w:w="1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82" w:type="dxa"/>
            <w:vAlign w:val="center"/>
          </w:tcPr>
          <w:p>
            <w:pPr>
              <w:jc w:val="center"/>
              <w:rPr>
                <w:rFonts w:ascii="Times New Roman" w:hAnsi="Times New Roman" w:eastAsia="宋体"/>
                <w:b/>
                <w:color w:val="auto"/>
                <w:sz w:val="24"/>
                <w:szCs w:val="24"/>
              </w:rPr>
            </w:pPr>
            <w:r>
              <w:rPr>
                <w:rFonts w:ascii="Times New Roman" w:hAnsi="Times New Roman" w:eastAsia="宋体"/>
                <w:b/>
                <w:color w:val="auto"/>
                <w:sz w:val="24"/>
                <w:szCs w:val="24"/>
              </w:rPr>
              <w:t>项目名称</w:t>
            </w:r>
          </w:p>
        </w:tc>
        <w:tc>
          <w:tcPr>
            <w:tcW w:w="7460" w:type="dxa"/>
            <w:gridSpan w:val="5"/>
            <w:vAlign w:val="center"/>
          </w:tcPr>
          <w:p>
            <w:pPr>
              <w:jc w:val="center"/>
              <w:rPr>
                <w:rFonts w:ascii="Times New Roman" w:hAnsi="Times New Roman" w:eastAsia="宋体"/>
                <w:color w:val="auto"/>
                <w:sz w:val="24"/>
                <w:szCs w:val="24"/>
              </w:rPr>
            </w:pPr>
            <w:r>
              <w:rPr>
                <w:rFonts w:hint="eastAsia" w:ascii="Times New Roman" w:hAnsi="Times New Roman" w:eastAsia="宋体"/>
                <w:color w:val="auto"/>
                <w:sz w:val="24"/>
                <w:szCs w:val="24"/>
              </w:rPr>
              <w:t>新增大管整理线车间工程项目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82" w:type="dxa"/>
            <w:vAlign w:val="center"/>
          </w:tcPr>
          <w:p>
            <w:pPr>
              <w:jc w:val="center"/>
              <w:rPr>
                <w:rFonts w:ascii="Times New Roman" w:hAnsi="Times New Roman" w:eastAsia="宋体"/>
                <w:b/>
                <w:color w:val="auto"/>
                <w:sz w:val="24"/>
                <w:szCs w:val="24"/>
              </w:rPr>
            </w:pPr>
            <w:r>
              <w:rPr>
                <w:rFonts w:ascii="Times New Roman" w:hAnsi="Times New Roman" w:eastAsia="宋体"/>
                <w:b/>
                <w:color w:val="auto"/>
                <w:sz w:val="24"/>
                <w:szCs w:val="24"/>
              </w:rPr>
              <w:t>建设单位</w:t>
            </w:r>
          </w:p>
        </w:tc>
        <w:tc>
          <w:tcPr>
            <w:tcW w:w="7460" w:type="dxa"/>
            <w:gridSpan w:val="5"/>
            <w:vAlign w:val="center"/>
          </w:tcPr>
          <w:p>
            <w:pPr>
              <w:jc w:val="center"/>
              <w:rPr>
                <w:rFonts w:ascii="Times New Roman" w:hAnsi="Times New Roman" w:eastAsia="宋体"/>
                <w:color w:val="auto"/>
                <w:sz w:val="24"/>
                <w:szCs w:val="24"/>
              </w:rPr>
            </w:pPr>
            <w:r>
              <w:rPr>
                <w:rFonts w:ascii="Times New Roman" w:hAnsi="Times New Roman" w:eastAsia="宋体"/>
                <w:color w:val="auto"/>
                <w:sz w:val="24"/>
                <w:szCs w:val="24"/>
              </w:rPr>
              <w:t>芜湖新兴铸管有限责任公司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82" w:type="dxa"/>
            <w:vAlign w:val="center"/>
          </w:tcPr>
          <w:p>
            <w:pPr>
              <w:jc w:val="center"/>
              <w:rPr>
                <w:rFonts w:ascii="Times New Roman" w:hAnsi="Times New Roman" w:eastAsia="宋体"/>
                <w:b/>
                <w:color w:val="auto"/>
                <w:sz w:val="24"/>
                <w:szCs w:val="24"/>
              </w:rPr>
            </w:pPr>
            <w:r>
              <w:rPr>
                <w:rFonts w:ascii="Times New Roman" w:hAnsi="Times New Roman" w:eastAsia="宋体"/>
                <w:b/>
                <w:color w:val="auto"/>
                <w:sz w:val="24"/>
                <w:szCs w:val="24"/>
              </w:rPr>
              <w:t>法人代表</w:t>
            </w:r>
          </w:p>
        </w:tc>
        <w:tc>
          <w:tcPr>
            <w:tcW w:w="3239" w:type="dxa"/>
            <w:gridSpan w:val="2"/>
            <w:vAlign w:val="center"/>
          </w:tcPr>
          <w:p>
            <w:pPr>
              <w:jc w:val="center"/>
              <w:rPr>
                <w:rFonts w:ascii="Times New Roman" w:hAnsi="Times New Roman" w:eastAsia="宋体"/>
                <w:color w:val="auto"/>
                <w:sz w:val="24"/>
                <w:szCs w:val="24"/>
              </w:rPr>
            </w:pPr>
            <w:r>
              <w:rPr>
                <w:rFonts w:ascii="Times New Roman" w:hAnsi="Times New Roman" w:eastAsia="宋体"/>
                <w:color w:val="auto"/>
                <w:sz w:val="24"/>
                <w:szCs w:val="24"/>
              </w:rPr>
              <w:t>刘涛</w:t>
            </w:r>
          </w:p>
        </w:tc>
        <w:tc>
          <w:tcPr>
            <w:tcW w:w="1684" w:type="dxa"/>
            <w:vAlign w:val="center"/>
          </w:tcPr>
          <w:p>
            <w:pPr>
              <w:jc w:val="center"/>
              <w:rPr>
                <w:rFonts w:ascii="Times New Roman" w:hAnsi="Times New Roman" w:eastAsia="宋体"/>
                <w:b/>
                <w:color w:val="auto"/>
                <w:sz w:val="24"/>
                <w:szCs w:val="24"/>
              </w:rPr>
            </w:pPr>
            <w:r>
              <w:rPr>
                <w:rFonts w:ascii="Times New Roman" w:hAnsi="Times New Roman" w:eastAsia="宋体"/>
                <w:b/>
                <w:color w:val="auto"/>
                <w:sz w:val="24"/>
                <w:szCs w:val="24"/>
              </w:rPr>
              <w:t>联系人</w:t>
            </w:r>
          </w:p>
        </w:tc>
        <w:tc>
          <w:tcPr>
            <w:tcW w:w="2537" w:type="dxa"/>
            <w:gridSpan w:val="2"/>
            <w:vAlign w:val="center"/>
          </w:tcPr>
          <w:p>
            <w:pPr>
              <w:jc w:val="center"/>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郑</w:t>
            </w:r>
            <w:r>
              <w:rPr>
                <w:rFonts w:hint="eastAsia" w:ascii="Times New Roman" w:hAnsi="Times New Roman" w:eastAsia="宋体"/>
                <w:color w:val="auto"/>
                <w:sz w:val="24"/>
                <w:szCs w:val="24"/>
                <w:lang w:val="en-US" w:eastAsia="zh-CN"/>
              </w:rPr>
              <w:t>朝阳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exact"/>
          <w:jc w:val="center"/>
        </w:trPr>
        <w:tc>
          <w:tcPr>
            <w:tcW w:w="1782" w:type="dxa"/>
            <w:vAlign w:val="center"/>
          </w:tcPr>
          <w:p>
            <w:pPr>
              <w:jc w:val="center"/>
              <w:rPr>
                <w:rFonts w:ascii="Times New Roman" w:hAnsi="Times New Roman" w:eastAsia="宋体"/>
                <w:b/>
                <w:color w:val="auto"/>
                <w:sz w:val="24"/>
                <w:szCs w:val="24"/>
              </w:rPr>
            </w:pPr>
            <w:r>
              <w:rPr>
                <w:rFonts w:ascii="Times New Roman" w:hAnsi="Times New Roman" w:eastAsia="宋体"/>
                <w:b/>
                <w:color w:val="auto"/>
                <w:sz w:val="24"/>
                <w:szCs w:val="24"/>
              </w:rPr>
              <w:t>通讯地址</w:t>
            </w:r>
          </w:p>
        </w:tc>
        <w:tc>
          <w:tcPr>
            <w:tcW w:w="3239" w:type="dxa"/>
            <w:gridSpan w:val="2"/>
            <w:vAlign w:val="center"/>
          </w:tcPr>
          <w:p>
            <w:pPr>
              <w:jc w:val="center"/>
              <w:rPr>
                <w:rFonts w:ascii="Times New Roman" w:hAnsi="Times New Roman" w:eastAsia="宋体"/>
                <w:color w:val="auto"/>
                <w:sz w:val="24"/>
                <w:szCs w:val="24"/>
              </w:rPr>
            </w:pPr>
            <w:r>
              <w:rPr>
                <w:rFonts w:ascii="Times New Roman" w:hAnsi="Times New Roman" w:eastAsia="宋体"/>
                <w:color w:val="auto"/>
                <w:sz w:val="24"/>
                <w:szCs w:val="24"/>
              </w:rPr>
              <w:t>芜湖市三山区春洲路2号</w:t>
            </w:r>
          </w:p>
        </w:tc>
        <w:tc>
          <w:tcPr>
            <w:tcW w:w="1684" w:type="dxa"/>
            <w:vAlign w:val="center"/>
          </w:tcPr>
          <w:p>
            <w:pPr>
              <w:jc w:val="center"/>
              <w:rPr>
                <w:rFonts w:ascii="Times New Roman" w:hAnsi="Times New Roman" w:eastAsia="宋体"/>
                <w:b/>
                <w:color w:val="auto"/>
                <w:sz w:val="24"/>
                <w:szCs w:val="24"/>
              </w:rPr>
            </w:pPr>
            <w:r>
              <w:rPr>
                <w:rFonts w:ascii="Times New Roman" w:hAnsi="Times New Roman" w:eastAsia="宋体"/>
                <w:b/>
                <w:color w:val="auto"/>
                <w:sz w:val="24"/>
                <w:szCs w:val="24"/>
              </w:rPr>
              <w:t>邮政编码</w:t>
            </w:r>
          </w:p>
        </w:tc>
        <w:tc>
          <w:tcPr>
            <w:tcW w:w="2537" w:type="dxa"/>
            <w:gridSpan w:val="2"/>
            <w:vAlign w:val="center"/>
          </w:tcPr>
          <w:p>
            <w:pPr>
              <w:jc w:val="center"/>
              <w:rPr>
                <w:rFonts w:ascii="Times New Roman" w:hAnsi="Times New Roman" w:eastAsia="宋体"/>
                <w:color w:val="auto"/>
                <w:sz w:val="24"/>
                <w:szCs w:val="24"/>
                <w:highlight w:val="yellow"/>
              </w:rPr>
            </w:pPr>
            <w:r>
              <w:rPr>
                <w:rFonts w:ascii="Times New Roman" w:hAnsi="Times New Roman" w:eastAsia="宋体"/>
                <w:color w:val="auto"/>
                <w:sz w:val="24"/>
                <w:szCs w:val="24"/>
              </w:rPr>
              <w:t>241000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1782" w:type="dxa"/>
            <w:vAlign w:val="center"/>
          </w:tcPr>
          <w:p>
            <w:pPr>
              <w:jc w:val="center"/>
              <w:rPr>
                <w:rFonts w:ascii="Times New Roman" w:hAnsi="Times New Roman" w:eastAsia="宋体"/>
                <w:b/>
                <w:color w:val="auto"/>
                <w:sz w:val="24"/>
                <w:szCs w:val="24"/>
              </w:rPr>
            </w:pPr>
            <w:r>
              <w:rPr>
                <w:rFonts w:ascii="Times New Roman" w:hAnsi="Times New Roman" w:eastAsia="宋体"/>
                <w:b/>
                <w:color w:val="auto"/>
                <w:sz w:val="24"/>
                <w:szCs w:val="24"/>
              </w:rPr>
              <w:t>联系电话</w:t>
            </w:r>
          </w:p>
        </w:tc>
        <w:tc>
          <w:tcPr>
            <w:tcW w:w="3239" w:type="dxa"/>
            <w:gridSpan w:val="2"/>
            <w:vAlign w:val="center"/>
          </w:tcPr>
          <w:p>
            <w:pPr>
              <w:jc w:val="center"/>
              <w:rPr>
                <w:rFonts w:ascii="Times New Roman" w:hAnsi="Times New Roman" w:eastAsia="宋体"/>
                <w:color w:val="auto"/>
                <w:sz w:val="24"/>
                <w:szCs w:val="24"/>
              </w:rPr>
            </w:pPr>
            <w:r>
              <w:rPr>
                <w:rFonts w:ascii="Times New Roman" w:hAnsi="Times New Roman" w:eastAsia="宋体"/>
                <w:color w:val="auto"/>
                <w:sz w:val="24"/>
                <w:szCs w:val="24"/>
              </w:rPr>
              <w:t>13004066207</w:t>
            </w:r>
          </w:p>
        </w:tc>
        <w:tc>
          <w:tcPr>
            <w:tcW w:w="1684" w:type="dxa"/>
            <w:vAlign w:val="center"/>
          </w:tcPr>
          <w:p>
            <w:pPr>
              <w:jc w:val="center"/>
              <w:rPr>
                <w:rFonts w:ascii="Times New Roman" w:hAnsi="Times New Roman" w:eastAsia="宋体"/>
                <w:b/>
                <w:color w:val="auto"/>
                <w:sz w:val="24"/>
                <w:szCs w:val="24"/>
              </w:rPr>
            </w:pPr>
            <w:r>
              <w:rPr>
                <w:rFonts w:ascii="Times New Roman" w:hAnsi="Times New Roman" w:eastAsia="宋体"/>
                <w:b/>
                <w:color w:val="auto"/>
                <w:sz w:val="24"/>
                <w:szCs w:val="24"/>
              </w:rPr>
              <w:t>传真</w:t>
            </w:r>
          </w:p>
        </w:tc>
        <w:tc>
          <w:tcPr>
            <w:tcW w:w="2537" w:type="dxa"/>
            <w:gridSpan w:val="2"/>
            <w:vAlign w:val="center"/>
          </w:tcPr>
          <w:p>
            <w:pPr>
              <w:jc w:val="center"/>
              <w:rPr>
                <w:rFonts w:ascii="Times New Roman" w:hAnsi="Times New Roman" w:eastAsia="宋体"/>
                <w:color w:val="auto"/>
                <w:sz w:val="24"/>
                <w:szCs w:val="24"/>
              </w:rPr>
            </w:pPr>
            <w:r>
              <w:rPr>
                <w:rFonts w:ascii="Times New Roman" w:hAnsi="Times New Roman" w:eastAsia="宋体"/>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1782" w:type="dxa"/>
            <w:vAlign w:val="center"/>
          </w:tcPr>
          <w:p>
            <w:pPr>
              <w:jc w:val="center"/>
              <w:rPr>
                <w:rFonts w:ascii="Times New Roman" w:hAnsi="Times New Roman" w:eastAsia="宋体"/>
                <w:b/>
                <w:color w:val="auto"/>
                <w:sz w:val="24"/>
                <w:szCs w:val="24"/>
              </w:rPr>
            </w:pPr>
            <w:r>
              <w:rPr>
                <w:rFonts w:ascii="Times New Roman" w:hAnsi="Times New Roman" w:eastAsia="宋体"/>
                <w:b/>
                <w:color w:val="auto"/>
                <w:sz w:val="24"/>
                <w:szCs w:val="24"/>
              </w:rPr>
              <w:t>建设地点</w:t>
            </w:r>
          </w:p>
        </w:tc>
        <w:tc>
          <w:tcPr>
            <w:tcW w:w="7460" w:type="dxa"/>
            <w:gridSpan w:val="5"/>
            <w:vAlign w:val="center"/>
          </w:tcPr>
          <w:p>
            <w:pPr>
              <w:jc w:val="center"/>
              <w:rPr>
                <w:rFonts w:ascii="Times New Roman" w:hAnsi="Times New Roman" w:eastAsia="宋体"/>
                <w:color w:val="auto"/>
                <w:sz w:val="24"/>
                <w:szCs w:val="24"/>
              </w:rPr>
            </w:pPr>
            <w:r>
              <w:rPr>
                <w:rFonts w:hint="eastAsia" w:ascii="Times New Roman" w:hAnsi="Times New Roman" w:eastAsia="宋体"/>
                <w:color w:val="auto"/>
                <w:sz w:val="24"/>
                <w:szCs w:val="24"/>
              </w:rPr>
              <w:t>芜湖市三山区春洲路2号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exact"/>
          <w:jc w:val="center"/>
        </w:trPr>
        <w:tc>
          <w:tcPr>
            <w:tcW w:w="1782" w:type="dxa"/>
            <w:vAlign w:val="center"/>
          </w:tcPr>
          <w:p>
            <w:pPr>
              <w:jc w:val="center"/>
              <w:rPr>
                <w:rFonts w:ascii="Times New Roman" w:hAnsi="Times New Roman" w:eastAsia="宋体"/>
                <w:b/>
                <w:color w:val="auto"/>
                <w:sz w:val="24"/>
                <w:szCs w:val="24"/>
              </w:rPr>
            </w:pPr>
            <w:r>
              <w:rPr>
                <w:rFonts w:ascii="Times New Roman" w:hAnsi="Times New Roman" w:eastAsia="宋体"/>
                <w:b/>
                <w:color w:val="auto"/>
                <w:sz w:val="24"/>
                <w:szCs w:val="24"/>
              </w:rPr>
              <w:t>立项审批部门</w:t>
            </w:r>
          </w:p>
        </w:tc>
        <w:tc>
          <w:tcPr>
            <w:tcW w:w="3239" w:type="dxa"/>
            <w:gridSpan w:val="2"/>
            <w:vAlign w:val="center"/>
          </w:tcPr>
          <w:p>
            <w:pPr>
              <w:jc w:val="center"/>
              <w:rPr>
                <w:rFonts w:ascii="Times New Roman" w:hAnsi="Times New Roman" w:eastAsia="宋体"/>
                <w:color w:val="auto"/>
                <w:sz w:val="24"/>
                <w:szCs w:val="24"/>
              </w:rPr>
            </w:pPr>
            <w:r>
              <w:rPr>
                <w:rFonts w:ascii="Times New Roman" w:hAnsi="Times New Roman" w:eastAsia="宋体"/>
                <w:color w:val="auto"/>
                <w:sz w:val="24"/>
              </w:rPr>
              <w:t>芜湖市三山区经济和信息化局</w:t>
            </w:r>
          </w:p>
        </w:tc>
        <w:tc>
          <w:tcPr>
            <w:tcW w:w="1684" w:type="dxa"/>
            <w:vAlign w:val="center"/>
          </w:tcPr>
          <w:p>
            <w:pPr>
              <w:jc w:val="center"/>
              <w:rPr>
                <w:rFonts w:ascii="Times New Roman" w:hAnsi="Times New Roman" w:eastAsia="宋体"/>
                <w:b/>
                <w:color w:val="auto"/>
                <w:sz w:val="24"/>
                <w:szCs w:val="24"/>
              </w:rPr>
            </w:pPr>
            <w:r>
              <w:rPr>
                <w:rFonts w:ascii="Times New Roman" w:hAnsi="Times New Roman" w:eastAsia="宋体"/>
                <w:b/>
                <w:color w:val="auto"/>
                <w:sz w:val="24"/>
                <w:szCs w:val="24"/>
              </w:rPr>
              <w:t>批准文号</w:t>
            </w:r>
          </w:p>
        </w:tc>
        <w:tc>
          <w:tcPr>
            <w:tcW w:w="2537" w:type="dxa"/>
            <w:gridSpan w:val="2"/>
            <w:vAlign w:val="center"/>
          </w:tcPr>
          <w:p>
            <w:pPr>
              <w:jc w:val="center"/>
              <w:rPr>
                <w:rFonts w:ascii="Times New Roman" w:hAnsi="Times New Roman" w:eastAsia="宋体"/>
                <w:color w:val="auto"/>
                <w:sz w:val="24"/>
                <w:szCs w:val="24"/>
              </w:rPr>
            </w:pPr>
            <w:r>
              <w:rPr>
                <w:rFonts w:hint="eastAsia" w:ascii="Times New Roman" w:hAnsi="Times New Roman" w:eastAsia="宋体"/>
                <w:color w:val="auto"/>
                <w:sz w:val="24"/>
                <w:szCs w:val="24"/>
              </w:rPr>
              <w:t>三经信【20</w:t>
            </w:r>
            <w:r>
              <w:rPr>
                <w:rFonts w:hint="eastAsia" w:ascii="Times New Roman" w:hAnsi="Times New Roman" w:eastAsia="宋体"/>
                <w:color w:val="auto"/>
                <w:sz w:val="24"/>
                <w:szCs w:val="24"/>
                <w:lang w:val="en-US" w:eastAsia="zh-CN"/>
              </w:rPr>
              <w:t>20</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69</w:t>
            </w:r>
            <w:r>
              <w:rPr>
                <w:rFonts w:hint="eastAsia" w:ascii="Times New Roman" w:hAnsi="Times New Roman" w:eastAsia="宋体"/>
                <w:color w:val="auto"/>
                <w:sz w:val="24"/>
                <w:szCs w:val="24"/>
              </w:rPr>
              <w:t>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1782" w:type="dxa"/>
            <w:vAlign w:val="center"/>
          </w:tcPr>
          <w:p>
            <w:pPr>
              <w:spacing w:line="360" w:lineRule="auto"/>
              <w:jc w:val="center"/>
              <w:rPr>
                <w:rFonts w:ascii="Times New Roman" w:hAnsi="Times New Roman" w:eastAsia="宋体"/>
                <w:b/>
                <w:color w:val="auto"/>
                <w:sz w:val="24"/>
                <w:szCs w:val="24"/>
              </w:rPr>
            </w:pPr>
            <w:r>
              <w:rPr>
                <w:rFonts w:ascii="Times New Roman" w:hAnsi="Times New Roman" w:eastAsia="宋体"/>
                <w:b/>
                <w:color w:val="auto"/>
                <w:sz w:val="24"/>
                <w:szCs w:val="24"/>
              </w:rPr>
              <w:t>建设性质</w:t>
            </w:r>
          </w:p>
        </w:tc>
        <w:tc>
          <w:tcPr>
            <w:tcW w:w="3239" w:type="dxa"/>
            <w:gridSpan w:val="2"/>
            <w:vAlign w:val="center"/>
          </w:tcPr>
          <w:p>
            <w:pPr>
              <w:spacing w:line="360" w:lineRule="auto"/>
              <w:jc w:val="center"/>
              <w:rPr>
                <w:rFonts w:hint="eastAsia" w:ascii="Times New Roman" w:hAnsi="Times New Roman" w:eastAsia="宋体"/>
                <w:color w:val="auto"/>
                <w:sz w:val="24"/>
                <w:szCs w:val="24"/>
                <w:lang w:eastAsia="zh-CN"/>
              </w:rPr>
            </w:pPr>
            <w:r>
              <w:rPr>
                <w:rFonts w:ascii="Times New Roman" w:hAnsi="Times New Roman" w:eastAsia="宋体"/>
                <w:color w:val="auto"/>
                <w:sz w:val="24"/>
              </w:rPr>
              <w:t xml:space="preserve"> </w:t>
            </w:r>
            <w:r>
              <w:rPr>
                <w:rFonts w:hint="eastAsia" w:ascii="Times New Roman" w:hAnsi="Times New Roman" w:eastAsia="宋体"/>
                <w:color w:val="auto"/>
                <w:sz w:val="24"/>
                <w:lang w:val="en-US" w:eastAsia="zh-CN"/>
              </w:rPr>
              <w:t>技术改造</w:t>
            </w:r>
          </w:p>
        </w:tc>
        <w:tc>
          <w:tcPr>
            <w:tcW w:w="1684" w:type="dxa"/>
            <w:vAlign w:val="center"/>
          </w:tcPr>
          <w:p>
            <w:pPr>
              <w:jc w:val="center"/>
              <w:rPr>
                <w:rFonts w:ascii="Times New Roman" w:hAnsi="Times New Roman" w:eastAsia="宋体"/>
                <w:b/>
                <w:color w:val="auto"/>
                <w:sz w:val="24"/>
                <w:szCs w:val="24"/>
              </w:rPr>
            </w:pPr>
            <w:r>
              <w:rPr>
                <w:rFonts w:ascii="Times New Roman" w:hAnsi="Times New Roman" w:eastAsia="宋体"/>
                <w:b/>
                <w:color w:val="auto"/>
                <w:sz w:val="24"/>
                <w:szCs w:val="24"/>
              </w:rPr>
              <w:t>行业类别</w:t>
            </w:r>
          </w:p>
          <w:p>
            <w:pPr>
              <w:jc w:val="center"/>
              <w:rPr>
                <w:rFonts w:ascii="Times New Roman" w:hAnsi="Times New Roman" w:eastAsia="宋体"/>
                <w:b/>
                <w:color w:val="auto"/>
                <w:sz w:val="24"/>
                <w:szCs w:val="24"/>
              </w:rPr>
            </w:pPr>
            <w:r>
              <w:rPr>
                <w:rFonts w:ascii="Times New Roman" w:hAnsi="Times New Roman" w:eastAsia="宋体"/>
                <w:b/>
                <w:color w:val="auto"/>
                <w:sz w:val="24"/>
                <w:szCs w:val="24"/>
              </w:rPr>
              <w:t>及代码</w:t>
            </w:r>
          </w:p>
        </w:tc>
        <w:tc>
          <w:tcPr>
            <w:tcW w:w="2537" w:type="dxa"/>
            <w:gridSpan w:val="2"/>
            <w:vAlign w:val="center"/>
          </w:tcPr>
          <w:p>
            <w:pPr>
              <w:spacing w:line="240" w:lineRule="atLeast"/>
              <w:jc w:val="center"/>
              <w:rPr>
                <w:rFonts w:hint="default" w:ascii="Times New Roman" w:hAnsi="Times New Roman" w:eastAsia="宋体"/>
                <w:color w:val="auto"/>
                <w:sz w:val="24"/>
                <w:lang w:val="en-US"/>
              </w:rPr>
            </w:pPr>
            <w:r>
              <w:rPr>
                <w:rFonts w:hint="eastAsia" w:ascii="Times New Roman" w:hAnsi="Times New Roman" w:eastAsia="宋体"/>
                <w:color w:val="auto"/>
                <w:sz w:val="24"/>
                <w:szCs w:val="24"/>
                <w:lang w:val="en-US" w:eastAsia="zh-CN"/>
              </w:rPr>
              <w:t>金属表面处理及热处理加工C3360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7" w:hRule="exact"/>
          <w:jc w:val="center"/>
        </w:trPr>
        <w:tc>
          <w:tcPr>
            <w:tcW w:w="1782" w:type="dxa"/>
            <w:vAlign w:val="center"/>
          </w:tcPr>
          <w:p>
            <w:pPr>
              <w:jc w:val="center"/>
              <w:rPr>
                <w:rFonts w:ascii="Times New Roman" w:hAnsi="Times New Roman" w:eastAsia="宋体"/>
                <w:b/>
                <w:color w:val="auto"/>
                <w:sz w:val="24"/>
                <w:szCs w:val="24"/>
              </w:rPr>
            </w:pPr>
            <w:r>
              <w:rPr>
                <w:rFonts w:ascii="Times New Roman" w:hAnsi="Times New Roman" w:eastAsia="宋体"/>
                <w:b/>
                <w:color w:val="auto"/>
                <w:sz w:val="24"/>
                <w:szCs w:val="24"/>
              </w:rPr>
              <w:t>占地面积（m</w:t>
            </w:r>
            <w:r>
              <w:rPr>
                <w:rFonts w:ascii="Times New Roman" w:hAnsi="Times New Roman" w:eastAsia="宋体"/>
                <w:b/>
                <w:color w:val="auto"/>
                <w:sz w:val="24"/>
                <w:szCs w:val="24"/>
                <w:vertAlign w:val="superscript"/>
              </w:rPr>
              <w:t>2</w:t>
            </w:r>
            <w:r>
              <w:rPr>
                <w:rFonts w:ascii="Times New Roman" w:hAnsi="Times New Roman" w:eastAsia="宋体"/>
                <w:b/>
                <w:color w:val="auto"/>
                <w:sz w:val="24"/>
                <w:szCs w:val="24"/>
              </w:rPr>
              <w:t>）</w:t>
            </w:r>
          </w:p>
        </w:tc>
        <w:tc>
          <w:tcPr>
            <w:tcW w:w="3239" w:type="dxa"/>
            <w:gridSpan w:val="2"/>
            <w:vAlign w:val="center"/>
          </w:tcPr>
          <w:p>
            <w:pPr>
              <w:spacing w:line="360" w:lineRule="auto"/>
              <w:jc w:val="center"/>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3800</w:t>
            </w:r>
          </w:p>
        </w:tc>
        <w:tc>
          <w:tcPr>
            <w:tcW w:w="1684" w:type="dxa"/>
            <w:vAlign w:val="center"/>
          </w:tcPr>
          <w:p>
            <w:pPr>
              <w:jc w:val="center"/>
              <w:rPr>
                <w:rFonts w:ascii="Times New Roman" w:hAnsi="Times New Roman" w:eastAsia="宋体"/>
                <w:b/>
                <w:color w:val="auto"/>
                <w:sz w:val="24"/>
                <w:szCs w:val="24"/>
              </w:rPr>
            </w:pPr>
            <w:r>
              <w:rPr>
                <w:rFonts w:ascii="Times New Roman" w:hAnsi="Times New Roman" w:eastAsia="宋体"/>
                <w:b/>
                <w:color w:val="auto"/>
                <w:sz w:val="24"/>
                <w:szCs w:val="24"/>
              </w:rPr>
              <w:t>绿化面积</w:t>
            </w:r>
          </w:p>
          <w:p>
            <w:pPr>
              <w:jc w:val="center"/>
              <w:rPr>
                <w:rFonts w:ascii="Times New Roman" w:hAnsi="Times New Roman" w:eastAsia="宋体"/>
                <w:b/>
                <w:color w:val="auto"/>
                <w:sz w:val="24"/>
                <w:szCs w:val="24"/>
                <w:highlight w:val="yellow"/>
              </w:rPr>
            </w:pPr>
            <w:r>
              <w:rPr>
                <w:rFonts w:ascii="Times New Roman" w:hAnsi="Times New Roman" w:eastAsia="宋体"/>
                <w:b/>
                <w:color w:val="auto"/>
                <w:sz w:val="24"/>
                <w:szCs w:val="24"/>
              </w:rPr>
              <w:t>（m</w:t>
            </w:r>
            <w:r>
              <w:rPr>
                <w:rFonts w:ascii="Times New Roman" w:hAnsi="Times New Roman" w:eastAsia="宋体"/>
                <w:b/>
                <w:color w:val="auto"/>
                <w:sz w:val="24"/>
                <w:szCs w:val="24"/>
                <w:vertAlign w:val="superscript"/>
              </w:rPr>
              <w:t>2</w:t>
            </w:r>
            <w:r>
              <w:rPr>
                <w:rFonts w:ascii="Times New Roman" w:hAnsi="Times New Roman" w:eastAsia="宋体"/>
                <w:b/>
                <w:color w:val="auto"/>
                <w:sz w:val="24"/>
                <w:szCs w:val="24"/>
              </w:rPr>
              <w:t>）</w:t>
            </w:r>
          </w:p>
        </w:tc>
        <w:tc>
          <w:tcPr>
            <w:tcW w:w="2537" w:type="dxa"/>
            <w:gridSpan w:val="2"/>
            <w:vAlign w:val="center"/>
          </w:tcPr>
          <w:p>
            <w:pPr>
              <w:spacing w:line="360" w:lineRule="auto"/>
              <w:jc w:val="center"/>
              <w:rPr>
                <w:rFonts w:ascii="Times New Roman" w:hAnsi="Times New Roman" w:eastAsia="宋体"/>
                <w:color w:val="auto"/>
                <w:sz w:val="24"/>
                <w:szCs w:val="24"/>
                <w:highlight w:val="yellow"/>
              </w:rPr>
            </w:pPr>
            <w:r>
              <w:rPr>
                <w:rFonts w:ascii="Times New Roman" w:hAnsi="Times New Roman" w:eastAsia="宋体"/>
                <w:color w:val="auto"/>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exact"/>
          <w:jc w:val="center"/>
        </w:trPr>
        <w:tc>
          <w:tcPr>
            <w:tcW w:w="1782" w:type="dxa"/>
            <w:vAlign w:val="center"/>
          </w:tcPr>
          <w:p>
            <w:pPr>
              <w:jc w:val="center"/>
              <w:rPr>
                <w:rFonts w:ascii="Times New Roman" w:hAnsi="Times New Roman" w:eastAsia="宋体"/>
                <w:b/>
                <w:color w:val="auto"/>
                <w:sz w:val="24"/>
                <w:szCs w:val="24"/>
              </w:rPr>
            </w:pPr>
            <w:r>
              <w:rPr>
                <w:rFonts w:ascii="Times New Roman" w:hAnsi="Times New Roman" w:eastAsia="宋体"/>
                <w:b/>
                <w:color w:val="auto"/>
                <w:sz w:val="24"/>
                <w:szCs w:val="24"/>
              </w:rPr>
              <w:t>总投资（万元）</w:t>
            </w:r>
          </w:p>
        </w:tc>
        <w:tc>
          <w:tcPr>
            <w:tcW w:w="974" w:type="dxa"/>
            <w:vAlign w:val="center"/>
          </w:tcPr>
          <w:p>
            <w:pPr>
              <w:spacing w:line="360" w:lineRule="auto"/>
              <w:jc w:val="center"/>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3036</w:t>
            </w:r>
          </w:p>
        </w:tc>
        <w:tc>
          <w:tcPr>
            <w:tcW w:w="2265" w:type="dxa"/>
            <w:vAlign w:val="center"/>
          </w:tcPr>
          <w:p>
            <w:pPr>
              <w:jc w:val="center"/>
              <w:rPr>
                <w:rFonts w:ascii="Times New Roman" w:hAnsi="Times New Roman" w:eastAsia="宋体"/>
                <w:b/>
                <w:color w:val="auto"/>
                <w:sz w:val="24"/>
                <w:szCs w:val="24"/>
                <w:highlight w:val="none"/>
              </w:rPr>
            </w:pPr>
            <w:r>
              <w:rPr>
                <w:rFonts w:ascii="Times New Roman" w:hAnsi="Times New Roman" w:eastAsia="宋体"/>
                <w:b/>
                <w:color w:val="auto"/>
                <w:sz w:val="24"/>
                <w:szCs w:val="24"/>
                <w:highlight w:val="none"/>
              </w:rPr>
              <w:t>其中：环保投资</w:t>
            </w:r>
          </w:p>
          <w:p>
            <w:pPr>
              <w:jc w:val="center"/>
              <w:rPr>
                <w:rFonts w:ascii="Times New Roman" w:hAnsi="Times New Roman" w:eastAsia="宋体"/>
                <w:color w:val="auto"/>
                <w:sz w:val="24"/>
                <w:szCs w:val="24"/>
                <w:highlight w:val="none"/>
              </w:rPr>
            </w:pPr>
            <w:r>
              <w:rPr>
                <w:rFonts w:ascii="Times New Roman" w:hAnsi="Times New Roman" w:eastAsia="宋体"/>
                <w:b/>
                <w:color w:val="auto"/>
                <w:sz w:val="24"/>
                <w:szCs w:val="24"/>
                <w:highlight w:val="none"/>
              </w:rPr>
              <w:t>（万元）</w:t>
            </w:r>
          </w:p>
        </w:tc>
        <w:tc>
          <w:tcPr>
            <w:tcW w:w="1684" w:type="dxa"/>
            <w:vAlign w:val="center"/>
          </w:tcPr>
          <w:p>
            <w:pPr>
              <w:jc w:val="center"/>
              <w:rPr>
                <w:rFonts w:hint="default"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155</w:t>
            </w:r>
          </w:p>
        </w:tc>
        <w:tc>
          <w:tcPr>
            <w:tcW w:w="1449" w:type="dxa"/>
            <w:vAlign w:val="center"/>
          </w:tcPr>
          <w:p>
            <w:pPr>
              <w:jc w:val="center"/>
              <w:rPr>
                <w:rFonts w:ascii="Times New Roman" w:hAnsi="Times New Roman" w:eastAsia="宋体"/>
                <w:b/>
                <w:color w:val="auto"/>
                <w:sz w:val="24"/>
                <w:szCs w:val="24"/>
                <w:highlight w:val="none"/>
              </w:rPr>
            </w:pPr>
            <w:r>
              <w:rPr>
                <w:rFonts w:ascii="Times New Roman" w:hAnsi="Times New Roman" w:eastAsia="宋体"/>
                <w:b/>
                <w:color w:val="auto"/>
                <w:sz w:val="24"/>
                <w:szCs w:val="24"/>
                <w:highlight w:val="none"/>
              </w:rPr>
              <w:t>环保投资占</w:t>
            </w:r>
          </w:p>
          <w:p>
            <w:pPr>
              <w:jc w:val="center"/>
              <w:rPr>
                <w:rFonts w:ascii="Times New Roman" w:hAnsi="Times New Roman" w:eastAsia="宋体"/>
                <w:color w:val="auto"/>
                <w:sz w:val="24"/>
                <w:szCs w:val="24"/>
                <w:highlight w:val="none"/>
              </w:rPr>
            </w:pPr>
            <w:r>
              <w:rPr>
                <w:rFonts w:ascii="Times New Roman" w:hAnsi="Times New Roman" w:eastAsia="宋体"/>
                <w:b/>
                <w:color w:val="auto"/>
                <w:sz w:val="24"/>
                <w:szCs w:val="24"/>
                <w:highlight w:val="none"/>
              </w:rPr>
              <w:t>总投资比例</w:t>
            </w:r>
          </w:p>
        </w:tc>
        <w:tc>
          <w:tcPr>
            <w:tcW w:w="1088" w:type="dxa"/>
            <w:vAlign w:val="center"/>
          </w:tcPr>
          <w:p>
            <w:pPr>
              <w:spacing w:line="360" w:lineRule="auto"/>
              <w:jc w:val="center"/>
              <w:rPr>
                <w:rFonts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5.1</w:t>
            </w:r>
            <w:r>
              <w:rPr>
                <w:rFonts w:ascii="Times New Roman" w:hAnsi="Times New Roman" w:eastAsia="宋体"/>
                <w:color w:val="auto"/>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4" w:hRule="exact"/>
          <w:jc w:val="center"/>
        </w:trPr>
        <w:tc>
          <w:tcPr>
            <w:tcW w:w="2756" w:type="dxa"/>
            <w:gridSpan w:val="2"/>
            <w:vAlign w:val="center"/>
          </w:tcPr>
          <w:p>
            <w:pPr>
              <w:spacing w:line="360" w:lineRule="auto"/>
              <w:jc w:val="center"/>
              <w:rPr>
                <w:rFonts w:ascii="Times New Roman" w:hAnsi="Times New Roman" w:eastAsia="宋体"/>
                <w:b/>
                <w:color w:val="auto"/>
                <w:sz w:val="24"/>
                <w:szCs w:val="24"/>
              </w:rPr>
            </w:pPr>
            <w:r>
              <w:rPr>
                <w:rFonts w:ascii="Times New Roman" w:hAnsi="Times New Roman" w:eastAsia="宋体"/>
                <w:b/>
                <w:color w:val="auto"/>
                <w:sz w:val="24"/>
                <w:szCs w:val="24"/>
              </w:rPr>
              <w:t>评价经费（万元）</w:t>
            </w:r>
          </w:p>
        </w:tc>
        <w:tc>
          <w:tcPr>
            <w:tcW w:w="2265" w:type="dxa"/>
            <w:vAlign w:val="center"/>
          </w:tcPr>
          <w:p>
            <w:pPr>
              <w:jc w:val="center"/>
              <w:rPr>
                <w:rFonts w:ascii="Times New Roman" w:hAnsi="Times New Roman" w:eastAsia="宋体"/>
                <w:color w:val="auto"/>
                <w:sz w:val="24"/>
                <w:szCs w:val="24"/>
              </w:rPr>
            </w:pPr>
            <w:r>
              <w:rPr>
                <w:rFonts w:ascii="Times New Roman" w:hAnsi="Times New Roman" w:eastAsia="宋体"/>
                <w:color w:val="auto"/>
                <w:sz w:val="24"/>
                <w:szCs w:val="24"/>
              </w:rPr>
              <w:t>/</w:t>
            </w:r>
          </w:p>
        </w:tc>
        <w:tc>
          <w:tcPr>
            <w:tcW w:w="1684" w:type="dxa"/>
            <w:vAlign w:val="center"/>
          </w:tcPr>
          <w:p>
            <w:pPr>
              <w:spacing w:line="360" w:lineRule="auto"/>
              <w:jc w:val="center"/>
              <w:rPr>
                <w:rFonts w:ascii="Times New Roman" w:hAnsi="Times New Roman" w:eastAsia="宋体"/>
                <w:b/>
                <w:color w:val="auto"/>
                <w:sz w:val="24"/>
                <w:szCs w:val="24"/>
              </w:rPr>
            </w:pPr>
            <w:r>
              <w:rPr>
                <w:rFonts w:ascii="Times New Roman" w:hAnsi="Times New Roman" w:eastAsia="宋体"/>
                <w:b/>
                <w:color w:val="auto"/>
                <w:sz w:val="24"/>
                <w:szCs w:val="24"/>
              </w:rPr>
              <w:t>预期投产日期</w:t>
            </w:r>
          </w:p>
        </w:tc>
        <w:tc>
          <w:tcPr>
            <w:tcW w:w="2537" w:type="dxa"/>
            <w:gridSpan w:val="2"/>
            <w:vAlign w:val="center"/>
          </w:tcPr>
          <w:p>
            <w:pPr>
              <w:spacing w:line="360" w:lineRule="auto"/>
              <w:jc w:val="center"/>
              <w:rPr>
                <w:rFonts w:hint="eastAsia" w:ascii="Times New Roman" w:hAnsi="Times New Roman" w:eastAsia="宋体"/>
                <w:color w:val="auto"/>
                <w:sz w:val="24"/>
                <w:szCs w:val="24"/>
                <w:lang w:val="en-US" w:eastAsia="zh-CN"/>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38" w:hRule="atLeast"/>
          <w:jc w:val="center"/>
        </w:trPr>
        <w:tc>
          <w:tcPr>
            <w:tcW w:w="9242" w:type="dxa"/>
            <w:gridSpan w:val="6"/>
            <w:tcBorders>
              <w:bottom w:val="single" w:color="auto" w:sz="4" w:space="0"/>
            </w:tcBorders>
          </w:tcPr>
          <w:p>
            <w:pPr>
              <w:spacing w:line="360" w:lineRule="auto"/>
              <w:rPr>
                <w:rFonts w:ascii="Times New Roman" w:hAnsi="Times New Roman" w:eastAsia="宋体"/>
                <w:b/>
                <w:color w:val="auto"/>
                <w:sz w:val="28"/>
                <w:szCs w:val="28"/>
              </w:rPr>
            </w:pPr>
            <w:r>
              <w:rPr>
                <w:rFonts w:ascii="Times New Roman" w:hAnsi="Times New Roman" w:eastAsia="宋体"/>
                <w:b/>
                <w:color w:val="auto"/>
                <w:sz w:val="28"/>
                <w:szCs w:val="28"/>
              </w:rPr>
              <w:t>工程内容及规模：</w:t>
            </w:r>
          </w:p>
          <w:p>
            <w:pPr>
              <w:spacing w:line="360" w:lineRule="auto"/>
              <w:ind w:firstLine="482" w:firstLineChars="200"/>
              <w:rPr>
                <w:rFonts w:ascii="Times New Roman" w:hAnsi="Times New Roman" w:eastAsia="宋体"/>
                <w:b/>
                <w:color w:val="auto"/>
                <w:sz w:val="24"/>
                <w:szCs w:val="24"/>
              </w:rPr>
            </w:pPr>
            <w:r>
              <w:rPr>
                <w:rFonts w:ascii="Times New Roman" w:hAnsi="Times New Roman" w:eastAsia="宋体"/>
                <w:b/>
                <w:color w:val="auto"/>
                <w:sz w:val="24"/>
                <w:szCs w:val="24"/>
              </w:rPr>
              <w:t>1、项目由来</w:t>
            </w:r>
          </w:p>
          <w:p>
            <w:pPr>
              <w:spacing w:line="360" w:lineRule="auto"/>
              <w:ind w:firstLine="470" w:firstLineChars="196"/>
              <w:rPr>
                <w:rFonts w:ascii="Times New Roman" w:hAnsi="Times New Roman" w:eastAsia="宋体"/>
                <w:color w:val="auto"/>
                <w:kern w:val="0"/>
                <w:sz w:val="24"/>
              </w:rPr>
            </w:pPr>
            <w:r>
              <w:rPr>
                <w:rFonts w:ascii="Times New Roman" w:hAnsi="Times New Roman" w:eastAsia="宋体"/>
                <w:color w:val="auto"/>
                <w:kern w:val="0"/>
                <w:sz w:val="24"/>
              </w:rPr>
              <w:t>芜湖新兴铸管有限责任公司(以下简称“芜湖新兴铸管”)于2003年4月27日正式挂牌，由新兴铸管股份有限公司(出资60%)和新兴铸管集团有限公司(出资40%)共同出资，重组原芜湖钢铁厂和芜湖焦化制气有限公司后成立的。经营范围为离心球墨铸铁管、钢铁冶炼及压延加工等</w:t>
            </w:r>
            <w:r>
              <w:rPr>
                <w:rFonts w:hint="eastAsia" w:ascii="Times New Roman" w:hAnsi="Times New Roman" w:eastAsia="宋体"/>
                <w:color w:val="auto"/>
                <w:kern w:val="0"/>
                <w:sz w:val="24"/>
                <w:lang w:eastAsia="zh-CN"/>
              </w:rPr>
              <w:t>，</w:t>
            </w:r>
            <w:r>
              <w:rPr>
                <w:rFonts w:ascii="Times New Roman" w:hAnsi="Times New Roman" w:eastAsia="宋体"/>
                <w:color w:val="auto"/>
                <w:kern w:val="0"/>
                <w:sz w:val="24"/>
              </w:rPr>
              <w:t>是一家集烧结、焦化、炼铁、铸管、炼钢和轧钢为一体的钢铁联合企业。产品主要为球墨铸铁管、优质棒材、线材等。</w:t>
            </w:r>
          </w:p>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eastAsia="宋体"/>
                <w:color w:val="auto"/>
                <w:sz w:val="24"/>
                <w:szCs w:val="24"/>
                <w:highlight w:val="yellow"/>
                <w:lang w:eastAsia="zh-CN"/>
              </w:rPr>
            </w:pPr>
            <w:r>
              <w:rPr>
                <w:rFonts w:hint="eastAsia" w:ascii="Times New Roman" w:hAnsi="Times New Roman" w:eastAsia="宋体"/>
                <w:color w:val="auto"/>
                <w:sz w:val="24"/>
                <w:szCs w:val="24"/>
                <w:highlight w:val="none"/>
              </w:rPr>
              <w:t>20</w:t>
            </w:r>
            <w:r>
              <w:rPr>
                <w:rFonts w:hint="eastAsia" w:ascii="Times New Roman" w:hAnsi="Times New Roman" w:eastAsia="宋体"/>
                <w:color w:val="auto"/>
                <w:sz w:val="24"/>
                <w:szCs w:val="24"/>
                <w:highlight w:val="none"/>
                <w:lang w:val="en-US" w:eastAsia="zh-CN"/>
              </w:rPr>
              <w:t>17</w:t>
            </w:r>
            <w:r>
              <w:rPr>
                <w:rFonts w:hint="eastAsia" w:ascii="Times New Roman" w:hAnsi="Times New Roman" w:eastAsia="宋体"/>
                <w:color w:val="auto"/>
                <w:sz w:val="24"/>
                <w:szCs w:val="24"/>
                <w:highlight w:val="none"/>
              </w:rPr>
              <w:t>年</w:t>
            </w:r>
            <w:r>
              <w:rPr>
                <w:rFonts w:hint="eastAsia" w:ascii="Times New Roman" w:hAnsi="Times New Roman" w:eastAsia="宋体"/>
                <w:color w:val="auto"/>
                <w:sz w:val="24"/>
                <w:szCs w:val="24"/>
                <w:highlight w:val="none"/>
                <w:lang w:val="en-US" w:eastAsia="zh-CN"/>
              </w:rPr>
              <w:t>7</w:t>
            </w:r>
            <w:r>
              <w:rPr>
                <w:rFonts w:hint="eastAsia" w:ascii="Times New Roman" w:hAnsi="Times New Roman" w:eastAsia="宋体"/>
                <w:color w:val="auto"/>
                <w:sz w:val="24"/>
                <w:szCs w:val="24"/>
                <w:highlight w:val="none"/>
              </w:rPr>
              <w:t>月</w:t>
            </w:r>
            <w:r>
              <w:rPr>
                <w:rFonts w:hint="eastAsia" w:ascii="Times New Roman" w:hAnsi="Times New Roman" w:eastAsia="宋体"/>
                <w:color w:val="auto"/>
                <w:sz w:val="24"/>
                <w:szCs w:val="24"/>
                <w:highlight w:val="none"/>
                <w:lang w:val="en-US" w:eastAsia="zh-CN"/>
              </w:rPr>
              <w:t>12</w:t>
            </w:r>
            <w:r>
              <w:rPr>
                <w:rFonts w:hint="eastAsia" w:ascii="Times New Roman" w:hAnsi="Times New Roman" w:eastAsia="宋体"/>
                <w:color w:val="auto"/>
                <w:sz w:val="24"/>
                <w:szCs w:val="24"/>
                <w:highlight w:val="none"/>
              </w:rPr>
              <w:t>日，芜湖市环保局</w:t>
            </w:r>
            <w:r>
              <w:rPr>
                <w:rFonts w:hint="eastAsia" w:ascii="Times New Roman" w:hAnsi="Times New Roman" w:eastAsia="宋体"/>
                <w:color w:val="auto"/>
                <w:sz w:val="24"/>
                <w:szCs w:val="24"/>
                <w:highlight w:val="none"/>
                <w:lang w:val="en-US" w:eastAsia="zh-CN"/>
              </w:rPr>
              <w:t>以</w:t>
            </w:r>
            <w:r>
              <w:rPr>
                <w:rFonts w:hint="eastAsia" w:ascii="Times New Roman" w:hAnsi="Times New Roman" w:eastAsia="宋体"/>
                <w:color w:val="auto"/>
                <w:sz w:val="24"/>
                <w:szCs w:val="24"/>
                <w:highlight w:val="none"/>
              </w:rPr>
              <w:t>环行审〔</w:t>
            </w:r>
            <w:r>
              <w:rPr>
                <w:rFonts w:ascii="Times New Roman" w:hAnsi="Times New Roman" w:eastAsia="宋体"/>
                <w:color w:val="auto"/>
                <w:sz w:val="24"/>
                <w:szCs w:val="24"/>
                <w:highlight w:val="none"/>
              </w:rPr>
              <w:t>20</w:t>
            </w:r>
            <w:r>
              <w:rPr>
                <w:rFonts w:hint="eastAsia" w:ascii="Times New Roman" w:hAnsi="Times New Roman" w:eastAsia="宋体"/>
                <w:color w:val="auto"/>
                <w:sz w:val="24"/>
                <w:szCs w:val="24"/>
                <w:highlight w:val="none"/>
              </w:rPr>
              <w:t>1</w:t>
            </w:r>
            <w:r>
              <w:rPr>
                <w:rFonts w:hint="eastAsia" w:ascii="Times New Roman" w:hAnsi="Times New Roman" w:eastAsia="宋体"/>
                <w:color w:val="auto"/>
                <w:sz w:val="24"/>
                <w:szCs w:val="24"/>
                <w:highlight w:val="none"/>
                <w:lang w:val="en-US" w:eastAsia="zh-CN"/>
              </w:rPr>
              <w:t>7</w:t>
            </w:r>
            <w:r>
              <w:rPr>
                <w:rFonts w:hint="eastAsia" w:ascii="Times New Roman" w:hAnsi="Times New Roman" w:eastAsia="宋体"/>
                <w:color w:val="auto"/>
                <w:sz w:val="24"/>
                <w:szCs w:val="24"/>
                <w:highlight w:val="none"/>
              </w:rPr>
              <w:t>〕</w:t>
            </w:r>
            <w:r>
              <w:rPr>
                <w:rFonts w:hint="eastAsia" w:ascii="Times New Roman" w:hAnsi="Times New Roman" w:eastAsia="宋体"/>
                <w:color w:val="auto"/>
                <w:sz w:val="24"/>
                <w:szCs w:val="24"/>
                <w:highlight w:val="none"/>
                <w:lang w:val="en-US" w:eastAsia="zh-CN"/>
              </w:rPr>
              <w:t>37</w:t>
            </w:r>
            <w:r>
              <w:rPr>
                <w:rFonts w:hint="eastAsia" w:ascii="Times New Roman" w:hAnsi="Times New Roman" w:eastAsia="宋体"/>
                <w:color w:val="auto"/>
                <w:sz w:val="24"/>
                <w:szCs w:val="24"/>
                <w:highlight w:val="none"/>
              </w:rPr>
              <w:t>号文批复了《芜湖新兴铸管有限责任公司</w:t>
            </w:r>
            <w:r>
              <w:rPr>
                <w:rFonts w:hint="eastAsia" w:ascii="Times New Roman" w:hAnsi="Times New Roman" w:eastAsia="宋体"/>
                <w:color w:val="auto"/>
                <w:sz w:val="24"/>
                <w:szCs w:val="24"/>
                <w:highlight w:val="none"/>
                <w:lang w:val="en-US" w:eastAsia="zh-CN"/>
              </w:rPr>
              <w:t>搬迁技术改造项目</w:t>
            </w:r>
            <w:r>
              <w:rPr>
                <w:rFonts w:hint="eastAsia" w:ascii="Times New Roman" w:hAnsi="Times New Roman" w:eastAsia="宋体"/>
                <w:color w:val="auto"/>
                <w:sz w:val="24"/>
                <w:szCs w:val="24"/>
                <w:highlight w:val="none"/>
              </w:rPr>
              <w:t>的环境影响报告书</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lang w:val="en-US" w:eastAsia="zh-CN"/>
              </w:rPr>
              <w:t>现状评价</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rPr>
              <w:t>》、</w:t>
            </w:r>
            <w:r>
              <w:rPr>
                <w:rFonts w:hint="eastAsia" w:ascii="Times New Roman" w:hAnsi="Times New Roman" w:eastAsia="宋体"/>
                <w:color w:val="auto"/>
                <w:sz w:val="24"/>
                <w:szCs w:val="24"/>
                <w:highlight w:val="none"/>
                <w:lang w:val="en-US" w:eastAsia="zh-CN"/>
              </w:rPr>
              <w:t>2017年7月31日</w:t>
            </w:r>
            <w:r>
              <w:rPr>
                <w:rFonts w:hint="eastAsia" w:ascii="Times New Roman" w:hAnsi="Times New Roman" w:eastAsia="宋体"/>
                <w:color w:val="auto"/>
                <w:sz w:val="24"/>
                <w:szCs w:val="24"/>
                <w:highlight w:val="none"/>
              </w:rPr>
              <w:t>以环验〔</w:t>
            </w:r>
            <w:r>
              <w:rPr>
                <w:rFonts w:ascii="Times New Roman" w:hAnsi="Times New Roman" w:eastAsia="宋体"/>
                <w:color w:val="auto"/>
                <w:sz w:val="24"/>
                <w:szCs w:val="24"/>
                <w:highlight w:val="none"/>
              </w:rPr>
              <w:t>20</w:t>
            </w:r>
            <w:r>
              <w:rPr>
                <w:rFonts w:hint="eastAsia" w:ascii="Times New Roman" w:hAnsi="Times New Roman" w:eastAsia="宋体"/>
                <w:color w:val="auto"/>
                <w:sz w:val="24"/>
                <w:szCs w:val="24"/>
                <w:highlight w:val="none"/>
              </w:rPr>
              <w:t>17〕</w:t>
            </w:r>
            <w:r>
              <w:rPr>
                <w:rFonts w:hint="eastAsia" w:ascii="Times New Roman" w:hAnsi="Times New Roman" w:eastAsia="宋体"/>
                <w:color w:val="auto"/>
                <w:sz w:val="24"/>
                <w:szCs w:val="24"/>
                <w:highlight w:val="none"/>
                <w:lang w:val="en-US" w:eastAsia="zh-CN"/>
              </w:rPr>
              <w:t>123</w:t>
            </w:r>
            <w:r>
              <w:rPr>
                <w:rFonts w:hint="eastAsia" w:ascii="Times New Roman" w:hAnsi="Times New Roman" w:eastAsia="宋体"/>
                <w:color w:val="auto"/>
                <w:sz w:val="24"/>
                <w:szCs w:val="24"/>
                <w:highlight w:val="none"/>
              </w:rPr>
              <w:t>号文批复了芜湖新兴铸管有限责任公司</w:t>
            </w:r>
            <w:r>
              <w:rPr>
                <w:rFonts w:hint="eastAsia" w:ascii="Times New Roman" w:hAnsi="Times New Roman" w:eastAsia="宋体"/>
                <w:color w:val="auto"/>
                <w:sz w:val="24"/>
                <w:szCs w:val="24"/>
                <w:highlight w:val="none"/>
                <w:lang w:val="en-US" w:eastAsia="zh-CN"/>
              </w:rPr>
              <w:t>搬迁技术改造项目</w:t>
            </w:r>
            <w:r>
              <w:rPr>
                <w:rFonts w:hint="eastAsia" w:ascii="Times New Roman" w:hAnsi="Times New Roman" w:eastAsia="宋体"/>
                <w:color w:val="auto"/>
                <w:sz w:val="24"/>
                <w:szCs w:val="24"/>
                <w:highlight w:val="none"/>
              </w:rPr>
              <w:t>通过环保“三同时”的验收。2017年6月9号芜湖市环保局以环行审[2017]31号文对芜湖新兴铸管有限责任公司特喷线技术改造项目进行了批复</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lang w:val="en-US" w:eastAsia="zh-CN"/>
              </w:rPr>
              <w:t>2018年9月15日</w:t>
            </w:r>
            <w:r>
              <w:rPr>
                <w:rFonts w:hint="eastAsia" w:ascii="Times New Roman" w:hAnsi="Times New Roman" w:eastAsia="宋体"/>
                <w:color w:val="auto"/>
                <w:sz w:val="24"/>
                <w:szCs w:val="24"/>
                <w:highlight w:val="none"/>
              </w:rPr>
              <w:t>以芜湖新兴铸管有限责任公司特喷线技术改造项目通过环保“三同时”的验收。</w:t>
            </w:r>
          </w:p>
          <w:p>
            <w:pPr>
              <w:spacing w:line="360" w:lineRule="auto"/>
              <w:ind w:firstLine="470" w:firstLineChars="196"/>
              <w:rPr>
                <w:rFonts w:ascii="Times New Roman" w:hAnsi="Times New Roman" w:eastAsia="宋体"/>
                <w:color w:val="auto"/>
                <w:kern w:val="0"/>
                <w:sz w:val="24"/>
                <w:szCs w:val="22"/>
              </w:rPr>
            </w:pPr>
            <w:r>
              <w:rPr>
                <w:rFonts w:ascii="Times New Roman" w:hAnsi="Times New Roman" w:eastAsia="宋体"/>
                <w:color w:val="auto"/>
                <w:kern w:val="0"/>
                <w:sz w:val="24"/>
                <w:szCs w:val="22"/>
              </w:rPr>
              <w:t>芜湖新兴铸管有限责任公司于20</w:t>
            </w:r>
            <w:r>
              <w:rPr>
                <w:rFonts w:hint="eastAsia" w:ascii="Times New Roman" w:hAnsi="Times New Roman" w:eastAsia="宋体"/>
                <w:color w:val="auto"/>
                <w:kern w:val="0"/>
                <w:sz w:val="24"/>
                <w:szCs w:val="22"/>
                <w:lang w:val="en-US" w:eastAsia="zh-CN"/>
              </w:rPr>
              <w:t>20</w:t>
            </w:r>
            <w:r>
              <w:rPr>
                <w:rFonts w:ascii="Times New Roman" w:hAnsi="Times New Roman" w:eastAsia="宋体"/>
                <w:color w:val="auto"/>
                <w:kern w:val="0"/>
                <w:sz w:val="24"/>
                <w:szCs w:val="22"/>
              </w:rPr>
              <w:t>年</w:t>
            </w:r>
            <w:r>
              <w:rPr>
                <w:rFonts w:hint="eastAsia" w:ascii="Times New Roman" w:hAnsi="Times New Roman" w:eastAsia="宋体"/>
                <w:color w:val="auto"/>
                <w:kern w:val="0"/>
                <w:sz w:val="24"/>
                <w:szCs w:val="22"/>
                <w:lang w:val="en-US" w:eastAsia="zh-CN"/>
              </w:rPr>
              <w:t>9</w:t>
            </w:r>
            <w:r>
              <w:rPr>
                <w:rFonts w:ascii="Times New Roman" w:hAnsi="Times New Roman" w:eastAsia="宋体"/>
                <w:color w:val="auto"/>
                <w:kern w:val="0"/>
                <w:sz w:val="24"/>
                <w:szCs w:val="22"/>
              </w:rPr>
              <w:t>月</w:t>
            </w:r>
            <w:r>
              <w:rPr>
                <w:rFonts w:hint="eastAsia" w:ascii="Times New Roman" w:hAnsi="Times New Roman" w:eastAsia="宋体"/>
                <w:color w:val="auto"/>
                <w:kern w:val="0"/>
                <w:sz w:val="24"/>
                <w:szCs w:val="22"/>
                <w:lang w:val="en-US" w:eastAsia="zh-CN"/>
              </w:rPr>
              <w:t>17</w:t>
            </w:r>
            <w:r>
              <w:rPr>
                <w:rFonts w:ascii="Times New Roman" w:hAnsi="Times New Roman" w:eastAsia="宋体"/>
                <w:color w:val="auto"/>
                <w:kern w:val="0"/>
                <w:sz w:val="24"/>
                <w:szCs w:val="22"/>
              </w:rPr>
              <w:t>日获得芜湖市三山区经济和信息化局《关于芜湖新兴铸管有限责任公司</w:t>
            </w:r>
            <w:r>
              <w:rPr>
                <w:rFonts w:hint="eastAsia" w:ascii="Times New Roman" w:hAnsi="Times New Roman" w:eastAsia="宋体"/>
                <w:color w:val="auto"/>
                <w:kern w:val="0"/>
                <w:sz w:val="24"/>
                <w:szCs w:val="22"/>
              </w:rPr>
              <w:t>新增大管整理线车间工程项目</w:t>
            </w:r>
            <w:r>
              <w:rPr>
                <w:rFonts w:ascii="Times New Roman" w:hAnsi="Times New Roman" w:eastAsia="宋体"/>
                <w:color w:val="auto"/>
                <w:kern w:val="0"/>
                <w:sz w:val="24"/>
                <w:szCs w:val="22"/>
              </w:rPr>
              <w:t>登记备案的通知》，项目位于芜湖市三山区春洲路2号，建设单位投资</w:t>
            </w:r>
            <w:r>
              <w:rPr>
                <w:rFonts w:hint="eastAsia" w:ascii="Times New Roman" w:hAnsi="Times New Roman" w:eastAsia="宋体"/>
                <w:color w:val="auto"/>
                <w:kern w:val="0"/>
                <w:sz w:val="24"/>
                <w:szCs w:val="22"/>
                <w:lang w:val="en-US" w:eastAsia="zh-CN"/>
              </w:rPr>
              <w:t>3036</w:t>
            </w:r>
            <w:r>
              <w:rPr>
                <w:rFonts w:ascii="Times New Roman" w:hAnsi="Times New Roman" w:eastAsia="宋体"/>
                <w:color w:val="auto"/>
                <w:kern w:val="0"/>
                <w:sz w:val="24"/>
                <w:szCs w:val="22"/>
              </w:rPr>
              <w:t>万元。</w:t>
            </w:r>
          </w:p>
          <w:p>
            <w:pPr>
              <w:pStyle w:val="2"/>
              <w:keepNext w:val="0"/>
              <w:keepLines w:val="0"/>
              <w:pageBreakBefore w:val="0"/>
              <w:widowControl w:val="0"/>
              <w:kinsoku/>
              <w:wordWrap/>
              <w:overflowPunct/>
              <w:topLinePunct w:val="0"/>
              <w:bidi w:val="0"/>
              <w:snapToGrid/>
              <w:spacing w:line="360" w:lineRule="auto"/>
              <w:ind w:firstLine="480" w:firstLineChars="200"/>
              <w:jc w:val="left"/>
              <w:textAlignment w:val="auto"/>
              <w:rPr>
                <w:rFonts w:ascii="Times New Roman" w:hAnsi="Times New Roman" w:eastAsia="宋体"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本项目属于金属表面处理及热处理加工C3360，对照《固定污染源排污许可分类管理名录》（2019年版），本项目属于《名录》第二十八项“金属制品业33”中第81号-金属表面处理及热处理加工336中年使用 10 吨及以上有机溶剂的，属于排污许可中“</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登记</w:t>
            </w:r>
            <w:r>
              <w:rPr>
                <w:rFonts w:hint="eastAsia" w:ascii="Times New Roman" w:hAnsi="Times New Roman" w:eastAsia="宋体" w:cs="Times New Roman"/>
                <w:color w:val="000000" w:themeColor="text1"/>
                <w:kern w:val="0"/>
                <w:sz w:val="24"/>
                <w:szCs w:val="24"/>
                <w:lang w:val="en-US" w:eastAsia="zh-CN" w:bidi="ar-SA"/>
                <w14:textFill>
                  <w14:solidFill>
                    <w14:schemeClr w14:val="tx1"/>
                  </w14:solidFill>
                </w14:textFill>
              </w:rPr>
              <w:t>管理”。</w:t>
            </w:r>
          </w:p>
          <w:p>
            <w:pPr>
              <w:spacing w:line="360" w:lineRule="auto"/>
              <w:ind w:firstLine="470" w:firstLineChars="196"/>
              <w:rPr>
                <w:rFonts w:ascii="Times New Roman" w:hAnsi="Times New Roman" w:eastAsia="宋体"/>
                <w:color w:val="auto"/>
                <w:kern w:val="0"/>
                <w:sz w:val="24"/>
              </w:rPr>
            </w:pPr>
            <w:r>
              <w:rPr>
                <w:rFonts w:ascii="Times New Roman" w:hAnsi="Times New Roman" w:eastAsia="宋体"/>
                <w:color w:val="auto"/>
                <w:kern w:val="0"/>
                <w:sz w:val="24"/>
              </w:rPr>
              <w:t>根据《建设项目环境保护管理条例》和《中华人民共和国环境影响评价法》中有关规定，该项目应进行环境影响评价。受建设单位委托，</w:t>
            </w:r>
            <w:r>
              <w:rPr>
                <w:rFonts w:hint="eastAsia" w:ascii="Times New Roman" w:hAnsi="Times New Roman" w:eastAsia="宋体"/>
                <w:color w:val="auto"/>
                <w:kern w:val="0"/>
                <w:sz w:val="24"/>
                <w:lang w:val="en-US" w:eastAsia="zh-CN"/>
              </w:rPr>
              <w:t>我</w:t>
            </w:r>
            <w:r>
              <w:rPr>
                <w:rFonts w:ascii="Times New Roman" w:hAnsi="Times New Roman" w:eastAsia="宋体"/>
                <w:color w:val="auto"/>
                <w:kern w:val="0"/>
                <w:sz w:val="24"/>
              </w:rPr>
              <w:t>公司承担了该项目的环境影响评价工作，本项目属于《建设项目环境影响评价分类管理名录》中“</w:t>
            </w:r>
            <w:r>
              <w:rPr>
                <w:rFonts w:hint="eastAsia" w:ascii="Times New Roman" w:hAnsi="Times New Roman" w:eastAsia="宋体"/>
                <w:color w:val="auto"/>
                <w:kern w:val="0"/>
                <w:sz w:val="24"/>
                <w:lang w:val="en-US" w:eastAsia="zh-CN"/>
              </w:rPr>
              <w:t>二十二</w:t>
            </w:r>
            <w:r>
              <w:rPr>
                <w:rFonts w:ascii="Times New Roman" w:hAnsi="Times New Roman" w:eastAsia="宋体"/>
                <w:color w:val="auto"/>
                <w:kern w:val="0"/>
                <w:sz w:val="24"/>
              </w:rPr>
              <w:t>、</w:t>
            </w:r>
            <w:r>
              <w:rPr>
                <w:rFonts w:hint="eastAsia" w:ascii="Times New Roman" w:hAnsi="Times New Roman" w:eastAsia="宋体"/>
                <w:color w:val="auto"/>
                <w:kern w:val="0"/>
                <w:sz w:val="24"/>
                <w:lang w:val="en-US" w:eastAsia="zh-CN"/>
              </w:rPr>
              <w:t>金属制品</w:t>
            </w:r>
            <w:r>
              <w:rPr>
                <w:rFonts w:ascii="Times New Roman" w:hAnsi="Times New Roman" w:eastAsia="宋体"/>
                <w:color w:val="auto"/>
                <w:kern w:val="0"/>
                <w:sz w:val="24"/>
              </w:rPr>
              <w:t>业一</w:t>
            </w:r>
            <w:r>
              <w:rPr>
                <w:rFonts w:hint="eastAsia" w:ascii="Times New Roman" w:hAnsi="Times New Roman" w:eastAsia="宋体"/>
                <w:color w:val="auto"/>
                <w:kern w:val="0"/>
                <w:sz w:val="24"/>
                <w:lang w:val="en-US" w:eastAsia="zh-CN"/>
              </w:rPr>
              <w:t>67</w:t>
            </w:r>
            <w:r>
              <w:rPr>
                <w:rFonts w:ascii="Times New Roman" w:hAnsi="Times New Roman" w:eastAsia="宋体"/>
                <w:color w:val="auto"/>
                <w:kern w:val="0"/>
                <w:sz w:val="24"/>
              </w:rPr>
              <w:t>、</w:t>
            </w:r>
            <w:r>
              <w:rPr>
                <w:rFonts w:hint="eastAsia" w:ascii="Times New Roman" w:hAnsi="Times New Roman" w:eastAsia="宋体"/>
                <w:color w:val="auto"/>
                <w:kern w:val="0"/>
                <w:sz w:val="24"/>
              </w:rPr>
              <w:t>金属制品加工制造</w:t>
            </w:r>
            <w:r>
              <w:rPr>
                <w:rFonts w:ascii="Times New Roman" w:hAnsi="Times New Roman" w:eastAsia="宋体"/>
                <w:color w:val="auto"/>
                <w:kern w:val="0"/>
                <w:sz w:val="24"/>
              </w:rPr>
              <w:t>一</w:t>
            </w:r>
            <w:r>
              <w:rPr>
                <w:rFonts w:hint="eastAsia" w:ascii="Times New Roman" w:hAnsi="Times New Roman" w:eastAsia="宋体"/>
                <w:color w:val="auto"/>
                <w:kern w:val="0"/>
                <w:sz w:val="24"/>
                <w:lang w:val="en-US" w:eastAsia="zh-CN"/>
              </w:rPr>
              <w:t>其他</w:t>
            </w:r>
            <w:r>
              <w:rPr>
                <w:rFonts w:ascii="Times New Roman" w:hAnsi="Times New Roman" w:eastAsia="宋体"/>
                <w:color w:val="auto"/>
                <w:kern w:val="0"/>
                <w:sz w:val="24"/>
              </w:rPr>
              <w:t>”， 应编制环境影响报告表。接受委托后，我公司组织有关技术人员进行现场踏勘、收集资料，依据国家有关法规文件和环境影响评价技术导则，编制该项目环境影响报告表。</w:t>
            </w:r>
          </w:p>
          <w:p>
            <w:pPr>
              <w:spacing w:line="360" w:lineRule="auto"/>
              <w:ind w:firstLine="482" w:firstLineChars="200"/>
              <w:rPr>
                <w:rFonts w:ascii="Times New Roman" w:hAnsi="Times New Roman" w:eastAsia="宋体"/>
                <w:b/>
                <w:color w:val="auto"/>
                <w:sz w:val="24"/>
                <w:szCs w:val="24"/>
              </w:rPr>
            </w:pPr>
            <w:r>
              <w:rPr>
                <w:rFonts w:ascii="Times New Roman" w:hAnsi="Times New Roman" w:eastAsia="宋体"/>
                <w:b/>
                <w:color w:val="auto"/>
                <w:sz w:val="24"/>
                <w:szCs w:val="24"/>
              </w:rPr>
              <w:t>2、项目基本情况</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（1）建设单位</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芜湖新兴铸管有限责任公司；</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（2）项目名称</w:t>
            </w:r>
          </w:p>
          <w:p>
            <w:pPr>
              <w:spacing w:line="360" w:lineRule="auto"/>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rPr>
              <w:t>新增大管整理线车间工程项目</w:t>
            </w:r>
            <w:r>
              <w:rPr>
                <w:rFonts w:ascii="Times New Roman" w:hAnsi="Times New Roman" w:eastAsia="宋体"/>
                <w:color w:val="auto"/>
                <w:sz w:val="24"/>
                <w:szCs w:val="24"/>
              </w:rPr>
              <w:t>；</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（3）项目性质</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技改；</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（4）建设地点及周围环境状况</w:t>
            </w:r>
          </w:p>
          <w:p>
            <w:pPr>
              <w:spacing w:line="360" w:lineRule="auto"/>
              <w:ind w:firstLine="439" w:firstLineChars="183"/>
              <w:rPr>
                <w:rFonts w:ascii="Times New Roman" w:hAnsi="Times New Roman" w:eastAsia="宋体"/>
                <w:color w:val="auto"/>
                <w:sz w:val="24"/>
                <w:szCs w:val="24"/>
              </w:rPr>
            </w:pPr>
            <w:r>
              <w:rPr>
                <w:rFonts w:ascii="Times New Roman" w:hAnsi="Times New Roman" w:eastAsia="宋体"/>
                <w:color w:val="auto"/>
                <w:sz w:val="24"/>
                <w:szCs w:val="24"/>
              </w:rPr>
              <w:t>本项目位于</w:t>
            </w:r>
            <w:r>
              <w:rPr>
                <w:rFonts w:hint="eastAsia" w:ascii="Times New Roman" w:hAnsi="Times New Roman" w:eastAsia="宋体"/>
                <w:color w:val="auto"/>
                <w:sz w:val="24"/>
                <w:szCs w:val="24"/>
              </w:rPr>
              <w:t>芜湖市三山区春洲路2号</w:t>
            </w:r>
            <w:r>
              <w:rPr>
                <w:rFonts w:ascii="Times New Roman" w:hAnsi="Times New Roman" w:eastAsia="宋体"/>
                <w:color w:val="auto"/>
                <w:sz w:val="24"/>
                <w:szCs w:val="24"/>
              </w:rPr>
              <w:t>，</w:t>
            </w:r>
            <w:r>
              <w:rPr>
                <w:rFonts w:ascii="Times New Roman" w:hAnsi="Times New Roman" w:eastAsia="宋体"/>
                <w:color w:val="auto"/>
                <w:sz w:val="24"/>
              </w:rPr>
              <w:t>地理坐标为东经</w:t>
            </w:r>
            <w:r>
              <w:rPr>
                <w:rFonts w:hint="eastAsia" w:ascii="Times New Roman" w:hAnsi="Times New Roman" w:eastAsia="宋体"/>
                <w:color w:val="auto"/>
                <w:sz w:val="24"/>
                <w:szCs w:val="22"/>
              </w:rPr>
              <w:t>118</w:t>
            </w:r>
            <w:r>
              <w:rPr>
                <w:rFonts w:hint="eastAsia" w:ascii="Times New Roman" w:hAnsi="Times New Roman" w:eastAsia="宋体"/>
                <w:color w:val="auto"/>
                <w:sz w:val="24"/>
                <w:szCs w:val="22"/>
                <w:lang w:val="en-US" w:eastAsia="zh-CN"/>
              </w:rPr>
              <w:t>°9′42.34″</w:t>
            </w:r>
            <w:r>
              <w:rPr>
                <w:rFonts w:ascii="Times New Roman" w:hAnsi="Times New Roman" w:eastAsia="宋体"/>
                <w:color w:val="auto"/>
                <w:sz w:val="24"/>
              </w:rPr>
              <w:t>，北</w:t>
            </w:r>
            <w:r>
              <w:rPr>
                <w:rFonts w:ascii="Times New Roman" w:hAnsi="Times New Roman" w:eastAsia="宋体"/>
                <w:color w:val="auto"/>
                <w:sz w:val="24"/>
                <w:szCs w:val="22"/>
              </w:rPr>
              <w:t>纬</w:t>
            </w:r>
            <w:r>
              <w:rPr>
                <w:rFonts w:hint="eastAsia" w:ascii="Times New Roman" w:hAnsi="Times New Roman" w:eastAsia="宋体"/>
                <w:color w:val="auto"/>
                <w:sz w:val="24"/>
                <w:szCs w:val="22"/>
              </w:rPr>
              <w:t>31</w:t>
            </w:r>
            <w:r>
              <w:rPr>
                <w:rFonts w:hint="eastAsia" w:ascii="Times New Roman" w:hAnsi="Times New Roman" w:eastAsia="宋体"/>
                <w:color w:val="auto"/>
                <w:sz w:val="24"/>
                <w:szCs w:val="22"/>
                <w:lang w:val="en-US" w:eastAsia="zh-CN"/>
              </w:rPr>
              <w:t>°13′43.05″</w:t>
            </w:r>
            <w:r>
              <w:rPr>
                <w:rFonts w:ascii="Times New Roman" w:hAnsi="Times New Roman" w:eastAsia="宋体"/>
                <w:color w:val="auto"/>
                <w:sz w:val="24"/>
              </w:rPr>
              <w:t>。</w:t>
            </w:r>
            <w:r>
              <w:rPr>
                <w:rFonts w:hint="eastAsia" w:ascii="Times New Roman" w:hAnsi="Times New Roman" w:eastAsia="宋体"/>
                <w:color w:val="auto"/>
                <w:sz w:val="24"/>
                <w:lang w:val="en-US" w:eastAsia="zh-CN"/>
              </w:rPr>
              <w:t>项目位于</w:t>
            </w:r>
            <w:r>
              <w:rPr>
                <w:rFonts w:ascii="Times New Roman" w:hAnsi="Times New Roman" w:eastAsia="宋体"/>
                <w:color w:val="auto"/>
                <w:sz w:val="24"/>
                <w:szCs w:val="24"/>
              </w:rPr>
              <w:t>芜湖新兴铸管有限责任公司</w:t>
            </w:r>
            <w:r>
              <w:rPr>
                <w:rFonts w:hint="eastAsia" w:ascii="Times New Roman" w:hAnsi="Times New Roman" w:eastAsia="宋体"/>
                <w:color w:val="auto"/>
                <w:sz w:val="24"/>
                <w:lang w:val="en-US" w:eastAsia="zh-CN"/>
              </w:rPr>
              <w:t>厂区内，四周均为</w:t>
            </w:r>
            <w:r>
              <w:rPr>
                <w:rFonts w:ascii="Times New Roman" w:hAnsi="Times New Roman" w:eastAsia="宋体"/>
                <w:color w:val="auto"/>
                <w:sz w:val="24"/>
                <w:szCs w:val="24"/>
              </w:rPr>
              <w:t>芜湖新兴铸管有限责任公司</w:t>
            </w:r>
            <w:r>
              <w:rPr>
                <w:rFonts w:hint="eastAsia" w:ascii="Times New Roman" w:hAnsi="Times New Roman" w:eastAsia="宋体"/>
                <w:color w:val="auto"/>
                <w:sz w:val="24"/>
                <w:lang w:val="en-US" w:eastAsia="zh-CN"/>
              </w:rPr>
              <w:t>场地。</w:t>
            </w:r>
            <w:r>
              <w:rPr>
                <w:rFonts w:ascii="Times New Roman" w:hAnsi="Times New Roman" w:eastAsia="宋体"/>
                <w:color w:val="auto"/>
                <w:sz w:val="24"/>
                <w:szCs w:val="24"/>
              </w:rPr>
              <w:t>目前，项目周边环境较好，不会对本项目运营期产生明显的影响。详见附图1（项目地理位置图）和附图2（周边环境示意图）。</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（5）项目总投资</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项目总投资</w:t>
            </w:r>
            <w:r>
              <w:rPr>
                <w:rFonts w:hint="eastAsia" w:ascii="Times New Roman" w:hAnsi="Times New Roman" w:eastAsia="宋体"/>
                <w:color w:val="auto"/>
                <w:sz w:val="24"/>
                <w:szCs w:val="24"/>
                <w:lang w:val="en-US" w:eastAsia="zh-CN"/>
              </w:rPr>
              <w:t>3036</w:t>
            </w:r>
            <w:r>
              <w:rPr>
                <w:rFonts w:ascii="Times New Roman" w:hAnsi="Times New Roman" w:eastAsia="宋体"/>
                <w:color w:val="auto"/>
                <w:sz w:val="24"/>
                <w:szCs w:val="24"/>
              </w:rPr>
              <w:t>万元</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（6）建设规模及内容</w:t>
            </w:r>
          </w:p>
          <w:p>
            <w:pPr>
              <w:spacing w:line="360" w:lineRule="auto"/>
              <w:ind w:firstLine="470" w:firstLineChars="196"/>
              <w:rPr>
                <w:rFonts w:hint="default" w:ascii="Times New Roman" w:hAnsi="Times New Roman" w:eastAsia="宋体"/>
                <w:color w:val="auto"/>
                <w:kern w:val="0"/>
                <w:sz w:val="24"/>
                <w:szCs w:val="22"/>
                <w:lang w:val="en-US" w:eastAsia="zh-CN"/>
              </w:rPr>
            </w:pPr>
            <w:r>
              <w:rPr>
                <w:rFonts w:hint="eastAsia" w:ascii="Times New Roman" w:hAnsi="Times New Roman" w:eastAsia="宋体"/>
                <w:color w:val="auto"/>
                <w:kern w:val="0"/>
                <w:sz w:val="24"/>
              </w:rPr>
              <w:t>本次技改项目</w:t>
            </w:r>
            <w:r>
              <w:rPr>
                <w:rFonts w:hint="eastAsia" w:ascii="Times New Roman" w:hAnsi="Times New Roman" w:eastAsia="宋体"/>
                <w:color w:val="auto"/>
                <w:kern w:val="0"/>
                <w:sz w:val="24"/>
                <w:lang w:val="en-US" w:eastAsia="zh-CN"/>
              </w:rPr>
              <w:t>内容主要为新增年产5.4万吨生产能力的DN800-2600球磨铸铁管整理生产线</w:t>
            </w:r>
            <w:r>
              <w:rPr>
                <w:rFonts w:hint="eastAsia" w:ascii="Times New Roman" w:hAnsi="Times New Roman" w:eastAsia="宋体"/>
                <w:color w:val="auto"/>
                <w:kern w:val="0"/>
                <w:sz w:val="24"/>
              </w:rPr>
              <w:t>。</w:t>
            </w:r>
            <w:r>
              <w:rPr>
                <w:rFonts w:hint="eastAsia" w:ascii="Times New Roman" w:hAnsi="Times New Roman" w:eastAsia="宋体"/>
                <w:color w:val="auto"/>
                <w:kern w:val="0"/>
                <w:sz w:val="24"/>
                <w:lang w:val="en-US" w:eastAsia="zh-CN"/>
              </w:rPr>
              <w:t>其中三磨、内外喷等工序依托原有特喷线中设备。</w:t>
            </w:r>
          </w:p>
          <w:p>
            <w:pPr>
              <w:spacing w:line="360" w:lineRule="auto"/>
              <w:ind w:firstLine="200"/>
              <w:jc w:val="center"/>
              <w:rPr>
                <w:rFonts w:ascii="Times New Roman" w:hAnsi="Times New Roman" w:eastAsia="宋体"/>
                <w:b/>
                <w:color w:val="auto"/>
                <w:sz w:val="24"/>
                <w:szCs w:val="24"/>
              </w:rPr>
            </w:pPr>
            <w:r>
              <w:rPr>
                <w:rFonts w:ascii="Times New Roman" w:hAnsi="Times New Roman" w:eastAsia="宋体"/>
                <w:b/>
                <w:color w:val="auto"/>
                <w:sz w:val="24"/>
                <w:szCs w:val="24"/>
              </w:rPr>
              <w:t>表1-</w:t>
            </w:r>
            <w:r>
              <w:rPr>
                <w:rFonts w:hint="eastAsia" w:ascii="Times New Roman" w:hAnsi="Times New Roman" w:eastAsia="宋体"/>
                <w:b/>
                <w:color w:val="auto"/>
                <w:sz w:val="24"/>
                <w:szCs w:val="24"/>
              </w:rPr>
              <w:t>1</w:t>
            </w:r>
            <w:r>
              <w:rPr>
                <w:rFonts w:ascii="Times New Roman" w:hAnsi="Times New Roman" w:eastAsia="宋体"/>
                <w:b/>
                <w:color w:val="auto"/>
                <w:sz w:val="24"/>
                <w:szCs w:val="24"/>
              </w:rPr>
              <w:t xml:space="preserve">  本项目建设组成一览表</w:t>
            </w:r>
          </w:p>
          <w:tbl>
            <w:tblPr>
              <w:tblStyle w:val="22"/>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5"/>
              <w:gridCol w:w="906"/>
              <w:gridCol w:w="2966"/>
              <w:gridCol w:w="3079"/>
              <w:gridCol w:w="12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685" w:type="dxa"/>
                  <w:vAlign w:val="center"/>
                </w:tcPr>
                <w:p>
                  <w:pPr>
                    <w:jc w:val="center"/>
                    <w:rPr>
                      <w:rFonts w:ascii="Times New Roman" w:hAnsi="Times New Roman" w:eastAsia="宋体"/>
                      <w:bCs/>
                      <w:color w:val="auto"/>
                      <w:sz w:val="21"/>
                      <w:szCs w:val="21"/>
                    </w:rPr>
                  </w:pPr>
                  <w:r>
                    <w:rPr>
                      <w:rFonts w:ascii="Times New Roman" w:hAnsi="Times New Roman" w:eastAsia="宋体"/>
                      <w:bCs/>
                      <w:color w:val="auto"/>
                      <w:sz w:val="21"/>
                      <w:szCs w:val="21"/>
                    </w:rPr>
                    <w:t>工程类别</w:t>
                  </w:r>
                </w:p>
              </w:tc>
              <w:tc>
                <w:tcPr>
                  <w:tcW w:w="906" w:type="dxa"/>
                  <w:vAlign w:val="center"/>
                </w:tcPr>
                <w:p>
                  <w:pPr>
                    <w:jc w:val="center"/>
                    <w:rPr>
                      <w:rFonts w:ascii="Times New Roman" w:hAnsi="Times New Roman" w:eastAsia="宋体"/>
                      <w:bCs/>
                      <w:color w:val="auto"/>
                      <w:sz w:val="21"/>
                      <w:szCs w:val="21"/>
                    </w:rPr>
                  </w:pPr>
                  <w:r>
                    <w:rPr>
                      <w:rFonts w:ascii="Times New Roman" w:hAnsi="Times New Roman" w:eastAsia="宋体"/>
                      <w:bCs/>
                      <w:color w:val="auto"/>
                      <w:sz w:val="21"/>
                      <w:szCs w:val="21"/>
                    </w:rPr>
                    <w:t>工程名称</w:t>
                  </w:r>
                </w:p>
              </w:tc>
              <w:tc>
                <w:tcPr>
                  <w:tcW w:w="2966" w:type="dxa"/>
                  <w:vAlign w:val="center"/>
                </w:tcPr>
                <w:p>
                  <w:pPr>
                    <w:jc w:val="center"/>
                    <w:rPr>
                      <w:rFonts w:ascii="Times New Roman" w:hAnsi="Times New Roman" w:eastAsia="宋体"/>
                      <w:bCs/>
                      <w:color w:val="auto"/>
                      <w:sz w:val="21"/>
                      <w:szCs w:val="21"/>
                    </w:rPr>
                  </w:pPr>
                  <w:r>
                    <w:rPr>
                      <w:rFonts w:ascii="Times New Roman" w:hAnsi="Times New Roman" w:eastAsia="宋体"/>
                      <w:bCs/>
                      <w:color w:val="auto"/>
                      <w:sz w:val="21"/>
                      <w:szCs w:val="21"/>
                    </w:rPr>
                    <w:t>现有工程内容及规模</w:t>
                  </w:r>
                </w:p>
              </w:tc>
              <w:tc>
                <w:tcPr>
                  <w:tcW w:w="3079" w:type="dxa"/>
                  <w:vAlign w:val="center"/>
                </w:tcPr>
                <w:p>
                  <w:pPr>
                    <w:jc w:val="center"/>
                    <w:rPr>
                      <w:rFonts w:ascii="Times New Roman" w:hAnsi="Times New Roman" w:eastAsia="宋体"/>
                      <w:bCs/>
                      <w:color w:val="auto"/>
                      <w:sz w:val="21"/>
                      <w:szCs w:val="21"/>
                    </w:rPr>
                  </w:pPr>
                  <w:r>
                    <w:rPr>
                      <w:rFonts w:ascii="Times New Roman" w:hAnsi="Times New Roman" w:eastAsia="宋体"/>
                      <w:bCs/>
                      <w:color w:val="auto"/>
                      <w:sz w:val="21"/>
                      <w:szCs w:val="21"/>
                    </w:rPr>
                    <w:t>技改后工程内容及规模</w:t>
                  </w:r>
                </w:p>
              </w:tc>
              <w:tc>
                <w:tcPr>
                  <w:tcW w:w="1208" w:type="dxa"/>
                  <w:vAlign w:val="center"/>
                </w:tcPr>
                <w:p>
                  <w:pPr>
                    <w:jc w:val="center"/>
                    <w:rPr>
                      <w:rFonts w:ascii="Times New Roman" w:hAnsi="Times New Roman" w:eastAsia="宋体"/>
                      <w:bCs/>
                      <w:color w:val="auto"/>
                      <w:sz w:val="21"/>
                      <w:szCs w:val="21"/>
                    </w:rPr>
                  </w:pPr>
                  <w:r>
                    <w:rPr>
                      <w:rFonts w:ascii="Times New Roman" w:hAnsi="Times New Roman" w:eastAsia="宋体"/>
                      <w:color w:val="auto"/>
                      <w:kern w:val="0"/>
                      <w:sz w:val="21"/>
                      <w:szCs w:val="21"/>
                      <w:lang w:val="en-GB"/>
                    </w:rPr>
                    <w:t>依托关系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5" w:type="dxa"/>
                  <w:vMerge w:val="restart"/>
                  <w:vAlign w:val="center"/>
                </w:tcPr>
                <w:p>
                  <w:pPr>
                    <w:jc w:val="center"/>
                    <w:rPr>
                      <w:rFonts w:ascii="Times New Roman" w:hAnsi="Times New Roman" w:eastAsia="宋体"/>
                      <w:bCs/>
                      <w:color w:val="auto"/>
                      <w:sz w:val="21"/>
                      <w:szCs w:val="21"/>
                    </w:rPr>
                  </w:pPr>
                  <w:r>
                    <w:rPr>
                      <w:rFonts w:ascii="Times New Roman" w:hAnsi="Times New Roman" w:eastAsia="宋体"/>
                      <w:bCs/>
                      <w:color w:val="auto"/>
                      <w:sz w:val="21"/>
                      <w:szCs w:val="21"/>
                    </w:rPr>
                    <w:t>主体工程</w:t>
                  </w:r>
                </w:p>
              </w:tc>
              <w:tc>
                <w:tcPr>
                  <w:tcW w:w="906" w:type="dxa"/>
                  <w:vAlign w:val="center"/>
                </w:tcPr>
                <w:p>
                  <w:pPr>
                    <w:jc w:val="center"/>
                    <w:rPr>
                      <w:rFonts w:hint="default" w:ascii="Times New Roman" w:hAnsi="Times New Roman" w:eastAsia="宋体"/>
                      <w:bCs/>
                      <w:color w:val="auto"/>
                      <w:sz w:val="21"/>
                      <w:szCs w:val="21"/>
                      <w:lang w:val="en-US" w:eastAsia="zh-CN"/>
                    </w:rPr>
                  </w:pPr>
                  <w:r>
                    <w:rPr>
                      <w:rFonts w:hint="eastAsia" w:ascii="Times New Roman" w:hAnsi="Times New Roman" w:eastAsia="宋体"/>
                      <w:color w:val="auto"/>
                      <w:sz w:val="21"/>
                      <w:szCs w:val="21"/>
                      <w:lang w:val="en-US" w:eastAsia="zh-CN"/>
                    </w:rPr>
                    <w:t>整理线车间</w:t>
                  </w:r>
                </w:p>
              </w:tc>
              <w:tc>
                <w:tcPr>
                  <w:tcW w:w="2966" w:type="dxa"/>
                  <w:vAlign w:val="center"/>
                </w:tcPr>
                <w:p>
                  <w:pPr>
                    <w:jc w:val="center"/>
                    <w:rPr>
                      <w:rFonts w:hint="eastAsia" w:ascii="Times New Roman" w:hAnsi="Times New Roman" w:eastAsia="宋体"/>
                      <w:bCs/>
                      <w:color w:val="auto"/>
                      <w:sz w:val="21"/>
                      <w:szCs w:val="21"/>
                      <w:lang w:val="en-US" w:eastAsia="zh-CN"/>
                    </w:rPr>
                  </w:pPr>
                  <w:r>
                    <w:rPr>
                      <w:rFonts w:hint="eastAsia" w:ascii="Times New Roman" w:hAnsi="Times New Roman" w:eastAsia="宋体"/>
                      <w:color w:val="auto"/>
                      <w:sz w:val="21"/>
                      <w:szCs w:val="21"/>
                      <w:lang w:val="en-US" w:eastAsia="zh-CN"/>
                    </w:rPr>
                    <w:t>/</w:t>
                  </w:r>
                </w:p>
              </w:tc>
              <w:tc>
                <w:tcPr>
                  <w:tcW w:w="3079" w:type="dxa"/>
                  <w:vAlign w:val="center"/>
                </w:tcPr>
                <w:p>
                  <w:pPr>
                    <w:jc w:val="center"/>
                    <w:rPr>
                      <w:rFonts w:hint="default" w:ascii="Times New Roman" w:hAnsi="Times New Roman" w:eastAsia="宋体"/>
                      <w:bCs/>
                      <w:color w:val="auto"/>
                      <w:sz w:val="21"/>
                      <w:szCs w:val="21"/>
                      <w:lang w:val="en-US" w:eastAsia="zh-CN"/>
                    </w:rPr>
                  </w:pPr>
                  <w:r>
                    <w:rPr>
                      <w:rFonts w:hint="eastAsia" w:ascii="Times New Roman" w:hAnsi="Times New Roman" w:eastAsia="宋体"/>
                      <w:bCs/>
                      <w:color w:val="auto"/>
                      <w:sz w:val="21"/>
                      <w:szCs w:val="21"/>
                      <w:lang w:val="en-US" w:eastAsia="zh-CN"/>
                    </w:rPr>
                    <w:t>新增一条整理生产线，配备喷锌机设备，水压机设备，涂衬机设备，内磨机设备等</w:t>
                  </w:r>
                </w:p>
              </w:tc>
              <w:tc>
                <w:tcPr>
                  <w:tcW w:w="1208" w:type="dxa"/>
                  <w:vAlign w:val="center"/>
                </w:tcPr>
                <w:p>
                  <w:pPr>
                    <w:jc w:val="center"/>
                    <w:rPr>
                      <w:rFonts w:hint="default" w:ascii="Times New Roman" w:hAnsi="Times New Roman" w:eastAsia="宋体"/>
                      <w:bCs/>
                      <w:color w:val="auto"/>
                      <w:sz w:val="21"/>
                      <w:szCs w:val="21"/>
                      <w:lang w:val="en-US" w:eastAsia="zh-CN"/>
                    </w:rPr>
                  </w:pPr>
                  <w:r>
                    <w:rPr>
                      <w:rFonts w:hint="eastAsia" w:ascii="Times New Roman" w:hAnsi="Times New Roman" w:eastAsia="宋体"/>
                      <w:bCs/>
                      <w:color w:val="auto"/>
                      <w:sz w:val="21"/>
                      <w:szCs w:val="21"/>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5" w:type="dxa"/>
                  <w:vMerge w:val="continue"/>
                  <w:vAlign w:val="center"/>
                </w:tcPr>
                <w:p>
                  <w:pPr>
                    <w:jc w:val="center"/>
                    <w:rPr>
                      <w:rFonts w:ascii="Times New Roman" w:hAnsi="Times New Roman" w:eastAsia="宋体"/>
                      <w:bCs/>
                      <w:color w:val="auto"/>
                      <w:sz w:val="21"/>
                      <w:szCs w:val="21"/>
                    </w:rPr>
                  </w:pPr>
                </w:p>
              </w:tc>
              <w:tc>
                <w:tcPr>
                  <w:tcW w:w="906" w:type="dxa"/>
                  <w:vAlign w:val="center"/>
                </w:tcPr>
                <w:p>
                  <w:pPr>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特喷线</w:t>
                  </w:r>
                </w:p>
              </w:tc>
              <w:tc>
                <w:tcPr>
                  <w:tcW w:w="2966" w:type="dxa"/>
                  <w:vAlign w:val="center"/>
                </w:tcPr>
                <w:p>
                  <w:pPr>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一条特喷生产线，内有三磨设备、喷漆线等生产设备</w:t>
                  </w:r>
                </w:p>
              </w:tc>
              <w:tc>
                <w:tcPr>
                  <w:tcW w:w="3079" w:type="dxa"/>
                  <w:vAlign w:val="center"/>
                </w:tcPr>
                <w:p>
                  <w:pPr>
                    <w:jc w:val="center"/>
                    <w:rPr>
                      <w:rFonts w:hint="default" w:ascii="Times New Roman" w:hAnsi="Times New Roman" w:eastAsia="宋体"/>
                      <w:bCs/>
                      <w:color w:val="auto"/>
                      <w:sz w:val="21"/>
                      <w:szCs w:val="21"/>
                      <w:lang w:val="en-US" w:eastAsia="zh-CN"/>
                    </w:rPr>
                  </w:pPr>
                  <w:r>
                    <w:rPr>
                      <w:rFonts w:hint="eastAsia" w:ascii="Times New Roman" w:hAnsi="Times New Roman" w:eastAsia="宋体"/>
                      <w:bCs/>
                      <w:color w:val="auto"/>
                      <w:sz w:val="21"/>
                      <w:szCs w:val="21"/>
                      <w:lang w:val="en-US" w:eastAsia="zh-CN"/>
                    </w:rPr>
                    <w:t>/</w:t>
                  </w:r>
                </w:p>
              </w:tc>
              <w:tc>
                <w:tcPr>
                  <w:tcW w:w="1208" w:type="dxa"/>
                  <w:vAlign w:val="center"/>
                </w:tcPr>
                <w:p>
                  <w:pPr>
                    <w:jc w:val="center"/>
                    <w:rPr>
                      <w:rFonts w:hint="default" w:ascii="Times New Roman" w:hAnsi="Times New Roman" w:eastAsia="宋体"/>
                      <w:bCs/>
                      <w:color w:val="auto"/>
                      <w:sz w:val="21"/>
                      <w:szCs w:val="21"/>
                      <w:lang w:val="en-US" w:eastAsia="zh-CN"/>
                    </w:rPr>
                  </w:pPr>
                  <w:r>
                    <w:rPr>
                      <w:rFonts w:hint="eastAsia" w:ascii="Times New Roman" w:hAnsi="Times New Roman" w:eastAsia="宋体"/>
                      <w:bCs/>
                      <w:color w:val="auto"/>
                      <w:sz w:val="21"/>
                      <w:szCs w:val="21"/>
                      <w:lang w:val="en-US" w:eastAsia="zh-CN"/>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5" w:type="dxa"/>
                  <w:vMerge w:val="restart"/>
                  <w:vAlign w:val="center"/>
                </w:tcPr>
                <w:p>
                  <w:pPr>
                    <w:jc w:val="center"/>
                    <w:rPr>
                      <w:rFonts w:ascii="Times New Roman" w:hAnsi="Times New Roman" w:eastAsia="宋体"/>
                      <w:bCs/>
                      <w:color w:val="auto"/>
                      <w:sz w:val="21"/>
                      <w:szCs w:val="21"/>
                    </w:rPr>
                  </w:pPr>
                  <w:r>
                    <w:rPr>
                      <w:rFonts w:ascii="Times New Roman" w:hAnsi="Times New Roman" w:eastAsia="宋体"/>
                      <w:bCs/>
                      <w:color w:val="auto"/>
                      <w:sz w:val="21"/>
                      <w:szCs w:val="21"/>
                    </w:rPr>
                    <w:t>公用工程</w:t>
                  </w:r>
                </w:p>
              </w:tc>
              <w:tc>
                <w:tcPr>
                  <w:tcW w:w="906" w:type="dxa"/>
                  <w:vAlign w:val="center"/>
                </w:tcPr>
                <w:p>
                  <w:pPr>
                    <w:jc w:val="center"/>
                    <w:rPr>
                      <w:rFonts w:ascii="Times New Roman" w:hAnsi="Times New Roman" w:eastAsia="宋体"/>
                      <w:bCs/>
                      <w:color w:val="auto"/>
                      <w:sz w:val="21"/>
                      <w:szCs w:val="21"/>
                    </w:rPr>
                  </w:pPr>
                  <w:r>
                    <w:rPr>
                      <w:rFonts w:ascii="Times New Roman" w:hAnsi="Times New Roman" w:eastAsia="宋体"/>
                      <w:bCs/>
                      <w:color w:val="auto"/>
                      <w:sz w:val="21"/>
                      <w:szCs w:val="21"/>
                    </w:rPr>
                    <w:t>供水</w:t>
                  </w:r>
                </w:p>
                <w:p>
                  <w:pPr>
                    <w:jc w:val="center"/>
                    <w:rPr>
                      <w:rFonts w:ascii="Times New Roman" w:hAnsi="Times New Roman" w:eastAsia="宋体"/>
                      <w:bCs/>
                      <w:color w:val="auto"/>
                      <w:sz w:val="21"/>
                      <w:szCs w:val="21"/>
                    </w:rPr>
                  </w:pPr>
                  <w:r>
                    <w:rPr>
                      <w:rFonts w:ascii="Times New Roman" w:hAnsi="Times New Roman" w:eastAsia="宋体"/>
                      <w:bCs/>
                      <w:color w:val="auto"/>
                      <w:sz w:val="21"/>
                      <w:szCs w:val="21"/>
                    </w:rPr>
                    <w:t>工程</w:t>
                  </w:r>
                </w:p>
              </w:tc>
              <w:tc>
                <w:tcPr>
                  <w:tcW w:w="2966" w:type="dxa"/>
                  <w:vAlign w:val="center"/>
                </w:tcPr>
                <w:p>
                  <w:pPr>
                    <w:jc w:val="center"/>
                    <w:rPr>
                      <w:rFonts w:ascii="Times New Roman" w:hAnsi="Times New Roman" w:eastAsia="宋体"/>
                      <w:bCs/>
                      <w:color w:val="auto"/>
                      <w:sz w:val="21"/>
                      <w:szCs w:val="21"/>
                    </w:rPr>
                  </w:pPr>
                  <w:r>
                    <w:rPr>
                      <w:rFonts w:ascii="Times New Roman" w:hAnsi="Times New Roman" w:eastAsia="宋体"/>
                      <w:bCs/>
                      <w:color w:val="auto"/>
                      <w:sz w:val="21"/>
                      <w:szCs w:val="21"/>
                    </w:rPr>
                    <w:t>由市政供水管网提供</w:t>
                  </w:r>
                </w:p>
              </w:tc>
              <w:tc>
                <w:tcPr>
                  <w:tcW w:w="3079" w:type="dxa"/>
                  <w:vAlign w:val="center"/>
                </w:tcPr>
                <w:p>
                  <w:pPr>
                    <w:jc w:val="center"/>
                    <w:rPr>
                      <w:rFonts w:ascii="Times New Roman" w:hAnsi="Times New Roman" w:eastAsia="宋体"/>
                      <w:bCs/>
                      <w:color w:val="auto"/>
                      <w:sz w:val="21"/>
                      <w:szCs w:val="21"/>
                    </w:rPr>
                  </w:pPr>
                  <w:r>
                    <w:rPr>
                      <w:rFonts w:ascii="Times New Roman" w:hAnsi="Times New Roman" w:eastAsia="宋体"/>
                      <w:bCs/>
                      <w:color w:val="auto"/>
                      <w:sz w:val="21"/>
                      <w:szCs w:val="21"/>
                    </w:rPr>
                    <w:t>/</w:t>
                  </w:r>
                </w:p>
              </w:tc>
              <w:tc>
                <w:tcPr>
                  <w:tcW w:w="1208" w:type="dxa"/>
                  <w:vAlign w:val="center"/>
                </w:tcPr>
                <w:p>
                  <w:pPr>
                    <w:jc w:val="center"/>
                    <w:rPr>
                      <w:rFonts w:ascii="Times New Roman" w:hAnsi="Times New Roman" w:eastAsia="宋体"/>
                      <w:bCs/>
                      <w:color w:val="auto"/>
                      <w:sz w:val="21"/>
                      <w:szCs w:val="21"/>
                    </w:rPr>
                  </w:pPr>
                  <w:r>
                    <w:rPr>
                      <w:rFonts w:ascii="Times New Roman" w:hAnsi="Times New Roman" w:eastAsia="宋体"/>
                      <w:bCs/>
                      <w:color w:val="auto"/>
                      <w:sz w:val="21"/>
                      <w:szCs w:val="21"/>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5" w:type="dxa"/>
                  <w:vMerge w:val="continue"/>
                  <w:vAlign w:val="center"/>
                </w:tcPr>
                <w:p>
                  <w:pPr>
                    <w:jc w:val="center"/>
                    <w:rPr>
                      <w:rFonts w:ascii="Times New Roman" w:hAnsi="Times New Roman" w:eastAsia="宋体"/>
                      <w:bCs/>
                      <w:color w:val="auto"/>
                      <w:sz w:val="21"/>
                      <w:szCs w:val="21"/>
                    </w:rPr>
                  </w:pPr>
                </w:p>
              </w:tc>
              <w:tc>
                <w:tcPr>
                  <w:tcW w:w="906" w:type="dxa"/>
                  <w:vAlign w:val="center"/>
                </w:tcPr>
                <w:p>
                  <w:pPr>
                    <w:jc w:val="center"/>
                    <w:rPr>
                      <w:rFonts w:ascii="Times New Roman" w:hAnsi="Times New Roman" w:eastAsia="宋体"/>
                      <w:bCs/>
                      <w:color w:val="auto"/>
                      <w:sz w:val="21"/>
                      <w:szCs w:val="21"/>
                    </w:rPr>
                  </w:pPr>
                  <w:r>
                    <w:rPr>
                      <w:rFonts w:ascii="Times New Roman" w:hAnsi="Times New Roman" w:eastAsia="宋体"/>
                      <w:bCs/>
                      <w:color w:val="auto"/>
                      <w:sz w:val="21"/>
                      <w:szCs w:val="21"/>
                    </w:rPr>
                    <w:t>排水</w:t>
                  </w:r>
                </w:p>
                <w:p>
                  <w:pPr>
                    <w:jc w:val="center"/>
                    <w:rPr>
                      <w:rFonts w:ascii="Times New Roman" w:hAnsi="Times New Roman" w:eastAsia="宋体"/>
                      <w:bCs/>
                      <w:color w:val="auto"/>
                      <w:sz w:val="21"/>
                      <w:szCs w:val="21"/>
                    </w:rPr>
                  </w:pPr>
                  <w:r>
                    <w:rPr>
                      <w:rFonts w:ascii="Times New Roman" w:hAnsi="Times New Roman" w:eastAsia="宋体"/>
                      <w:bCs/>
                      <w:color w:val="auto"/>
                      <w:sz w:val="21"/>
                      <w:szCs w:val="21"/>
                    </w:rPr>
                    <w:t>工程</w:t>
                  </w:r>
                </w:p>
              </w:tc>
              <w:tc>
                <w:tcPr>
                  <w:tcW w:w="2966" w:type="dxa"/>
                  <w:vAlign w:val="center"/>
                </w:tcPr>
                <w:p>
                  <w:pPr>
                    <w:jc w:val="center"/>
                    <w:rPr>
                      <w:rFonts w:ascii="Times New Roman" w:hAnsi="Times New Roman" w:eastAsia="宋体"/>
                      <w:bCs/>
                      <w:color w:val="auto"/>
                      <w:sz w:val="21"/>
                      <w:szCs w:val="21"/>
                    </w:rPr>
                  </w:pPr>
                  <w:r>
                    <w:rPr>
                      <w:rFonts w:ascii="Times New Roman" w:hAnsi="Times New Roman" w:eastAsia="宋体"/>
                      <w:bCs/>
                      <w:color w:val="auto"/>
                      <w:sz w:val="21"/>
                      <w:szCs w:val="21"/>
                    </w:rPr>
                    <w:t>厂区内部实行雨</w:t>
                  </w:r>
                  <w:r>
                    <w:rPr>
                      <w:rFonts w:hint="eastAsia" w:ascii="Times New Roman" w:hAnsi="Times New Roman" w:eastAsia="宋体"/>
                      <w:bCs/>
                      <w:color w:val="auto"/>
                      <w:sz w:val="21"/>
                      <w:szCs w:val="21"/>
                      <w:lang w:eastAsia="zh-CN"/>
                    </w:rPr>
                    <w:t>、</w:t>
                  </w:r>
                  <w:r>
                    <w:rPr>
                      <w:rFonts w:ascii="Times New Roman" w:hAnsi="Times New Roman" w:eastAsia="宋体"/>
                      <w:bCs/>
                      <w:color w:val="auto"/>
                      <w:sz w:val="21"/>
                      <w:szCs w:val="21"/>
                    </w:rPr>
                    <w:t>污分流</w:t>
                  </w:r>
                </w:p>
              </w:tc>
              <w:tc>
                <w:tcPr>
                  <w:tcW w:w="3079" w:type="dxa"/>
                  <w:vAlign w:val="center"/>
                </w:tcPr>
                <w:p>
                  <w:pPr>
                    <w:jc w:val="center"/>
                    <w:rPr>
                      <w:rFonts w:hint="eastAsia" w:ascii="Times New Roman" w:hAnsi="Times New Roman" w:eastAsia="宋体"/>
                      <w:bCs/>
                      <w:color w:val="auto"/>
                      <w:sz w:val="21"/>
                      <w:szCs w:val="21"/>
                      <w:lang w:eastAsia="zh-CN"/>
                    </w:rPr>
                  </w:pPr>
                  <w:r>
                    <w:rPr>
                      <w:rFonts w:hint="eastAsia" w:ascii="Times New Roman" w:hAnsi="Times New Roman" w:eastAsia="宋体"/>
                      <w:bCs/>
                      <w:color w:val="auto"/>
                      <w:sz w:val="21"/>
                      <w:szCs w:val="21"/>
                      <w:lang w:val="en-US" w:eastAsia="zh-CN"/>
                    </w:rPr>
                    <w:t>/</w:t>
                  </w:r>
                </w:p>
              </w:tc>
              <w:tc>
                <w:tcPr>
                  <w:tcW w:w="1208" w:type="dxa"/>
                  <w:vAlign w:val="center"/>
                </w:tcPr>
                <w:p>
                  <w:pPr>
                    <w:jc w:val="center"/>
                    <w:rPr>
                      <w:rFonts w:ascii="Times New Roman" w:hAnsi="Times New Roman" w:eastAsia="宋体"/>
                      <w:bCs/>
                      <w:color w:val="auto"/>
                      <w:sz w:val="21"/>
                      <w:szCs w:val="21"/>
                    </w:rPr>
                  </w:pPr>
                  <w:r>
                    <w:rPr>
                      <w:rFonts w:ascii="Times New Roman" w:hAnsi="Times New Roman" w:eastAsia="宋体"/>
                      <w:bCs/>
                      <w:color w:val="auto"/>
                      <w:sz w:val="21"/>
                      <w:szCs w:val="21"/>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5" w:type="dxa"/>
                  <w:vMerge w:val="continue"/>
                  <w:vAlign w:val="center"/>
                </w:tcPr>
                <w:p>
                  <w:pPr>
                    <w:jc w:val="center"/>
                    <w:rPr>
                      <w:rFonts w:ascii="Times New Roman" w:hAnsi="Times New Roman" w:eastAsia="宋体"/>
                      <w:bCs/>
                      <w:color w:val="auto"/>
                      <w:sz w:val="21"/>
                      <w:szCs w:val="21"/>
                    </w:rPr>
                  </w:pPr>
                </w:p>
              </w:tc>
              <w:tc>
                <w:tcPr>
                  <w:tcW w:w="906" w:type="dxa"/>
                  <w:vAlign w:val="center"/>
                </w:tcPr>
                <w:p>
                  <w:pPr>
                    <w:jc w:val="center"/>
                    <w:rPr>
                      <w:rFonts w:ascii="Times New Roman" w:hAnsi="Times New Roman" w:eastAsia="宋体"/>
                      <w:bCs/>
                      <w:color w:val="auto"/>
                      <w:sz w:val="21"/>
                      <w:szCs w:val="21"/>
                    </w:rPr>
                  </w:pPr>
                  <w:r>
                    <w:rPr>
                      <w:rFonts w:ascii="Times New Roman" w:hAnsi="Times New Roman" w:eastAsia="宋体"/>
                      <w:bCs/>
                      <w:color w:val="auto"/>
                      <w:sz w:val="21"/>
                      <w:szCs w:val="21"/>
                    </w:rPr>
                    <w:t>供电</w:t>
                  </w:r>
                </w:p>
                <w:p>
                  <w:pPr>
                    <w:jc w:val="center"/>
                    <w:rPr>
                      <w:rFonts w:ascii="Times New Roman" w:hAnsi="Times New Roman" w:eastAsia="宋体"/>
                      <w:bCs/>
                      <w:color w:val="auto"/>
                      <w:sz w:val="21"/>
                      <w:szCs w:val="21"/>
                    </w:rPr>
                  </w:pPr>
                  <w:r>
                    <w:rPr>
                      <w:rFonts w:ascii="Times New Roman" w:hAnsi="Times New Roman" w:eastAsia="宋体"/>
                      <w:bCs/>
                      <w:color w:val="auto"/>
                      <w:sz w:val="21"/>
                      <w:szCs w:val="21"/>
                    </w:rPr>
                    <w:t>工程</w:t>
                  </w:r>
                </w:p>
              </w:tc>
              <w:tc>
                <w:tcPr>
                  <w:tcW w:w="2966" w:type="dxa"/>
                  <w:vAlign w:val="center"/>
                </w:tcPr>
                <w:p>
                  <w:pPr>
                    <w:jc w:val="center"/>
                    <w:rPr>
                      <w:rFonts w:ascii="Times New Roman" w:hAnsi="Times New Roman" w:eastAsia="宋体"/>
                      <w:bCs/>
                      <w:color w:val="auto"/>
                      <w:sz w:val="21"/>
                      <w:szCs w:val="21"/>
                    </w:rPr>
                  </w:pPr>
                  <w:r>
                    <w:rPr>
                      <w:rFonts w:hint="eastAsia" w:ascii="Times New Roman" w:hAnsi="Times New Roman" w:eastAsia="宋体"/>
                      <w:color w:val="auto"/>
                      <w:lang w:eastAsia="zh-CN"/>
                    </w:rPr>
                    <w:t>依托全公司供水系统</w:t>
                  </w:r>
                </w:p>
              </w:tc>
              <w:tc>
                <w:tcPr>
                  <w:tcW w:w="3079" w:type="dxa"/>
                  <w:vAlign w:val="center"/>
                </w:tcPr>
                <w:p>
                  <w:pPr>
                    <w:jc w:val="center"/>
                    <w:rPr>
                      <w:rFonts w:ascii="Times New Roman" w:hAnsi="Times New Roman" w:eastAsia="宋体"/>
                      <w:bCs/>
                      <w:color w:val="auto"/>
                      <w:sz w:val="21"/>
                      <w:szCs w:val="21"/>
                    </w:rPr>
                  </w:pPr>
                  <w:r>
                    <w:rPr>
                      <w:rFonts w:ascii="Times New Roman" w:hAnsi="Times New Roman" w:eastAsia="宋体"/>
                      <w:bCs/>
                      <w:color w:val="auto"/>
                      <w:sz w:val="21"/>
                      <w:szCs w:val="21"/>
                    </w:rPr>
                    <w:t>/</w:t>
                  </w:r>
                </w:p>
              </w:tc>
              <w:tc>
                <w:tcPr>
                  <w:tcW w:w="1208" w:type="dxa"/>
                  <w:vAlign w:val="center"/>
                </w:tcPr>
                <w:p>
                  <w:pPr>
                    <w:jc w:val="center"/>
                    <w:rPr>
                      <w:rFonts w:ascii="Times New Roman" w:hAnsi="Times New Roman" w:eastAsia="宋体"/>
                      <w:bCs/>
                      <w:color w:val="auto"/>
                      <w:sz w:val="21"/>
                      <w:szCs w:val="21"/>
                    </w:rPr>
                  </w:pPr>
                  <w:r>
                    <w:rPr>
                      <w:rFonts w:ascii="Times New Roman" w:hAnsi="Times New Roman" w:eastAsia="宋体"/>
                      <w:bCs/>
                      <w:color w:val="auto"/>
                      <w:sz w:val="21"/>
                      <w:szCs w:val="21"/>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5" w:type="dxa"/>
                  <w:vMerge w:val="restart"/>
                  <w:vAlign w:val="center"/>
                </w:tcPr>
                <w:p>
                  <w:pPr>
                    <w:jc w:val="center"/>
                    <w:rPr>
                      <w:rFonts w:ascii="Times New Roman" w:hAnsi="Times New Roman" w:eastAsia="宋体"/>
                      <w:bCs/>
                      <w:color w:val="auto"/>
                      <w:sz w:val="21"/>
                      <w:szCs w:val="21"/>
                    </w:rPr>
                  </w:pPr>
                  <w:r>
                    <w:rPr>
                      <w:rFonts w:ascii="Times New Roman" w:hAnsi="Times New Roman" w:eastAsia="宋体"/>
                      <w:bCs/>
                      <w:color w:val="auto"/>
                      <w:sz w:val="21"/>
                      <w:szCs w:val="21"/>
                    </w:rPr>
                    <w:t>环保工程</w:t>
                  </w:r>
                </w:p>
              </w:tc>
              <w:tc>
                <w:tcPr>
                  <w:tcW w:w="906" w:type="dxa"/>
                  <w:vMerge w:val="restart"/>
                  <w:vAlign w:val="center"/>
                </w:tcPr>
                <w:p>
                  <w:pPr>
                    <w:jc w:val="center"/>
                    <w:rPr>
                      <w:rFonts w:ascii="Times New Roman" w:hAnsi="Times New Roman" w:eastAsia="宋体"/>
                      <w:bCs/>
                      <w:color w:val="auto"/>
                      <w:sz w:val="21"/>
                      <w:szCs w:val="21"/>
                    </w:rPr>
                  </w:pPr>
                  <w:r>
                    <w:rPr>
                      <w:rFonts w:ascii="Times New Roman" w:hAnsi="Times New Roman" w:eastAsia="宋体"/>
                      <w:bCs/>
                      <w:color w:val="auto"/>
                      <w:sz w:val="21"/>
                      <w:szCs w:val="21"/>
                    </w:rPr>
                    <w:t>废气治理</w:t>
                  </w:r>
                </w:p>
              </w:tc>
              <w:tc>
                <w:tcPr>
                  <w:tcW w:w="2966" w:type="dxa"/>
                  <w:vAlign w:val="center"/>
                </w:tcPr>
                <w:p>
                  <w:pPr>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三磨粉尘配套一套脉冲布袋除尘收集处理后通过一根不低于15m排气筒排放</w:t>
                  </w:r>
                </w:p>
              </w:tc>
              <w:tc>
                <w:tcPr>
                  <w:tcW w:w="3079" w:type="dxa"/>
                  <w:vAlign w:val="center"/>
                </w:tcPr>
                <w:p>
                  <w:pPr>
                    <w:pStyle w:val="27"/>
                    <w:rPr>
                      <w:rFonts w:ascii="Times New Roman" w:hAnsi="Times New Roman" w:eastAsia="宋体" w:cs="Times New Roman"/>
                      <w:bCs/>
                      <w:color w:val="auto"/>
                      <w:sz w:val="21"/>
                      <w:szCs w:val="21"/>
                    </w:rPr>
                  </w:pPr>
                  <w:r>
                    <w:rPr>
                      <w:rFonts w:hint="eastAsia" w:ascii="Times New Roman" w:hAnsi="Times New Roman" w:eastAsia="宋体" w:cs="Times New Roman"/>
                      <w:color w:val="auto"/>
                      <w:sz w:val="21"/>
                      <w:szCs w:val="21"/>
                      <w:lang w:val="en-US" w:eastAsia="zh-CN"/>
                    </w:rPr>
                    <w:t>/</w:t>
                  </w:r>
                </w:p>
              </w:tc>
              <w:tc>
                <w:tcPr>
                  <w:tcW w:w="1208" w:type="dxa"/>
                  <w:vAlign w:val="center"/>
                </w:tcPr>
                <w:p>
                  <w:pPr>
                    <w:jc w:val="center"/>
                    <w:rPr>
                      <w:rFonts w:hint="eastAsia" w:ascii="Times New Roman" w:hAnsi="Times New Roman" w:eastAsia="宋体"/>
                      <w:bCs/>
                      <w:color w:val="auto"/>
                      <w:sz w:val="21"/>
                      <w:szCs w:val="21"/>
                      <w:lang w:eastAsia="zh-CN"/>
                    </w:rPr>
                  </w:pPr>
                  <w:r>
                    <w:rPr>
                      <w:rFonts w:hint="eastAsia" w:ascii="Times New Roman" w:hAnsi="Times New Roman" w:eastAsia="宋体"/>
                      <w:bCs/>
                      <w:color w:val="auto"/>
                      <w:sz w:val="21"/>
                      <w:szCs w:val="21"/>
                      <w:lang w:val="en-US" w:eastAsia="zh-CN"/>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85" w:type="dxa"/>
                  <w:vMerge w:val="continue"/>
                  <w:vAlign w:val="center"/>
                </w:tcPr>
                <w:p>
                  <w:pPr>
                    <w:jc w:val="center"/>
                    <w:rPr>
                      <w:rFonts w:ascii="Times New Roman" w:hAnsi="Times New Roman" w:eastAsia="宋体"/>
                      <w:bCs/>
                      <w:color w:val="auto"/>
                      <w:sz w:val="21"/>
                      <w:szCs w:val="21"/>
                    </w:rPr>
                  </w:pPr>
                </w:p>
              </w:tc>
              <w:tc>
                <w:tcPr>
                  <w:tcW w:w="906" w:type="dxa"/>
                  <w:vMerge w:val="continue"/>
                  <w:vAlign w:val="center"/>
                </w:tcPr>
                <w:p>
                  <w:pPr>
                    <w:jc w:val="center"/>
                    <w:rPr>
                      <w:rFonts w:ascii="Times New Roman" w:hAnsi="Times New Roman" w:eastAsia="宋体"/>
                      <w:bCs/>
                      <w:color w:val="auto"/>
                      <w:sz w:val="21"/>
                      <w:szCs w:val="21"/>
                    </w:rPr>
                  </w:pPr>
                </w:p>
              </w:tc>
              <w:tc>
                <w:tcPr>
                  <w:tcW w:w="2966" w:type="dxa"/>
                  <w:vAlign w:val="center"/>
                </w:tcPr>
                <w:p>
                  <w:pPr>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w:t>
                  </w:r>
                </w:p>
              </w:tc>
              <w:tc>
                <w:tcPr>
                  <w:tcW w:w="3079" w:type="dxa"/>
                  <w:vAlign w:val="center"/>
                </w:tcPr>
                <w:p>
                  <w:pPr>
                    <w:pStyle w:val="27"/>
                    <w:rPr>
                      <w:rFonts w:hint="eastAsia" w:ascii="Times New Roman" w:hAnsi="Times New Roman" w:eastAsia="宋体" w:cs="Times New Roman"/>
                      <w:color w:val="auto"/>
                      <w:sz w:val="21"/>
                      <w:szCs w:val="21"/>
                      <w:lang w:val="en-US" w:eastAsia="zh-CN"/>
                    </w:rPr>
                  </w:pPr>
                  <w:r>
                    <w:rPr>
                      <w:rFonts w:hint="eastAsia" w:ascii="Times New Roman" w:hAnsi="Times New Roman" w:eastAsia="宋体"/>
                      <w:color w:val="auto"/>
                      <w:sz w:val="21"/>
                      <w:szCs w:val="21"/>
                      <w:lang w:val="en-US" w:eastAsia="zh-CN"/>
                    </w:rPr>
                    <w:t>喷锌粉尘配套一套脉冲布袋除尘收集处理后通过一根不低于15m排气筒排放</w:t>
                  </w:r>
                </w:p>
              </w:tc>
              <w:tc>
                <w:tcPr>
                  <w:tcW w:w="1208" w:type="dxa"/>
                  <w:vAlign w:val="center"/>
                </w:tcPr>
                <w:p>
                  <w:pPr>
                    <w:jc w:val="center"/>
                    <w:rPr>
                      <w:rFonts w:hint="default" w:ascii="Times New Roman" w:hAnsi="Times New Roman" w:eastAsia="宋体"/>
                      <w:bCs/>
                      <w:color w:val="auto"/>
                      <w:sz w:val="21"/>
                      <w:szCs w:val="21"/>
                      <w:lang w:val="en-US" w:eastAsia="zh-CN"/>
                    </w:rPr>
                  </w:pPr>
                  <w:r>
                    <w:rPr>
                      <w:rFonts w:hint="eastAsia" w:ascii="Times New Roman" w:hAnsi="Times New Roman" w:eastAsia="宋体"/>
                      <w:bCs/>
                      <w:color w:val="auto"/>
                      <w:sz w:val="21"/>
                      <w:szCs w:val="21"/>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5" w:type="dxa"/>
                  <w:vMerge w:val="continue"/>
                  <w:vAlign w:val="center"/>
                </w:tcPr>
                <w:p>
                  <w:pPr>
                    <w:jc w:val="center"/>
                    <w:rPr>
                      <w:rFonts w:ascii="Times New Roman" w:hAnsi="Times New Roman" w:eastAsia="宋体"/>
                      <w:bCs/>
                      <w:color w:val="auto"/>
                      <w:sz w:val="21"/>
                      <w:szCs w:val="21"/>
                    </w:rPr>
                  </w:pPr>
                </w:p>
              </w:tc>
              <w:tc>
                <w:tcPr>
                  <w:tcW w:w="906" w:type="dxa"/>
                  <w:vMerge w:val="continue"/>
                  <w:vAlign w:val="center"/>
                </w:tcPr>
                <w:p>
                  <w:pPr>
                    <w:jc w:val="center"/>
                    <w:rPr>
                      <w:rFonts w:ascii="Times New Roman" w:hAnsi="Times New Roman" w:eastAsia="宋体"/>
                      <w:bCs/>
                      <w:color w:val="auto"/>
                      <w:sz w:val="21"/>
                      <w:szCs w:val="21"/>
                    </w:rPr>
                  </w:pPr>
                </w:p>
              </w:tc>
              <w:tc>
                <w:tcPr>
                  <w:tcW w:w="2966" w:type="dxa"/>
                  <w:vAlign w:val="center"/>
                </w:tcPr>
                <w:p>
                  <w:pPr>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喷涂废气配套有1套过滤棉过滤和2套活性炭吸附的喷涂废气净化装置处理后通过一根不低于15m排气筒排放</w:t>
                  </w:r>
                </w:p>
              </w:tc>
              <w:tc>
                <w:tcPr>
                  <w:tcW w:w="3079" w:type="dxa"/>
                  <w:vAlign w:val="center"/>
                </w:tcPr>
                <w:p>
                  <w:pPr>
                    <w:pStyle w:val="27"/>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w:t>
                  </w:r>
                </w:p>
              </w:tc>
              <w:tc>
                <w:tcPr>
                  <w:tcW w:w="1208" w:type="dxa"/>
                  <w:vAlign w:val="center"/>
                </w:tcPr>
                <w:p>
                  <w:pPr>
                    <w:jc w:val="center"/>
                    <w:rPr>
                      <w:rFonts w:hint="default" w:ascii="Times New Roman" w:hAnsi="Times New Roman" w:eastAsia="宋体"/>
                      <w:bCs/>
                      <w:color w:val="auto"/>
                      <w:sz w:val="21"/>
                      <w:szCs w:val="21"/>
                      <w:lang w:val="en-US" w:eastAsia="zh-CN"/>
                    </w:rPr>
                  </w:pPr>
                  <w:r>
                    <w:rPr>
                      <w:rFonts w:hint="eastAsia" w:ascii="Times New Roman" w:hAnsi="Times New Roman" w:eastAsia="宋体"/>
                      <w:bCs/>
                      <w:color w:val="auto"/>
                      <w:sz w:val="21"/>
                      <w:szCs w:val="21"/>
                      <w:lang w:val="en-US" w:eastAsia="zh-CN"/>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5" w:type="dxa"/>
                  <w:vMerge w:val="continue"/>
                  <w:vAlign w:val="center"/>
                </w:tcPr>
                <w:p>
                  <w:pPr>
                    <w:jc w:val="center"/>
                    <w:rPr>
                      <w:rFonts w:ascii="Times New Roman" w:hAnsi="Times New Roman" w:eastAsia="宋体"/>
                      <w:bCs/>
                      <w:color w:val="auto"/>
                      <w:sz w:val="21"/>
                      <w:szCs w:val="21"/>
                    </w:rPr>
                  </w:pPr>
                </w:p>
              </w:tc>
              <w:tc>
                <w:tcPr>
                  <w:tcW w:w="906" w:type="dxa"/>
                  <w:vAlign w:val="center"/>
                </w:tcPr>
                <w:p>
                  <w:pPr>
                    <w:jc w:val="center"/>
                    <w:rPr>
                      <w:rFonts w:ascii="Times New Roman" w:hAnsi="Times New Roman" w:eastAsia="宋体"/>
                      <w:bCs/>
                      <w:color w:val="auto"/>
                      <w:sz w:val="21"/>
                      <w:szCs w:val="21"/>
                    </w:rPr>
                  </w:pPr>
                  <w:r>
                    <w:rPr>
                      <w:rFonts w:hint="eastAsia" w:ascii="Times New Roman" w:hAnsi="Times New Roman" w:eastAsia="宋体"/>
                      <w:bCs/>
                      <w:color w:val="auto"/>
                      <w:sz w:val="21"/>
                      <w:szCs w:val="21"/>
                    </w:rPr>
                    <w:t>废水治理</w:t>
                  </w:r>
                </w:p>
              </w:tc>
              <w:tc>
                <w:tcPr>
                  <w:tcW w:w="2966" w:type="dxa"/>
                  <w:vAlign w:val="center"/>
                </w:tcPr>
                <w:p>
                  <w:pPr>
                    <w:jc w:val="center"/>
                    <w:rPr>
                      <w:rFonts w:hint="default" w:ascii="Times New Roman" w:hAnsi="Times New Roman" w:eastAsia="宋体"/>
                      <w:bCs/>
                      <w:color w:val="auto"/>
                      <w:sz w:val="21"/>
                      <w:szCs w:val="21"/>
                      <w:lang w:val="en-US" w:eastAsia="zh-CN"/>
                    </w:rPr>
                  </w:pPr>
                  <w:r>
                    <w:rPr>
                      <w:rFonts w:hint="eastAsia" w:ascii="Times New Roman" w:hAnsi="Times New Roman" w:eastAsia="宋体"/>
                      <w:bCs/>
                      <w:color w:val="auto"/>
                      <w:sz w:val="21"/>
                      <w:szCs w:val="21"/>
                      <w:lang w:val="en-US" w:eastAsia="zh-CN"/>
                    </w:rPr>
                    <w:t>/</w:t>
                  </w:r>
                </w:p>
              </w:tc>
              <w:tc>
                <w:tcPr>
                  <w:tcW w:w="3079" w:type="dxa"/>
                  <w:vAlign w:val="center"/>
                </w:tcPr>
                <w:p>
                  <w:pPr>
                    <w:pStyle w:val="27"/>
                    <w:rPr>
                      <w:rFonts w:hint="eastAsia" w:ascii="Times New Roman" w:hAnsi="Times New Roman" w:eastAsia="宋体" w:cs="Times New Roman"/>
                      <w:bCs/>
                      <w:color w:val="auto"/>
                      <w:sz w:val="21"/>
                      <w:szCs w:val="21"/>
                      <w:lang w:val="en-US" w:eastAsia="zh-CN"/>
                    </w:rPr>
                  </w:pPr>
                  <w:r>
                    <w:rPr>
                      <w:rFonts w:ascii="Times New Roman" w:hAnsi="Times New Roman" w:eastAsia="宋体"/>
                    </w:rPr>
                    <w:t>水压试验、水泥砂浆制备和水泥涂衬、设备冲洗水产生的废水</w:t>
                  </w:r>
                  <w:r>
                    <w:rPr>
                      <w:rFonts w:hint="eastAsia" w:ascii="Times New Roman" w:hAnsi="Times New Roman" w:eastAsia="宋体"/>
                      <w:lang w:val="en-US" w:eastAsia="zh-CN"/>
                    </w:rPr>
                    <w:t>，经泥浆处理系统处理后循环使用</w:t>
                  </w:r>
                </w:p>
              </w:tc>
              <w:tc>
                <w:tcPr>
                  <w:tcW w:w="1208" w:type="dxa"/>
                  <w:vAlign w:val="center"/>
                </w:tcPr>
                <w:p>
                  <w:pPr>
                    <w:jc w:val="center"/>
                    <w:rPr>
                      <w:rFonts w:hint="default" w:ascii="Times New Roman" w:hAnsi="Times New Roman" w:eastAsia="宋体"/>
                      <w:bCs/>
                      <w:color w:val="auto"/>
                      <w:sz w:val="21"/>
                      <w:szCs w:val="21"/>
                      <w:lang w:val="en-US" w:eastAsia="zh-CN"/>
                    </w:rPr>
                  </w:pPr>
                  <w:r>
                    <w:rPr>
                      <w:rFonts w:hint="eastAsia" w:ascii="Times New Roman" w:hAnsi="Times New Roman" w:eastAsia="宋体"/>
                      <w:bCs/>
                      <w:color w:val="auto"/>
                      <w:sz w:val="21"/>
                      <w:szCs w:val="21"/>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5" w:type="dxa"/>
                  <w:vMerge w:val="continue"/>
                  <w:vAlign w:val="center"/>
                </w:tcPr>
                <w:p>
                  <w:pPr>
                    <w:jc w:val="center"/>
                    <w:rPr>
                      <w:rFonts w:ascii="Times New Roman" w:hAnsi="Times New Roman" w:eastAsia="宋体"/>
                      <w:bCs/>
                      <w:color w:val="auto"/>
                      <w:sz w:val="21"/>
                      <w:szCs w:val="21"/>
                    </w:rPr>
                  </w:pPr>
                </w:p>
              </w:tc>
              <w:tc>
                <w:tcPr>
                  <w:tcW w:w="906" w:type="dxa"/>
                  <w:vAlign w:val="center"/>
                </w:tcPr>
                <w:p>
                  <w:pPr>
                    <w:jc w:val="center"/>
                    <w:rPr>
                      <w:rFonts w:ascii="Times New Roman" w:hAnsi="Times New Roman" w:eastAsia="宋体"/>
                      <w:bCs/>
                      <w:color w:val="auto"/>
                      <w:sz w:val="21"/>
                      <w:szCs w:val="21"/>
                    </w:rPr>
                  </w:pPr>
                  <w:r>
                    <w:rPr>
                      <w:rFonts w:hint="eastAsia" w:ascii="Times New Roman" w:hAnsi="Times New Roman" w:eastAsia="宋体"/>
                      <w:bCs/>
                      <w:color w:val="auto"/>
                      <w:sz w:val="21"/>
                      <w:szCs w:val="21"/>
                    </w:rPr>
                    <w:t>噪声治理</w:t>
                  </w:r>
                </w:p>
              </w:tc>
              <w:tc>
                <w:tcPr>
                  <w:tcW w:w="2966" w:type="dxa"/>
                  <w:vAlign w:val="center"/>
                </w:tcPr>
                <w:p>
                  <w:pPr>
                    <w:jc w:val="center"/>
                    <w:rPr>
                      <w:rFonts w:hint="eastAsia" w:ascii="Times New Roman" w:hAnsi="Times New Roman" w:eastAsia="宋体"/>
                      <w:bCs/>
                      <w:color w:val="auto"/>
                      <w:sz w:val="21"/>
                      <w:szCs w:val="21"/>
                      <w:lang w:eastAsia="zh-CN"/>
                    </w:rPr>
                  </w:pPr>
                  <w:r>
                    <w:rPr>
                      <w:rFonts w:hint="eastAsia" w:ascii="Times New Roman" w:hAnsi="Times New Roman" w:eastAsia="宋体" w:cs="Times New Roman"/>
                      <w:color w:val="auto"/>
                      <w:sz w:val="21"/>
                      <w:szCs w:val="21"/>
                      <w:lang w:val="en-US" w:eastAsia="zh-CN"/>
                    </w:rPr>
                    <w:t>/</w:t>
                  </w:r>
                </w:p>
              </w:tc>
              <w:tc>
                <w:tcPr>
                  <w:tcW w:w="3079" w:type="dxa"/>
                  <w:vAlign w:val="center"/>
                </w:tcPr>
                <w:p>
                  <w:pPr>
                    <w:pStyle w:val="27"/>
                    <w:rPr>
                      <w:rFonts w:ascii="Times New Roman" w:hAnsi="Times New Roman" w:eastAsia="宋体" w:cs="Times New Roman"/>
                      <w:bCs/>
                      <w:color w:val="auto"/>
                      <w:sz w:val="21"/>
                      <w:szCs w:val="21"/>
                    </w:rPr>
                  </w:pPr>
                  <w:r>
                    <w:rPr>
                      <w:rFonts w:ascii="Times New Roman" w:hAnsi="Times New Roman" w:eastAsia="宋体" w:cs="Times New Roman"/>
                      <w:color w:val="auto"/>
                      <w:sz w:val="21"/>
                      <w:szCs w:val="21"/>
                    </w:rPr>
                    <w:t>优选低噪设备；设隔声、减震基座等</w:t>
                  </w:r>
                </w:p>
              </w:tc>
              <w:tc>
                <w:tcPr>
                  <w:tcW w:w="1208" w:type="dxa"/>
                  <w:vAlign w:val="center"/>
                </w:tcPr>
                <w:p>
                  <w:pPr>
                    <w:jc w:val="center"/>
                    <w:rPr>
                      <w:rFonts w:ascii="Times New Roman" w:hAnsi="Times New Roman" w:eastAsia="宋体"/>
                      <w:bCs/>
                      <w:color w:val="auto"/>
                      <w:sz w:val="21"/>
                      <w:szCs w:val="21"/>
                    </w:rPr>
                  </w:pPr>
                  <w:r>
                    <w:rPr>
                      <w:rFonts w:hint="eastAsia" w:ascii="Times New Roman" w:hAnsi="Times New Roman" w:eastAsia="宋体"/>
                      <w:bCs/>
                      <w:color w:val="auto"/>
                      <w:sz w:val="21"/>
                      <w:szCs w:val="21"/>
                      <w:lang w:val="en-US" w:eastAsia="zh-CN"/>
                    </w:rPr>
                    <w:t>依托现有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85" w:type="dxa"/>
                  <w:vMerge w:val="continue"/>
                  <w:vAlign w:val="center"/>
                </w:tcPr>
                <w:p>
                  <w:pPr>
                    <w:jc w:val="center"/>
                    <w:rPr>
                      <w:rFonts w:ascii="Times New Roman" w:hAnsi="Times New Roman" w:eastAsia="宋体"/>
                      <w:bCs/>
                      <w:color w:val="auto"/>
                      <w:sz w:val="21"/>
                      <w:szCs w:val="21"/>
                    </w:rPr>
                  </w:pPr>
                </w:p>
              </w:tc>
              <w:tc>
                <w:tcPr>
                  <w:tcW w:w="906" w:type="dxa"/>
                  <w:vAlign w:val="center"/>
                </w:tcPr>
                <w:p>
                  <w:pPr>
                    <w:jc w:val="center"/>
                    <w:rPr>
                      <w:rFonts w:ascii="Times New Roman" w:hAnsi="Times New Roman" w:eastAsia="宋体"/>
                      <w:bCs/>
                      <w:color w:val="auto"/>
                      <w:sz w:val="21"/>
                      <w:szCs w:val="21"/>
                    </w:rPr>
                  </w:pPr>
                  <w:r>
                    <w:rPr>
                      <w:rFonts w:hint="eastAsia" w:ascii="Times New Roman" w:hAnsi="Times New Roman" w:eastAsia="宋体"/>
                      <w:bCs/>
                      <w:color w:val="auto"/>
                      <w:sz w:val="21"/>
                      <w:szCs w:val="21"/>
                    </w:rPr>
                    <w:t>固废</w:t>
                  </w:r>
                </w:p>
              </w:tc>
              <w:tc>
                <w:tcPr>
                  <w:tcW w:w="2966" w:type="dxa"/>
                  <w:vAlign w:val="center"/>
                </w:tcPr>
                <w:p>
                  <w:pPr>
                    <w:jc w:val="center"/>
                    <w:rPr>
                      <w:rFonts w:ascii="Times New Roman" w:hAnsi="Times New Roman" w:eastAsia="宋体"/>
                      <w:bCs/>
                      <w:color w:val="auto"/>
                      <w:sz w:val="21"/>
                      <w:szCs w:val="21"/>
                    </w:rPr>
                  </w:pPr>
                  <w:r>
                    <w:rPr>
                      <w:rFonts w:hint="eastAsia" w:ascii="Times New Roman" w:hAnsi="Times New Roman" w:eastAsia="宋体"/>
                      <w:bCs/>
                      <w:color w:val="auto"/>
                      <w:sz w:val="21"/>
                      <w:szCs w:val="21"/>
                    </w:rPr>
                    <w:t>/</w:t>
                  </w:r>
                </w:p>
              </w:tc>
              <w:tc>
                <w:tcPr>
                  <w:tcW w:w="3079" w:type="dxa"/>
                  <w:vAlign w:val="center"/>
                </w:tcPr>
                <w:p>
                  <w:pPr>
                    <w:pStyle w:val="27"/>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不合格铸管、铸管边角料回炉熔炼，铁屑作高炉炼铁原料使用，含铁除尘灰作烧结原料使用；喷锌除尘灰、废油漆桶交由有资质单位处置，铝粉漆渣作腻子使用、其它漆渣交危废处置单位处置，废活性炭作炼铁燃料使用；生活垃圾由环卫部门定时清运。</w:t>
                  </w:r>
                </w:p>
              </w:tc>
              <w:tc>
                <w:tcPr>
                  <w:tcW w:w="1208" w:type="dxa"/>
                  <w:vAlign w:val="center"/>
                </w:tcPr>
                <w:p>
                  <w:pPr>
                    <w:jc w:val="center"/>
                    <w:rPr>
                      <w:rFonts w:hint="eastAsia" w:ascii="Times New Roman" w:hAnsi="Times New Roman" w:eastAsia="宋体"/>
                      <w:bCs/>
                      <w:color w:val="auto"/>
                      <w:sz w:val="21"/>
                      <w:szCs w:val="21"/>
                      <w:lang w:eastAsia="zh-CN"/>
                    </w:rPr>
                  </w:pPr>
                  <w:r>
                    <w:rPr>
                      <w:rFonts w:hint="eastAsia" w:ascii="Times New Roman" w:hAnsi="Times New Roman" w:eastAsia="宋体"/>
                      <w:bCs/>
                      <w:color w:val="auto"/>
                      <w:sz w:val="21"/>
                      <w:szCs w:val="21"/>
                      <w:lang w:val="en-US" w:eastAsia="zh-CN"/>
                    </w:rPr>
                    <w:t>依托</w:t>
                  </w:r>
                </w:p>
              </w:tc>
            </w:tr>
          </w:tbl>
          <w:p>
            <w:pPr>
              <w:spacing w:line="360" w:lineRule="auto"/>
              <w:ind w:left="105" w:leftChars="50" w:right="105" w:rightChars="50" w:firstLine="480" w:firstLineChars="200"/>
              <w:rPr>
                <w:rFonts w:ascii="Times New Roman" w:hAnsi="Times New Roman" w:eastAsia="宋体"/>
                <w:color w:val="auto"/>
                <w:sz w:val="24"/>
                <w:lang w:val="zh-CN"/>
              </w:rPr>
            </w:pPr>
            <w:r>
              <w:rPr>
                <w:rFonts w:ascii="Times New Roman" w:hAnsi="Times New Roman" w:eastAsia="宋体"/>
                <w:color w:val="auto"/>
                <w:sz w:val="24"/>
                <w:lang w:val="zh-CN"/>
              </w:rPr>
              <w:t>根据分析，本项目依托已建公辅设施主要为：供水、供电</w:t>
            </w:r>
            <w:r>
              <w:rPr>
                <w:rFonts w:ascii="Times New Roman" w:hAnsi="Times New Roman" w:eastAsia="宋体"/>
                <w:color w:val="auto"/>
                <w:sz w:val="24"/>
                <w:szCs w:val="22"/>
                <w:lang w:val="zh-CN"/>
              </w:rPr>
              <w:t>系统</w:t>
            </w:r>
            <w:r>
              <w:rPr>
                <w:rFonts w:ascii="Times New Roman" w:hAnsi="Times New Roman" w:eastAsia="宋体"/>
                <w:color w:val="auto"/>
                <w:sz w:val="24"/>
                <w:lang w:val="zh-CN"/>
              </w:rPr>
              <w:t>。依托情况及可行性分析如下：</w:t>
            </w:r>
          </w:p>
          <w:p>
            <w:pPr>
              <w:pStyle w:val="28"/>
              <w:spacing w:line="360" w:lineRule="auto"/>
              <w:ind w:left="105" w:leftChars="50" w:right="105" w:rightChars="50" w:firstLine="480" w:firstLineChars="200"/>
              <w:jc w:val="left"/>
              <w:rPr>
                <w:rFonts w:ascii="Times New Roman" w:hAnsi="Times New Roman" w:eastAsia="宋体"/>
                <w:color w:val="auto"/>
                <w:kern w:val="2"/>
                <w:sz w:val="24"/>
                <w:szCs w:val="22"/>
              </w:rPr>
            </w:pPr>
            <w:r>
              <w:rPr>
                <w:rFonts w:ascii="Times New Roman" w:hAnsi="Times New Roman" w:eastAsia="宋体"/>
                <w:color w:val="auto"/>
                <w:kern w:val="2"/>
                <w:sz w:val="24"/>
                <w:szCs w:val="22"/>
              </w:rPr>
              <w:t>①供电</w:t>
            </w:r>
          </w:p>
          <w:p>
            <w:pPr>
              <w:pStyle w:val="28"/>
              <w:spacing w:line="360" w:lineRule="auto"/>
              <w:ind w:left="105" w:leftChars="50" w:right="105" w:rightChars="50" w:firstLine="480" w:firstLineChars="200"/>
              <w:jc w:val="left"/>
              <w:rPr>
                <w:rFonts w:ascii="Times New Roman" w:hAnsi="Times New Roman" w:eastAsia="宋体"/>
                <w:color w:val="auto"/>
                <w:kern w:val="2"/>
                <w:sz w:val="24"/>
                <w:szCs w:val="22"/>
              </w:rPr>
            </w:pPr>
            <w:r>
              <w:rPr>
                <w:rFonts w:ascii="Times New Roman" w:hAnsi="Times New Roman" w:eastAsia="宋体"/>
                <w:color w:val="auto"/>
                <w:kern w:val="2"/>
                <w:sz w:val="24"/>
                <w:szCs w:val="22"/>
              </w:rPr>
              <w:t>本项目日常用电通过市政电网引入，原有供电系统即为服务本项目所在范围，能够满足本项目需求，依托可行。</w:t>
            </w:r>
          </w:p>
          <w:p>
            <w:pPr>
              <w:pStyle w:val="28"/>
              <w:spacing w:line="360" w:lineRule="auto"/>
              <w:ind w:left="105" w:leftChars="50" w:right="105" w:rightChars="50" w:firstLine="480" w:firstLineChars="200"/>
              <w:jc w:val="left"/>
              <w:rPr>
                <w:rFonts w:ascii="Times New Roman" w:hAnsi="Times New Roman" w:eastAsia="宋体"/>
                <w:color w:val="auto"/>
                <w:kern w:val="2"/>
                <w:sz w:val="24"/>
                <w:szCs w:val="22"/>
              </w:rPr>
            </w:pPr>
            <w:r>
              <w:rPr>
                <w:rFonts w:ascii="Times New Roman" w:hAnsi="Times New Roman" w:eastAsia="宋体"/>
                <w:color w:val="auto"/>
                <w:kern w:val="2"/>
                <w:sz w:val="24"/>
                <w:szCs w:val="22"/>
              </w:rPr>
              <w:t>②供水</w:t>
            </w:r>
          </w:p>
          <w:p>
            <w:pPr>
              <w:spacing w:line="360" w:lineRule="auto"/>
              <w:ind w:firstLine="480" w:firstLineChars="200"/>
              <w:rPr>
                <w:rFonts w:ascii="Times New Roman" w:hAnsi="Times New Roman" w:eastAsia="宋体"/>
                <w:color w:val="auto"/>
                <w:sz w:val="24"/>
                <w:szCs w:val="22"/>
              </w:rPr>
            </w:pPr>
            <w:r>
              <w:rPr>
                <w:rFonts w:ascii="Times New Roman" w:hAnsi="Times New Roman" w:eastAsia="宋体"/>
                <w:color w:val="auto"/>
                <w:sz w:val="24"/>
                <w:szCs w:val="22"/>
              </w:rPr>
              <w:t>本项目用水</w:t>
            </w:r>
            <w:r>
              <w:rPr>
                <w:rFonts w:hint="eastAsia" w:ascii="Times New Roman" w:hAnsi="Times New Roman" w:eastAsia="宋体"/>
                <w:color w:val="auto"/>
                <w:sz w:val="24"/>
                <w:szCs w:val="22"/>
              </w:rPr>
              <w:t>依托全公司供水系统</w:t>
            </w:r>
            <w:r>
              <w:rPr>
                <w:rFonts w:ascii="Times New Roman" w:hAnsi="Times New Roman" w:eastAsia="宋体"/>
                <w:color w:val="auto"/>
                <w:sz w:val="24"/>
                <w:szCs w:val="22"/>
              </w:rPr>
              <w:t>，原有供水系统即为服务本项目所在范围，能够满足本项目需求，本项目供水依托现有供水系统可行。</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（7）产品方案</w:t>
            </w:r>
          </w:p>
          <w:p>
            <w:pPr>
              <w:spacing w:line="360" w:lineRule="auto"/>
              <w:ind w:firstLine="482" w:firstLineChars="200"/>
              <w:jc w:val="center"/>
              <w:rPr>
                <w:rFonts w:hint="eastAsia"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表1-2 项目产品方案</w:t>
            </w:r>
          </w:p>
          <w:tbl>
            <w:tblPr>
              <w:tblStyle w:val="22"/>
              <w:tblW w:w="0" w:type="auto"/>
              <w:tblInd w:w="0" w:type="dxa"/>
              <w:tblLayout w:type="autofit"/>
              <w:tblCellMar>
                <w:top w:w="0" w:type="dxa"/>
                <w:left w:w="108" w:type="dxa"/>
                <w:bottom w:w="0" w:type="dxa"/>
                <w:right w:w="108" w:type="dxa"/>
              </w:tblCellMar>
            </w:tblPr>
            <w:tblGrid>
              <w:gridCol w:w="1043"/>
              <w:gridCol w:w="2305"/>
              <w:gridCol w:w="2754"/>
              <w:gridCol w:w="2732"/>
            </w:tblGrid>
            <w:tr>
              <w:tblPrEx>
                <w:tblCellMar>
                  <w:top w:w="0" w:type="dxa"/>
                  <w:left w:w="108" w:type="dxa"/>
                  <w:bottom w:w="0" w:type="dxa"/>
                  <w:right w:w="108" w:type="dxa"/>
                </w:tblCellMar>
              </w:tblPrEx>
              <w:trPr>
                <w:trHeight w:val="567" w:hRule="atLeast"/>
              </w:trPr>
              <w:tc>
                <w:tcPr>
                  <w:tcW w:w="1043" w:type="dxa"/>
                  <w:vMerge w:val="restart"/>
                  <w:tcBorders>
                    <w:top w:val="single" w:color="auto" w:sz="4" w:space="0"/>
                    <w:left w:val="single" w:color="auto" w:sz="4" w:space="0"/>
                    <w:right w:val="single" w:color="auto" w:sz="4" w:space="0"/>
                  </w:tcBorders>
                  <w:noWrap w:val="0"/>
                  <w:vAlign w:val="center"/>
                </w:tcPr>
                <w:p>
                  <w:pPr>
                    <w:widowControl/>
                    <w:spacing w:line="340" w:lineRule="exact"/>
                    <w:jc w:val="center"/>
                    <w:rPr>
                      <w:rFonts w:ascii="Times New Roman" w:hAnsi="Times New Roman" w:eastAsia="宋体"/>
                      <w:bCs/>
                      <w:color w:val="auto"/>
                      <w:kern w:val="0"/>
                      <w:sz w:val="21"/>
                      <w:szCs w:val="21"/>
                    </w:rPr>
                  </w:pPr>
                  <w:r>
                    <w:rPr>
                      <w:rFonts w:ascii="Times New Roman" w:hAnsi="Times New Roman" w:eastAsia="宋体"/>
                      <w:bCs/>
                      <w:color w:val="auto"/>
                      <w:kern w:val="0"/>
                      <w:sz w:val="21"/>
                      <w:szCs w:val="21"/>
                    </w:rPr>
                    <w:t>序号</w:t>
                  </w:r>
                </w:p>
              </w:tc>
              <w:tc>
                <w:tcPr>
                  <w:tcW w:w="2305"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Times New Roman" w:hAnsi="Times New Roman" w:eastAsia="宋体"/>
                      <w:bCs/>
                      <w:color w:val="auto"/>
                      <w:kern w:val="0"/>
                      <w:sz w:val="21"/>
                      <w:szCs w:val="21"/>
                    </w:rPr>
                  </w:pPr>
                  <w:r>
                    <w:rPr>
                      <w:rFonts w:ascii="Times New Roman" w:hAnsi="Times New Roman" w:eastAsia="宋体"/>
                      <w:bCs/>
                      <w:color w:val="auto"/>
                      <w:kern w:val="0"/>
                      <w:sz w:val="21"/>
                      <w:szCs w:val="21"/>
                    </w:rPr>
                    <w:t>产品</w:t>
                  </w:r>
                </w:p>
              </w:tc>
              <w:tc>
                <w:tcPr>
                  <w:tcW w:w="5486" w:type="dxa"/>
                  <w:gridSpan w:val="2"/>
                  <w:tcBorders>
                    <w:top w:val="single" w:color="auto" w:sz="4" w:space="0"/>
                    <w:left w:val="nil"/>
                    <w:bottom w:val="single" w:color="auto" w:sz="4" w:space="0"/>
                    <w:right w:val="single" w:color="auto" w:sz="4" w:space="0"/>
                  </w:tcBorders>
                  <w:noWrap w:val="0"/>
                  <w:vAlign w:val="center"/>
                </w:tcPr>
                <w:p>
                  <w:pPr>
                    <w:widowControl/>
                    <w:spacing w:line="340" w:lineRule="exact"/>
                    <w:jc w:val="center"/>
                    <w:rPr>
                      <w:rFonts w:hint="eastAsia" w:ascii="Times New Roman" w:hAnsi="Times New Roman" w:eastAsia="宋体"/>
                      <w:color w:val="auto"/>
                      <w:kern w:val="0"/>
                      <w:sz w:val="21"/>
                      <w:szCs w:val="21"/>
                      <w:lang w:val="en-US" w:eastAsia="zh-CN"/>
                    </w:rPr>
                  </w:pPr>
                  <w:r>
                    <w:rPr>
                      <w:rFonts w:hint="eastAsia" w:ascii="Times New Roman" w:hAnsi="Times New Roman" w:eastAsia="宋体"/>
                      <w:color w:val="auto"/>
                      <w:kern w:val="0"/>
                      <w:sz w:val="21"/>
                      <w:szCs w:val="21"/>
                      <w:lang w:val="en-US" w:eastAsia="zh-CN"/>
                    </w:rPr>
                    <w:t>生产规模</w:t>
                  </w:r>
                </w:p>
              </w:tc>
            </w:tr>
            <w:tr>
              <w:tblPrEx>
                <w:tblCellMar>
                  <w:top w:w="0" w:type="dxa"/>
                  <w:left w:w="108" w:type="dxa"/>
                  <w:bottom w:w="0" w:type="dxa"/>
                  <w:right w:w="108" w:type="dxa"/>
                </w:tblCellMar>
              </w:tblPrEx>
              <w:trPr>
                <w:trHeight w:val="567" w:hRule="atLeast"/>
              </w:trPr>
              <w:tc>
                <w:tcPr>
                  <w:tcW w:w="1043" w:type="dxa"/>
                  <w:vMerge w:val="continue"/>
                  <w:tcBorders>
                    <w:left w:val="single" w:color="auto" w:sz="4" w:space="0"/>
                    <w:bottom w:val="single" w:color="auto" w:sz="4" w:space="0"/>
                    <w:right w:val="single" w:color="auto" w:sz="4" w:space="0"/>
                  </w:tcBorders>
                  <w:noWrap w:val="0"/>
                  <w:vAlign w:val="center"/>
                </w:tcPr>
                <w:p>
                  <w:pPr>
                    <w:widowControl/>
                    <w:spacing w:line="340" w:lineRule="exact"/>
                    <w:jc w:val="center"/>
                    <w:rPr>
                      <w:rFonts w:ascii="Times New Roman" w:hAnsi="Times New Roman" w:eastAsia="宋体"/>
                      <w:bCs/>
                      <w:color w:val="auto"/>
                      <w:kern w:val="0"/>
                      <w:sz w:val="21"/>
                      <w:szCs w:val="21"/>
                    </w:rPr>
                  </w:pPr>
                </w:p>
              </w:tc>
              <w:tc>
                <w:tcPr>
                  <w:tcW w:w="2305"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40" w:lineRule="exact"/>
                    <w:jc w:val="center"/>
                    <w:rPr>
                      <w:rFonts w:ascii="Times New Roman" w:hAnsi="Times New Roman" w:eastAsia="宋体"/>
                      <w:bCs/>
                      <w:color w:val="auto"/>
                      <w:kern w:val="0"/>
                      <w:sz w:val="21"/>
                      <w:szCs w:val="21"/>
                    </w:rPr>
                  </w:pPr>
                </w:p>
              </w:tc>
              <w:tc>
                <w:tcPr>
                  <w:tcW w:w="2754" w:type="dxa"/>
                  <w:tcBorders>
                    <w:top w:val="nil"/>
                    <w:left w:val="nil"/>
                    <w:bottom w:val="single" w:color="auto" w:sz="4" w:space="0"/>
                    <w:right w:val="single" w:color="auto" w:sz="4" w:space="0"/>
                  </w:tcBorders>
                  <w:noWrap w:val="0"/>
                  <w:vAlign w:val="center"/>
                </w:tcPr>
                <w:p>
                  <w:pPr>
                    <w:widowControl/>
                    <w:spacing w:line="340" w:lineRule="exact"/>
                    <w:jc w:val="center"/>
                    <w:rPr>
                      <w:rFonts w:ascii="Times New Roman" w:hAnsi="Times New Roman" w:eastAsia="宋体"/>
                      <w:color w:val="auto"/>
                      <w:kern w:val="0"/>
                      <w:sz w:val="21"/>
                      <w:szCs w:val="21"/>
                    </w:rPr>
                  </w:pPr>
                  <w:r>
                    <w:rPr>
                      <w:rFonts w:ascii="Times New Roman" w:hAnsi="Times New Roman" w:eastAsia="宋体"/>
                      <w:color w:val="auto"/>
                      <w:kern w:val="0"/>
                      <w:sz w:val="21"/>
                      <w:szCs w:val="21"/>
                    </w:rPr>
                    <w:t>单位</w:t>
                  </w:r>
                </w:p>
              </w:tc>
              <w:tc>
                <w:tcPr>
                  <w:tcW w:w="2732" w:type="dxa"/>
                  <w:tcBorders>
                    <w:top w:val="nil"/>
                    <w:left w:val="nil"/>
                    <w:bottom w:val="single" w:color="auto" w:sz="4" w:space="0"/>
                    <w:right w:val="single" w:color="auto" w:sz="4" w:space="0"/>
                  </w:tcBorders>
                  <w:noWrap w:val="0"/>
                  <w:vAlign w:val="center"/>
                </w:tcPr>
                <w:p>
                  <w:pPr>
                    <w:widowControl/>
                    <w:spacing w:line="340" w:lineRule="exact"/>
                    <w:jc w:val="center"/>
                    <w:rPr>
                      <w:rFonts w:hint="eastAsia" w:ascii="Times New Roman" w:hAnsi="Times New Roman" w:eastAsia="宋体"/>
                      <w:color w:val="auto"/>
                      <w:kern w:val="0"/>
                      <w:sz w:val="21"/>
                      <w:szCs w:val="21"/>
                      <w:lang w:val="en-US" w:eastAsia="zh-CN"/>
                    </w:rPr>
                  </w:pPr>
                  <w:r>
                    <w:rPr>
                      <w:rFonts w:hint="eastAsia" w:ascii="Times New Roman" w:hAnsi="Times New Roman" w:eastAsia="宋体"/>
                      <w:color w:val="auto"/>
                      <w:kern w:val="0"/>
                      <w:sz w:val="21"/>
                      <w:szCs w:val="21"/>
                      <w:lang w:val="en-US" w:eastAsia="zh-CN"/>
                    </w:rPr>
                    <w:t>数量</w:t>
                  </w:r>
                </w:p>
              </w:tc>
            </w:tr>
            <w:tr>
              <w:tblPrEx>
                <w:tblCellMar>
                  <w:top w:w="0" w:type="dxa"/>
                  <w:left w:w="108" w:type="dxa"/>
                  <w:bottom w:w="0" w:type="dxa"/>
                  <w:right w:w="108" w:type="dxa"/>
                </w:tblCellMar>
              </w:tblPrEx>
              <w:trPr>
                <w:trHeight w:val="567" w:hRule="atLeast"/>
              </w:trPr>
              <w:tc>
                <w:tcPr>
                  <w:tcW w:w="104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Times New Roman" w:hAnsi="Times New Roman" w:eastAsia="宋体"/>
                      <w:bCs/>
                      <w:color w:val="auto"/>
                      <w:kern w:val="0"/>
                      <w:sz w:val="21"/>
                      <w:szCs w:val="21"/>
                    </w:rPr>
                  </w:pPr>
                  <w:r>
                    <w:rPr>
                      <w:rFonts w:hint="eastAsia" w:ascii="Times New Roman" w:hAnsi="Times New Roman" w:eastAsia="宋体" w:cs="宋体"/>
                      <w:color w:val="000000"/>
                      <w:kern w:val="0"/>
                      <w:sz w:val="21"/>
                      <w:szCs w:val="21"/>
                      <w:lang w:bidi="ar"/>
                    </w:rPr>
                    <w:t>1</w:t>
                  </w:r>
                </w:p>
              </w:tc>
              <w:tc>
                <w:tcPr>
                  <w:tcW w:w="2305"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default" w:ascii="Times New Roman" w:hAnsi="Times New Roman" w:eastAsia="宋体"/>
                      <w:bCs/>
                      <w:color w:val="auto"/>
                      <w:kern w:val="0"/>
                      <w:sz w:val="21"/>
                      <w:szCs w:val="21"/>
                      <w:lang w:val="en-US" w:eastAsia="zh-CN"/>
                    </w:rPr>
                  </w:pPr>
                  <w:r>
                    <w:rPr>
                      <w:rFonts w:hint="eastAsia" w:ascii="Times New Roman" w:hAnsi="Times New Roman" w:eastAsia="宋体" w:cs="宋体"/>
                      <w:color w:val="000000"/>
                      <w:kern w:val="0"/>
                      <w:sz w:val="21"/>
                      <w:szCs w:val="21"/>
                      <w:lang w:val="en-US" w:eastAsia="zh-CN" w:bidi="ar"/>
                    </w:rPr>
                    <w:t>球磨铸铁管</w:t>
                  </w:r>
                </w:p>
              </w:tc>
              <w:tc>
                <w:tcPr>
                  <w:tcW w:w="2754"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Times New Roman" w:hAnsi="Times New Roman" w:eastAsia="宋体"/>
                      <w:color w:val="auto"/>
                      <w:kern w:val="0"/>
                      <w:sz w:val="21"/>
                      <w:szCs w:val="21"/>
                      <w:lang w:eastAsia="zh-CN"/>
                    </w:rPr>
                  </w:pPr>
                  <w:r>
                    <w:rPr>
                      <w:rFonts w:hint="eastAsia" w:ascii="Times New Roman" w:hAnsi="Times New Roman" w:eastAsia="宋体" w:cs="宋体"/>
                      <w:kern w:val="0"/>
                      <w:sz w:val="21"/>
                      <w:szCs w:val="21"/>
                      <w:lang w:val="en-US" w:eastAsia="zh-CN"/>
                    </w:rPr>
                    <w:t>万吨</w:t>
                  </w:r>
                </w:p>
              </w:tc>
              <w:tc>
                <w:tcPr>
                  <w:tcW w:w="2732"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eastAsia="宋体"/>
                      <w:color w:val="auto"/>
                      <w:kern w:val="0"/>
                      <w:sz w:val="21"/>
                      <w:szCs w:val="21"/>
                      <w:lang w:val="en-US" w:eastAsia="zh-CN"/>
                    </w:rPr>
                  </w:pPr>
                  <w:r>
                    <w:rPr>
                      <w:rFonts w:hint="eastAsia" w:ascii="Times New Roman" w:hAnsi="Times New Roman" w:eastAsia="宋体" w:cs="宋体"/>
                      <w:kern w:val="0"/>
                      <w:sz w:val="21"/>
                      <w:szCs w:val="21"/>
                      <w:lang w:val="en-US" w:eastAsia="zh-CN"/>
                    </w:rPr>
                    <w:t>5.4</w:t>
                  </w:r>
                </w:p>
              </w:tc>
            </w:tr>
          </w:tbl>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（8）主要</w:t>
            </w:r>
            <w:r>
              <w:rPr>
                <w:rFonts w:hint="eastAsia" w:ascii="Times New Roman" w:hAnsi="Times New Roman" w:eastAsia="宋体"/>
                <w:color w:val="auto"/>
                <w:sz w:val="24"/>
                <w:szCs w:val="24"/>
              </w:rPr>
              <w:t>设备</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本项目</w:t>
            </w:r>
            <w:r>
              <w:rPr>
                <w:rFonts w:hint="eastAsia" w:ascii="Times New Roman" w:hAnsi="Times New Roman" w:eastAsia="宋体"/>
                <w:color w:val="auto"/>
                <w:sz w:val="24"/>
                <w:szCs w:val="24"/>
              </w:rPr>
              <w:t>主要设备见下表</w:t>
            </w:r>
            <w:r>
              <w:rPr>
                <w:rFonts w:ascii="Times New Roman" w:hAnsi="Times New Roman" w:eastAsia="宋体"/>
                <w:color w:val="auto"/>
                <w:sz w:val="24"/>
                <w:szCs w:val="24"/>
              </w:rPr>
              <w:t>：</w:t>
            </w:r>
          </w:p>
          <w:p>
            <w:pPr>
              <w:spacing w:line="360" w:lineRule="auto"/>
              <w:ind w:firstLine="482" w:firstLineChars="200"/>
              <w:jc w:val="center"/>
              <w:rPr>
                <w:rFonts w:ascii="Times New Roman" w:hAnsi="Times New Roman" w:eastAsia="宋体"/>
                <w:b/>
                <w:color w:val="auto"/>
                <w:sz w:val="24"/>
              </w:rPr>
            </w:pPr>
            <w:r>
              <w:rPr>
                <w:rFonts w:ascii="Times New Roman" w:hAnsi="Times New Roman" w:eastAsia="宋体"/>
                <w:b/>
                <w:color w:val="auto"/>
                <w:sz w:val="24"/>
              </w:rPr>
              <w:t>表1-</w:t>
            </w:r>
            <w:r>
              <w:rPr>
                <w:rFonts w:hint="eastAsia" w:ascii="Times New Roman" w:hAnsi="Times New Roman" w:eastAsia="宋体"/>
                <w:b/>
                <w:color w:val="auto"/>
                <w:sz w:val="24"/>
                <w:lang w:val="en-US" w:eastAsia="zh-CN"/>
              </w:rPr>
              <w:t>3</w:t>
            </w:r>
            <w:r>
              <w:rPr>
                <w:rFonts w:ascii="Times New Roman" w:hAnsi="Times New Roman" w:eastAsia="宋体"/>
                <w:b/>
                <w:color w:val="auto"/>
                <w:sz w:val="24"/>
              </w:rPr>
              <w:t xml:space="preserve">  主要设备一览表</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5"/>
              <w:gridCol w:w="1179"/>
              <w:gridCol w:w="1028"/>
              <w:gridCol w:w="1211"/>
              <w:gridCol w:w="4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pStyle w:val="2"/>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序号</w:t>
                  </w:r>
                </w:p>
              </w:tc>
              <w:tc>
                <w:tcPr>
                  <w:tcW w:w="1179" w:type="dxa"/>
                  <w:vAlign w:val="center"/>
                </w:tcPr>
                <w:p>
                  <w:pPr>
                    <w:pStyle w:val="2"/>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名称</w:t>
                  </w:r>
                </w:p>
              </w:tc>
              <w:tc>
                <w:tcPr>
                  <w:tcW w:w="1028" w:type="dxa"/>
                  <w:vAlign w:val="center"/>
                </w:tcPr>
                <w:p>
                  <w:pPr>
                    <w:pStyle w:val="2"/>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数量</w:t>
                  </w:r>
                </w:p>
              </w:tc>
              <w:tc>
                <w:tcPr>
                  <w:tcW w:w="1211" w:type="dxa"/>
                  <w:vAlign w:val="center"/>
                </w:tcPr>
                <w:p>
                  <w:pPr>
                    <w:pStyle w:val="2"/>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单位</w:t>
                  </w:r>
                </w:p>
              </w:tc>
              <w:tc>
                <w:tcPr>
                  <w:tcW w:w="4813" w:type="dxa"/>
                  <w:vAlign w:val="center"/>
                </w:tcPr>
                <w:p>
                  <w:pPr>
                    <w:pStyle w:val="2"/>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pStyle w:val="31"/>
                    <w:spacing w:before="33"/>
                    <w:ind w:left="91" w:leftChars="0" w:right="81" w:rightChars="0"/>
                    <w:jc w:val="center"/>
                    <w:rPr>
                      <w:rFonts w:ascii="Times New Roman" w:hAnsi="Times New Roman" w:eastAsia="宋体"/>
                      <w:sz w:val="21"/>
                      <w:szCs w:val="21"/>
                      <w:vertAlign w:val="baseline"/>
                    </w:rPr>
                  </w:pPr>
                  <w:r>
                    <w:rPr>
                      <w:rFonts w:ascii="Times New Roman" w:hAnsi="Times New Roman" w:eastAsia="宋体"/>
                      <w:color w:val="auto"/>
                      <w:sz w:val="21"/>
                      <w:szCs w:val="21"/>
                    </w:rPr>
                    <w:t>1</w:t>
                  </w:r>
                </w:p>
              </w:tc>
              <w:tc>
                <w:tcPr>
                  <w:tcW w:w="1179" w:type="dxa"/>
                  <w:vAlign w:val="center"/>
                </w:tcPr>
                <w:p>
                  <w:pPr>
                    <w:pStyle w:val="31"/>
                    <w:spacing w:before="33"/>
                    <w:ind w:left="91" w:leftChars="0" w:right="81" w:rightChars="0"/>
                    <w:jc w:val="center"/>
                    <w:rPr>
                      <w:rFonts w:ascii="Times New Roman" w:hAnsi="Times New Roman" w:eastAsia="宋体"/>
                      <w:sz w:val="21"/>
                      <w:szCs w:val="21"/>
                      <w:vertAlign w:val="baseline"/>
                    </w:rPr>
                  </w:pPr>
                  <w:r>
                    <w:rPr>
                      <w:rFonts w:hint="eastAsia" w:ascii="Times New Roman" w:hAnsi="Times New Roman" w:eastAsia="宋体"/>
                      <w:color w:val="auto"/>
                      <w:sz w:val="21"/>
                      <w:szCs w:val="21"/>
                      <w:lang w:val="en-US" w:eastAsia="zh-CN"/>
                    </w:rPr>
                    <w:t>喷锌机</w:t>
                  </w:r>
                </w:p>
              </w:tc>
              <w:tc>
                <w:tcPr>
                  <w:tcW w:w="1028" w:type="dxa"/>
                  <w:vAlign w:val="center"/>
                </w:tcPr>
                <w:p>
                  <w:pPr>
                    <w:pStyle w:val="31"/>
                    <w:spacing w:before="33"/>
                    <w:ind w:left="91" w:leftChars="0" w:right="81" w:rightChars="0"/>
                    <w:jc w:val="center"/>
                    <w:rPr>
                      <w:rFonts w:ascii="Times New Roman" w:hAnsi="Times New Roman" w:eastAsia="宋体"/>
                      <w:sz w:val="21"/>
                      <w:szCs w:val="21"/>
                      <w:vertAlign w:val="baseline"/>
                    </w:rPr>
                  </w:pPr>
                  <w:r>
                    <w:rPr>
                      <w:rFonts w:hint="eastAsia" w:ascii="Times New Roman" w:hAnsi="Times New Roman" w:eastAsia="宋体"/>
                      <w:color w:val="auto"/>
                      <w:sz w:val="21"/>
                      <w:szCs w:val="21"/>
                      <w:lang w:val="en-US" w:eastAsia="zh-CN"/>
                    </w:rPr>
                    <w:t>1</w:t>
                  </w:r>
                </w:p>
              </w:tc>
              <w:tc>
                <w:tcPr>
                  <w:tcW w:w="1211" w:type="dxa"/>
                  <w:vAlign w:val="center"/>
                </w:tcPr>
                <w:p>
                  <w:pPr>
                    <w:pStyle w:val="31"/>
                    <w:spacing w:before="49"/>
                    <w:jc w:val="center"/>
                    <w:rPr>
                      <w:rFonts w:ascii="Times New Roman" w:hAnsi="Times New Roman" w:eastAsia="宋体"/>
                      <w:sz w:val="21"/>
                      <w:szCs w:val="21"/>
                      <w:vertAlign w:val="baseline"/>
                    </w:rPr>
                  </w:pPr>
                  <w:r>
                    <w:rPr>
                      <w:rFonts w:hint="eastAsia" w:ascii="Times New Roman" w:hAnsi="Times New Roman" w:eastAsia="宋体"/>
                      <w:color w:val="auto"/>
                      <w:w w:val="99"/>
                      <w:sz w:val="21"/>
                      <w:szCs w:val="21"/>
                      <w:lang w:val="en-US" w:eastAsia="zh-CN"/>
                    </w:rPr>
                    <w:t>套</w:t>
                  </w:r>
                </w:p>
              </w:tc>
              <w:tc>
                <w:tcPr>
                  <w:tcW w:w="4813" w:type="dxa"/>
                  <w:vAlign w:val="center"/>
                </w:tcPr>
                <w:p>
                  <w:pPr>
                    <w:pStyle w:val="2"/>
                    <w:jc w:val="center"/>
                    <w:rPr>
                      <w:rFonts w:ascii="Times New Roman" w:hAnsi="Times New Roman" w:eastAsia="宋体"/>
                      <w:sz w:val="21"/>
                      <w:szCs w:val="21"/>
                      <w:vertAlign w:val="baseline"/>
                    </w:rPr>
                  </w:pPr>
                  <w:r>
                    <w:rPr>
                      <w:rFonts w:hint="eastAsia" w:ascii="Times New Roman" w:hAnsi="Times New Roman" w:eastAsia="宋体"/>
                      <w:color w:val="auto"/>
                      <w:sz w:val="21"/>
                      <w:szCs w:val="21"/>
                    </w:rPr>
                    <w:t>包括喷锌运管车、喷枪调整机构、封闭框架等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pStyle w:val="2"/>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2</w:t>
                  </w:r>
                </w:p>
              </w:tc>
              <w:tc>
                <w:tcPr>
                  <w:tcW w:w="1179" w:type="dxa"/>
                  <w:vAlign w:val="center"/>
                </w:tcPr>
                <w:p>
                  <w:pPr>
                    <w:pStyle w:val="2"/>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水压机</w:t>
                  </w:r>
                </w:p>
              </w:tc>
              <w:tc>
                <w:tcPr>
                  <w:tcW w:w="1028" w:type="dxa"/>
                  <w:vAlign w:val="center"/>
                </w:tcPr>
                <w:p>
                  <w:pPr>
                    <w:pStyle w:val="2"/>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1</w:t>
                  </w:r>
                </w:p>
              </w:tc>
              <w:tc>
                <w:tcPr>
                  <w:tcW w:w="1211" w:type="dxa"/>
                  <w:vAlign w:val="center"/>
                </w:tcPr>
                <w:p>
                  <w:pPr>
                    <w:pStyle w:val="2"/>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套</w:t>
                  </w:r>
                </w:p>
              </w:tc>
              <w:tc>
                <w:tcPr>
                  <w:tcW w:w="4813" w:type="dxa"/>
                  <w:vAlign w:val="center"/>
                </w:tcPr>
                <w:p>
                  <w:pPr>
                    <w:pStyle w:val="2"/>
                    <w:jc w:val="center"/>
                    <w:rPr>
                      <w:rFonts w:ascii="Times New Roman" w:hAnsi="Times New Roman" w:eastAsia="宋体"/>
                      <w:sz w:val="21"/>
                      <w:szCs w:val="21"/>
                      <w:vertAlign w:val="baseline"/>
                    </w:rPr>
                  </w:pPr>
                  <w:r>
                    <w:rPr>
                      <w:rFonts w:hint="eastAsia" w:ascii="Times New Roman" w:hAnsi="Times New Roman" w:eastAsia="宋体"/>
                      <w:sz w:val="21"/>
                      <w:szCs w:val="21"/>
                      <w:vertAlign w:val="baseline"/>
                    </w:rPr>
                    <w:t>包括叉管车、输送链条、水压机本体、举升V辊等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pStyle w:val="2"/>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3</w:t>
                  </w:r>
                </w:p>
              </w:tc>
              <w:tc>
                <w:tcPr>
                  <w:tcW w:w="1179" w:type="dxa"/>
                  <w:vAlign w:val="center"/>
                </w:tcPr>
                <w:p>
                  <w:pPr>
                    <w:pStyle w:val="2"/>
                    <w:jc w:val="center"/>
                    <w:rPr>
                      <w:rFonts w:ascii="Times New Roman" w:hAnsi="Times New Roman" w:eastAsia="宋体"/>
                      <w:sz w:val="21"/>
                      <w:szCs w:val="21"/>
                      <w:vertAlign w:val="baseline"/>
                    </w:rPr>
                  </w:pPr>
                  <w:r>
                    <w:rPr>
                      <w:rFonts w:hint="eastAsia" w:ascii="Times New Roman" w:hAnsi="Times New Roman" w:eastAsia="宋体"/>
                      <w:sz w:val="21"/>
                      <w:szCs w:val="21"/>
                      <w:vertAlign w:val="baseline"/>
                    </w:rPr>
                    <w:t>涂衬机</w:t>
                  </w:r>
                </w:p>
              </w:tc>
              <w:tc>
                <w:tcPr>
                  <w:tcW w:w="1028" w:type="dxa"/>
                  <w:vAlign w:val="center"/>
                </w:tcPr>
                <w:p>
                  <w:pPr>
                    <w:pStyle w:val="2"/>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1</w:t>
                  </w:r>
                </w:p>
              </w:tc>
              <w:tc>
                <w:tcPr>
                  <w:tcW w:w="1211" w:type="dxa"/>
                  <w:vAlign w:val="center"/>
                </w:tcPr>
                <w:p>
                  <w:pPr>
                    <w:pStyle w:val="2"/>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套</w:t>
                  </w:r>
                </w:p>
              </w:tc>
              <w:tc>
                <w:tcPr>
                  <w:tcW w:w="4813" w:type="dxa"/>
                  <w:vAlign w:val="center"/>
                </w:tcPr>
                <w:p>
                  <w:pPr>
                    <w:pStyle w:val="2"/>
                    <w:jc w:val="center"/>
                    <w:rPr>
                      <w:rFonts w:ascii="Times New Roman" w:hAnsi="Times New Roman" w:eastAsia="宋体"/>
                      <w:sz w:val="21"/>
                      <w:szCs w:val="21"/>
                      <w:vertAlign w:val="baseline"/>
                    </w:rPr>
                  </w:pPr>
                  <w:r>
                    <w:rPr>
                      <w:rFonts w:hint="eastAsia" w:ascii="Times New Roman" w:hAnsi="Times New Roman" w:eastAsia="宋体" w:cs="宋体"/>
                      <w:sz w:val="21"/>
                      <w:szCs w:val="21"/>
                    </w:rPr>
                    <w:t>包含运管车、主从动托轮组（涂衬前上堵头工位）、布料车、新型皮带涂衬机组、主从动托轮组（涂衬后下堵头工位）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85" w:type="dxa"/>
                  <w:vAlign w:val="center"/>
                </w:tcPr>
                <w:p>
                  <w:pPr>
                    <w:pStyle w:val="2"/>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4</w:t>
                  </w:r>
                </w:p>
              </w:tc>
              <w:tc>
                <w:tcPr>
                  <w:tcW w:w="1179" w:type="dxa"/>
                  <w:vAlign w:val="center"/>
                </w:tcPr>
                <w:p>
                  <w:pPr>
                    <w:pStyle w:val="2"/>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内磨机</w:t>
                  </w:r>
                </w:p>
              </w:tc>
              <w:tc>
                <w:tcPr>
                  <w:tcW w:w="1028" w:type="dxa"/>
                  <w:vAlign w:val="center"/>
                </w:tcPr>
                <w:p>
                  <w:pPr>
                    <w:pStyle w:val="2"/>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1</w:t>
                  </w:r>
                </w:p>
              </w:tc>
              <w:tc>
                <w:tcPr>
                  <w:tcW w:w="1211" w:type="dxa"/>
                  <w:vAlign w:val="center"/>
                </w:tcPr>
                <w:p>
                  <w:pPr>
                    <w:pStyle w:val="2"/>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套</w:t>
                  </w:r>
                </w:p>
              </w:tc>
              <w:tc>
                <w:tcPr>
                  <w:tcW w:w="4813" w:type="dxa"/>
                  <w:vAlign w:val="center"/>
                </w:tcPr>
                <w:p>
                  <w:pPr>
                    <w:pStyle w:val="2"/>
                    <w:jc w:val="center"/>
                    <w:rPr>
                      <w:rFonts w:hint="eastAsia" w:ascii="Times New Roman" w:hAnsi="Times New Roman" w:eastAsia="宋体" w:cs="宋体"/>
                      <w:sz w:val="21"/>
                      <w:szCs w:val="21"/>
                    </w:rPr>
                  </w:pPr>
                  <w:r>
                    <w:rPr>
                      <w:rFonts w:hint="eastAsia" w:ascii="Times New Roman" w:hAnsi="Times New Roman" w:eastAsia="宋体" w:cs="宋体"/>
                      <w:sz w:val="21"/>
                      <w:szCs w:val="21"/>
                    </w:rPr>
                    <w:t>包含水泥内磨机8台（四工位对头磨形式），双联运管车1套、主从动托轮组6套、插口水泥衬倒角机2台、主从动锥托轮组1套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pStyle w:val="2"/>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5</w:t>
                  </w:r>
                </w:p>
              </w:tc>
              <w:tc>
                <w:tcPr>
                  <w:tcW w:w="1179" w:type="dxa"/>
                  <w:vAlign w:val="center"/>
                </w:tcPr>
                <w:p>
                  <w:pPr>
                    <w:pStyle w:val="2"/>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天车</w:t>
                  </w:r>
                </w:p>
              </w:tc>
              <w:tc>
                <w:tcPr>
                  <w:tcW w:w="1028" w:type="dxa"/>
                  <w:vAlign w:val="center"/>
                </w:tcPr>
                <w:p>
                  <w:pPr>
                    <w:pStyle w:val="2"/>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2</w:t>
                  </w:r>
                </w:p>
              </w:tc>
              <w:tc>
                <w:tcPr>
                  <w:tcW w:w="1211" w:type="dxa"/>
                  <w:vAlign w:val="center"/>
                </w:tcPr>
                <w:p>
                  <w:pPr>
                    <w:pStyle w:val="2"/>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台</w:t>
                  </w:r>
                </w:p>
              </w:tc>
              <w:tc>
                <w:tcPr>
                  <w:tcW w:w="4813" w:type="dxa"/>
                  <w:vAlign w:val="center"/>
                </w:tcPr>
                <w:p>
                  <w:pPr>
                    <w:pStyle w:val="2"/>
                    <w:jc w:val="center"/>
                    <w:rPr>
                      <w:rFonts w:hint="default"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10t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pStyle w:val="2"/>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6</w:t>
                  </w:r>
                </w:p>
              </w:tc>
              <w:tc>
                <w:tcPr>
                  <w:tcW w:w="1179" w:type="dxa"/>
                  <w:vAlign w:val="center"/>
                </w:tcPr>
                <w:p>
                  <w:pPr>
                    <w:pStyle w:val="2"/>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砂浆制备系统</w:t>
                  </w:r>
                </w:p>
              </w:tc>
              <w:tc>
                <w:tcPr>
                  <w:tcW w:w="1028" w:type="dxa"/>
                  <w:vAlign w:val="center"/>
                </w:tcPr>
                <w:p>
                  <w:pPr>
                    <w:pStyle w:val="2"/>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1</w:t>
                  </w:r>
                </w:p>
              </w:tc>
              <w:tc>
                <w:tcPr>
                  <w:tcW w:w="1211" w:type="dxa"/>
                  <w:vAlign w:val="center"/>
                </w:tcPr>
                <w:p>
                  <w:pPr>
                    <w:pStyle w:val="2"/>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套</w:t>
                  </w:r>
                </w:p>
              </w:tc>
              <w:tc>
                <w:tcPr>
                  <w:tcW w:w="4813" w:type="dxa"/>
                  <w:vAlign w:val="center"/>
                </w:tcPr>
                <w:p>
                  <w:pPr>
                    <w:pStyle w:val="2"/>
                    <w:jc w:val="center"/>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eastAsia="zh-CN"/>
                    </w:rPr>
                    <w:t>含</w:t>
                  </w:r>
                  <w:r>
                    <w:rPr>
                      <w:rFonts w:hint="eastAsia" w:ascii="Times New Roman" w:hAnsi="Times New Roman" w:eastAsia="宋体" w:cs="宋体"/>
                      <w:sz w:val="21"/>
                      <w:szCs w:val="21"/>
                    </w:rPr>
                    <w:t>三种水泥和两种砂子的储存、输送、称量和配料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pStyle w:val="2"/>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7</w:t>
                  </w:r>
                </w:p>
              </w:tc>
              <w:tc>
                <w:tcPr>
                  <w:tcW w:w="1179" w:type="dxa"/>
                  <w:vAlign w:val="center"/>
                </w:tcPr>
                <w:p>
                  <w:pPr>
                    <w:pStyle w:val="2"/>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泥浆处理系统</w:t>
                  </w:r>
                </w:p>
              </w:tc>
              <w:tc>
                <w:tcPr>
                  <w:tcW w:w="1028" w:type="dxa"/>
                  <w:vAlign w:val="center"/>
                </w:tcPr>
                <w:p>
                  <w:pPr>
                    <w:pStyle w:val="2"/>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1</w:t>
                  </w:r>
                </w:p>
              </w:tc>
              <w:tc>
                <w:tcPr>
                  <w:tcW w:w="1211" w:type="dxa"/>
                  <w:vAlign w:val="center"/>
                </w:tcPr>
                <w:p>
                  <w:pPr>
                    <w:pStyle w:val="2"/>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套</w:t>
                  </w:r>
                </w:p>
              </w:tc>
              <w:tc>
                <w:tcPr>
                  <w:tcW w:w="4813" w:type="dxa"/>
                  <w:vAlign w:val="center"/>
                </w:tcPr>
                <w:p>
                  <w:pPr>
                    <w:pStyle w:val="2"/>
                    <w:jc w:val="center"/>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主要设备包括：泥浆泵、洗砂机、浓密机、烘干机等组成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pStyle w:val="2"/>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8</w:t>
                  </w:r>
                </w:p>
              </w:tc>
              <w:tc>
                <w:tcPr>
                  <w:tcW w:w="1179"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rPr>
                    <w:t>切环机</w:t>
                  </w:r>
                </w:p>
              </w:tc>
              <w:tc>
                <w:tcPr>
                  <w:tcW w:w="1028" w:type="dxa"/>
                  <w:vAlign w:val="center"/>
                </w:tcPr>
                <w:p>
                  <w:pPr>
                    <w:pStyle w:val="2"/>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1</w:t>
                  </w:r>
                </w:p>
              </w:tc>
              <w:tc>
                <w:tcPr>
                  <w:tcW w:w="1211" w:type="dxa"/>
                  <w:vAlign w:val="center"/>
                </w:tcPr>
                <w:p>
                  <w:pPr>
                    <w:pStyle w:val="2"/>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台</w:t>
                  </w:r>
                </w:p>
              </w:tc>
              <w:tc>
                <w:tcPr>
                  <w:tcW w:w="4813" w:type="dxa"/>
                  <w:vMerge w:val="restart"/>
                  <w:vAlign w:val="center"/>
                </w:tcPr>
                <w:p>
                  <w:pPr>
                    <w:pStyle w:val="2"/>
                    <w:jc w:val="center"/>
                    <w:rPr>
                      <w:rFonts w:hint="default"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依托原有特喷线设备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pStyle w:val="2"/>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9</w:t>
                  </w:r>
                </w:p>
              </w:tc>
              <w:tc>
                <w:tcPr>
                  <w:tcW w:w="1179"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rPr>
                    <w:t>校圆机</w:t>
                  </w:r>
                </w:p>
              </w:tc>
              <w:tc>
                <w:tcPr>
                  <w:tcW w:w="1028" w:type="dxa"/>
                  <w:vAlign w:val="center"/>
                </w:tcPr>
                <w:p>
                  <w:pPr>
                    <w:pStyle w:val="2"/>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1</w:t>
                  </w:r>
                </w:p>
              </w:tc>
              <w:tc>
                <w:tcPr>
                  <w:tcW w:w="1211"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台</w:t>
                  </w:r>
                </w:p>
              </w:tc>
              <w:tc>
                <w:tcPr>
                  <w:tcW w:w="4813" w:type="dxa"/>
                  <w:vMerge w:val="continue"/>
                  <w:tcBorders/>
                  <w:vAlign w:val="center"/>
                </w:tcPr>
                <w:p>
                  <w:pPr>
                    <w:pStyle w:val="2"/>
                    <w:jc w:val="center"/>
                    <w:rPr>
                      <w:rFonts w:hint="eastAsia" w:ascii="Times New Roman" w:hAnsi="Times New Roman" w:eastAsia="宋体" w:cs="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pStyle w:val="2"/>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10</w:t>
                  </w:r>
                </w:p>
              </w:tc>
              <w:tc>
                <w:tcPr>
                  <w:tcW w:w="1179"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rPr>
                    <w:t>外倒角机</w:t>
                  </w:r>
                </w:p>
              </w:tc>
              <w:tc>
                <w:tcPr>
                  <w:tcW w:w="1028" w:type="dxa"/>
                  <w:vAlign w:val="center"/>
                </w:tcPr>
                <w:p>
                  <w:pPr>
                    <w:pStyle w:val="2"/>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1</w:t>
                  </w:r>
                </w:p>
              </w:tc>
              <w:tc>
                <w:tcPr>
                  <w:tcW w:w="1211"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台</w:t>
                  </w:r>
                </w:p>
              </w:tc>
              <w:tc>
                <w:tcPr>
                  <w:tcW w:w="4813" w:type="dxa"/>
                  <w:vMerge w:val="continue"/>
                  <w:tcBorders/>
                  <w:vAlign w:val="center"/>
                </w:tcPr>
                <w:p>
                  <w:pPr>
                    <w:pStyle w:val="2"/>
                    <w:jc w:val="center"/>
                    <w:rPr>
                      <w:rFonts w:hint="eastAsia" w:ascii="Times New Roman" w:hAnsi="Times New Roman" w:eastAsia="宋体" w:cs="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pStyle w:val="2"/>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11</w:t>
                  </w:r>
                </w:p>
              </w:tc>
              <w:tc>
                <w:tcPr>
                  <w:tcW w:w="1179"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rPr>
                    <w:t>内倒角机</w:t>
                  </w:r>
                </w:p>
              </w:tc>
              <w:tc>
                <w:tcPr>
                  <w:tcW w:w="1028" w:type="dxa"/>
                  <w:vAlign w:val="center"/>
                </w:tcPr>
                <w:p>
                  <w:pPr>
                    <w:pStyle w:val="2"/>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1</w:t>
                  </w:r>
                </w:p>
              </w:tc>
              <w:tc>
                <w:tcPr>
                  <w:tcW w:w="1211"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台</w:t>
                  </w:r>
                </w:p>
              </w:tc>
              <w:tc>
                <w:tcPr>
                  <w:tcW w:w="4813" w:type="dxa"/>
                  <w:vMerge w:val="continue"/>
                  <w:tcBorders/>
                  <w:vAlign w:val="center"/>
                </w:tcPr>
                <w:p>
                  <w:pPr>
                    <w:pStyle w:val="2"/>
                    <w:jc w:val="center"/>
                    <w:rPr>
                      <w:rFonts w:hint="eastAsia" w:ascii="Times New Roman" w:hAnsi="Times New Roman" w:eastAsia="宋体" w:cs="宋体"/>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16" w:type="dxa"/>
                  <w:gridSpan w:val="5"/>
                  <w:tcBorders/>
                  <w:vAlign w:val="center"/>
                </w:tcPr>
                <w:p>
                  <w:pPr>
                    <w:pStyle w:val="2"/>
                    <w:jc w:val="center"/>
                    <w:rPr>
                      <w:rFonts w:hint="default"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喷涂车间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rPr>
                    <w:t>1</w:t>
                  </w:r>
                </w:p>
              </w:tc>
              <w:tc>
                <w:tcPr>
                  <w:tcW w:w="1179" w:type="dxa"/>
                  <w:vAlign w:val="bottom"/>
                </w:tcPr>
                <w:p>
                  <w:pPr>
                    <w:shd w:val="solid" w:color="FFFFFF" w:fill="auto"/>
                    <w:autoSpaceDN w:val="0"/>
                    <w:jc w:val="center"/>
                    <w:textAlignment w:val="center"/>
                    <w:rPr>
                      <w:rFonts w:hint="eastAsia" w:ascii="Times New Roman" w:hAnsi="Times New Roman" w:eastAsia="宋体"/>
                      <w:color w:val="000000"/>
                      <w:szCs w:val="21"/>
                    </w:rPr>
                  </w:pPr>
                  <w:r>
                    <w:rPr>
                      <w:rFonts w:hint="eastAsia" w:ascii="Times New Roman" w:hAnsi="Times New Roman" w:eastAsia="宋体"/>
                      <w:color w:val="000000"/>
                      <w:szCs w:val="21"/>
                      <w:shd w:val="clear" w:color="auto" w:fill="FFFFFF"/>
                    </w:rPr>
                    <w:t>对中机</w:t>
                  </w:r>
                </w:p>
              </w:tc>
              <w:tc>
                <w:tcPr>
                  <w:tcW w:w="1028" w:type="dxa"/>
                  <w:vAlign w:val="center"/>
                </w:tcPr>
                <w:p>
                  <w:pPr>
                    <w:pStyle w:val="2"/>
                    <w:jc w:val="center"/>
                    <w:rPr>
                      <w:rFonts w:hint="default"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台/套</w:t>
                  </w:r>
                </w:p>
              </w:tc>
              <w:tc>
                <w:tcPr>
                  <w:tcW w:w="1211" w:type="dxa"/>
                  <w:vAlign w:val="center"/>
                </w:tcPr>
                <w:p>
                  <w:pPr>
                    <w:shd w:val="solid" w:color="FFFFFF" w:fill="auto"/>
                    <w:autoSpaceDN w:val="0"/>
                    <w:jc w:val="center"/>
                    <w:textAlignment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shd w:val="clear" w:color="auto" w:fill="FFFFFF"/>
                    </w:rPr>
                    <w:t>1</w:t>
                  </w:r>
                </w:p>
              </w:tc>
              <w:tc>
                <w:tcPr>
                  <w:tcW w:w="4813" w:type="dxa"/>
                  <w:tcBorders/>
                  <w:vAlign w:val="center"/>
                </w:tcPr>
                <w:p>
                  <w:pPr>
                    <w:jc w:val="center"/>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依托原有特喷线设备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85"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rPr>
                    <w:t>2</w:t>
                  </w:r>
                </w:p>
              </w:tc>
              <w:tc>
                <w:tcPr>
                  <w:tcW w:w="1179" w:type="dxa"/>
                  <w:vAlign w:val="bottom"/>
                </w:tcPr>
                <w:p>
                  <w:pPr>
                    <w:shd w:val="solid" w:color="FFFFFF" w:fill="auto"/>
                    <w:autoSpaceDN w:val="0"/>
                    <w:jc w:val="center"/>
                    <w:textAlignment w:val="center"/>
                    <w:rPr>
                      <w:rFonts w:hint="eastAsia" w:ascii="Times New Roman" w:hAnsi="Times New Roman" w:eastAsia="宋体"/>
                      <w:color w:val="000000"/>
                      <w:szCs w:val="21"/>
                    </w:rPr>
                  </w:pPr>
                  <w:r>
                    <w:rPr>
                      <w:rFonts w:ascii="Times New Roman" w:hAnsi="Times New Roman" w:eastAsia="宋体"/>
                      <w:color w:val="000000"/>
                      <w:szCs w:val="21"/>
                    </w:rPr>
                    <w:t>加热炉</w:t>
                  </w:r>
                </w:p>
              </w:tc>
              <w:tc>
                <w:tcPr>
                  <w:tcW w:w="1028"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台/套</w:t>
                  </w:r>
                </w:p>
              </w:tc>
              <w:tc>
                <w:tcPr>
                  <w:tcW w:w="1211" w:type="dxa"/>
                  <w:vAlign w:val="center"/>
                </w:tcPr>
                <w:p>
                  <w:pPr>
                    <w:shd w:val="solid" w:color="FFFFFF" w:fill="auto"/>
                    <w:autoSpaceDN w:val="0"/>
                    <w:jc w:val="center"/>
                    <w:textAlignment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shd w:val="clear" w:color="auto" w:fill="FFFFFF"/>
                    </w:rPr>
                    <w:t>2</w:t>
                  </w:r>
                </w:p>
              </w:tc>
              <w:tc>
                <w:tcPr>
                  <w:tcW w:w="4813" w:type="dxa"/>
                  <w:tcBorders/>
                  <w:vAlign w:val="center"/>
                </w:tcPr>
                <w:p>
                  <w:pPr>
                    <w:jc w:val="center"/>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依托原有特喷线设备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rPr>
                    <w:t>3</w:t>
                  </w:r>
                </w:p>
              </w:tc>
              <w:tc>
                <w:tcPr>
                  <w:tcW w:w="1179" w:type="dxa"/>
                  <w:vAlign w:val="bottom"/>
                </w:tcPr>
                <w:p>
                  <w:pPr>
                    <w:shd w:val="solid" w:color="FFFFFF" w:fill="auto"/>
                    <w:autoSpaceDN w:val="0"/>
                    <w:jc w:val="center"/>
                    <w:textAlignment w:val="center"/>
                    <w:rPr>
                      <w:rFonts w:hint="eastAsia" w:ascii="Times New Roman" w:hAnsi="Times New Roman" w:eastAsia="宋体"/>
                      <w:color w:val="000000"/>
                      <w:szCs w:val="21"/>
                    </w:rPr>
                  </w:pPr>
                  <w:r>
                    <w:rPr>
                      <w:rFonts w:ascii="Times New Roman" w:hAnsi="Times New Roman" w:eastAsia="宋体"/>
                      <w:color w:val="000000"/>
                      <w:szCs w:val="21"/>
                    </w:rPr>
                    <w:t>单工位升降移动车</w:t>
                  </w:r>
                </w:p>
              </w:tc>
              <w:tc>
                <w:tcPr>
                  <w:tcW w:w="1028"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台/套</w:t>
                  </w:r>
                </w:p>
              </w:tc>
              <w:tc>
                <w:tcPr>
                  <w:tcW w:w="1211" w:type="dxa"/>
                  <w:vAlign w:val="center"/>
                </w:tcPr>
                <w:p>
                  <w:pPr>
                    <w:shd w:val="solid" w:color="FFFFFF" w:fill="auto"/>
                    <w:autoSpaceDN w:val="0"/>
                    <w:jc w:val="center"/>
                    <w:textAlignment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shd w:val="clear" w:color="auto" w:fill="FFFFFF"/>
                    </w:rPr>
                    <w:t>2</w:t>
                  </w:r>
                </w:p>
              </w:tc>
              <w:tc>
                <w:tcPr>
                  <w:tcW w:w="4813" w:type="dxa"/>
                  <w:tcBorders/>
                  <w:vAlign w:val="center"/>
                </w:tcPr>
                <w:p>
                  <w:pPr>
                    <w:jc w:val="center"/>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依托原有特喷线设备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rPr>
                    <w:t>4</w:t>
                  </w:r>
                </w:p>
              </w:tc>
              <w:tc>
                <w:tcPr>
                  <w:tcW w:w="1179" w:type="dxa"/>
                  <w:vAlign w:val="center"/>
                </w:tcPr>
                <w:p>
                  <w:pPr>
                    <w:jc w:val="center"/>
                    <w:rPr>
                      <w:rFonts w:hint="eastAsia" w:ascii="Times New Roman" w:hAnsi="Times New Roman" w:eastAsia="宋体"/>
                      <w:color w:val="000000"/>
                      <w:szCs w:val="21"/>
                    </w:rPr>
                  </w:pPr>
                  <w:r>
                    <w:rPr>
                      <w:rFonts w:hint="eastAsia" w:ascii="Times New Roman" w:hAnsi="Times New Roman" w:eastAsia="宋体"/>
                      <w:color w:val="000000"/>
                      <w:szCs w:val="21"/>
                    </w:rPr>
                    <w:t>内喷转台</w:t>
                  </w:r>
                </w:p>
              </w:tc>
              <w:tc>
                <w:tcPr>
                  <w:tcW w:w="1028"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台/套</w:t>
                  </w:r>
                </w:p>
              </w:tc>
              <w:tc>
                <w:tcPr>
                  <w:tcW w:w="1211"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rPr>
                    <w:t>6</w:t>
                  </w:r>
                </w:p>
              </w:tc>
              <w:tc>
                <w:tcPr>
                  <w:tcW w:w="4813" w:type="dxa"/>
                  <w:tcBorders/>
                  <w:vAlign w:val="center"/>
                </w:tcPr>
                <w:p>
                  <w:pPr>
                    <w:jc w:val="center"/>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依托原有特喷线设备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rPr>
                    <w:t>5</w:t>
                  </w:r>
                </w:p>
              </w:tc>
              <w:tc>
                <w:tcPr>
                  <w:tcW w:w="1179" w:type="dxa"/>
                  <w:vAlign w:val="center"/>
                </w:tcPr>
                <w:p>
                  <w:pPr>
                    <w:autoSpaceDN w:val="0"/>
                    <w:jc w:val="center"/>
                    <w:textAlignment w:val="center"/>
                    <w:rPr>
                      <w:rFonts w:hint="eastAsia" w:ascii="Times New Roman" w:hAnsi="Times New Roman" w:eastAsia="宋体"/>
                      <w:color w:val="000000"/>
                      <w:szCs w:val="21"/>
                    </w:rPr>
                  </w:pPr>
                  <w:r>
                    <w:rPr>
                      <w:rFonts w:ascii="Times New Roman" w:hAnsi="Times New Roman" w:eastAsia="宋体"/>
                      <w:color w:val="000000"/>
                      <w:szCs w:val="21"/>
                    </w:rPr>
                    <w:t>内喷机</w:t>
                  </w:r>
                </w:p>
              </w:tc>
              <w:tc>
                <w:tcPr>
                  <w:tcW w:w="1028"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台/套</w:t>
                  </w:r>
                </w:p>
              </w:tc>
              <w:tc>
                <w:tcPr>
                  <w:tcW w:w="1211" w:type="dxa"/>
                  <w:vAlign w:val="center"/>
                </w:tcPr>
                <w:p>
                  <w:pPr>
                    <w:shd w:val="solid" w:color="FFFFFF" w:fill="auto"/>
                    <w:autoSpaceDN w:val="0"/>
                    <w:jc w:val="center"/>
                    <w:textAlignment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shd w:val="clear" w:color="auto" w:fill="FFFFFF"/>
                    </w:rPr>
                    <w:t>1</w:t>
                  </w:r>
                </w:p>
              </w:tc>
              <w:tc>
                <w:tcPr>
                  <w:tcW w:w="4813" w:type="dxa"/>
                  <w:tcBorders/>
                  <w:vAlign w:val="center"/>
                </w:tcPr>
                <w:p>
                  <w:pPr>
                    <w:jc w:val="center"/>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依托原有特喷线设备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rPr>
                    <w:t>6</w:t>
                  </w:r>
                </w:p>
              </w:tc>
              <w:tc>
                <w:tcPr>
                  <w:tcW w:w="1179" w:type="dxa"/>
                  <w:vAlign w:val="center"/>
                </w:tcPr>
                <w:p>
                  <w:pPr>
                    <w:autoSpaceDN w:val="0"/>
                    <w:jc w:val="center"/>
                    <w:textAlignment w:val="center"/>
                    <w:rPr>
                      <w:rFonts w:hint="eastAsia" w:ascii="Times New Roman" w:hAnsi="Times New Roman" w:eastAsia="宋体"/>
                      <w:color w:val="000000"/>
                      <w:szCs w:val="21"/>
                    </w:rPr>
                  </w:pPr>
                  <w:r>
                    <w:rPr>
                      <w:rFonts w:ascii="Times New Roman" w:hAnsi="Times New Roman" w:eastAsia="宋体"/>
                      <w:color w:val="000000"/>
                      <w:szCs w:val="21"/>
                    </w:rPr>
                    <w:t>外喷机</w:t>
                  </w:r>
                </w:p>
              </w:tc>
              <w:tc>
                <w:tcPr>
                  <w:tcW w:w="1028"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台/套</w:t>
                  </w:r>
                </w:p>
              </w:tc>
              <w:tc>
                <w:tcPr>
                  <w:tcW w:w="1211" w:type="dxa"/>
                  <w:vAlign w:val="center"/>
                </w:tcPr>
                <w:p>
                  <w:pPr>
                    <w:shd w:val="solid" w:color="FFFFFF" w:fill="auto"/>
                    <w:autoSpaceDN w:val="0"/>
                    <w:jc w:val="center"/>
                    <w:textAlignment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shd w:val="clear" w:color="auto" w:fill="FFFFFF"/>
                    </w:rPr>
                    <w:t>1</w:t>
                  </w:r>
                </w:p>
              </w:tc>
              <w:tc>
                <w:tcPr>
                  <w:tcW w:w="4813" w:type="dxa"/>
                  <w:tcBorders/>
                  <w:vAlign w:val="center"/>
                </w:tcPr>
                <w:p>
                  <w:pPr>
                    <w:jc w:val="center"/>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依托原有特喷线设备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85"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rPr>
                    <w:t>7</w:t>
                  </w:r>
                </w:p>
              </w:tc>
              <w:tc>
                <w:tcPr>
                  <w:tcW w:w="1179" w:type="dxa"/>
                  <w:vAlign w:val="bottom"/>
                </w:tcPr>
                <w:p>
                  <w:pPr>
                    <w:shd w:val="solid" w:color="FFFFFF" w:fill="auto"/>
                    <w:autoSpaceDN w:val="0"/>
                    <w:jc w:val="center"/>
                    <w:textAlignment w:val="center"/>
                    <w:rPr>
                      <w:rFonts w:hint="eastAsia" w:ascii="Times New Roman" w:hAnsi="Times New Roman" w:eastAsia="宋体"/>
                      <w:color w:val="000000"/>
                      <w:szCs w:val="21"/>
                    </w:rPr>
                  </w:pPr>
                  <w:r>
                    <w:rPr>
                      <w:rFonts w:ascii="Times New Roman" w:hAnsi="Times New Roman" w:eastAsia="宋体"/>
                      <w:color w:val="000000"/>
                      <w:szCs w:val="21"/>
                    </w:rPr>
                    <w:t>烘干炉</w:t>
                  </w:r>
                </w:p>
              </w:tc>
              <w:tc>
                <w:tcPr>
                  <w:tcW w:w="1028"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台/套</w:t>
                  </w:r>
                </w:p>
              </w:tc>
              <w:tc>
                <w:tcPr>
                  <w:tcW w:w="1211" w:type="dxa"/>
                  <w:vAlign w:val="center"/>
                </w:tcPr>
                <w:p>
                  <w:pPr>
                    <w:shd w:val="solid" w:color="FFFFFF" w:fill="auto"/>
                    <w:autoSpaceDN w:val="0"/>
                    <w:jc w:val="center"/>
                    <w:textAlignment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shd w:val="clear" w:color="auto" w:fill="FFFFFF"/>
                    </w:rPr>
                    <w:t>1</w:t>
                  </w:r>
                </w:p>
              </w:tc>
              <w:tc>
                <w:tcPr>
                  <w:tcW w:w="4813" w:type="dxa"/>
                  <w:tcBorders/>
                  <w:vAlign w:val="center"/>
                </w:tcPr>
                <w:p>
                  <w:pPr>
                    <w:jc w:val="center"/>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依托原有特喷线设备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rPr>
                    <w:t>8</w:t>
                  </w:r>
                </w:p>
              </w:tc>
              <w:tc>
                <w:tcPr>
                  <w:tcW w:w="1179" w:type="dxa"/>
                  <w:vAlign w:val="bottom"/>
                </w:tcPr>
                <w:p>
                  <w:pPr>
                    <w:shd w:val="solid" w:color="FFFFFF" w:fill="auto"/>
                    <w:autoSpaceDN w:val="0"/>
                    <w:jc w:val="center"/>
                    <w:textAlignment w:val="center"/>
                    <w:rPr>
                      <w:rFonts w:hint="eastAsia" w:ascii="Times New Roman" w:hAnsi="Times New Roman" w:eastAsia="宋体"/>
                      <w:color w:val="000000"/>
                      <w:szCs w:val="21"/>
                    </w:rPr>
                  </w:pPr>
                  <w:r>
                    <w:rPr>
                      <w:rFonts w:ascii="Times New Roman" w:hAnsi="Times New Roman" w:eastAsia="宋体"/>
                      <w:color w:val="000000"/>
                      <w:szCs w:val="21"/>
                    </w:rPr>
                    <w:t>承插口补漆托轮组</w:t>
                  </w:r>
                </w:p>
              </w:tc>
              <w:tc>
                <w:tcPr>
                  <w:tcW w:w="1028"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台/套</w:t>
                  </w:r>
                </w:p>
              </w:tc>
              <w:tc>
                <w:tcPr>
                  <w:tcW w:w="1211" w:type="dxa"/>
                  <w:vAlign w:val="center"/>
                </w:tcPr>
                <w:p>
                  <w:pPr>
                    <w:shd w:val="solid" w:color="FFFFFF" w:fill="auto"/>
                    <w:autoSpaceDN w:val="0"/>
                    <w:jc w:val="center"/>
                    <w:textAlignment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shd w:val="clear" w:color="auto" w:fill="FFFFFF"/>
                    </w:rPr>
                    <w:t>1</w:t>
                  </w:r>
                </w:p>
              </w:tc>
              <w:tc>
                <w:tcPr>
                  <w:tcW w:w="4813" w:type="dxa"/>
                  <w:tcBorders/>
                  <w:vAlign w:val="center"/>
                </w:tcPr>
                <w:p>
                  <w:pPr>
                    <w:jc w:val="center"/>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依托原有特喷线设备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rPr>
                    <w:t>9</w:t>
                  </w:r>
                </w:p>
              </w:tc>
              <w:tc>
                <w:tcPr>
                  <w:tcW w:w="1179" w:type="dxa"/>
                  <w:vAlign w:val="center"/>
                </w:tcPr>
                <w:p>
                  <w:pPr>
                    <w:autoSpaceDN w:val="0"/>
                    <w:jc w:val="center"/>
                    <w:textAlignment w:val="center"/>
                    <w:rPr>
                      <w:rFonts w:hint="eastAsia" w:ascii="Times New Roman" w:hAnsi="Times New Roman" w:eastAsia="宋体"/>
                      <w:color w:val="000000" w:themeColor="text1"/>
                      <w:szCs w:val="21"/>
                      <w14:textFill>
                        <w14:solidFill>
                          <w14:schemeClr w14:val="tx1"/>
                        </w14:solidFill>
                      </w14:textFill>
                    </w:rPr>
                  </w:pPr>
                  <w:r>
                    <w:rPr>
                      <w:rFonts w:ascii="Times New Roman" w:hAnsi="Times New Roman" w:eastAsia="宋体"/>
                      <w:color w:val="000000" w:themeColor="text1"/>
                      <w:szCs w:val="21"/>
                      <w14:textFill>
                        <w14:solidFill>
                          <w14:schemeClr w14:val="tx1"/>
                        </w14:solidFill>
                      </w14:textFill>
                    </w:rPr>
                    <w:t>绝缘试验工位</w:t>
                  </w:r>
                </w:p>
              </w:tc>
              <w:tc>
                <w:tcPr>
                  <w:tcW w:w="1028" w:type="dxa"/>
                  <w:vAlign w:val="center"/>
                </w:tcPr>
                <w:p>
                  <w:pPr>
                    <w:jc w:val="center"/>
                    <w:rPr>
                      <w:rFonts w:hint="eastAsia" w:ascii="Times New Roman" w:hAnsi="Times New Roman" w:eastAsia="宋体"/>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olor w:val="000000" w:themeColor="text1"/>
                      <w:sz w:val="21"/>
                      <w:szCs w:val="21"/>
                      <w:vertAlign w:val="baseline"/>
                      <w:lang w:val="en-US" w:eastAsia="zh-CN"/>
                      <w14:textFill>
                        <w14:solidFill>
                          <w14:schemeClr w14:val="tx1"/>
                        </w14:solidFill>
                      </w14:textFill>
                    </w:rPr>
                    <w:t>台/套</w:t>
                  </w:r>
                </w:p>
              </w:tc>
              <w:tc>
                <w:tcPr>
                  <w:tcW w:w="1211" w:type="dxa"/>
                  <w:vAlign w:val="center"/>
                </w:tcPr>
                <w:p>
                  <w:pPr>
                    <w:shd w:val="solid" w:color="FFFFFF" w:fill="auto"/>
                    <w:autoSpaceDN w:val="0"/>
                    <w:jc w:val="center"/>
                    <w:textAlignment w:val="center"/>
                    <w:rPr>
                      <w:rFonts w:hint="eastAsia" w:ascii="Times New Roman" w:hAnsi="Times New Roman" w:eastAsia="宋体"/>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olor w:val="000000" w:themeColor="text1"/>
                      <w:szCs w:val="21"/>
                      <w:shd w:val="clear" w:color="auto" w:fill="FFFFFF"/>
                      <w14:textFill>
                        <w14:solidFill>
                          <w14:schemeClr w14:val="tx1"/>
                        </w14:solidFill>
                      </w14:textFill>
                    </w:rPr>
                    <w:t>1</w:t>
                  </w:r>
                </w:p>
              </w:tc>
              <w:tc>
                <w:tcPr>
                  <w:tcW w:w="4813" w:type="dxa"/>
                  <w:tcBorders/>
                  <w:vAlign w:val="center"/>
                </w:tcPr>
                <w:p>
                  <w:pPr>
                    <w:jc w:val="center"/>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依托原有特喷线设备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rPr>
                    <w:t>10</w:t>
                  </w:r>
                </w:p>
              </w:tc>
              <w:tc>
                <w:tcPr>
                  <w:tcW w:w="1179" w:type="dxa"/>
                  <w:vAlign w:val="center"/>
                </w:tcPr>
                <w:p>
                  <w:pPr>
                    <w:autoSpaceDN w:val="0"/>
                    <w:jc w:val="center"/>
                    <w:textAlignment w:val="center"/>
                    <w:rPr>
                      <w:rFonts w:hint="eastAsia" w:ascii="Times New Roman" w:hAnsi="Times New Roman" w:eastAsia="宋体"/>
                      <w:color w:val="000000" w:themeColor="text1"/>
                      <w:szCs w:val="21"/>
                      <w14:textFill>
                        <w14:solidFill>
                          <w14:schemeClr w14:val="tx1"/>
                        </w14:solidFill>
                      </w14:textFill>
                    </w:rPr>
                  </w:pPr>
                  <w:r>
                    <w:rPr>
                      <w:rFonts w:ascii="Times New Roman" w:hAnsi="Times New Roman" w:eastAsia="宋体"/>
                      <w:color w:val="000000" w:themeColor="text1"/>
                      <w:szCs w:val="21"/>
                      <w14:textFill>
                        <w14:solidFill>
                          <w14:schemeClr w14:val="tx1"/>
                        </w14:solidFill>
                      </w14:textFill>
                    </w:rPr>
                    <w:t>修复校正工位</w:t>
                  </w:r>
                </w:p>
              </w:tc>
              <w:tc>
                <w:tcPr>
                  <w:tcW w:w="1028" w:type="dxa"/>
                  <w:vAlign w:val="center"/>
                </w:tcPr>
                <w:p>
                  <w:pPr>
                    <w:jc w:val="center"/>
                    <w:rPr>
                      <w:rFonts w:hint="eastAsia" w:ascii="Times New Roman" w:hAnsi="Times New Roman" w:eastAsia="宋体"/>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olor w:val="000000" w:themeColor="text1"/>
                      <w:sz w:val="21"/>
                      <w:szCs w:val="21"/>
                      <w:vertAlign w:val="baseline"/>
                      <w:lang w:val="en-US" w:eastAsia="zh-CN"/>
                      <w14:textFill>
                        <w14:solidFill>
                          <w14:schemeClr w14:val="tx1"/>
                        </w14:solidFill>
                      </w14:textFill>
                    </w:rPr>
                    <w:t>台/套</w:t>
                  </w:r>
                </w:p>
              </w:tc>
              <w:tc>
                <w:tcPr>
                  <w:tcW w:w="1211" w:type="dxa"/>
                  <w:vAlign w:val="center"/>
                </w:tcPr>
                <w:p>
                  <w:pPr>
                    <w:shd w:val="solid" w:color="FFFFFF" w:fill="auto"/>
                    <w:autoSpaceDN w:val="0"/>
                    <w:jc w:val="center"/>
                    <w:textAlignment w:val="center"/>
                    <w:rPr>
                      <w:rFonts w:hint="eastAsia" w:ascii="Times New Roman" w:hAnsi="Times New Roman" w:eastAsia="宋体"/>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olor w:val="000000" w:themeColor="text1"/>
                      <w:szCs w:val="21"/>
                      <w:shd w:val="clear" w:color="auto" w:fill="FFFFFF"/>
                      <w14:textFill>
                        <w14:solidFill>
                          <w14:schemeClr w14:val="tx1"/>
                        </w14:solidFill>
                      </w14:textFill>
                    </w:rPr>
                    <w:t>1</w:t>
                  </w:r>
                </w:p>
              </w:tc>
              <w:tc>
                <w:tcPr>
                  <w:tcW w:w="4813" w:type="dxa"/>
                  <w:tcBorders/>
                  <w:vAlign w:val="center"/>
                </w:tcPr>
                <w:p>
                  <w:pPr>
                    <w:jc w:val="center"/>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依托原有特喷线设备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rPr>
                    <w:t>11</w:t>
                  </w:r>
                </w:p>
              </w:tc>
              <w:tc>
                <w:tcPr>
                  <w:tcW w:w="1179" w:type="dxa"/>
                  <w:vAlign w:val="bottom"/>
                </w:tcPr>
                <w:p>
                  <w:pPr>
                    <w:shd w:val="solid" w:color="FFFFFF" w:fill="auto"/>
                    <w:autoSpaceDN w:val="0"/>
                    <w:jc w:val="center"/>
                    <w:textAlignment w:val="center"/>
                    <w:rPr>
                      <w:rFonts w:hint="eastAsia"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s="宋体"/>
                      <w:color w:val="000000" w:themeColor="text1"/>
                      <w:kern w:val="0"/>
                      <w:szCs w:val="21"/>
                      <w14:textFill>
                        <w14:solidFill>
                          <w14:schemeClr w14:val="tx1"/>
                        </w14:solidFill>
                      </w14:textFill>
                    </w:rPr>
                    <w:t>喷涂线废气净化装置</w:t>
                  </w:r>
                </w:p>
              </w:tc>
              <w:tc>
                <w:tcPr>
                  <w:tcW w:w="1028" w:type="dxa"/>
                  <w:vAlign w:val="center"/>
                </w:tcPr>
                <w:p>
                  <w:pPr>
                    <w:jc w:val="center"/>
                    <w:rPr>
                      <w:rFonts w:hint="eastAsia" w:ascii="Times New Roman" w:hAnsi="Times New Roman" w:eastAsia="宋体"/>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olor w:val="000000" w:themeColor="text1"/>
                      <w:sz w:val="21"/>
                      <w:szCs w:val="21"/>
                      <w:vertAlign w:val="baseline"/>
                      <w:lang w:val="en-US" w:eastAsia="zh-CN"/>
                      <w14:textFill>
                        <w14:solidFill>
                          <w14:schemeClr w14:val="tx1"/>
                        </w14:solidFill>
                      </w14:textFill>
                    </w:rPr>
                    <w:t>台/套</w:t>
                  </w:r>
                </w:p>
              </w:tc>
              <w:tc>
                <w:tcPr>
                  <w:tcW w:w="1211" w:type="dxa"/>
                  <w:vAlign w:val="center"/>
                </w:tcPr>
                <w:p>
                  <w:pPr>
                    <w:shd w:val="solid" w:color="FFFFFF" w:fill="auto"/>
                    <w:autoSpaceDN w:val="0"/>
                    <w:jc w:val="center"/>
                    <w:textAlignment w:val="center"/>
                    <w:rPr>
                      <w:rFonts w:hint="eastAsia" w:ascii="Times New Roman" w:hAnsi="Times New Roman" w:eastAsia="宋体"/>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olor w:val="000000" w:themeColor="text1"/>
                      <w:szCs w:val="21"/>
                      <w:shd w:val="clear" w:color="auto" w:fill="FFFFFF"/>
                      <w14:textFill>
                        <w14:solidFill>
                          <w14:schemeClr w14:val="tx1"/>
                        </w14:solidFill>
                      </w14:textFill>
                    </w:rPr>
                    <w:t>2</w:t>
                  </w:r>
                </w:p>
              </w:tc>
              <w:tc>
                <w:tcPr>
                  <w:tcW w:w="4813" w:type="dxa"/>
                  <w:tcBorders/>
                  <w:vAlign w:val="center"/>
                </w:tcPr>
                <w:p>
                  <w:pPr>
                    <w:jc w:val="center"/>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依托原有特喷线设备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rPr>
                    <w:t>12</w:t>
                  </w:r>
                </w:p>
              </w:tc>
              <w:tc>
                <w:tcPr>
                  <w:tcW w:w="1179" w:type="dxa"/>
                  <w:vAlign w:val="bottom"/>
                </w:tcPr>
                <w:p>
                  <w:pPr>
                    <w:shd w:val="solid" w:color="FFFFFF" w:fill="auto"/>
                    <w:autoSpaceDN w:val="0"/>
                    <w:jc w:val="center"/>
                    <w:textAlignment w:val="center"/>
                    <w:rPr>
                      <w:rFonts w:hint="eastAsia"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shd w:val="clear" w:color="auto" w:fill="FFFFFF"/>
                      <w14:textFill>
                        <w14:solidFill>
                          <w14:schemeClr w14:val="tx1"/>
                        </w14:solidFill>
                      </w14:textFill>
                    </w:rPr>
                    <w:t>行车</w:t>
                  </w:r>
                </w:p>
              </w:tc>
              <w:tc>
                <w:tcPr>
                  <w:tcW w:w="1028" w:type="dxa"/>
                  <w:vAlign w:val="center"/>
                </w:tcPr>
                <w:p>
                  <w:pPr>
                    <w:jc w:val="center"/>
                    <w:rPr>
                      <w:rFonts w:hint="eastAsia" w:ascii="Times New Roman" w:hAnsi="Times New Roman" w:eastAsia="宋体"/>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olor w:val="000000" w:themeColor="text1"/>
                      <w:sz w:val="21"/>
                      <w:szCs w:val="21"/>
                      <w:vertAlign w:val="baseline"/>
                      <w:lang w:val="en-US" w:eastAsia="zh-CN"/>
                      <w14:textFill>
                        <w14:solidFill>
                          <w14:schemeClr w14:val="tx1"/>
                        </w14:solidFill>
                      </w14:textFill>
                    </w:rPr>
                    <w:t>台/套</w:t>
                  </w:r>
                </w:p>
              </w:tc>
              <w:tc>
                <w:tcPr>
                  <w:tcW w:w="1211" w:type="dxa"/>
                  <w:vAlign w:val="center"/>
                </w:tcPr>
                <w:p>
                  <w:pPr>
                    <w:shd w:val="solid" w:color="FFFFFF" w:fill="auto"/>
                    <w:autoSpaceDN w:val="0"/>
                    <w:jc w:val="center"/>
                    <w:textAlignment w:val="center"/>
                    <w:rPr>
                      <w:rFonts w:hint="eastAsia" w:ascii="Times New Roman" w:hAnsi="Times New Roman" w:eastAsia="宋体"/>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olor w:val="000000" w:themeColor="text1"/>
                      <w:szCs w:val="21"/>
                      <w:shd w:val="clear" w:color="auto" w:fill="FFFFFF"/>
                      <w14:textFill>
                        <w14:solidFill>
                          <w14:schemeClr w14:val="tx1"/>
                        </w14:solidFill>
                      </w14:textFill>
                    </w:rPr>
                    <w:t>3</w:t>
                  </w:r>
                </w:p>
              </w:tc>
              <w:tc>
                <w:tcPr>
                  <w:tcW w:w="4813" w:type="dxa"/>
                  <w:tcBorders/>
                  <w:vAlign w:val="center"/>
                </w:tcPr>
                <w:p>
                  <w:pPr>
                    <w:jc w:val="center"/>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依托原有特喷线设备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rPr>
                    <w:t>13</w:t>
                  </w:r>
                </w:p>
              </w:tc>
              <w:tc>
                <w:tcPr>
                  <w:tcW w:w="1179" w:type="dxa"/>
                  <w:vAlign w:val="center"/>
                </w:tcPr>
                <w:p>
                  <w:pPr>
                    <w:autoSpaceDN w:val="0"/>
                    <w:jc w:val="center"/>
                    <w:textAlignment w:val="center"/>
                    <w:rPr>
                      <w:rFonts w:hint="eastAsia" w:ascii="Times New Roman" w:hAnsi="Times New Roman" w:eastAsia="宋体"/>
                      <w:color w:val="000000" w:themeColor="text1"/>
                      <w:szCs w:val="21"/>
                      <w14:textFill>
                        <w14:solidFill>
                          <w14:schemeClr w14:val="tx1"/>
                        </w14:solidFill>
                      </w14:textFill>
                    </w:rPr>
                  </w:pPr>
                  <w:r>
                    <w:rPr>
                      <w:rFonts w:ascii="Times New Roman" w:hAnsi="Times New Roman" w:eastAsia="宋体"/>
                      <w:color w:val="000000" w:themeColor="text1"/>
                      <w:szCs w:val="21"/>
                      <w14:textFill>
                        <w14:solidFill>
                          <w14:schemeClr w14:val="tx1"/>
                        </w14:solidFill>
                      </w14:textFill>
                    </w:rPr>
                    <w:t>天车</w:t>
                  </w:r>
                </w:p>
              </w:tc>
              <w:tc>
                <w:tcPr>
                  <w:tcW w:w="1028" w:type="dxa"/>
                  <w:vAlign w:val="center"/>
                </w:tcPr>
                <w:p>
                  <w:pPr>
                    <w:jc w:val="center"/>
                    <w:rPr>
                      <w:rFonts w:hint="eastAsia" w:ascii="Times New Roman" w:hAnsi="Times New Roman" w:eastAsia="宋体"/>
                      <w:color w:val="000000" w:themeColor="text1"/>
                      <w:sz w:val="21"/>
                      <w:szCs w:val="21"/>
                      <w:vertAlign w:val="baseline"/>
                      <w:lang w:val="en-US" w:eastAsia="zh-CN"/>
                      <w14:textFill>
                        <w14:solidFill>
                          <w14:schemeClr w14:val="tx1"/>
                        </w14:solidFill>
                      </w14:textFill>
                    </w:rPr>
                  </w:pPr>
                  <w:r>
                    <w:rPr>
                      <w:rFonts w:hint="eastAsia" w:ascii="Times New Roman" w:hAnsi="Times New Roman" w:eastAsia="宋体"/>
                      <w:color w:val="000000" w:themeColor="text1"/>
                      <w:sz w:val="21"/>
                      <w:szCs w:val="21"/>
                      <w:vertAlign w:val="baseline"/>
                      <w:lang w:val="en-US" w:eastAsia="zh-CN"/>
                      <w14:textFill>
                        <w14:solidFill>
                          <w14:schemeClr w14:val="tx1"/>
                        </w14:solidFill>
                      </w14:textFill>
                    </w:rPr>
                    <w:t>台/套</w:t>
                  </w:r>
                </w:p>
              </w:tc>
              <w:tc>
                <w:tcPr>
                  <w:tcW w:w="1211" w:type="dxa"/>
                  <w:vAlign w:val="center"/>
                </w:tcPr>
                <w:p>
                  <w:pPr>
                    <w:shd w:val="solid" w:color="FFFFFF" w:fill="auto"/>
                    <w:autoSpaceDN w:val="0"/>
                    <w:jc w:val="center"/>
                    <w:textAlignment w:val="center"/>
                    <w:rPr>
                      <w:rFonts w:hint="eastAsia" w:ascii="Times New Roman" w:hAnsi="Times New Roman" w:eastAsia="宋体"/>
                      <w:color w:val="000000" w:themeColor="text1"/>
                      <w:sz w:val="21"/>
                      <w:szCs w:val="21"/>
                      <w:vertAlign w:val="baseline"/>
                      <w:lang w:val="en-US" w:eastAsia="zh-CN"/>
                      <w14:textFill>
                        <w14:solidFill>
                          <w14:schemeClr w14:val="tx1"/>
                        </w14:solidFill>
                      </w14:textFill>
                    </w:rPr>
                  </w:pPr>
                  <w:r>
                    <w:rPr>
                      <w:rFonts w:ascii="Times New Roman" w:hAnsi="Times New Roman" w:eastAsia="宋体"/>
                      <w:color w:val="000000" w:themeColor="text1"/>
                      <w:szCs w:val="21"/>
                      <w:shd w:val="clear" w:color="auto" w:fill="FFFFFF"/>
                      <w14:textFill>
                        <w14:solidFill>
                          <w14:schemeClr w14:val="tx1"/>
                        </w14:solidFill>
                      </w14:textFill>
                    </w:rPr>
                    <w:t>1</w:t>
                  </w:r>
                </w:p>
              </w:tc>
              <w:tc>
                <w:tcPr>
                  <w:tcW w:w="4813" w:type="dxa"/>
                  <w:tcBorders/>
                  <w:vAlign w:val="center"/>
                </w:tcPr>
                <w:p>
                  <w:pPr>
                    <w:jc w:val="center"/>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依托原有特喷线设备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rPr>
                    <w:t>14</w:t>
                  </w:r>
                </w:p>
              </w:tc>
              <w:tc>
                <w:tcPr>
                  <w:tcW w:w="1179" w:type="dxa"/>
                  <w:vAlign w:val="center"/>
                </w:tcPr>
                <w:p>
                  <w:pPr>
                    <w:autoSpaceDN w:val="0"/>
                    <w:jc w:val="center"/>
                    <w:textAlignment w:val="center"/>
                    <w:rPr>
                      <w:rFonts w:hint="eastAsia" w:ascii="Times New Roman" w:hAnsi="Times New Roman" w:eastAsia="宋体"/>
                      <w:color w:val="000000"/>
                      <w:szCs w:val="21"/>
                    </w:rPr>
                  </w:pPr>
                  <w:r>
                    <w:rPr>
                      <w:rFonts w:ascii="Times New Roman" w:hAnsi="Times New Roman" w:eastAsia="宋体"/>
                      <w:color w:val="000000"/>
                      <w:szCs w:val="21"/>
                    </w:rPr>
                    <w:t>平车</w:t>
                  </w:r>
                </w:p>
              </w:tc>
              <w:tc>
                <w:tcPr>
                  <w:tcW w:w="1028" w:type="dxa"/>
                  <w:vAlign w:val="center"/>
                </w:tcPr>
                <w:p>
                  <w:pPr>
                    <w:jc w:val="center"/>
                    <w:rPr>
                      <w:rFonts w:hint="eastAsia" w:ascii="Times New Roman" w:hAnsi="Times New Roman" w:eastAsia="宋体"/>
                      <w:sz w:val="21"/>
                      <w:szCs w:val="21"/>
                      <w:vertAlign w:val="baseline"/>
                      <w:lang w:val="en-US" w:eastAsia="zh-CN"/>
                    </w:rPr>
                  </w:pPr>
                  <w:r>
                    <w:rPr>
                      <w:rFonts w:hint="eastAsia" w:ascii="Times New Roman" w:hAnsi="Times New Roman" w:eastAsia="宋体"/>
                      <w:sz w:val="21"/>
                      <w:szCs w:val="21"/>
                      <w:vertAlign w:val="baseline"/>
                      <w:lang w:val="en-US" w:eastAsia="zh-CN"/>
                    </w:rPr>
                    <w:t>台/套</w:t>
                  </w:r>
                </w:p>
              </w:tc>
              <w:tc>
                <w:tcPr>
                  <w:tcW w:w="1211" w:type="dxa"/>
                  <w:vAlign w:val="center"/>
                </w:tcPr>
                <w:p>
                  <w:pPr>
                    <w:shd w:val="solid" w:color="FFFFFF" w:fill="auto"/>
                    <w:autoSpaceDN w:val="0"/>
                    <w:jc w:val="center"/>
                    <w:textAlignment w:val="center"/>
                    <w:rPr>
                      <w:rFonts w:hint="eastAsia" w:ascii="Times New Roman" w:hAnsi="Times New Roman" w:eastAsia="宋体"/>
                      <w:sz w:val="21"/>
                      <w:szCs w:val="21"/>
                      <w:vertAlign w:val="baseline"/>
                      <w:lang w:val="en-US" w:eastAsia="zh-CN"/>
                    </w:rPr>
                  </w:pPr>
                  <w:r>
                    <w:rPr>
                      <w:rFonts w:hint="eastAsia" w:ascii="Times New Roman" w:hAnsi="Times New Roman" w:eastAsia="宋体"/>
                      <w:color w:val="000000"/>
                      <w:szCs w:val="21"/>
                      <w:shd w:val="clear" w:color="auto" w:fill="FFFFFF"/>
                    </w:rPr>
                    <w:t>2</w:t>
                  </w:r>
                </w:p>
              </w:tc>
              <w:tc>
                <w:tcPr>
                  <w:tcW w:w="4813" w:type="dxa"/>
                  <w:tcBorders/>
                  <w:vAlign w:val="center"/>
                </w:tcPr>
                <w:p>
                  <w:pPr>
                    <w:jc w:val="center"/>
                    <w:rPr>
                      <w:rFonts w:hint="eastAsia" w:ascii="Times New Roman" w:hAnsi="Times New Roman" w:eastAsia="宋体" w:cs="宋体"/>
                      <w:sz w:val="21"/>
                      <w:szCs w:val="21"/>
                      <w:lang w:val="en-US" w:eastAsia="zh-CN"/>
                    </w:rPr>
                  </w:pPr>
                  <w:r>
                    <w:rPr>
                      <w:rFonts w:hint="eastAsia" w:ascii="Times New Roman" w:hAnsi="Times New Roman" w:eastAsia="宋体" w:cs="宋体"/>
                      <w:sz w:val="21"/>
                      <w:szCs w:val="21"/>
                      <w:lang w:val="en-US" w:eastAsia="zh-CN"/>
                    </w:rPr>
                    <w:t>依托原有特喷线设备</w:t>
                  </w:r>
                </w:p>
              </w:tc>
            </w:tr>
          </w:tbl>
          <w:p>
            <w:pPr>
              <w:spacing w:line="360" w:lineRule="auto"/>
              <w:ind w:firstLine="480" w:firstLineChars="200"/>
              <w:rPr>
                <w:rFonts w:hint="eastAsia" w:ascii="Times New Roman" w:hAnsi="Times New Roman" w:eastAsia="宋体"/>
                <w:color w:val="auto"/>
                <w:sz w:val="24"/>
                <w:szCs w:val="24"/>
                <w:lang w:val="en-US" w:eastAsia="zh-CN"/>
              </w:rPr>
            </w:pP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9</w:t>
            </w:r>
            <w:r>
              <w:rPr>
                <w:rFonts w:ascii="Times New Roman" w:hAnsi="Times New Roman" w:eastAsia="宋体"/>
                <w:color w:val="auto"/>
                <w:sz w:val="24"/>
                <w:szCs w:val="24"/>
              </w:rPr>
              <w:t>）主要</w:t>
            </w:r>
            <w:r>
              <w:rPr>
                <w:rFonts w:hint="eastAsia" w:ascii="Times New Roman" w:hAnsi="Times New Roman" w:eastAsia="宋体"/>
                <w:color w:val="auto"/>
                <w:sz w:val="24"/>
                <w:szCs w:val="24"/>
                <w:lang w:val="en-US" w:eastAsia="zh-CN"/>
              </w:rPr>
              <w:t>原辅材料</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本项目</w:t>
            </w:r>
            <w:r>
              <w:rPr>
                <w:rFonts w:hint="eastAsia" w:ascii="Times New Roman" w:hAnsi="Times New Roman" w:eastAsia="宋体"/>
                <w:color w:val="auto"/>
                <w:sz w:val="24"/>
                <w:szCs w:val="24"/>
              </w:rPr>
              <w:t>主要</w:t>
            </w:r>
            <w:r>
              <w:rPr>
                <w:rFonts w:hint="eastAsia" w:ascii="Times New Roman" w:hAnsi="Times New Roman" w:eastAsia="宋体"/>
                <w:color w:val="auto"/>
                <w:sz w:val="24"/>
                <w:szCs w:val="24"/>
                <w:lang w:val="en-US" w:eastAsia="zh-CN"/>
              </w:rPr>
              <w:t>原辅材料</w:t>
            </w:r>
            <w:r>
              <w:rPr>
                <w:rFonts w:hint="eastAsia" w:ascii="Times New Roman" w:hAnsi="Times New Roman" w:eastAsia="宋体"/>
                <w:color w:val="auto"/>
                <w:sz w:val="24"/>
                <w:szCs w:val="24"/>
              </w:rPr>
              <w:t>见下表</w:t>
            </w:r>
            <w:r>
              <w:rPr>
                <w:rFonts w:ascii="Times New Roman" w:hAnsi="Times New Roman" w:eastAsia="宋体"/>
                <w:color w:val="auto"/>
                <w:sz w:val="24"/>
                <w:szCs w:val="24"/>
              </w:rPr>
              <w:t>：</w:t>
            </w:r>
          </w:p>
          <w:p>
            <w:pPr>
              <w:spacing w:line="360" w:lineRule="auto"/>
              <w:ind w:firstLine="482" w:firstLineChars="200"/>
              <w:jc w:val="center"/>
              <w:rPr>
                <w:rFonts w:ascii="Times New Roman" w:hAnsi="Times New Roman" w:eastAsia="宋体"/>
                <w:b/>
                <w:color w:val="auto"/>
              </w:rPr>
            </w:pPr>
            <w:r>
              <w:rPr>
                <w:rFonts w:ascii="Times New Roman" w:hAnsi="Times New Roman" w:eastAsia="宋体"/>
                <w:b/>
                <w:color w:val="auto"/>
                <w:sz w:val="24"/>
              </w:rPr>
              <w:t>表1-</w:t>
            </w:r>
            <w:r>
              <w:rPr>
                <w:rFonts w:hint="eastAsia" w:ascii="Times New Roman" w:hAnsi="Times New Roman" w:eastAsia="宋体"/>
                <w:b/>
                <w:color w:val="auto"/>
                <w:sz w:val="24"/>
                <w:lang w:val="en-US" w:eastAsia="zh-CN"/>
              </w:rPr>
              <w:t>4</w:t>
            </w:r>
            <w:r>
              <w:rPr>
                <w:rFonts w:ascii="Times New Roman" w:hAnsi="Times New Roman" w:eastAsia="宋体"/>
                <w:b/>
                <w:color w:val="auto"/>
                <w:sz w:val="24"/>
              </w:rPr>
              <w:t xml:space="preserve">  </w:t>
            </w:r>
            <w:r>
              <w:rPr>
                <w:rFonts w:hint="eastAsia" w:ascii="Times New Roman" w:hAnsi="Times New Roman" w:eastAsia="宋体"/>
                <w:b/>
                <w:color w:val="auto"/>
                <w:sz w:val="24"/>
                <w:lang w:val="en-US" w:eastAsia="zh-CN"/>
              </w:rPr>
              <w:t>本项目原辅材料</w:t>
            </w:r>
            <w:r>
              <w:rPr>
                <w:rFonts w:ascii="Times New Roman" w:hAnsi="Times New Roman" w:eastAsia="宋体"/>
                <w:b/>
                <w:color w:val="auto"/>
                <w:sz w:val="24"/>
              </w:rPr>
              <w:t>一览表</w:t>
            </w:r>
          </w:p>
          <w:tbl>
            <w:tblPr>
              <w:tblStyle w:val="2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54"/>
              <w:gridCol w:w="2254"/>
              <w:gridCol w:w="2254"/>
              <w:gridCol w:w="22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序号</w:t>
                  </w:r>
                </w:p>
              </w:tc>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名称</w:t>
                  </w:r>
                </w:p>
              </w:tc>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单位</w:t>
                  </w:r>
                </w:p>
              </w:tc>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1</w:t>
                  </w:r>
                </w:p>
              </w:tc>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半成品铸管</w:t>
                  </w:r>
                </w:p>
              </w:tc>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t/a</w:t>
                  </w:r>
                </w:p>
              </w:tc>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54000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2</w:t>
                  </w:r>
                </w:p>
              </w:tc>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水泥</w:t>
                  </w:r>
                </w:p>
              </w:tc>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t/a</w:t>
                  </w:r>
                </w:p>
              </w:tc>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3888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3</w:t>
                  </w:r>
                </w:p>
              </w:tc>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砂子</w:t>
                  </w:r>
                </w:p>
              </w:tc>
              <w:tc>
                <w:tcPr>
                  <w:tcW w:w="1250" w:type="pct"/>
                  <w:vAlign w:val="center"/>
                </w:tcPr>
                <w:p>
                  <w:pPr>
                    <w:spacing w:line="360" w:lineRule="auto"/>
                    <w:jc w:val="center"/>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t/a</w:t>
                  </w:r>
                </w:p>
              </w:tc>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5832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4</w:t>
                  </w:r>
                </w:p>
              </w:tc>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color w:val="000000"/>
                      <w:szCs w:val="21"/>
                    </w:rPr>
                    <w:t>锌丝</w:t>
                  </w:r>
                </w:p>
              </w:tc>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t/a</w:t>
                  </w:r>
                </w:p>
              </w:tc>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167.4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5</w:t>
                  </w:r>
                </w:p>
              </w:tc>
              <w:tc>
                <w:tcPr>
                  <w:tcW w:w="1250" w:type="pct"/>
                  <w:vAlign w:val="center"/>
                </w:tcPr>
                <w:p>
                  <w:pPr>
                    <w:tabs>
                      <w:tab w:val="left" w:pos="3990"/>
                    </w:tabs>
                    <w:jc w:val="center"/>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color w:val="000000"/>
                      <w:szCs w:val="21"/>
                    </w:rPr>
                    <w:t>环氧陶瓷</w:t>
                  </w:r>
                </w:p>
              </w:tc>
              <w:tc>
                <w:tcPr>
                  <w:tcW w:w="1250" w:type="pct"/>
                  <w:vAlign w:val="center"/>
                </w:tcPr>
                <w:p>
                  <w:pPr>
                    <w:spacing w:line="360" w:lineRule="auto"/>
                    <w:jc w:val="center"/>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t/a</w:t>
                  </w:r>
                </w:p>
              </w:tc>
              <w:tc>
                <w:tcPr>
                  <w:tcW w:w="1250" w:type="pct"/>
                  <w:vAlign w:val="center"/>
                </w:tcPr>
                <w:p>
                  <w:pPr>
                    <w:tabs>
                      <w:tab w:val="left" w:pos="3990"/>
                    </w:tabs>
                    <w:jc w:val="center"/>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6</w:t>
                  </w:r>
                </w:p>
              </w:tc>
              <w:tc>
                <w:tcPr>
                  <w:tcW w:w="1250" w:type="pct"/>
                  <w:vAlign w:val="center"/>
                </w:tcPr>
                <w:p>
                  <w:pPr>
                    <w:tabs>
                      <w:tab w:val="left" w:pos="3990"/>
                    </w:tabs>
                    <w:jc w:val="center"/>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color w:val="000000"/>
                      <w:szCs w:val="21"/>
                    </w:rPr>
                    <w:t>聚氨酯</w:t>
                  </w:r>
                </w:p>
              </w:tc>
              <w:tc>
                <w:tcPr>
                  <w:tcW w:w="1250" w:type="pct"/>
                  <w:vAlign w:val="center"/>
                </w:tcPr>
                <w:p>
                  <w:pPr>
                    <w:spacing w:line="360" w:lineRule="auto"/>
                    <w:jc w:val="center"/>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t/a</w:t>
                  </w:r>
                </w:p>
              </w:tc>
              <w:tc>
                <w:tcPr>
                  <w:tcW w:w="1250" w:type="pct"/>
                  <w:vAlign w:val="center"/>
                </w:tcPr>
                <w:p>
                  <w:pPr>
                    <w:tabs>
                      <w:tab w:val="left" w:pos="3990"/>
                    </w:tabs>
                    <w:jc w:val="center"/>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7</w:t>
                  </w:r>
                </w:p>
              </w:tc>
              <w:tc>
                <w:tcPr>
                  <w:tcW w:w="1250" w:type="pct"/>
                  <w:vAlign w:val="center"/>
                </w:tcPr>
                <w:p>
                  <w:pPr>
                    <w:tabs>
                      <w:tab w:val="left" w:pos="3990"/>
                    </w:tabs>
                    <w:jc w:val="center"/>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color w:val="000000"/>
                      <w:szCs w:val="21"/>
                    </w:rPr>
                    <w:t>铝粉漆</w:t>
                  </w:r>
                </w:p>
              </w:tc>
              <w:tc>
                <w:tcPr>
                  <w:tcW w:w="1250" w:type="pct"/>
                  <w:vAlign w:val="center"/>
                </w:tcPr>
                <w:p>
                  <w:pPr>
                    <w:spacing w:line="360" w:lineRule="auto"/>
                    <w:jc w:val="center"/>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t/a</w:t>
                  </w:r>
                </w:p>
              </w:tc>
              <w:tc>
                <w:tcPr>
                  <w:tcW w:w="1250" w:type="pct"/>
                  <w:vAlign w:val="center"/>
                </w:tcPr>
                <w:p>
                  <w:pPr>
                    <w:tabs>
                      <w:tab w:val="left" w:pos="3990"/>
                    </w:tabs>
                    <w:jc w:val="center"/>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8</w:t>
                  </w:r>
                </w:p>
              </w:tc>
              <w:tc>
                <w:tcPr>
                  <w:tcW w:w="1250" w:type="pct"/>
                  <w:vAlign w:val="center"/>
                </w:tcPr>
                <w:p>
                  <w:pPr>
                    <w:tabs>
                      <w:tab w:val="left" w:pos="3990"/>
                    </w:tabs>
                    <w:jc w:val="center"/>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szCs w:val="21"/>
                      <w:lang w:eastAsia="zh-CN"/>
                    </w:rPr>
                    <w:t>水性漆</w:t>
                  </w:r>
                </w:p>
              </w:tc>
              <w:tc>
                <w:tcPr>
                  <w:tcW w:w="1250" w:type="pct"/>
                  <w:vAlign w:val="center"/>
                </w:tcPr>
                <w:p>
                  <w:pPr>
                    <w:spacing w:line="360" w:lineRule="auto"/>
                    <w:jc w:val="center"/>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t/a</w:t>
                  </w:r>
                </w:p>
              </w:tc>
              <w:tc>
                <w:tcPr>
                  <w:tcW w:w="1250" w:type="pct"/>
                  <w:vAlign w:val="center"/>
                </w:tcPr>
                <w:p>
                  <w:pPr>
                    <w:tabs>
                      <w:tab w:val="left" w:pos="3990"/>
                    </w:tabs>
                    <w:jc w:val="center"/>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10</w:t>
                  </w:r>
                </w:p>
              </w:tc>
              <w:tc>
                <w:tcPr>
                  <w:tcW w:w="1250" w:type="pct"/>
                  <w:vAlign w:val="center"/>
                </w:tcPr>
                <w:p>
                  <w:pPr>
                    <w:tabs>
                      <w:tab w:val="left" w:pos="3990"/>
                    </w:tabs>
                    <w:jc w:val="center"/>
                    <w:rPr>
                      <w:rFonts w:hint="eastAsia" w:ascii="Times New Roman" w:hAnsi="Times New Roman" w:eastAsia="宋体"/>
                      <w:color w:val="000000"/>
                      <w:szCs w:val="21"/>
                      <w:lang w:val="en-US" w:eastAsia="zh-CN"/>
                    </w:rPr>
                  </w:pPr>
                  <w:r>
                    <w:rPr>
                      <w:rFonts w:hint="eastAsia" w:ascii="Times New Roman" w:hAnsi="Times New Roman" w:eastAsia="宋体" w:cs="宋体"/>
                      <w:color w:val="000000"/>
                      <w:kern w:val="0"/>
                      <w:szCs w:val="21"/>
                    </w:rPr>
                    <w:t>蒸汽</w:t>
                  </w:r>
                </w:p>
              </w:tc>
              <w:tc>
                <w:tcPr>
                  <w:tcW w:w="1250" w:type="pct"/>
                  <w:vAlign w:val="center"/>
                </w:tcPr>
                <w:p>
                  <w:pPr>
                    <w:spacing w:line="360" w:lineRule="auto"/>
                    <w:jc w:val="center"/>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t/a</w:t>
                  </w:r>
                </w:p>
              </w:tc>
              <w:tc>
                <w:tcPr>
                  <w:tcW w:w="1250" w:type="pct"/>
                  <w:vAlign w:val="center"/>
                </w:tcPr>
                <w:p>
                  <w:pPr>
                    <w:tabs>
                      <w:tab w:val="left" w:pos="3990"/>
                    </w:tabs>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7182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Align w:val="center"/>
                </w:tcPr>
                <w:p>
                  <w:pPr>
                    <w:spacing w:line="360" w:lineRule="auto"/>
                    <w:jc w:val="center"/>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11</w:t>
                  </w:r>
                </w:p>
              </w:tc>
              <w:tc>
                <w:tcPr>
                  <w:tcW w:w="1250" w:type="pct"/>
                  <w:vAlign w:val="center"/>
                </w:tcPr>
                <w:p>
                  <w:pPr>
                    <w:tabs>
                      <w:tab w:val="left" w:pos="3990"/>
                    </w:tabs>
                    <w:jc w:val="center"/>
                    <w:rPr>
                      <w:rFonts w:hint="eastAsia" w:ascii="Times New Roman" w:hAnsi="Times New Roman" w:eastAsia="宋体" w:cs="宋体"/>
                      <w:color w:val="000000"/>
                      <w:kern w:val="0"/>
                      <w:szCs w:val="21"/>
                      <w:lang w:val="en-US" w:eastAsia="zh-CN"/>
                    </w:rPr>
                  </w:pPr>
                  <w:r>
                    <w:rPr>
                      <w:rFonts w:hint="eastAsia" w:ascii="Times New Roman" w:hAnsi="Times New Roman" w:eastAsia="宋体" w:cs="宋体"/>
                      <w:color w:val="000000"/>
                      <w:kern w:val="0"/>
                      <w:szCs w:val="21"/>
                      <w:lang w:val="en-US" w:eastAsia="zh-CN"/>
                    </w:rPr>
                    <w:t>焦炉煤气</w:t>
                  </w:r>
                </w:p>
              </w:tc>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t/a</w:t>
                  </w:r>
                </w:p>
              </w:tc>
              <w:tc>
                <w:tcPr>
                  <w:tcW w:w="1250" w:type="pct"/>
                  <w:vAlign w:val="center"/>
                </w:tcPr>
                <w:p>
                  <w:pPr>
                    <w:tabs>
                      <w:tab w:val="left" w:pos="3990"/>
                    </w:tabs>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3650000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12</w:t>
                  </w:r>
                </w:p>
              </w:tc>
              <w:tc>
                <w:tcPr>
                  <w:tcW w:w="1250" w:type="pct"/>
                  <w:vAlign w:val="center"/>
                </w:tcPr>
                <w:p>
                  <w:pPr>
                    <w:tabs>
                      <w:tab w:val="left" w:pos="3990"/>
                    </w:tabs>
                    <w:jc w:val="center"/>
                    <w:rPr>
                      <w:rFonts w:hint="default" w:ascii="Times New Roman" w:hAnsi="Times New Roman" w:eastAsia="宋体" w:cs="宋体"/>
                      <w:color w:val="000000"/>
                      <w:kern w:val="0"/>
                      <w:szCs w:val="21"/>
                      <w:lang w:val="en-US" w:eastAsia="zh-CN"/>
                    </w:rPr>
                  </w:pPr>
                  <w:r>
                    <w:rPr>
                      <w:rFonts w:hint="eastAsia" w:ascii="Times New Roman" w:hAnsi="Times New Roman" w:eastAsia="宋体" w:cs="宋体"/>
                      <w:color w:val="000000"/>
                      <w:kern w:val="0"/>
                      <w:szCs w:val="21"/>
                      <w:lang w:val="en-US" w:eastAsia="zh-CN"/>
                    </w:rPr>
                    <w:t>水压用水</w:t>
                  </w:r>
                </w:p>
              </w:tc>
              <w:tc>
                <w:tcPr>
                  <w:tcW w:w="1250" w:type="pct"/>
                  <w:vAlign w:val="center"/>
                </w:tcPr>
                <w:p>
                  <w:pPr>
                    <w:spacing w:line="360" w:lineRule="auto"/>
                    <w:jc w:val="center"/>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m</w:t>
                  </w:r>
                  <w:r>
                    <w:rPr>
                      <w:rFonts w:hint="eastAsia" w:ascii="Times New Roman" w:hAnsi="Times New Roman" w:eastAsia="宋体"/>
                      <w:b w:val="0"/>
                      <w:bCs/>
                      <w:color w:val="auto"/>
                      <w:sz w:val="21"/>
                      <w:szCs w:val="21"/>
                      <w:vertAlign w:val="superscript"/>
                      <w:lang w:val="en-US" w:eastAsia="zh-CN"/>
                    </w:rPr>
                    <w:t>3</w:t>
                  </w:r>
                  <w:r>
                    <w:rPr>
                      <w:rFonts w:hint="eastAsia" w:ascii="Times New Roman" w:hAnsi="Times New Roman" w:eastAsia="宋体"/>
                      <w:b w:val="0"/>
                      <w:bCs/>
                      <w:color w:val="auto"/>
                      <w:sz w:val="21"/>
                      <w:szCs w:val="21"/>
                      <w:vertAlign w:val="baseline"/>
                      <w:lang w:val="en-US" w:eastAsia="zh-CN"/>
                    </w:rPr>
                    <w:t>/a</w:t>
                  </w:r>
                </w:p>
              </w:tc>
              <w:tc>
                <w:tcPr>
                  <w:tcW w:w="1250" w:type="pct"/>
                  <w:vAlign w:val="center"/>
                </w:tcPr>
                <w:p>
                  <w:pPr>
                    <w:tabs>
                      <w:tab w:val="left" w:pos="3990"/>
                    </w:tabs>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53172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50" w:type="pct"/>
                  <w:vAlign w:val="center"/>
                </w:tcPr>
                <w:p>
                  <w:pPr>
                    <w:spacing w:line="360" w:lineRule="auto"/>
                    <w:jc w:val="center"/>
                    <w:rPr>
                      <w:rFonts w:hint="default"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17</w:t>
                  </w:r>
                </w:p>
              </w:tc>
              <w:tc>
                <w:tcPr>
                  <w:tcW w:w="1250" w:type="pct"/>
                  <w:vAlign w:val="center"/>
                </w:tcPr>
                <w:p>
                  <w:pPr>
                    <w:tabs>
                      <w:tab w:val="left" w:pos="3990"/>
                    </w:tabs>
                    <w:jc w:val="center"/>
                    <w:rPr>
                      <w:rFonts w:hint="default" w:ascii="Times New Roman" w:hAnsi="Times New Roman" w:eastAsia="宋体" w:cs="宋体"/>
                      <w:color w:val="000000"/>
                      <w:kern w:val="0"/>
                      <w:szCs w:val="21"/>
                      <w:lang w:val="en-US" w:eastAsia="zh-CN"/>
                    </w:rPr>
                  </w:pPr>
                  <w:r>
                    <w:rPr>
                      <w:rFonts w:hint="eastAsia" w:ascii="Times New Roman" w:hAnsi="Times New Roman" w:eastAsia="宋体" w:cs="宋体"/>
                      <w:color w:val="000000"/>
                      <w:kern w:val="0"/>
                      <w:szCs w:val="21"/>
                      <w:lang w:val="en-US" w:eastAsia="zh-CN"/>
                    </w:rPr>
                    <w:t>电</w:t>
                  </w:r>
                </w:p>
              </w:tc>
              <w:tc>
                <w:tcPr>
                  <w:tcW w:w="1250" w:type="pct"/>
                  <w:vAlign w:val="center"/>
                </w:tcPr>
                <w:p>
                  <w:pPr>
                    <w:spacing w:line="360" w:lineRule="auto"/>
                    <w:jc w:val="center"/>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万kwh/a</w:t>
                  </w:r>
                </w:p>
              </w:tc>
              <w:tc>
                <w:tcPr>
                  <w:tcW w:w="1250" w:type="pct"/>
                  <w:vAlign w:val="center"/>
                </w:tcPr>
                <w:p>
                  <w:pPr>
                    <w:tabs>
                      <w:tab w:val="left" w:pos="3990"/>
                    </w:tabs>
                    <w:jc w:val="center"/>
                    <w:rPr>
                      <w:rFonts w:hint="default" w:ascii="Times New Roman" w:hAnsi="Times New Roman" w:eastAsia="宋体"/>
                      <w:color w:val="000000"/>
                      <w:szCs w:val="21"/>
                      <w:lang w:val="en-US" w:eastAsia="zh-CN"/>
                    </w:rPr>
                  </w:pPr>
                  <w:r>
                    <w:rPr>
                      <w:rFonts w:hint="eastAsia" w:ascii="Times New Roman" w:hAnsi="Times New Roman" w:eastAsia="宋体"/>
                      <w:color w:val="000000"/>
                      <w:szCs w:val="21"/>
                      <w:lang w:val="en-US" w:eastAsia="zh-CN"/>
                    </w:rPr>
                    <w:t>700</w:t>
                  </w:r>
                </w:p>
              </w:tc>
            </w:tr>
          </w:tbl>
          <w:p>
            <w:pPr>
              <w:spacing w:line="460" w:lineRule="exact"/>
              <w:ind w:firstLine="480" w:firstLineChars="200"/>
              <w:rPr>
                <w:rFonts w:ascii="Times New Roman" w:hAnsi="Times New Roman" w:eastAsia="宋体"/>
                <w:color w:val="000000"/>
                <w:sz w:val="24"/>
              </w:rPr>
            </w:pPr>
            <w:r>
              <w:rPr>
                <w:rFonts w:hint="eastAsia" w:ascii="Times New Roman" w:hAnsi="Times New Roman" w:eastAsia="宋体"/>
                <w:color w:val="000000"/>
                <w:sz w:val="24"/>
              </w:rPr>
              <w:t>(1)环氧陶瓷:由甲组分（</w:t>
            </w:r>
            <w:r>
              <w:rPr>
                <w:rFonts w:ascii="Times New Roman" w:hAnsi="Times New Roman" w:eastAsia="宋体"/>
                <w:color w:val="000000"/>
                <w:sz w:val="24"/>
              </w:rPr>
              <w:t>黄褐色粘稠软膏</w:t>
            </w:r>
            <w:r>
              <w:rPr>
                <w:rFonts w:hint="eastAsia" w:ascii="Times New Roman" w:hAnsi="Times New Roman" w:eastAsia="宋体"/>
                <w:color w:val="000000"/>
                <w:sz w:val="24"/>
              </w:rPr>
              <w:t>，环氧树脂为主，另含20-30%的石英粉和少量助剂,）、乙组分（</w:t>
            </w:r>
            <w:r>
              <w:rPr>
                <w:rFonts w:ascii="Times New Roman" w:hAnsi="Times New Roman" w:eastAsia="宋体"/>
                <w:color w:val="000000"/>
                <w:sz w:val="24"/>
              </w:rPr>
              <w:t>黑色</w:t>
            </w:r>
            <w:r>
              <w:rPr>
                <w:rFonts w:hint="eastAsia" w:ascii="Times New Roman" w:hAnsi="Times New Roman" w:eastAsia="宋体"/>
                <w:color w:val="000000"/>
                <w:sz w:val="24"/>
              </w:rPr>
              <w:t>或者白色</w:t>
            </w:r>
            <w:r>
              <w:rPr>
                <w:rFonts w:ascii="Times New Roman" w:hAnsi="Times New Roman" w:eastAsia="宋体"/>
                <w:color w:val="000000"/>
                <w:sz w:val="24"/>
              </w:rPr>
              <w:t>粘稠液体</w:t>
            </w:r>
            <w:r>
              <w:rPr>
                <w:rFonts w:hint="eastAsia" w:ascii="Times New Roman" w:hAnsi="Times New Roman" w:eastAsia="宋体"/>
                <w:color w:val="000000"/>
                <w:sz w:val="24"/>
              </w:rPr>
              <w:t>，聚氨酯为主，包括20-40%的</w:t>
            </w:r>
            <w:r>
              <w:rPr>
                <w:rFonts w:ascii="Times New Roman" w:hAnsi="Times New Roman" w:eastAsia="宋体"/>
                <w:color w:val="000000"/>
                <w:sz w:val="24"/>
              </w:rPr>
              <w:t>石英粉和</w:t>
            </w:r>
            <w:r>
              <w:rPr>
                <w:rFonts w:hint="eastAsia" w:ascii="Times New Roman" w:hAnsi="Times New Roman" w:eastAsia="宋体"/>
                <w:color w:val="000000"/>
                <w:sz w:val="24"/>
              </w:rPr>
              <w:t>少量</w:t>
            </w:r>
            <w:r>
              <w:rPr>
                <w:rFonts w:ascii="Times New Roman" w:hAnsi="Times New Roman" w:eastAsia="宋体"/>
                <w:color w:val="000000"/>
                <w:sz w:val="24"/>
              </w:rPr>
              <w:t>助剂</w:t>
            </w:r>
            <w:r>
              <w:rPr>
                <w:rFonts w:hint="eastAsia" w:ascii="Times New Roman" w:hAnsi="Times New Roman" w:eastAsia="宋体"/>
                <w:color w:val="000000"/>
                <w:sz w:val="24"/>
              </w:rPr>
              <w:t>）</w:t>
            </w:r>
            <w:r>
              <w:rPr>
                <w:rFonts w:ascii="Times New Roman" w:hAnsi="Times New Roman" w:eastAsia="宋体"/>
                <w:color w:val="000000"/>
                <w:sz w:val="24"/>
              </w:rPr>
              <w:t>及其配套的环氧腻子</w:t>
            </w:r>
            <w:r>
              <w:rPr>
                <w:rFonts w:hint="eastAsia" w:ascii="Times New Roman" w:hAnsi="Times New Roman" w:eastAsia="宋体"/>
                <w:color w:val="000000"/>
                <w:sz w:val="24"/>
              </w:rPr>
              <w:t>（是环氧陶瓷甲、乙组分混合后喷涂剩余的更</w:t>
            </w:r>
            <w:r>
              <w:rPr>
                <w:rFonts w:ascii="Times New Roman" w:hAnsi="Times New Roman" w:eastAsia="宋体"/>
                <w:color w:val="000000"/>
                <w:sz w:val="24"/>
              </w:rPr>
              <w:t>粘稠</w:t>
            </w:r>
            <w:r>
              <w:rPr>
                <w:rFonts w:hint="eastAsia" w:ascii="Times New Roman" w:hAnsi="Times New Roman" w:eastAsia="宋体"/>
                <w:color w:val="000000"/>
                <w:sz w:val="24"/>
              </w:rPr>
              <w:t>的涂料）等组成的</w:t>
            </w:r>
            <w:r>
              <w:rPr>
                <w:rFonts w:ascii="Times New Roman" w:hAnsi="Times New Roman" w:eastAsia="宋体"/>
                <w:color w:val="000000"/>
                <w:sz w:val="24"/>
              </w:rPr>
              <w:t>无溶剂型双组份环氧涂料</w:t>
            </w:r>
            <w:r>
              <w:rPr>
                <w:rFonts w:hint="eastAsia" w:ascii="Times New Roman" w:hAnsi="Times New Roman" w:eastAsia="宋体"/>
                <w:color w:val="000000"/>
                <w:sz w:val="24"/>
              </w:rPr>
              <w:t>。</w:t>
            </w:r>
            <w:r>
              <w:rPr>
                <w:rFonts w:ascii="Times New Roman" w:hAnsi="Times New Roman" w:eastAsia="宋体"/>
                <w:color w:val="000000"/>
                <w:sz w:val="24"/>
              </w:rPr>
              <w:t>施工时将涂料的甲、乙组份分别予热，搅拌均匀，等量混合</w:t>
            </w:r>
            <w:r>
              <w:rPr>
                <w:rFonts w:hint="eastAsia" w:ascii="Times New Roman" w:hAnsi="Times New Roman" w:eastAsia="宋体"/>
                <w:color w:val="000000"/>
                <w:sz w:val="24"/>
              </w:rPr>
              <w:t>后喷涂在铸管内表面，加热固化后</w:t>
            </w:r>
            <w:r>
              <w:rPr>
                <w:rFonts w:ascii="Times New Roman" w:hAnsi="Times New Roman" w:eastAsia="宋体"/>
                <w:color w:val="000000"/>
                <w:sz w:val="24"/>
              </w:rPr>
              <w:t>得到致密光滑、坚如陶瓷、粘结牢固</w:t>
            </w:r>
            <w:r>
              <w:rPr>
                <w:rFonts w:hint="eastAsia" w:ascii="Times New Roman" w:hAnsi="Times New Roman" w:eastAsia="宋体"/>
                <w:color w:val="000000"/>
                <w:sz w:val="24"/>
              </w:rPr>
              <w:t>的内</w:t>
            </w:r>
            <w:r>
              <w:rPr>
                <w:rFonts w:ascii="Times New Roman" w:hAnsi="Times New Roman" w:eastAsia="宋体"/>
                <w:color w:val="000000"/>
                <w:sz w:val="24"/>
              </w:rPr>
              <w:t>衬层</w:t>
            </w:r>
            <w:r>
              <w:rPr>
                <w:rFonts w:hint="eastAsia" w:ascii="Times New Roman" w:hAnsi="Times New Roman" w:eastAsia="宋体"/>
                <w:color w:val="000000"/>
                <w:sz w:val="24"/>
              </w:rPr>
              <w:t>。</w:t>
            </w:r>
          </w:p>
          <w:p>
            <w:pPr>
              <w:spacing w:line="460" w:lineRule="exact"/>
              <w:ind w:firstLine="480" w:firstLineChars="200"/>
              <w:rPr>
                <w:rFonts w:ascii="Times New Roman" w:hAnsi="Times New Roman" w:eastAsia="宋体"/>
                <w:color w:val="000000"/>
                <w:sz w:val="24"/>
              </w:rPr>
            </w:pPr>
            <w:r>
              <w:rPr>
                <w:rFonts w:hint="eastAsia" w:ascii="Times New Roman" w:hAnsi="Times New Roman" w:eastAsia="宋体"/>
                <w:color w:val="000000"/>
                <w:sz w:val="24"/>
              </w:rPr>
              <w:t>（2）聚氨酯：由黑料（各种聚异氰酸酯,常用的有MDI、TDI等）、白料（组合聚醚，</w:t>
            </w:r>
            <w:r>
              <w:rPr>
                <w:rFonts w:ascii="Times New Roman" w:hAnsi="Times New Roman" w:eastAsia="宋体"/>
                <w:color w:val="000000"/>
                <w:sz w:val="24"/>
              </w:rPr>
              <w:t>棕黄色粘稠液体</w:t>
            </w:r>
            <w:r>
              <w:rPr>
                <w:rFonts w:hint="eastAsia" w:ascii="Times New Roman" w:hAnsi="Times New Roman" w:eastAsia="宋体"/>
                <w:color w:val="000000"/>
                <w:sz w:val="24"/>
              </w:rPr>
              <w:t>）、</w:t>
            </w:r>
            <w:r>
              <w:rPr>
                <w:rFonts w:ascii="Times New Roman" w:hAnsi="Times New Roman" w:eastAsia="宋体"/>
                <w:color w:val="000000"/>
                <w:sz w:val="24"/>
              </w:rPr>
              <w:t>匀泡剂、交联剂、催化剂、发泡剂等多种组份组合</w:t>
            </w:r>
            <w:r>
              <w:rPr>
                <w:rFonts w:hint="eastAsia" w:ascii="Times New Roman" w:hAnsi="Times New Roman" w:eastAsia="宋体"/>
                <w:color w:val="000000"/>
                <w:sz w:val="24"/>
              </w:rPr>
              <w:t>而成。聚氨酯</w:t>
            </w:r>
            <w:r>
              <w:rPr>
                <w:rFonts w:ascii="Times New Roman" w:hAnsi="Times New Roman" w:eastAsia="宋体"/>
                <w:color w:val="000000"/>
              </w:rPr>
              <w:fldChar w:fldCharType="begin"/>
            </w:r>
            <w:r>
              <w:rPr>
                <w:rFonts w:ascii="Times New Roman" w:hAnsi="Times New Roman" w:eastAsia="宋体"/>
                <w:color w:val="000000"/>
              </w:rPr>
              <w:instrText xml:space="preserve">HYPERLINK "https://www.baidu.com/s?wd=%E5%96%B7%E6%B6%82%E6%9C%BA&amp;tn=44039180_cpr&amp;fenlei=mv6quAkxTZn0IZRqIHckPjm4nH00T1Y3uWR4rymzrHTYuH6duj6s0ZwV5Hcvrjm3rH6sPfKWUMw85HfYnjn4nH6sgvPsT6KdThsqpZwYTjCEQLGCpyw9Uz4Bmy-bIi4WUvYETgN-TLwGUv3EnHbvnHR3nHnLP1fdnWTdrHmzn0" \t "_blank"</w:instrText>
            </w:r>
            <w:r>
              <w:rPr>
                <w:rFonts w:ascii="Times New Roman" w:hAnsi="Times New Roman" w:eastAsia="宋体"/>
                <w:color w:val="000000"/>
              </w:rPr>
              <w:fldChar w:fldCharType="separate"/>
            </w:r>
            <w:r>
              <w:rPr>
                <w:rStyle w:val="26"/>
                <w:rFonts w:hint="eastAsia" w:ascii="Times New Roman" w:hAnsi="Times New Roman" w:eastAsia="宋体"/>
                <w:color w:val="000000"/>
                <w:sz w:val="24"/>
                <w:u w:val="none"/>
              </w:rPr>
              <w:t>喷涂机</w:t>
            </w:r>
            <w:r>
              <w:rPr>
                <w:rFonts w:ascii="Times New Roman" w:hAnsi="Times New Roman" w:eastAsia="宋体"/>
                <w:color w:val="000000"/>
              </w:rPr>
              <w:fldChar w:fldCharType="end"/>
            </w:r>
            <w:r>
              <w:rPr>
                <w:rFonts w:hint="eastAsia" w:ascii="Times New Roman" w:hAnsi="Times New Roman" w:eastAsia="宋体"/>
                <w:color w:val="000000"/>
                <w:sz w:val="24"/>
              </w:rPr>
              <w:t>在压缩空气的作用下，将</w:t>
            </w:r>
            <w:r>
              <w:rPr>
                <w:rFonts w:ascii="Times New Roman" w:hAnsi="Times New Roman" w:eastAsia="宋体"/>
                <w:color w:val="000000"/>
              </w:rPr>
              <w:fldChar w:fldCharType="begin"/>
            </w:r>
            <w:r>
              <w:rPr>
                <w:rFonts w:ascii="Times New Roman" w:hAnsi="Times New Roman" w:eastAsia="宋体"/>
                <w:color w:val="000000"/>
              </w:rPr>
              <w:instrText xml:space="preserve">HYPERLINK "https://www.baidu.com/s?wd=%E8%81%9A%E6%B0%A8%E9%85%AF%E7%BB%84%E5%90%88%E6%96%99&amp;tn=44039180_cpr&amp;fenlei=mv6quAkxTZn0IZRqIHckPjm4nH00T1Y3uWR4rymzrHTYuH6duj6s0ZwV5Hcvrjm3rH6sPfKWUMw85HfYnjn4nH6sgvPsT6KdThsqpZwYTjCEQLGCpyw9Uz4Bmy-bIi4WUvYETgN-TLwGUv3EnHbvnHR3nHnLP1fdnWTdrHmzn0" \t "_blank"</w:instrText>
            </w:r>
            <w:r>
              <w:rPr>
                <w:rFonts w:ascii="Times New Roman" w:hAnsi="Times New Roman" w:eastAsia="宋体"/>
                <w:color w:val="000000"/>
              </w:rPr>
              <w:fldChar w:fldCharType="separate"/>
            </w:r>
            <w:r>
              <w:rPr>
                <w:rStyle w:val="26"/>
                <w:rFonts w:hint="eastAsia" w:ascii="Times New Roman" w:hAnsi="Times New Roman" w:eastAsia="宋体"/>
                <w:color w:val="000000"/>
                <w:sz w:val="24"/>
                <w:u w:val="none"/>
              </w:rPr>
              <w:t>聚氨酯组合料</w:t>
            </w:r>
            <w:r>
              <w:rPr>
                <w:rFonts w:ascii="Times New Roman" w:hAnsi="Times New Roman" w:eastAsia="宋体"/>
                <w:color w:val="000000"/>
              </w:rPr>
              <w:fldChar w:fldCharType="end"/>
            </w:r>
            <w:r>
              <w:rPr>
                <w:rFonts w:hint="eastAsia" w:ascii="Times New Roman" w:hAnsi="Times New Roman" w:eastAsia="宋体"/>
                <w:color w:val="000000"/>
                <w:sz w:val="24"/>
              </w:rPr>
              <w:t>中的黑料和白料加压到10Mpa的压力，然后按照一定比例（常规比例是1:1）充分混合并输出，输出后的两种原料发生化学反应,开始膨胀发泡，并最终形成具有均匀且封闭气泡孔的泡沫发泡体。</w:t>
            </w:r>
          </w:p>
          <w:p>
            <w:pPr>
              <w:spacing w:line="460" w:lineRule="exact"/>
              <w:ind w:firstLine="480" w:firstLineChars="200"/>
              <w:rPr>
                <w:rFonts w:ascii="Times New Roman" w:hAnsi="Times New Roman" w:eastAsia="宋体"/>
                <w:color w:val="000000"/>
                <w:sz w:val="24"/>
              </w:rPr>
            </w:pPr>
            <w:r>
              <w:rPr>
                <w:rFonts w:hint="eastAsia" w:ascii="Times New Roman" w:hAnsi="Times New Roman" w:eastAsia="宋体"/>
                <w:color w:val="000000"/>
                <w:sz w:val="24"/>
              </w:rPr>
              <w:t>（3）铝粉漆：水性丙烯酸树脂55%、去离子水23.5%、水性蜡10%、乙二醇丁醚5%、铝粉5%、增稠剂0.9%、分散剂0.2%、消泡剂0.1%、防腐剂0.1%等。</w:t>
            </w:r>
          </w:p>
          <w:p>
            <w:pPr>
              <w:spacing w:line="460" w:lineRule="exact"/>
              <w:ind w:firstLine="480" w:firstLineChars="200"/>
              <w:rPr>
                <w:rFonts w:ascii="Times New Roman" w:hAnsi="Times New Roman" w:eastAsia="宋体"/>
                <w:color w:val="000000"/>
                <w:sz w:val="24"/>
              </w:rPr>
            </w:pPr>
            <w:r>
              <w:rPr>
                <w:rFonts w:hint="eastAsia" w:ascii="Times New Roman" w:hAnsi="Times New Roman" w:eastAsia="宋体"/>
                <w:color w:val="000000"/>
                <w:sz w:val="24"/>
              </w:rPr>
              <w:t>（4）</w:t>
            </w:r>
            <w:r>
              <w:rPr>
                <w:rFonts w:hint="eastAsia" w:ascii="Times New Roman" w:hAnsi="Times New Roman" w:eastAsia="宋体" w:cs="宋体"/>
                <w:color w:val="000000"/>
                <w:spacing w:val="8"/>
                <w:sz w:val="24"/>
              </w:rPr>
              <w:t>沥青漆：外购配制好的成品沥青漆</w:t>
            </w:r>
            <w:r>
              <w:rPr>
                <w:rFonts w:hint="eastAsia" w:ascii="Times New Roman" w:hAnsi="Times New Roman" w:eastAsia="宋体"/>
                <w:color w:val="000000"/>
                <w:sz w:val="24"/>
              </w:rPr>
              <w:t>由高氯化聚乙烯树脂、改性树脂、增塑剂、颜料、滑石粉、助剂、溶剂等组成。技改项目所用沥青漆实际是环氧沥青漆，与普通的乳化沥青漆、沥青胶漆等防腐剂不同，常温喷涂时不会产生沥青烟。其含量如</w:t>
            </w:r>
            <w:r>
              <w:rPr>
                <w:rFonts w:hint="eastAsia" w:ascii="Times New Roman" w:hAnsi="Times New Roman" w:eastAsia="宋体"/>
                <w:color w:val="000000"/>
                <w:sz w:val="24"/>
                <w:lang w:val="en-US" w:eastAsia="zh-CN"/>
              </w:rPr>
              <w:t>下表</w:t>
            </w:r>
            <w:r>
              <w:rPr>
                <w:rFonts w:hint="eastAsia" w:ascii="Times New Roman" w:hAnsi="Times New Roman" w:eastAsia="宋体"/>
                <w:color w:val="000000"/>
                <w:sz w:val="24"/>
              </w:rPr>
              <w:t>所示。</w:t>
            </w:r>
          </w:p>
          <w:p>
            <w:pPr>
              <w:pStyle w:val="44"/>
              <w:spacing w:line="460" w:lineRule="exact"/>
              <w:jc w:val="center"/>
              <w:rPr>
                <w:rFonts w:ascii="Times New Roman" w:hAnsi="Times New Roman" w:eastAsia="宋体"/>
                <w:color w:val="000000"/>
                <w:sz w:val="24"/>
                <w:szCs w:val="24"/>
              </w:rPr>
            </w:pPr>
            <w:r>
              <w:rPr>
                <w:rFonts w:hint="eastAsia" w:ascii="Times New Roman" w:hAnsi="Times New Roman" w:eastAsia="宋体"/>
                <w:color w:val="000000"/>
                <w:sz w:val="24"/>
                <w:szCs w:val="24"/>
              </w:rPr>
              <w:t>表</w:t>
            </w:r>
            <w:r>
              <w:rPr>
                <w:rFonts w:hint="eastAsia" w:ascii="Times New Roman" w:hAnsi="Times New Roman" w:eastAsia="宋体"/>
                <w:color w:val="000000"/>
                <w:sz w:val="24"/>
                <w:szCs w:val="24"/>
                <w:lang w:val="en-US" w:eastAsia="zh-CN"/>
              </w:rPr>
              <w:t>1-5</w:t>
            </w:r>
            <w:r>
              <w:rPr>
                <w:rFonts w:hint="eastAsia" w:ascii="Times New Roman" w:hAnsi="Times New Roman" w:eastAsia="宋体"/>
                <w:color w:val="000000"/>
                <w:sz w:val="24"/>
                <w:szCs w:val="24"/>
              </w:rPr>
              <w:t xml:space="preserve">   沥青漆主要组份（质量</w:t>
            </w:r>
            <w:r>
              <w:rPr>
                <w:rFonts w:hint="eastAsia" w:ascii="Times New Roman" w:hAnsi="Times New Roman" w:eastAsia="宋体"/>
                <w:color w:val="000000"/>
                <w:sz w:val="24"/>
              </w:rPr>
              <w:t>%</w:t>
            </w:r>
            <w:r>
              <w:rPr>
                <w:rFonts w:hint="eastAsia" w:ascii="Times New Roman" w:hAnsi="Times New Roman" w:eastAsia="宋体"/>
                <w:color w:val="000000"/>
                <w:sz w:val="24"/>
                <w:szCs w:val="24"/>
              </w:rPr>
              <w:t>）</w:t>
            </w:r>
          </w:p>
          <w:tbl>
            <w:tblPr>
              <w:tblStyle w:val="22"/>
              <w:tblW w:w="8647" w:type="dxa"/>
              <w:tblInd w:w="250" w:type="dxa"/>
              <w:tblLayout w:type="autofit"/>
              <w:tblCellMar>
                <w:top w:w="0" w:type="dxa"/>
                <w:left w:w="108" w:type="dxa"/>
                <w:bottom w:w="0" w:type="dxa"/>
                <w:right w:w="108" w:type="dxa"/>
              </w:tblCellMar>
            </w:tblPr>
            <w:tblGrid>
              <w:gridCol w:w="1418"/>
              <w:gridCol w:w="708"/>
              <w:gridCol w:w="851"/>
              <w:gridCol w:w="1559"/>
              <w:gridCol w:w="567"/>
              <w:gridCol w:w="709"/>
              <w:gridCol w:w="1134"/>
              <w:gridCol w:w="709"/>
              <w:gridCol w:w="992"/>
            </w:tblGrid>
            <w:tr>
              <w:tblPrEx>
                <w:tblCellMar>
                  <w:top w:w="0" w:type="dxa"/>
                  <w:left w:w="108" w:type="dxa"/>
                  <w:bottom w:w="0" w:type="dxa"/>
                  <w:right w:w="108" w:type="dxa"/>
                </w:tblCellMar>
              </w:tblPrEx>
              <w:trPr>
                <w:trHeight w:val="170" w:hRule="atLeast"/>
              </w:trPr>
              <w:tc>
                <w:tcPr>
                  <w:tcW w:w="141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沥青漆</w:t>
                  </w:r>
                </w:p>
              </w:tc>
              <w:tc>
                <w:tcPr>
                  <w:tcW w:w="708"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比例</w:t>
                  </w:r>
                </w:p>
              </w:tc>
              <w:tc>
                <w:tcPr>
                  <w:tcW w:w="851"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备注</w:t>
                  </w:r>
                </w:p>
              </w:tc>
              <w:tc>
                <w:tcPr>
                  <w:tcW w:w="1559"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沥青漆</w:t>
                  </w:r>
                </w:p>
              </w:tc>
              <w:tc>
                <w:tcPr>
                  <w:tcW w:w="567"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比例</w:t>
                  </w:r>
                </w:p>
              </w:tc>
              <w:tc>
                <w:tcPr>
                  <w:tcW w:w="709"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备注</w:t>
                  </w:r>
                </w:p>
              </w:tc>
              <w:tc>
                <w:tcPr>
                  <w:tcW w:w="1134"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沥青漆</w:t>
                  </w:r>
                </w:p>
              </w:tc>
              <w:tc>
                <w:tcPr>
                  <w:tcW w:w="709"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比例</w:t>
                  </w:r>
                </w:p>
              </w:tc>
              <w:tc>
                <w:tcPr>
                  <w:tcW w:w="992"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备注</w:t>
                  </w:r>
                </w:p>
              </w:tc>
            </w:tr>
            <w:tr>
              <w:tblPrEx>
                <w:tblCellMar>
                  <w:top w:w="0" w:type="dxa"/>
                  <w:left w:w="108" w:type="dxa"/>
                  <w:bottom w:w="0" w:type="dxa"/>
                  <w:right w:w="108" w:type="dxa"/>
                </w:tblCellMar>
              </w:tblPrEx>
              <w:trPr>
                <w:trHeight w:val="170" w:hRule="atLeast"/>
              </w:trPr>
              <w:tc>
                <w:tcPr>
                  <w:tcW w:w="141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高氯化聚乙烯</w:t>
                  </w:r>
                </w:p>
              </w:tc>
              <w:tc>
                <w:tcPr>
                  <w:tcW w:w="708"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10</w:t>
                  </w:r>
                </w:p>
              </w:tc>
              <w:tc>
                <w:tcPr>
                  <w:tcW w:w="851"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固相</w:t>
                  </w:r>
                </w:p>
              </w:tc>
              <w:tc>
                <w:tcPr>
                  <w:tcW w:w="1559"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分散剂</w:t>
                  </w:r>
                </w:p>
              </w:tc>
              <w:tc>
                <w:tcPr>
                  <w:tcW w:w="567"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0.3</w:t>
                  </w:r>
                </w:p>
              </w:tc>
              <w:tc>
                <w:tcPr>
                  <w:tcW w:w="709"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固相</w:t>
                  </w:r>
                </w:p>
              </w:tc>
              <w:tc>
                <w:tcPr>
                  <w:tcW w:w="1134"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高岭土</w:t>
                  </w:r>
                </w:p>
              </w:tc>
              <w:tc>
                <w:tcPr>
                  <w:tcW w:w="709"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5</w:t>
                  </w:r>
                </w:p>
              </w:tc>
              <w:tc>
                <w:tcPr>
                  <w:tcW w:w="992"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固相</w:t>
                  </w:r>
                </w:p>
              </w:tc>
            </w:tr>
            <w:tr>
              <w:tblPrEx>
                <w:tblCellMar>
                  <w:top w:w="0" w:type="dxa"/>
                  <w:left w:w="108" w:type="dxa"/>
                  <w:bottom w:w="0" w:type="dxa"/>
                  <w:right w:w="108" w:type="dxa"/>
                </w:tblCellMar>
              </w:tblPrEx>
              <w:trPr>
                <w:trHeight w:val="170" w:hRule="atLeast"/>
              </w:trPr>
              <w:tc>
                <w:tcPr>
                  <w:tcW w:w="141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丙烯酸树脂</w:t>
                  </w:r>
                </w:p>
              </w:tc>
              <w:tc>
                <w:tcPr>
                  <w:tcW w:w="708"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5</w:t>
                  </w:r>
                </w:p>
              </w:tc>
              <w:tc>
                <w:tcPr>
                  <w:tcW w:w="851"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固相</w:t>
                  </w:r>
                </w:p>
              </w:tc>
              <w:tc>
                <w:tcPr>
                  <w:tcW w:w="1559"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有机改性膨润土</w:t>
                  </w:r>
                </w:p>
              </w:tc>
              <w:tc>
                <w:tcPr>
                  <w:tcW w:w="567"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0.5</w:t>
                  </w:r>
                </w:p>
              </w:tc>
              <w:tc>
                <w:tcPr>
                  <w:tcW w:w="709"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固相</w:t>
                  </w:r>
                </w:p>
              </w:tc>
              <w:tc>
                <w:tcPr>
                  <w:tcW w:w="1134"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空心微珠</w:t>
                  </w:r>
                </w:p>
              </w:tc>
              <w:tc>
                <w:tcPr>
                  <w:tcW w:w="709"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10</w:t>
                  </w:r>
                </w:p>
              </w:tc>
              <w:tc>
                <w:tcPr>
                  <w:tcW w:w="992"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固相</w:t>
                  </w:r>
                </w:p>
              </w:tc>
            </w:tr>
            <w:tr>
              <w:tblPrEx>
                <w:tblCellMar>
                  <w:top w:w="0" w:type="dxa"/>
                  <w:left w:w="108" w:type="dxa"/>
                  <w:bottom w:w="0" w:type="dxa"/>
                  <w:right w:w="108" w:type="dxa"/>
                </w:tblCellMar>
              </w:tblPrEx>
              <w:trPr>
                <w:trHeight w:val="170" w:hRule="atLeast"/>
              </w:trPr>
              <w:tc>
                <w:tcPr>
                  <w:tcW w:w="141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改性树脂</w:t>
                  </w:r>
                </w:p>
              </w:tc>
              <w:tc>
                <w:tcPr>
                  <w:tcW w:w="708"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7</w:t>
                  </w:r>
                </w:p>
              </w:tc>
              <w:tc>
                <w:tcPr>
                  <w:tcW w:w="851"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固相</w:t>
                  </w:r>
                </w:p>
              </w:tc>
              <w:tc>
                <w:tcPr>
                  <w:tcW w:w="1559"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碳黑</w:t>
                  </w:r>
                </w:p>
              </w:tc>
              <w:tc>
                <w:tcPr>
                  <w:tcW w:w="567"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3</w:t>
                  </w:r>
                </w:p>
              </w:tc>
              <w:tc>
                <w:tcPr>
                  <w:tcW w:w="709"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固相</w:t>
                  </w:r>
                </w:p>
              </w:tc>
              <w:tc>
                <w:tcPr>
                  <w:tcW w:w="1134"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复合铁鈦粉</w:t>
                  </w:r>
                </w:p>
              </w:tc>
              <w:tc>
                <w:tcPr>
                  <w:tcW w:w="709"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2.5</w:t>
                  </w:r>
                </w:p>
              </w:tc>
              <w:tc>
                <w:tcPr>
                  <w:tcW w:w="992"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固相</w:t>
                  </w:r>
                </w:p>
              </w:tc>
            </w:tr>
            <w:tr>
              <w:tblPrEx>
                <w:tblCellMar>
                  <w:top w:w="0" w:type="dxa"/>
                  <w:left w:w="108" w:type="dxa"/>
                  <w:bottom w:w="0" w:type="dxa"/>
                  <w:right w:w="108" w:type="dxa"/>
                </w:tblCellMar>
              </w:tblPrEx>
              <w:trPr>
                <w:trHeight w:val="170" w:hRule="atLeast"/>
              </w:trPr>
              <w:tc>
                <w:tcPr>
                  <w:tcW w:w="141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氯化石蜡</w:t>
                  </w:r>
                </w:p>
              </w:tc>
              <w:tc>
                <w:tcPr>
                  <w:tcW w:w="708"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4.5</w:t>
                  </w:r>
                </w:p>
              </w:tc>
              <w:tc>
                <w:tcPr>
                  <w:tcW w:w="851"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固相</w:t>
                  </w:r>
                </w:p>
              </w:tc>
              <w:tc>
                <w:tcPr>
                  <w:tcW w:w="1559"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氧化铁黑</w:t>
                  </w:r>
                </w:p>
              </w:tc>
              <w:tc>
                <w:tcPr>
                  <w:tcW w:w="567"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5</w:t>
                  </w:r>
                </w:p>
              </w:tc>
              <w:tc>
                <w:tcPr>
                  <w:tcW w:w="709"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固相</w:t>
                  </w:r>
                </w:p>
              </w:tc>
              <w:tc>
                <w:tcPr>
                  <w:tcW w:w="1134"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甲苯</w:t>
                  </w:r>
                </w:p>
              </w:tc>
              <w:tc>
                <w:tcPr>
                  <w:tcW w:w="709"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25</w:t>
                  </w:r>
                </w:p>
              </w:tc>
              <w:tc>
                <w:tcPr>
                  <w:tcW w:w="992"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溶剂</w:t>
                  </w:r>
                </w:p>
              </w:tc>
            </w:tr>
            <w:tr>
              <w:tblPrEx>
                <w:tblCellMar>
                  <w:top w:w="0" w:type="dxa"/>
                  <w:left w:w="108" w:type="dxa"/>
                  <w:bottom w:w="0" w:type="dxa"/>
                  <w:right w:w="108" w:type="dxa"/>
                </w:tblCellMar>
              </w:tblPrEx>
              <w:trPr>
                <w:trHeight w:val="170" w:hRule="atLeast"/>
              </w:trPr>
              <w:tc>
                <w:tcPr>
                  <w:tcW w:w="1418" w:type="dxa"/>
                  <w:tcBorders>
                    <w:top w:val="single" w:color="000000" w:sz="4" w:space="0"/>
                    <w:left w:val="single" w:color="000000" w:sz="4" w:space="0"/>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128环氧树脂</w:t>
                  </w:r>
                </w:p>
              </w:tc>
              <w:tc>
                <w:tcPr>
                  <w:tcW w:w="708"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1.8</w:t>
                  </w:r>
                </w:p>
              </w:tc>
              <w:tc>
                <w:tcPr>
                  <w:tcW w:w="851"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固相</w:t>
                  </w:r>
                </w:p>
              </w:tc>
              <w:tc>
                <w:tcPr>
                  <w:tcW w:w="1559"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滑石粉</w:t>
                  </w:r>
                </w:p>
              </w:tc>
              <w:tc>
                <w:tcPr>
                  <w:tcW w:w="567"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10</w:t>
                  </w:r>
                </w:p>
              </w:tc>
              <w:tc>
                <w:tcPr>
                  <w:tcW w:w="709"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固相</w:t>
                  </w:r>
                </w:p>
              </w:tc>
              <w:tc>
                <w:tcPr>
                  <w:tcW w:w="1134"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二甲苯</w:t>
                  </w:r>
                </w:p>
              </w:tc>
              <w:tc>
                <w:tcPr>
                  <w:tcW w:w="709"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10</w:t>
                  </w:r>
                </w:p>
              </w:tc>
              <w:tc>
                <w:tcPr>
                  <w:tcW w:w="992" w:type="dxa"/>
                  <w:tcBorders>
                    <w:top w:val="single" w:color="000000" w:sz="4" w:space="0"/>
                    <w:left w:val="nil"/>
                    <w:bottom w:val="single" w:color="000000" w:sz="4" w:space="0"/>
                    <w:right w:val="single" w:color="000000" w:sz="4" w:space="0"/>
                  </w:tcBorders>
                  <w:noWrap w:val="0"/>
                  <w:vAlign w:val="center"/>
                </w:tcPr>
                <w:p>
                  <w:pPr>
                    <w:widowControl/>
                    <w:snapToGrid w:val="0"/>
                    <w:jc w:val="center"/>
                    <w:rPr>
                      <w:rFonts w:ascii="Times New Roman" w:hAnsi="Times New Roman" w:eastAsia="宋体" w:cs="宋体"/>
                      <w:color w:val="000000"/>
                      <w:kern w:val="0"/>
                      <w:sz w:val="21"/>
                      <w:szCs w:val="21"/>
                    </w:rPr>
                  </w:pPr>
                  <w:r>
                    <w:rPr>
                      <w:rFonts w:hint="eastAsia" w:ascii="Times New Roman" w:hAnsi="Times New Roman" w:eastAsia="宋体" w:cs="宋体"/>
                      <w:color w:val="000000"/>
                      <w:kern w:val="0"/>
                      <w:sz w:val="21"/>
                      <w:szCs w:val="21"/>
                    </w:rPr>
                    <w:t>溶剂</w:t>
                  </w:r>
                </w:p>
              </w:tc>
            </w:tr>
          </w:tbl>
          <w:p>
            <w:pPr>
              <w:spacing w:line="360" w:lineRule="auto"/>
              <w:ind w:firstLine="482" w:firstLineChars="200"/>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ascii="Times New Roman" w:hAnsi="Times New Roman" w:eastAsia="宋体"/>
                <w:b/>
                <w:color w:val="auto"/>
                <w:sz w:val="24"/>
                <w:szCs w:val="24"/>
              </w:rPr>
              <w:t>、技改前后职工人数</w:t>
            </w:r>
          </w:p>
          <w:p>
            <w:pPr>
              <w:spacing w:line="420" w:lineRule="exact"/>
              <w:ind w:firstLine="480" w:firstLineChars="200"/>
              <w:rPr>
                <w:rFonts w:hint="eastAsia" w:ascii="Times New Roman" w:hAnsi="Times New Roman" w:eastAsia="宋体"/>
                <w:color w:val="auto"/>
                <w:sz w:val="24"/>
                <w:szCs w:val="24"/>
              </w:rPr>
            </w:pPr>
            <w:r>
              <w:rPr>
                <w:rFonts w:ascii="Times New Roman" w:hAnsi="Times New Roman" w:eastAsia="宋体"/>
                <w:color w:val="auto"/>
                <w:sz w:val="24"/>
                <w:szCs w:val="24"/>
              </w:rPr>
              <w:t>本次技改项目新增</w:t>
            </w:r>
            <w:r>
              <w:rPr>
                <w:rFonts w:hint="eastAsia" w:ascii="Times New Roman" w:hAnsi="Times New Roman" w:eastAsia="宋体"/>
                <w:color w:val="auto"/>
                <w:sz w:val="24"/>
                <w:szCs w:val="24"/>
                <w:lang w:val="en-US" w:eastAsia="zh-CN"/>
              </w:rPr>
              <w:t>劳动定员18</w:t>
            </w:r>
            <w:r>
              <w:rPr>
                <w:rFonts w:ascii="Times New Roman" w:hAnsi="Times New Roman" w:eastAsia="宋体"/>
                <w:color w:val="auto"/>
                <w:sz w:val="24"/>
                <w:szCs w:val="24"/>
              </w:rPr>
              <w:t>人，</w:t>
            </w:r>
            <w:r>
              <w:rPr>
                <w:rFonts w:hint="eastAsia" w:ascii="Times New Roman" w:hAnsi="Times New Roman" w:eastAsia="宋体"/>
                <w:color w:val="auto"/>
                <w:sz w:val="24"/>
                <w:szCs w:val="24"/>
              </w:rPr>
              <w:t>在铸管特喷车间处新增铸管整理车间</w:t>
            </w:r>
            <w:r>
              <w:rPr>
                <w:rFonts w:hint="eastAsia" w:ascii="Times New Roman" w:hAnsi="Times New Roman" w:eastAsia="宋体"/>
                <w:color w:val="auto"/>
                <w:sz w:val="24"/>
                <w:szCs w:val="24"/>
              </w:rPr>
              <w:t>；实行三班连续工作制，每班作8小时；工作天数约365天/年。</w:t>
            </w:r>
          </w:p>
          <w:p>
            <w:pPr>
              <w:spacing w:line="360" w:lineRule="auto"/>
              <w:ind w:firstLine="482" w:firstLineChars="200"/>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ascii="Times New Roman" w:hAnsi="Times New Roman" w:eastAsia="宋体"/>
                <w:b/>
                <w:color w:val="auto"/>
                <w:sz w:val="24"/>
                <w:szCs w:val="24"/>
              </w:rPr>
              <w:t>、公用工程</w:t>
            </w:r>
          </w:p>
          <w:p>
            <w:pPr>
              <w:spacing w:line="360" w:lineRule="auto"/>
              <w:ind w:firstLine="480" w:firstLineChars="200"/>
              <w:rPr>
                <w:rFonts w:ascii="Times New Roman" w:hAnsi="Times New Roman" w:eastAsia="宋体"/>
                <w:bCs/>
                <w:color w:val="auto"/>
                <w:kern w:val="0"/>
                <w:sz w:val="24"/>
                <w:szCs w:val="24"/>
              </w:rPr>
            </w:pPr>
            <w:r>
              <w:rPr>
                <w:rFonts w:ascii="Times New Roman" w:hAnsi="Times New Roman" w:eastAsia="宋体"/>
                <w:bCs/>
                <w:color w:val="auto"/>
                <w:kern w:val="0"/>
                <w:sz w:val="24"/>
                <w:szCs w:val="24"/>
              </w:rPr>
              <w:t>（1）给水</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本项目利用技改前厂区已建成的供水管网，厂区给水管网分为生活给水管网与消防给水管网两个独立部分。全部</w:t>
            </w:r>
            <w:r>
              <w:rPr>
                <w:rFonts w:hint="eastAsia" w:ascii="Times New Roman" w:hAnsi="Times New Roman" w:eastAsia="宋体"/>
                <w:color w:val="auto"/>
                <w:sz w:val="24"/>
              </w:rPr>
              <w:t>依托全公司供水系统</w:t>
            </w:r>
            <w:r>
              <w:rPr>
                <w:rFonts w:ascii="Times New Roman" w:hAnsi="Times New Roman" w:eastAsia="宋体"/>
                <w:color w:val="auto"/>
                <w:sz w:val="24"/>
              </w:rPr>
              <w:t>。</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（2）排水</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本项目</w:t>
            </w:r>
            <w:r>
              <w:rPr>
                <w:rFonts w:hint="eastAsia" w:ascii="Times New Roman" w:hAnsi="Times New Roman" w:eastAsia="宋体"/>
                <w:color w:val="auto"/>
                <w:sz w:val="24"/>
                <w:lang w:val="en-US" w:eastAsia="zh-CN"/>
              </w:rPr>
              <w:t>排水</w:t>
            </w:r>
            <w:r>
              <w:rPr>
                <w:rFonts w:ascii="Times New Roman" w:hAnsi="Times New Roman" w:eastAsia="宋体"/>
                <w:color w:val="auto"/>
                <w:sz w:val="24"/>
              </w:rPr>
              <w:t>利用技改前厂区已建成的雨</w:t>
            </w:r>
            <w:r>
              <w:rPr>
                <w:rFonts w:hint="eastAsia" w:ascii="Times New Roman" w:hAnsi="Times New Roman" w:eastAsia="宋体"/>
                <w:color w:val="auto"/>
                <w:sz w:val="24"/>
                <w:lang w:eastAsia="zh-CN"/>
              </w:rPr>
              <w:t>、</w:t>
            </w:r>
            <w:r>
              <w:rPr>
                <w:rFonts w:hint="eastAsia" w:ascii="Times New Roman" w:hAnsi="Times New Roman" w:eastAsia="宋体"/>
                <w:color w:val="auto"/>
                <w:sz w:val="24"/>
                <w:lang w:val="en-US" w:eastAsia="zh-CN"/>
              </w:rPr>
              <w:t>污</w:t>
            </w:r>
            <w:r>
              <w:rPr>
                <w:rFonts w:ascii="Times New Roman" w:hAnsi="Times New Roman" w:eastAsia="宋体"/>
                <w:color w:val="auto"/>
                <w:sz w:val="24"/>
              </w:rPr>
              <w:t>管网</w:t>
            </w:r>
            <w:r>
              <w:rPr>
                <w:rFonts w:hint="eastAsia" w:ascii="Times New Roman" w:hAnsi="Times New Roman" w:eastAsia="宋体"/>
                <w:color w:val="auto"/>
                <w:sz w:val="24"/>
              </w:rPr>
              <w:t>。</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（3）供电</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供电电源接自当地供电局电网，经变压后引入厂区变配电室。</w:t>
            </w:r>
          </w:p>
          <w:p>
            <w:pPr>
              <w:spacing w:line="360" w:lineRule="auto"/>
              <w:ind w:firstLine="482" w:firstLineChars="200"/>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5</w:t>
            </w:r>
            <w:r>
              <w:rPr>
                <w:rFonts w:ascii="Times New Roman" w:hAnsi="Times New Roman" w:eastAsia="宋体"/>
                <w:b/>
                <w:color w:val="auto"/>
                <w:sz w:val="24"/>
                <w:szCs w:val="24"/>
              </w:rPr>
              <w:t>、产业政策分析</w:t>
            </w:r>
          </w:p>
          <w:p>
            <w:pPr>
              <w:spacing w:line="360" w:lineRule="auto"/>
              <w:ind w:firstLine="480" w:firstLineChars="200"/>
              <w:rPr>
                <w:rFonts w:ascii="Times New Roman" w:hAnsi="Times New Roman" w:eastAsia="宋体"/>
                <w:color w:val="auto"/>
                <w:sz w:val="24"/>
                <w:szCs w:val="22"/>
              </w:rPr>
            </w:pPr>
            <w:r>
              <w:rPr>
                <w:rFonts w:ascii="Times New Roman" w:hAnsi="Times New Roman" w:eastAsia="宋体"/>
                <w:color w:val="auto"/>
                <w:sz w:val="24"/>
              </w:rPr>
              <w:t>对照国家发展和改革委员会《产业结构调整指导目录（2019年本）》有关条款的决定，本项目不属于鼓励类、限制类和淘汰类，属于允许类项目，因此本项目符合国家产业政策，项目已经于20</w:t>
            </w:r>
            <w:r>
              <w:rPr>
                <w:rFonts w:hint="eastAsia" w:ascii="Times New Roman" w:hAnsi="Times New Roman" w:eastAsia="宋体"/>
                <w:color w:val="auto"/>
                <w:sz w:val="24"/>
                <w:lang w:val="en-US" w:eastAsia="zh-CN"/>
              </w:rPr>
              <w:t>20</w:t>
            </w:r>
            <w:r>
              <w:rPr>
                <w:rFonts w:ascii="Times New Roman" w:hAnsi="Times New Roman" w:eastAsia="宋体"/>
                <w:color w:val="auto"/>
                <w:sz w:val="24"/>
              </w:rPr>
              <w:t>年</w:t>
            </w:r>
            <w:r>
              <w:rPr>
                <w:rFonts w:hint="eastAsia" w:ascii="Times New Roman" w:hAnsi="Times New Roman" w:eastAsia="宋体"/>
                <w:color w:val="auto"/>
                <w:sz w:val="24"/>
                <w:lang w:val="en-US" w:eastAsia="zh-CN"/>
              </w:rPr>
              <w:t>9</w:t>
            </w:r>
            <w:r>
              <w:rPr>
                <w:rFonts w:ascii="Times New Roman" w:hAnsi="Times New Roman" w:eastAsia="宋体"/>
                <w:color w:val="auto"/>
                <w:sz w:val="24"/>
              </w:rPr>
              <w:t>月</w:t>
            </w:r>
            <w:r>
              <w:rPr>
                <w:rFonts w:hint="eastAsia" w:ascii="Times New Roman" w:hAnsi="Times New Roman" w:eastAsia="宋体"/>
                <w:color w:val="auto"/>
                <w:sz w:val="24"/>
                <w:lang w:val="en-US" w:eastAsia="zh-CN"/>
              </w:rPr>
              <w:t>17</w:t>
            </w:r>
            <w:r>
              <w:rPr>
                <w:rFonts w:ascii="Times New Roman" w:hAnsi="Times New Roman" w:eastAsia="宋体"/>
                <w:color w:val="auto"/>
                <w:sz w:val="24"/>
              </w:rPr>
              <w:t>日取得</w:t>
            </w:r>
            <w:r>
              <w:rPr>
                <w:rFonts w:ascii="Times New Roman" w:hAnsi="Times New Roman" w:eastAsia="宋体"/>
                <w:color w:val="auto"/>
                <w:kern w:val="0"/>
                <w:sz w:val="24"/>
              </w:rPr>
              <w:t>芜湖市三山区经济和信息化局文件“关于</w:t>
            </w:r>
            <w:r>
              <w:rPr>
                <w:rFonts w:hint="eastAsia" w:ascii="Times New Roman" w:hAnsi="Times New Roman" w:eastAsia="宋体"/>
                <w:color w:val="auto"/>
                <w:kern w:val="0"/>
                <w:sz w:val="24"/>
                <w:lang w:val="en-US" w:eastAsia="zh-CN"/>
              </w:rPr>
              <w:t>芜湖新兴铸管有限责任公司新增大管整理线车间工程项目</w:t>
            </w:r>
            <w:r>
              <w:rPr>
                <w:rFonts w:ascii="Times New Roman" w:hAnsi="Times New Roman" w:eastAsia="宋体"/>
                <w:color w:val="auto"/>
                <w:kern w:val="0"/>
                <w:sz w:val="24"/>
              </w:rPr>
              <w:t>备案的通知”</w:t>
            </w:r>
            <w:r>
              <w:rPr>
                <w:rFonts w:ascii="Times New Roman" w:hAnsi="Times New Roman" w:eastAsia="宋体"/>
                <w:color w:val="auto"/>
                <w:sz w:val="24"/>
                <w:szCs w:val="22"/>
              </w:rPr>
              <w:t xml:space="preserve">，因此项目符合国家和当地的相关产业政策。 </w:t>
            </w:r>
          </w:p>
          <w:p>
            <w:pPr>
              <w:spacing w:line="360" w:lineRule="auto"/>
              <w:ind w:firstLine="482" w:firstLineChars="200"/>
              <w:rPr>
                <w:rFonts w:ascii="Times New Roman" w:hAnsi="Times New Roman" w:eastAsia="宋体"/>
                <w:color w:val="auto"/>
                <w:sz w:val="24"/>
                <w:szCs w:val="22"/>
              </w:rPr>
            </w:pPr>
            <w:r>
              <w:rPr>
                <w:rFonts w:hint="eastAsia" w:ascii="Times New Roman" w:hAnsi="Times New Roman" w:eastAsia="宋体"/>
                <w:b/>
                <w:bCs/>
                <w:color w:val="auto"/>
                <w:sz w:val="24"/>
                <w:szCs w:val="22"/>
                <w:lang w:val="en-US" w:eastAsia="zh-CN"/>
              </w:rPr>
              <w:t>6</w:t>
            </w:r>
            <w:r>
              <w:rPr>
                <w:rFonts w:ascii="Times New Roman" w:hAnsi="Times New Roman" w:eastAsia="宋体"/>
                <w:b/>
                <w:bCs/>
                <w:color w:val="auto"/>
                <w:sz w:val="24"/>
                <w:szCs w:val="22"/>
              </w:rPr>
              <w:t>、</w:t>
            </w:r>
            <w:r>
              <w:rPr>
                <w:rFonts w:ascii="Times New Roman" w:hAnsi="Times New Roman" w:eastAsia="宋体"/>
                <w:b/>
                <w:color w:val="auto"/>
                <w:sz w:val="24"/>
                <w:szCs w:val="24"/>
              </w:rPr>
              <w:t>规划选址可行性</w:t>
            </w:r>
          </w:p>
          <w:p>
            <w:pPr>
              <w:pStyle w:val="11"/>
              <w:spacing w:after="0" w:line="360" w:lineRule="auto"/>
              <w:ind w:left="0" w:leftChars="0" w:firstLine="480" w:firstLineChars="200"/>
              <w:rPr>
                <w:rFonts w:ascii="Times New Roman" w:hAnsi="Times New Roman" w:eastAsia="宋体"/>
                <w:color w:val="auto"/>
                <w:sz w:val="24"/>
                <w:szCs w:val="22"/>
              </w:rPr>
            </w:pPr>
            <w:r>
              <w:rPr>
                <w:rFonts w:ascii="Times New Roman" w:hAnsi="Times New Roman" w:eastAsia="宋体"/>
                <w:color w:val="auto"/>
                <w:sz w:val="24"/>
                <w:szCs w:val="22"/>
              </w:rPr>
              <w:t>①与周边环境相容性分析</w:t>
            </w:r>
          </w:p>
          <w:p>
            <w:pPr>
              <w:pStyle w:val="11"/>
              <w:spacing w:after="0" w:line="360" w:lineRule="auto"/>
              <w:ind w:left="0" w:leftChars="0" w:firstLine="480" w:firstLineChars="200"/>
              <w:rPr>
                <w:rFonts w:ascii="Times New Roman" w:hAnsi="Times New Roman" w:eastAsia="宋体"/>
                <w:color w:val="auto"/>
                <w:sz w:val="24"/>
              </w:rPr>
            </w:pPr>
            <w:r>
              <w:rPr>
                <w:rFonts w:ascii="Times New Roman" w:hAnsi="Times New Roman" w:eastAsia="宋体"/>
                <w:color w:val="auto"/>
                <w:sz w:val="24"/>
                <w:szCs w:val="24"/>
              </w:rPr>
              <w:t>本项目位于</w:t>
            </w:r>
            <w:r>
              <w:rPr>
                <w:rFonts w:hint="eastAsia" w:ascii="Times New Roman" w:hAnsi="Times New Roman" w:eastAsia="宋体"/>
                <w:color w:val="auto"/>
                <w:sz w:val="24"/>
                <w:szCs w:val="24"/>
              </w:rPr>
              <w:t>芜湖市三山区春洲路2号芜湖新兴铸管有限责任公司厂区</w:t>
            </w:r>
            <w:r>
              <w:rPr>
                <w:rFonts w:hint="eastAsia" w:ascii="Times New Roman" w:hAnsi="Times New Roman" w:eastAsia="宋体"/>
                <w:color w:val="auto"/>
                <w:sz w:val="24"/>
                <w:szCs w:val="24"/>
                <w:lang w:val="en-US" w:eastAsia="zh-CN"/>
              </w:rPr>
              <w:t>内</w:t>
            </w:r>
            <w:r>
              <w:rPr>
                <w:rFonts w:ascii="Times New Roman" w:hAnsi="Times New Roman" w:eastAsia="宋体"/>
                <w:color w:val="auto"/>
                <w:sz w:val="24"/>
                <w:szCs w:val="24"/>
              </w:rPr>
              <w:t>。</w:t>
            </w:r>
            <w:r>
              <w:rPr>
                <w:rFonts w:ascii="Times New Roman" w:hAnsi="Times New Roman" w:eastAsia="宋体"/>
                <w:color w:val="auto"/>
                <w:sz w:val="24"/>
              </w:rPr>
              <w:t>项目实施后，对区域环境有利，不会影响周围生产区域的正常运行</w:t>
            </w:r>
            <w:r>
              <w:rPr>
                <w:rFonts w:ascii="Times New Roman" w:hAnsi="Times New Roman" w:eastAsia="宋体"/>
                <w:color w:val="auto"/>
                <w:sz w:val="24"/>
                <w:szCs w:val="24"/>
              </w:rPr>
              <w:t>。</w:t>
            </w:r>
            <w:r>
              <w:rPr>
                <w:rFonts w:ascii="Times New Roman" w:hAnsi="Times New Roman" w:eastAsia="宋体"/>
                <w:color w:val="auto"/>
                <w:sz w:val="24"/>
              </w:rPr>
              <w:t>正常运行状态下，项目排放的各种污染物对地表水、区域环境空气、声环境影响不大。地表水环境能够做到不降低现有功能级别，环境空气及声学环境能够满足相应的功能要求。</w:t>
            </w:r>
          </w:p>
          <w:p>
            <w:pPr>
              <w:pStyle w:val="11"/>
              <w:spacing w:after="0" w:line="360" w:lineRule="auto"/>
              <w:ind w:left="0" w:leftChars="0"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②与《三山经济开发区控制性详细规划(调整)》相容性分析</w:t>
            </w:r>
          </w:p>
          <w:p>
            <w:pPr>
              <w:spacing w:line="360" w:lineRule="auto"/>
              <w:ind w:firstLine="480" w:firstLineChars="200"/>
              <w:rPr>
                <w:rFonts w:ascii="Times New Roman" w:hAnsi="Times New Roman" w:eastAsia="宋体"/>
                <w:color w:val="auto"/>
                <w:sz w:val="24"/>
                <w:szCs w:val="22"/>
              </w:rPr>
            </w:pPr>
            <w:r>
              <w:rPr>
                <w:rFonts w:ascii="Times New Roman" w:hAnsi="Times New Roman" w:eastAsia="宋体"/>
                <w:color w:val="auto"/>
                <w:sz w:val="24"/>
                <w:szCs w:val="22"/>
              </w:rPr>
              <w:t>芜湖三山经济开发区前身为“芜湖三山绿色食品经济开发区”，2005年11月经省经委批准为安徽省中小企业创业基地；2009年5月，三山区委、区政府决定将绿色食品经济开发区和临江工业区(原三山临港工业集中区)整体合并。2009年7月，经安徽省人民政府批准同意更名为“安徽芜湖三山经济开发区”。为进一步落实芜湖市社会经济发展计划，顺利实施临江工业区新兴铸管等工业项目，指导与调控三山经济开发区用地开发建设，2010年12月，中铁芜湖规划设计研究院有限公司、三山经济开发区管委会编制了《三山经济开发区控制性详细规划(调整)》。《芜湖三山经济开发区控制性详规(调整)环境影响报告书》于2013年4月16日获得芜湖市环保局的批复(环审[2013]56号)。</w:t>
            </w:r>
          </w:p>
          <w:p>
            <w:pPr>
              <w:spacing w:line="360" w:lineRule="auto"/>
              <w:ind w:firstLine="480" w:firstLineChars="200"/>
              <w:rPr>
                <w:rFonts w:ascii="Times New Roman" w:hAnsi="Times New Roman" w:eastAsia="宋体"/>
                <w:color w:val="auto"/>
                <w:sz w:val="24"/>
                <w:szCs w:val="22"/>
              </w:rPr>
            </w:pPr>
            <w:r>
              <w:rPr>
                <w:rFonts w:hint="eastAsia" w:ascii="Times New Roman" w:hAnsi="Times New Roman" w:eastAsia="宋体"/>
                <w:color w:val="auto"/>
                <w:sz w:val="24"/>
                <w:szCs w:val="22"/>
              </w:rPr>
              <w:t>三山经济开发区定位为芜湖市承接产业转移示范园区先导区，以发展钢铁及压延加工、先进制造业、临港产业及现代物流业为主导的产业强区</w:t>
            </w:r>
            <w:r>
              <w:rPr>
                <w:rFonts w:hint="eastAsia" w:ascii="Times New Roman" w:hAnsi="Times New Roman" w:eastAsia="宋体"/>
                <w:color w:val="auto"/>
                <w:sz w:val="24"/>
                <w:szCs w:val="22"/>
                <w:lang w:eastAsia="zh-CN"/>
              </w:rPr>
              <w:t>，</w:t>
            </w:r>
            <w:r>
              <w:rPr>
                <w:rFonts w:hint="eastAsia" w:ascii="Times New Roman" w:hAnsi="Times New Roman" w:eastAsia="宋体"/>
                <w:color w:val="auto"/>
                <w:sz w:val="24"/>
                <w:szCs w:val="22"/>
                <w:lang w:val="en-US" w:eastAsia="zh-CN"/>
              </w:rPr>
              <w:t>本项目为钢铁行业后续加工项目，</w:t>
            </w:r>
            <w:r>
              <w:rPr>
                <w:rFonts w:ascii="Times New Roman" w:hAnsi="Times New Roman" w:eastAsia="宋体"/>
                <w:color w:val="auto"/>
                <w:sz w:val="24"/>
                <w:szCs w:val="22"/>
              </w:rPr>
              <w:t>技改项目的建设符合《三山经济开发区控制性详细规划(调整)》的总体要求。</w:t>
            </w:r>
          </w:p>
          <w:p>
            <w:pPr>
              <w:pStyle w:val="11"/>
              <w:spacing w:after="0" w:line="360" w:lineRule="auto"/>
              <w:ind w:left="0" w:leftChars="0"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因此，拟建项目选址合理。</w:t>
            </w:r>
          </w:p>
          <w:p>
            <w:pPr>
              <w:pStyle w:val="11"/>
              <w:spacing w:after="0" w:line="360" w:lineRule="auto"/>
              <w:ind w:left="0" w:leftChars="0" w:firstLine="482" w:firstLineChars="200"/>
              <w:rPr>
                <w:rFonts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7</w:t>
            </w:r>
            <w:r>
              <w:rPr>
                <w:rFonts w:ascii="Times New Roman" w:hAnsi="Times New Roman" w:eastAsia="宋体"/>
                <w:b/>
                <w:bCs/>
                <w:color w:val="auto"/>
                <w:sz w:val="24"/>
                <w:szCs w:val="24"/>
              </w:rPr>
              <w:t>、平面布置合理性</w:t>
            </w:r>
          </w:p>
          <w:p>
            <w:pPr>
              <w:pStyle w:val="11"/>
              <w:spacing w:after="0" w:line="360" w:lineRule="auto"/>
              <w:ind w:left="0" w:leftChars="0" w:firstLine="480" w:firstLineChars="200"/>
              <w:rPr>
                <w:rFonts w:ascii="Times New Roman" w:hAnsi="Times New Roman" w:eastAsia="宋体"/>
                <w:color w:val="auto"/>
                <w:sz w:val="24"/>
                <w:szCs w:val="22"/>
              </w:rPr>
            </w:pPr>
            <w:r>
              <w:rPr>
                <w:rFonts w:ascii="Times New Roman" w:hAnsi="Times New Roman" w:eastAsia="宋体"/>
                <w:color w:val="auto"/>
                <w:sz w:val="24"/>
                <w:szCs w:val="22"/>
              </w:rPr>
              <w:t>①本项目位于</w:t>
            </w:r>
            <w:r>
              <w:rPr>
                <w:rFonts w:ascii="Times New Roman" w:hAnsi="Times New Roman" w:eastAsia="宋体"/>
                <w:color w:val="auto"/>
                <w:sz w:val="24"/>
                <w:szCs w:val="24"/>
              </w:rPr>
              <w:t>芜湖新兴铸管有限责任公司厂区</w:t>
            </w:r>
            <w:r>
              <w:rPr>
                <w:rFonts w:hint="eastAsia" w:ascii="Times New Roman" w:hAnsi="Times New Roman" w:eastAsia="宋体"/>
                <w:color w:val="auto"/>
                <w:sz w:val="24"/>
                <w:szCs w:val="24"/>
                <w:lang w:val="en-US" w:eastAsia="zh-CN"/>
              </w:rPr>
              <w:t>内</w:t>
            </w:r>
            <w:r>
              <w:rPr>
                <w:rFonts w:ascii="Times New Roman" w:hAnsi="Times New Roman" w:eastAsia="宋体"/>
                <w:color w:val="auto"/>
                <w:sz w:val="24"/>
                <w:szCs w:val="22"/>
              </w:rPr>
              <w:t>，整个</w:t>
            </w:r>
            <w:r>
              <w:rPr>
                <w:rFonts w:hint="eastAsia" w:ascii="Times New Roman" w:hAnsi="Times New Roman" w:eastAsia="宋体"/>
                <w:color w:val="auto"/>
                <w:sz w:val="24"/>
                <w:szCs w:val="22"/>
                <w:lang w:val="en-US" w:eastAsia="zh-CN"/>
              </w:rPr>
              <w:t>生产车间</w:t>
            </w:r>
            <w:r>
              <w:rPr>
                <w:rFonts w:ascii="Times New Roman" w:hAnsi="Times New Roman" w:eastAsia="宋体"/>
                <w:color w:val="auto"/>
                <w:sz w:val="24"/>
                <w:szCs w:val="22"/>
              </w:rPr>
              <w:t>呈长方形。总平面布置上，技改项目依次划分各类</w:t>
            </w:r>
            <w:r>
              <w:rPr>
                <w:rFonts w:hint="eastAsia" w:ascii="Times New Roman" w:hAnsi="Times New Roman" w:eastAsia="宋体"/>
                <w:color w:val="auto"/>
                <w:sz w:val="24"/>
                <w:szCs w:val="22"/>
                <w:lang w:val="en-US" w:eastAsia="zh-CN"/>
              </w:rPr>
              <w:t>生产线设备</w:t>
            </w:r>
            <w:r>
              <w:rPr>
                <w:rFonts w:ascii="Times New Roman" w:hAnsi="Times New Roman" w:eastAsia="宋体"/>
                <w:color w:val="auto"/>
                <w:sz w:val="24"/>
                <w:szCs w:val="22"/>
              </w:rPr>
              <w:t>。</w:t>
            </w:r>
          </w:p>
          <w:p>
            <w:pPr>
              <w:pStyle w:val="11"/>
              <w:spacing w:after="0" w:line="360" w:lineRule="auto"/>
              <w:ind w:left="0" w:leftChars="0" w:firstLine="480" w:firstLineChars="200"/>
              <w:rPr>
                <w:rFonts w:ascii="Times New Roman" w:hAnsi="Times New Roman" w:eastAsia="宋体"/>
                <w:color w:val="auto"/>
                <w:sz w:val="24"/>
                <w:szCs w:val="22"/>
              </w:rPr>
            </w:pPr>
            <w:r>
              <w:rPr>
                <w:rFonts w:ascii="Times New Roman" w:hAnsi="Times New Roman" w:eastAsia="宋体"/>
                <w:color w:val="auto"/>
                <w:sz w:val="24"/>
                <w:szCs w:val="22"/>
              </w:rPr>
              <w:t>②本项目主要噪声是来自车辆运输产生的噪声，项目地周围均为</w:t>
            </w:r>
            <w:r>
              <w:rPr>
                <w:rFonts w:ascii="Times New Roman" w:hAnsi="Times New Roman" w:eastAsia="宋体"/>
                <w:color w:val="auto"/>
                <w:sz w:val="24"/>
                <w:szCs w:val="24"/>
              </w:rPr>
              <w:t>芜湖新兴铸管有限责任公司各生产区域，</w:t>
            </w:r>
            <w:r>
              <w:rPr>
                <w:rFonts w:ascii="Times New Roman" w:hAnsi="Times New Roman" w:eastAsia="宋体"/>
                <w:color w:val="auto"/>
                <w:sz w:val="24"/>
                <w:szCs w:val="22"/>
              </w:rPr>
              <w:t>对周围环境影响较小。</w:t>
            </w:r>
          </w:p>
          <w:p>
            <w:pPr>
              <w:pStyle w:val="11"/>
              <w:spacing w:after="0" w:line="360" w:lineRule="auto"/>
              <w:ind w:left="0" w:leftChars="0" w:firstLine="480" w:firstLineChars="200"/>
              <w:rPr>
                <w:rFonts w:ascii="Times New Roman" w:hAnsi="Times New Roman" w:eastAsia="宋体"/>
                <w:color w:val="auto"/>
                <w:sz w:val="24"/>
                <w:szCs w:val="22"/>
              </w:rPr>
            </w:pPr>
            <w:r>
              <w:rPr>
                <w:rFonts w:ascii="Times New Roman" w:hAnsi="Times New Roman" w:eastAsia="宋体"/>
                <w:color w:val="auto"/>
                <w:sz w:val="24"/>
                <w:szCs w:val="22"/>
              </w:rPr>
              <w:t>③本项目布局紧凑，可以满足节约占地的要求。各功能区分区明确，满足非生产及无关人员进入厂房的要求。</w:t>
            </w:r>
          </w:p>
          <w:p>
            <w:pPr>
              <w:pStyle w:val="11"/>
              <w:spacing w:after="0" w:line="360" w:lineRule="auto"/>
              <w:ind w:left="0" w:leftChars="0" w:firstLine="480" w:firstLineChars="200"/>
              <w:rPr>
                <w:rFonts w:ascii="Times New Roman" w:hAnsi="Times New Roman" w:eastAsia="宋体"/>
                <w:color w:val="auto"/>
                <w:sz w:val="24"/>
                <w:szCs w:val="22"/>
              </w:rPr>
            </w:pPr>
            <w:r>
              <w:rPr>
                <w:rFonts w:ascii="Times New Roman" w:hAnsi="Times New Roman" w:eastAsia="宋体"/>
                <w:color w:val="auto"/>
                <w:sz w:val="24"/>
                <w:szCs w:val="22"/>
              </w:rPr>
              <w:t>通过以上分析，本项目总体布局合理、紧凑，分区明确，平面布置合理，便于生产管理。本项目工艺流程合理、功能分区明确，其安全疏散宽度和疏散出口应满足防火规范要求。</w:t>
            </w:r>
          </w:p>
          <w:p>
            <w:pPr>
              <w:pStyle w:val="11"/>
              <w:spacing w:after="0" w:line="360" w:lineRule="auto"/>
              <w:ind w:left="0" w:leftChars="0" w:firstLine="480" w:firstLineChars="200"/>
              <w:rPr>
                <w:rFonts w:ascii="Times New Roman" w:hAnsi="Times New Roman" w:eastAsia="宋体"/>
                <w:color w:val="auto"/>
                <w:sz w:val="24"/>
                <w:szCs w:val="22"/>
              </w:rPr>
            </w:pPr>
            <w:r>
              <w:rPr>
                <w:rFonts w:ascii="Times New Roman" w:hAnsi="Times New Roman" w:eastAsia="宋体"/>
                <w:color w:val="auto"/>
                <w:sz w:val="24"/>
                <w:szCs w:val="22"/>
              </w:rPr>
              <w:t>综上所述，整个厂区总体平面布局合理。</w:t>
            </w:r>
          </w:p>
          <w:p>
            <w:pPr>
              <w:spacing w:line="360" w:lineRule="auto"/>
              <w:ind w:firstLine="482" w:firstLineChars="200"/>
              <w:rPr>
                <w:rFonts w:ascii="Times New Roman" w:hAnsi="Times New Roman" w:eastAsia="宋体"/>
                <w:b/>
                <w:bCs/>
                <w:color w:val="auto"/>
                <w:sz w:val="24"/>
                <w:szCs w:val="22"/>
                <w:lang w:val="zh-CN"/>
              </w:rPr>
            </w:pPr>
            <w:r>
              <w:rPr>
                <w:rFonts w:hint="eastAsia" w:ascii="Times New Roman" w:hAnsi="Times New Roman" w:eastAsia="宋体"/>
                <w:b/>
                <w:bCs/>
                <w:color w:val="auto"/>
                <w:sz w:val="24"/>
                <w:szCs w:val="22"/>
                <w:lang w:val="en-US" w:eastAsia="zh-CN"/>
              </w:rPr>
              <w:t>8</w:t>
            </w:r>
            <w:r>
              <w:rPr>
                <w:rFonts w:ascii="Times New Roman" w:hAnsi="Times New Roman" w:eastAsia="宋体"/>
                <w:b/>
                <w:bCs/>
                <w:color w:val="auto"/>
                <w:sz w:val="24"/>
                <w:szCs w:val="22"/>
              </w:rPr>
              <w:t>、</w:t>
            </w:r>
            <w:r>
              <w:rPr>
                <w:rFonts w:ascii="Times New Roman" w:hAnsi="Times New Roman" w:eastAsia="宋体"/>
                <w:b/>
                <w:bCs/>
                <w:color w:val="auto"/>
                <w:sz w:val="24"/>
                <w:szCs w:val="22"/>
                <w:lang w:val="zh-CN"/>
              </w:rPr>
              <w:t>《安徽省打赢蓝天保卫战三年行动计划实施方案》符合性分析</w:t>
            </w:r>
          </w:p>
          <w:p>
            <w:pPr>
              <w:spacing w:line="360" w:lineRule="auto"/>
              <w:ind w:firstLine="480" w:firstLineChars="200"/>
              <w:rPr>
                <w:rFonts w:ascii="Times New Roman" w:hAnsi="Times New Roman" w:eastAsia="宋体"/>
                <w:color w:val="auto"/>
                <w:sz w:val="24"/>
                <w:szCs w:val="22"/>
                <w:lang w:val="zh-CN"/>
              </w:rPr>
            </w:pPr>
            <w:r>
              <w:rPr>
                <w:rFonts w:ascii="Times New Roman" w:hAnsi="Times New Roman" w:eastAsia="宋体"/>
                <w:color w:val="auto"/>
                <w:sz w:val="24"/>
                <w:szCs w:val="22"/>
                <w:lang w:val="zh-CN"/>
              </w:rPr>
              <w:t>根据文件精神，与本项目相关的内容如下：</w:t>
            </w:r>
          </w:p>
          <w:p>
            <w:pPr>
              <w:spacing w:line="360" w:lineRule="auto"/>
              <w:ind w:firstLine="480" w:firstLineChars="200"/>
              <w:rPr>
                <w:rFonts w:ascii="Times New Roman" w:hAnsi="Times New Roman" w:eastAsia="宋体"/>
                <w:color w:val="auto"/>
                <w:sz w:val="24"/>
                <w:szCs w:val="22"/>
                <w:lang w:val="zh-CN"/>
              </w:rPr>
            </w:pPr>
            <w:r>
              <w:rPr>
                <w:rFonts w:ascii="Times New Roman" w:hAnsi="Times New Roman" w:eastAsia="宋体"/>
                <w:color w:val="auto"/>
                <w:sz w:val="24"/>
                <w:szCs w:val="22"/>
                <w:lang w:val="zh-CN"/>
              </w:rPr>
              <w:t>①优化产业布局。完成生态保护红线、环境质量底线、资源利用上线、环境准入清单编制工作，明确禁止和限制发展的行业、生产工艺和产业目录。严格执行国家高耗能、高污染和资源型行业准入条件，环境空气质量未达标城市应制定更严格的产业准入门槛。积极推行区域、规划环境影响评价，新、改、扩建钢铁、石化、化工、焦化、建材、有色等项目的环境影响评价，应满足区域、规划环评要求。加快区域产业调整。加快城市建成区重污染企业搬迁改造或关闭退出，推动实施一批水泥、平板玻璃、焦化、化工等重污染企业搬迁工程；城市钢铁企业要切实采取彻底关停、转型发展、就地改造、域外搬迁等方式，推动转型升级。禁止新增化工园区，加大现有化工园区整治力度。各地已明确的退城企业，要明确时间表，逾期不退城的予以停产。</w:t>
            </w:r>
          </w:p>
          <w:p>
            <w:pPr>
              <w:spacing w:line="360" w:lineRule="auto"/>
              <w:ind w:firstLine="480" w:firstLineChars="200"/>
              <w:rPr>
                <w:rFonts w:ascii="Times New Roman" w:hAnsi="Times New Roman" w:eastAsia="宋体"/>
                <w:color w:val="auto"/>
                <w:sz w:val="24"/>
                <w:szCs w:val="22"/>
                <w:lang w:val="zh-CN"/>
              </w:rPr>
            </w:pPr>
            <w:r>
              <w:rPr>
                <w:rFonts w:ascii="Times New Roman" w:hAnsi="Times New Roman" w:eastAsia="宋体"/>
                <w:color w:val="auto"/>
                <w:sz w:val="24"/>
                <w:szCs w:val="22"/>
                <w:lang w:val="zh-CN"/>
              </w:rPr>
              <w:t>②严控“两高”行业产能。严格执行国家关于“两高”产业准入目录和产能总量控制政策措施。严禁新增钢铁、焦化、电解铝、铸造、水泥和平板玻璃等产能；严格执行钢铁、水泥、平板玻璃等行业产能置换实施办法；新、改、扩建涉及大宗物料运输的建设项目，原则上不得采用公路运输。加大落后产能淘汰和过剩产能压减力度。严格执行质量、环保、能耗、安全等法规标准。严格按照《产业结构调整指导目录</w:t>
            </w:r>
            <w:r>
              <w:rPr>
                <w:rFonts w:hint="eastAsia" w:ascii="Times New Roman" w:hAnsi="Times New Roman" w:eastAsia="宋体"/>
                <w:color w:val="auto"/>
                <w:sz w:val="24"/>
                <w:szCs w:val="22"/>
                <w:lang w:val="zh-CN"/>
              </w:rPr>
              <w:t>（</w:t>
            </w:r>
            <w:r>
              <w:rPr>
                <w:rFonts w:hint="eastAsia" w:ascii="Times New Roman" w:hAnsi="Times New Roman" w:eastAsia="宋体"/>
                <w:color w:val="auto"/>
                <w:sz w:val="24"/>
                <w:szCs w:val="22"/>
                <w:lang w:val="en-US" w:eastAsia="zh-CN"/>
              </w:rPr>
              <w:t>2019年本</w:t>
            </w:r>
            <w:r>
              <w:rPr>
                <w:rFonts w:hint="eastAsia" w:ascii="Times New Roman" w:hAnsi="Times New Roman" w:eastAsia="宋体"/>
                <w:color w:val="auto"/>
                <w:sz w:val="24"/>
                <w:szCs w:val="22"/>
                <w:lang w:val="zh-CN"/>
              </w:rPr>
              <w:t>）</w:t>
            </w:r>
            <w:r>
              <w:rPr>
                <w:rFonts w:ascii="Times New Roman" w:hAnsi="Times New Roman" w:eastAsia="宋体"/>
                <w:color w:val="auto"/>
                <w:sz w:val="24"/>
                <w:szCs w:val="22"/>
                <w:lang w:val="zh-CN"/>
              </w:rPr>
              <w:t>》，执行过剩产能淘汰标准。严防“地条钢”死灰复燃。</w:t>
            </w:r>
          </w:p>
          <w:p>
            <w:pPr>
              <w:spacing w:line="360" w:lineRule="auto"/>
              <w:ind w:firstLine="480" w:firstLineChars="200"/>
              <w:rPr>
                <w:rFonts w:ascii="Times New Roman" w:hAnsi="Times New Roman" w:eastAsia="宋体"/>
                <w:color w:val="auto"/>
                <w:sz w:val="24"/>
                <w:szCs w:val="22"/>
                <w:lang w:val="zh-CN"/>
              </w:rPr>
            </w:pPr>
            <w:r>
              <w:rPr>
                <w:rFonts w:ascii="Times New Roman" w:hAnsi="Times New Roman" w:eastAsia="宋体"/>
                <w:color w:val="auto"/>
                <w:sz w:val="24"/>
                <w:szCs w:val="22"/>
                <w:lang w:val="zh-CN"/>
              </w:rPr>
              <w:t>③强化“散乱污”企业综合整治。全面开展“散乱污”企业及集群综合整治行动。年产155台起重设备生产线项目环境影响报告表根据国家规定，细化“散乱污”企业及集群整治标准。实行拉网式排查，建立管理台账。按照“先停后治”的原则，实施分类处置。列入关停取缔类的，基本做到“两断三清”（切断工业用水、用电，清除原料、产品、生产设备）；列入整合搬迁类的，要按照产业发展规模化、现代化的原则，搬迁至合规工业园区并实施升级改造；列入升级改造类的，树立行业标杆，实施清洁生产技术改造，全面提升污染治理水平。建立“散乱污”企业动态管理机制，坚决杜绝“散乱污”企业项目建设和已取缔的“散乱污”企业异地转移、死灰复燃。以上工作任务2019年底前全面完成。</w:t>
            </w:r>
          </w:p>
          <w:p>
            <w:pPr>
              <w:spacing w:line="360" w:lineRule="auto"/>
              <w:ind w:firstLine="480" w:firstLineChars="200"/>
              <w:rPr>
                <w:rFonts w:ascii="Times New Roman" w:hAnsi="Times New Roman" w:eastAsia="宋体"/>
                <w:color w:val="auto"/>
                <w:sz w:val="24"/>
                <w:szCs w:val="22"/>
                <w:lang w:val="zh-CN"/>
              </w:rPr>
            </w:pPr>
            <w:r>
              <w:rPr>
                <w:rFonts w:ascii="Times New Roman" w:hAnsi="Times New Roman" w:eastAsia="宋体"/>
                <w:color w:val="auto"/>
                <w:sz w:val="24"/>
                <w:szCs w:val="22"/>
                <w:lang w:val="zh-CN"/>
              </w:rPr>
              <w:t>④深化工业污染治理。持续推进工业污染源全面达标排放，将烟气在线监测数据作为执法依据，加大超标处罚和联合惩戒力度，未达标排放的企业一律依法停产整治。建立覆盖所有固定污染源的企业排放许可制度，2020年底前，完成排污许可管理名录规定的行业许可证核发。</w:t>
            </w:r>
          </w:p>
          <w:p>
            <w:pPr>
              <w:spacing w:line="360" w:lineRule="auto"/>
              <w:ind w:firstLine="480" w:firstLineChars="200"/>
              <w:rPr>
                <w:rFonts w:ascii="Times New Roman" w:hAnsi="Times New Roman" w:eastAsia="宋体"/>
                <w:color w:val="auto"/>
                <w:sz w:val="24"/>
                <w:szCs w:val="22"/>
                <w:highlight w:val="none"/>
                <w:lang w:val="zh-CN"/>
              </w:rPr>
            </w:pPr>
            <w:r>
              <w:rPr>
                <w:rFonts w:ascii="Times New Roman" w:hAnsi="Times New Roman" w:eastAsia="宋体"/>
                <w:color w:val="auto"/>
                <w:sz w:val="24"/>
                <w:szCs w:val="22"/>
                <w:lang w:val="zh-CN"/>
              </w:rPr>
              <w:t>⑤推进重点行业污染治理升级改造。二氧化硫、氮氧化物、颗粒物、挥发性有机物全面执行大气污染物特别排放限值。推动实施钢铁等行业超低排放改造，城市建成区内焦炉实施炉体加罩封闭，并对废气进行收集处理。强化工业企业无组织排放管控。开展钢铁、建材、有色、火电、焦化、铸造等重点行业及燃煤锅炉无组织排放排查，建立管理台账，对物料（含废渣）运输、装卸、储存、转移和工艺过程等无组织排放实施深度治理。推进各类园区循环化改造、规范发展和提质增效。大力推进企业清洁生产。对各类开发区、工业园区、高新区等进行集中整治，限期进行达标改造，减少工业集聚区污染。完善园区集中供热设施，积极推广集中供热，2020年底前基本完成。有条件的工</w:t>
            </w:r>
            <w:r>
              <w:rPr>
                <w:rFonts w:ascii="Times New Roman" w:hAnsi="Times New Roman" w:eastAsia="宋体"/>
                <w:color w:val="auto"/>
                <w:sz w:val="24"/>
                <w:szCs w:val="22"/>
                <w:highlight w:val="none"/>
                <w:lang w:val="zh-CN"/>
              </w:rPr>
              <w:t>业集聚区建设集中喷涂工程中心，配备高效治污设施，替代企业独立喷涂工序。</w:t>
            </w:r>
          </w:p>
          <w:p>
            <w:pPr>
              <w:spacing w:line="360" w:lineRule="auto"/>
              <w:ind w:firstLine="480" w:firstLineChars="200"/>
              <w:rPr>
                <w:rFonts w:hint="default" w:ascii="Times New Roman" w:hAnsi="Times New Roman" w:eastAsia="宋体"/>
                <w:b w:val="0"/>
                <w:bCs w:val="0"/>
                <w:color w:val="auto"/>
                <w:sz w:val="24"/>
                <w:highlight w:val="none"/>
                <w:lang w:val="en-US" w:eastAsia="zh-CN"/>
              </w:rPr>
            </w:pPr>
            <w:r>
              <w:rPr>
                <w:rFonts w:ascii="Times New Roman" w:hAnsi="Times New Roman" w:eastAsia="宋体"/>
                <w:b w:val="0"/>
                <w:bCs w:val="0"/>
                <w:color w:val="auto"/>
                <w:sz w:val="24"/>
                <w:highlight w:val="none"/>
                <w:lang w:val="zh-CN"/>
              </w:rPr>
              <w:t>本项目位于芜湖市三山区春洲路2号，</w:t>
            </w:r>
            <w:r>
              <w:rPr>
                <w:rFonts w:hint="eastAsia" w:ascii="Times New Roman" w:hAnsi="Times New Roman" w:eastAsia="宋体"/>
                <w:b w:val="0"/>
                <w:bCs w:val="0"/>
                <w:color w:val="auto"/>
                <w:sz w:val="24"/>
                <w:highlight w:val="none"/>
                <w:lang w:val="en-US" w:eastAsia="zh-CN"/>
              </w:rPr>
              <w:t>本项目运行时，颗粒物采用脉冲式布袋除尘器处理后通过15m排气筒外排，喷漆废气采用两级活性炭装置处理后通过15m排气筒外排。生产过程各环节所产生的废气均经有效处置后，不会对外环境造成较大影响。</w:t>
            </w:r>
          </w:p>
          <w:p>
            <w:pPr>
              <w:spacing w:line="360" w:lineRule="auto"/>
              <w:ind w:firstLine="482" w:firstLineChars="200"/>
              <w:rPr>
                <w:rFonts w:ascii="Times New Roman" w:hAnsi="Times New Roman" w:eastAsia="宋体"/>
                <w:b/>
                <w:color w:val="auto"/>
                <w:sz w:val="24"/>
                <w:szCs w:val="24"/>
                <w:lang w:val="zh-CN"/>
              </w:rPr>
            </w:pPr>
            <w:r>
              <w:rPr>
                <w:rFonts w:hint="eastAsia" w:ascii="Times New Roman" w:hAnsi="Times New Roman" w:eastAsia="宋体"/>
                <w:b/>
                <w:color w:val="auto"/>
                <w:sz w:val="24"/>
                <w:szCs w:val="24"/>
                <w:highlight w:val="none"/>
                <w:lang w:val="en-US" w:eastAsia="zh-CN"/>
              </w:rPr>
              <w:t>9</w:t>
            </w:r>
            <w:r>
              <w:rPr>
                <w:rFonts w:ascii="Times New Roman" w:hAnsi="Times New Roman" w:eastAsia="宋体"/>
                <w:b/>
                <w:color w:val="auto"/>
                <w:sz w:val="24"/>
                <w:szCs w:val="24"/>
                <w:highlight w:val="none"/>
              </w:rPr>
              <w:t>、</w:t>
            </w:r>
            <w:r>
              <w:rPr>
                <w:rFonts w:ascii="Times New Roman" w:hAnsi="Times New Roman" w:eastAsia="宋体"/>
                <w:b/>
                <w:color w:val="auto"/>
                <w:sz w:val="24"/>
                <w:szCs w:val="24"/>
                <w:highlight w:val="none"/>
                <w:lang w:val="zh-CN"/>
              </w:rPr>
              <w:t>与《中共安徽省</w:t>
            </w:r>
            <w:r>
              <w:rPr>
                <w:rFonts w:ascii="Times New Roman" w:hAnsi="Times New Roman" w:eastAsia="宋体"/>
                <w:b/>
                <w:color w:val="auto"/>
                <w:sz w:val="24"/>
                <w:szCs w:val="24"/>
                <w:lang w:val="zh-CN"/>
              </w:rPr>
              <w:t>委安徽省人民政府关于全面打造水清岸绿产业优美丽长江（安徽）经济带的实施意见》相符性分析</w:t>
            </w:r>
          </w:p>
          <w:p>
            <w:pPr>
              <w:spacing w:line="360" w:lineRule="auto"/>
              <w:ind w:firstLine="480" w:firstLineChars="200"/>
              <w:rPr>
                <w:rFonts w:ascii="Times New Roman" w:hAnsi="Times New Roman" w:eastAsia="宋体"/>
                <w:color w:val="auto"/>
                <w:sz w:val="24"/>
                <w:lang w:val="zh-CN"/>
              </w:rPr>
            </w:pPr>
            <w:r>
              <w:rPr>
                <w:rFonts w:ascii="Times New Roman" w:hAnsi="Times New Roman" w:eastAsia="宋体"/>
                <w:color w:val="auto"/>
                <w:sz w:val="24"/>
                <w:lang w:val="zh-CN"/>
              </w:rPr>
              <w:t>根据《中共安徽省委安徽省人民政府关于全面打造水清岸绿产业优美丽长江（安徽）经济带的实施意见》</w:t>
            </w:r>
          </w:p>
          <w:p>
            <w:pPr>
              <w:spacing w:line="360" w:lineRule="auto"/>
              <w:ind w:firstLine="480" w:firstLineChars="200"/>
              <w:rPr>
                <w:rFonts w:ascii="Times New Roman" w:hAnsi="Times New Roman" w:eastAsia="宋体"/>
                <w:color w:val="auto"/>
                <w:sz w:val="24"/>
                <w:lang w:val="zh-CN"/>
              </w:rPr>
            </w:pPr>
            <w:r>
              <w:rPr>
                <w:rFonts w:ascii="Times New Roman" w:hAnsi="Times New Roman" w:eastAsia="宋体"/>
                <w:color w:val="auto"/>
                <w:sz w:val="24"/>
                <w:lang w:val="zh-CN"/>
              </w:rPr>
              <w:t>1、严禁1公里范围内新建项目。自2018年7月起，长江干流及主要支流岸线1公里范围内，除必须实施的防洪护岸、河道治理、供水、航道整治、港口码头及集疏运通道、道路及跨江桥隧、公共管理、生态环境治理、国家重要基础设施等事关公共安全和公众利益建设项目，以及长江岸线规划确定的城市建设区内非工业项目外，不得新批建设项目，不得布局新的工业园区。已批未建设的项目，严格进行检查评估，不符合岸线规划和环保、安全要求的，全部依法依规停建搬迁。</w:t>
            </w:r>
          </w:p>
          <w:p>
            <w:pPr>
              <w:spacing w:line="360" w:lineRule="auto"/>
              <w:ind w:firstLine="480" w:firstLineChars="200"/>
              <w:rPr>
                <w:rFonts w:ascii="Times New Roman" w:hAnsi="Times New Roman" w:eastAsia="宋体"/>
                <w:color w:val="auto"/>
                <w:sz w:val="24"/>
                <w:lang w:val="zh-CN"/>
              </w:rPr>
            </w:pPr>
            <w:r>
              <w:rPr>
                <w:rFonts w:ascii="Times New Roman" w:hAnsi="Times New Roman" w:eastAsia="宋体"/>
                <w:color w:val="auto"/>
                <w:sz w:val="24"/>
                <w:lang w:val="zh-CN"/>
              </w:rPr>
              <w:t>2、严控5公里范围内新建项目。长江干流岸线5公里范围内，全面落实长江岸线功能定位要求，实施严格的化工项目市场准入制度，除提升安全、环保、节能水平，以及质量升级、结构调整的改扩建项目外，严格控制新建石油化工和煤化工等重化工、重污染项目。严禁新建布局重化工园区。合规化工园区内，严禁新批环境基础设施不完善或长期不能稳定运行的企业新建和扩建化工项目。</w:t>
            </w:r>
          </w:p>
          <w:p>
            <w:pPr>
              <w:spacing w:line="360" w:lineRule="auto"/>
              <w:ind w:firstLine="480" w:firstLineChars="200"/>
              <w:rPr>
                <w:rFonts w:ascii="Times New Roman" w:hAnsi="Times New Roman" w:eastAsia="宋体"/>
                <w:color w:val="auto"/>
                <w:sz w:val="24"/>
                <w:szCs w:val="22"/>
                <w:lang w:val="zh-CN"/>
              </w:rPr>
            </w:pPr>
            <w:r>
              <w:rPr>
                <w:rFonts w:ascii="Times New Roman" w:hAnsi="Times New Roman" w:eastAsia="宋体"/>
                <w:color w:val="auto"/>
                <w:sz w:val="24"/>
                <w:lang w:val="zh-CN"/>
              </w:rPr>
              <w:t>3、严管15公里范围内新建项目。长江干流岸线15公里范围内，严把各类项目准入门槛，严格执行环境保护标准，把主要污染物和重点重金属排放总量控制目标作为新（改、扩）建项目环评审批的前置条件，禁止建设没有环境容量和减排总量项目。在岸线开发、河段利用、区域活动和产业发展等方面，全面执行国家长江经济带市场准入禁止限制目录。实施备案、环评、安评、能评等并联审批，未落实生态保护、安全生产、能源</w:t>
            </w:r>
            <w:r>
              <w:rPr>
                <w:rFonts w:ascii="Times New Roman" w:hAnsi="Times New Roman" w:eastAsia="宋体"/>
                <w:color w:val="auto"/>
                <w:sz w:val="24"/>
                <w:szCs w:val="22"/>
                <w:lang w:val="zh-CN"/>
              </w:rPr>
              <w:t>节约要求的，一律不得建设。</w:t>
            </w:r>
          </w:p>
          <w:p>
            <w:pPr>
              <w:spacing w:line="360" w:lineRule="auto"/>
              <w:ind w:firstLine="480" w:firstLineChars="200"/>
              <w:rPr>
                <w:rFonts w:ascii="Times New Roman" w:hAnsi="Times New Roman" w:eastAsia="宋体"/>
                <w:b w:val="0"/>
                <w:bCs w:val="0"/>
                <w:color w:val="auto"/>
                <w:sz w:val="24"/>
                <w:szCs w:val="22"/>
                <w:highlight w:val="none"/>
                <w:lang w:val="zh-CN"/>
              </w:rPr>
            </w:pPr>
            <w:r>
              <w:rPr>
                <w:rFonts w:ascii="Times New Roman" w:hAnsi="Times New Roman" w:eastAsia="宋体"/>
                <w:b w:val="0"/>
                <w:bCs w:val="0"/>
                <w:color w:val="auto"/>
                <w:sz w:val="24"/>
                <w:szCs w:val="22"/>
                <w:highlight w:val="none"/>
                <w:lang w:val="zh-CN"/>
              </w:rPr>
              <w:t>本项目位于</w:t>
            </w:r>
            <w:r>
              <w:rPr>
                <w:rFonts w:hint="eastAsia" w:ascii="Times New Roman" w:hAnsi="Times New Roman" w:eastAsia="宋体"/>
                <w:b w:val="0"/>
                <w:bCs w:val="0"/>
                <w:color w:val="auto"/>
                <w:sz w:val="24"/>
                <w:szCs w:val="22"/>
                <w:highlight w:val="none"/>
                <w:lang w:val="zh-CN"/>
              </w:rPr>
              <w:t>芜湖市三山区春洲路2号芜湖新兴铸管有限责任公司厂区</w:t>
            </w:r>
            <w:r>
              <w:rPr>
                <w:rFonts w:hint="eastAsia" w:ascii="Times New Roman" w:hAnsi="Times New Roman" w:eastAsia="宋体"/>
                <w:b w:val="0"/>
                <w:bCs w:val="0"/>
                <w:color w:val="auto"/>
                <w:sz w:val="24"/>
                <w:szCs w:val="22"/>
                <w:highlight w:val="none"/>
                <w:lang w:val="en-US" w:eastAsia="zh-CN"/>
              </w:rPr>
              <w:t>内</w:t>
            </w:r>
            <w:r>
              <w:rPr>
                <w:rFonts w:ascii="Times New Roman" w:hAnsi="Times New Roman" w:eastAsia="宋体"/>
                <w:b w:val="0"/>
                <w:bCs w:val="0"/>
                <w:color w:val="auto"/>
                <w:sz w:val="24"/>
                <w:szCs w:val="22"/>
                <w:highlight w:val="none"/>
                <w:lang w:val="zh-CN"/>
              </w:rPr>
              <w:t>，距离长江干线约</w:t>
            </w:r>
            <w:r>
              <w:rPr>
                <w:rFonts w:hint="eastAsia" w:ascii="Times New Roman" w:hAnsi="Times New Roman" w:eastAsia="宋体"/>
                <w:b w:val="0"/>
                <w:bCs w:val="0"/>
                <w:color w:val="auto"/>
                <w:sz w:val="24"/>
                <w:szCs w:val="22"/>
                <w:highlight w:val="none"/>
                <w:lang w:val="en-US" w:eastAsia="zh-CN"/>
              </w:rPr>
              <w:t>1.5</w:t>
            </w:r>
            <w:r>
              <w:rPr>
                <w:rFonts w:ascii="Times New Roman" w:hAnsi="Times New Roman" w:eastAsia="宋体"/>
                <w:b w:val="0"/>
                <w:bCs w:val="0"/>
                <w:color w:val="auto"/>
                <w:sz w:val="24"/>
                <w:szCs w:val="22"/>
                <w:highlight w:val="none"/>
                <w:lang w:val="zh-CN"/>
              </w:rPr>
              <w:t>km，项目厂址不在长江干流及主要支流岸线1公里范围内：项目不属于石油化工、煤化工等重化工、重污染项目，符合长江干流岸线5公里范围内新建项目的要求；项目严格执行环境保护标准，主要污染物排放总量控制目标符合要求，区域环境容量满足建设需要，符合长江干流岸线5公里范围内建设项目的要求。</w:t>
            </w:r>
          </w:p>
          <w:p>
            <w:pPr>
              <w:spacing w:line="360" w:lineRule="auto"/>
              <w:ind w:firstLine="482" w:firstLineChars="200"/>
              <w:rPr>
                <w:rFonts w:ascii="Times New Roman" w:hAnsi="Times New Roman" w:eastAsia="宋体"/>
                <w:b/>
                <w:color w:val="auto"/>
                <w:sz w:val="24"/>
                <w:szCs w:val="24"/>
                <w:lang w:val="zh-CN"/>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0</w:t>
            </w:r>
            <w:r>
              <w:rPr>
                <w:rFonts w:ascii="Times New Roman" w:hAnsi="Times New Roman" w:eastAsia="宋体"/>
                <w:b/>
                <w:color w:val="auto"/>
                <w:sz w:val="24"/>
                <w:szCs w:val="24"/>
              </w:rPr>
              <w:t>、</w:t>
            </w:r>
            <w:r>
              <w:rPr>
                <w:rFonts w:ascii="Times New Roman" w:hAnsi="Times New Roman" w:eastAsia="宋体"/>
                <w:b/>
                <w:color w:val="auto"/>
                <w:sz w:val="24"/>
                <w:szCs w:val="24"/>
                <w:lang w:val="zh-CN"/>
              </w:rPr>
              <w:t>与《中共安徽省委安徽省人民政府关于全面打造水清岸绿产业优美丽长江（</w:t>
            </w:r>
            <w:r>
              <w:rPr>
                <w:rFonts w:ascii="Times New Roman" w:hAnsi="Times New Roman" w:eastAsia="宋体"/>
                <w:b/>
                <w:color w:val="auto"/>
                <w:sz w:val="24"/>
                <w:szCs w:val="24"/>
              </w:rPr>
              <w:t>芜湖</w:t>
            </w:r>
            <w:r>
              <w:rPr>
                <w:rFonts w:ascii="Times New Roman" w:hAnsi="Times New Roman" w:eastAsia="宋体"/>
                <w:b/>
                <w:color w:val="auto"/>
                <w:sz w:val="24"/>
                <w:szCs w:val="24"/>
                <w:lang w:val="zh-CN"/>
              </w:rPr>
              <w:t>）经济带的实施意见》相符性分析</w:t>
            </w:r>
          </w:p>
          <w:p>
            <w:pPr>
              <w:spacing w:line="360" w:lineRule="auto"/>
              <w:ind w:firstLine="480" w:firstLineChars="200"/>
              <w:rPr>
                <w:rFonts w:ascii="Times New Roman" w:hAnsi="Times New Roman" w:eastAsia="宋体"/>
                <w:color w:val="auto"/>
                <w:sz w:val="24"/>
                <w:lang w:val="zh-CN"/>
              </w:rPr>
            </w:pPr>
            <w:r>
              <w:rPr>
                <w:rFonts w:ascii="Times New Roman" w:hAnsi="Times New Roman" w:eastAsia="宋体"/>
                <w:color w:val="auto"/>
                <w:sz w:val="24"/>
                <w:lang w:val="zh-CN"/>
              </w:rPr>
              <w:t>1、划定1公里范围内禁建区。2018年7月起，长江干流及主要支流岸线1公里范围内，除必须实施的防洪护岸、河道治理、供水、航道整治、港口码头及集疏运通道、道路及跨江桥隧、公共管理、生态环境治理、国家及省重要基础设施等事关公共安全及公众利益的建设项目，以及环境治理、技术改造升级项目，长江岸线规划、主要支流岸线规划、城（镇）总体规划确定的城市建设区内非工业项目外，不得新批建设项目，不得布局新的工业园区。已批未开工的项目，依法停止建设，支持重新选址：已经开工建设的项目，严格进行检查评估，不符合岸线规划和环保、安全要求的，全部依法依规停建搬迁。</w:t>
            </w:r>
          </w:p>
          <w:p>
            <w:pPr>
              <w:spacing w:line="360" w:lineRule="auto"/>
              <w:ind w:firstLine="480" w:firstLineChars="200"/>
              <w:rPr>
                <w:rFonts w:ascii="Times New Roman" w:hAnsi="Times New Roman" w:eastAsia="宋体"/>
                <w:color w:val="auto"/>
                <w:sz w:val="24"/>
                <w:lang w:val="zh-CN"/>
              </w:rPr>
            </w:pPr>
            <w:r>
              <w:rPr>
                <w:rFonts w:ascii="Times New Roman" w:hAnsi="Times New Roman" w:eastAsia="宋体"/>
                <w:color w:val="auto"/>
                <w:sz w:val="24"/>
                <w:lang w:val="zh-CN"/>
              </w:rPr>
              <w:t>2、严控5公里范围内新建项目。长江干流岸线5公里范围内，全面落实长江岸线功能定位要求，实施严格的化工项目市场准入制度，除提升安全、环保、节能水平，以及质量升级、结构调整的改扩建项目外，严格控制新建石油化工和煤化工等重化工、重污染项目。严禁布局新建化工园区。</w:t>
            </w:r>
          </w:p>
          <w:p>
            <w:pPr>
              <w:spacing w:line="360" w:lineRule="auto"/>
              <w:ind w:firstLine="480" w:firstLineChars="200"/>
              <w:rPr>
                <w:rFonts w:ascii="Times New Roman" w:hAnsi="Times New Roman" w:eastAsia="宋体"/>
                <w:color w:val="auto"/>
                <w:sz w:val="24"/>
                <w:lang w:val="zh-CN"/>
              </w:rPr>
            </w:pPr>
            <w:r>
              <w:rPr>
                <w:rFonts w:ascii="Times New Roman" w:hAnsi="Times New Roman" w:eastAsia="宋体"/>
                <w:color w:val="auto"/>
                <w:sz w:val="24"/>
                <w:lang w:val="zh-CN"/>
              </w:rPr>
              <w:t>3、严管15公里范围内新建项目。长江干流岸线15公里范围内，严把各类项目准入门槛，严格执行环境保护标准，把主要污染物和重点重金属排放总量控制目标作为新（改、扩）建项目环评审批的前置条件，新建项目必须全部合规达标，禁止建设没有环境容量和减排总量的项目。在岸线开发、河段利用、区域活动和产业发展等方面，全面执行国家长江经济带市场准入禁止限制目录。实施备案、环评、安评、能评等并联审批，未落实生态环保、安全生产、能源节约要求的，一律不得开工建设。</w:t>
            </w:r>
          </w:p>
          <w:p>
            <w:pPr>
              <w:spacing w:line="360" w:lineRule="auto"/>
              <w:ind w:firstLine="480" w:firstLineChars="200"/>
              <w:rPr>
                <w:rFonts w:ascii="Times New Roman" w:hAnsi="Times New Roman" w:eastAsia="宋体"/>
                <w:b w:val="0"/>
                <w:bCs w:val="0"/>
                <w:color w:val="auto"/>
                <w:sz w:val="24"/>
                <w:highlight w:val="none"/>
                <w:lang w:val="zh-CN"/>
              </w:rPr>
            </w:pPr>
            <w:r>
              <w:rPr>
                <w:rFonts w:ascii="Times New Roman" w:hAnsi="Times New Roman" w:eastAsia="宋体"/>
                <w:b w:val="0"/>
                <w:bCs w:val="0"/>
                <w:color w:val="auto"/>
                <w:sz w:val="24"/>
                <w:szCs w:val="22"/>
                <w:highlight w:val="none"/>
                <w:lang w:val="zh-CN"/>
              </w:rPr>
              <w:t>本项目位于</w:t>
            </w:r>
            <w:r>
              <w:rPr>
                <w:rFonts w:hint="eastAsia" w:ascii="Times New Roman" w:hAnsi="Times New Roman" w:eastAsia="宋体"/>
                <w:b w:val="0"/>
                <w:bCs w:val="0"/>
                <w:color w:val="auto"/>
                <w:sz w:val="24"/>
                <w:szCs w:val="22"/>
                <w:highlight w:val="none"/>
                <w:lang w:val="zh-CN"/>
              </w:rPr>
              <w:t>芜湖市三山区春洲路2号芜湖新兴铸管有限责任公司厂区</w:t>
            </w:r>
            <w:r>
              <w:rPr>
                <w:rFonts w:hint="eastAsia" w:ascii="Times New Roman" w:hAnsi="Times New Roman" w:eastAsia="宋体"/>
                <w:b w:val="0"/>
                <w:bCs w:val="0"/>
                <w:color w:val="auto"/>
                <w:sz w:val="24"/>
                <w:szCs w:val="22"/>
                <w:highlight w:val="none"/>
                <w:lang w:val="en-US" w:eastAsia="zh-CN"/>
              </w:rPr>
              <w:t>内</w:t>
            </w:r>
            <w:r>
              <w:rPr>
                <w:rFonts w:ascii="Times New Roman" w:hAnsi="Times New Roman" w:eastAsia="宋体"/>
                <w:b w:val="0"/>
                <w:bCs w:val="0"/>
                <w:color w:val="auto"/>
                <w:sz w:val="24"/>
                <w:szCs w:val="22"/>
                <w:highlight w:val="none"/>
                <w:lang w:val="zh-CN"/>
              </w:rPr>
              <w:t>，距离长江干线约</w:t>
            </w:r>
            <w:r>
              <w:rPr>
                <w:rFonts w:ascii="Times New Roman" w:hAnsi="Times New Roman" w:eastAsia="宋体"/>
                <w:b w:val="0"/>
                <w:bCs w:val="0"/>
                <w:color w:val="auto"/>
                <w:sz w:val="24"/>
                <w:szCs w:val="22"/>
                <w:highlight w:val="none"/>
              </w:rPr>
              <w:t>1.</w:t>
            </w:r>
            <w:r>
              <w:rPr>
                <w:rFonts w:hint="eastAsia" w:ascii="Times New Roman" w:hAnsi="Times New Roman" w:eastAsia="宋体"/>
                <w:b w:val="0"/>
                <w:bCs w:val="0"/>
                <w:color w:val="auto"/>
                <w:sz w:val="24"/>
                <w:szCs w:val="22"/>
                <w:highlight w:val="none"/>
                <w:lang w:val="en-US" w:eastAsia="zh-CN"/>
              </w:rPr>
              <w:t>5</w:t>
            </w:r>
            <w:r>
              <w:rPr>
                <w:rFonts w:ascii="Times New Roman" w:hAnsi="Times New Roman" w:eastAsia="宋体"/>
                <w:b w:val="0"/>
                <w:bCs w:val="0"/>
                <w:color w:val="auto"/>
                <w:sz w:val="24"/>
                <w:szCs w:val="22"/>
                <w:highlight w:val="none"/>
                <w:lang w:val="zh-CN"/>
              </w:rPr>
              <w:t>km，项目厂址不在长江干流及主要支流岸线1公里范围内：项目不属于石油化工、煤化工等重化工、重污染项目，符合长江干流岸线5公里范围内新建项目的要求；项目严格执行环境保护标准，主要污染物排放总量控制目标符合要求，区域环境容量满足建设需要，符合长江干流岸线5公里范围内建设项目的要求。</w:t>
            </w:r>
          </w:p>
          <w:p>
            <w:pPr>
              <w:pStyle w:val="11"/>
              <w:spacing w:after="0" w:line="360" w:lineRule="auto"/>
              <w:ind w:left="0" w:leftChars="0" w:firstLine="482" w:firstLineChars="200"/>
              <w:rPr>
                <w:rFonts w:ascii="Times New Roman" w:hAnsi="Times New Roman" w:eastAsia="宋体"/>
                <w:color w:val="auto"/>
                <w:sz w:val="24"/>
                <w:szCs w:val="22"/>
                <w:highlight w:val="none"/>
              </w:rPr>
            </w:pPr>
            <w:r>
              <w:rPr>
                <w:rFonts w:ascii="Times New Roman" w:hAnsi="Times New Roman" w:eastAsia="宋体"/>
                <w:b/>
                <w:bCs/>
                <w:color w:val="auto"/>
                <w:sz w:val="24"/>
                <w:highlight w:val="none"/>
              </w:rPr>
              <w:t>1</w:t>
            </w:r>
            <w:r>
              <w:rPr>
                <w:rFonts w:hint="eastAsia" w:ascii="Times New Roman" w:hAnsi="Times New Roman" w:eastAsia="宋体"/>
                <w:b/>
                <w:bCs/>
                <w:color w:val="auto"/>
                <w:sz w:val="24"/>
                <w:highlight w:val="none"/>
                <w:lang w:val="en-US" w:eastAsia="zh-CN"/>
              </w:rPr>
              <w:t>1</w:t>
            </w:r>
            <w:r>
              <w:rPr>
                <w:rFonts w:ascii="Times New Roman" w:hAnsi="Times New Roman" w:eastAsia="宋体"/>
                <w:b/>
                <w:bCs/>
                <w:color w:val="auto"/>
                <w:sz w:val="24"/>
                <w:szCs w:val="22"/>
                <w:highlight w:val="none"/>
              </w:rPr>
              <w:t>、与长江经济带生态环境保护规划相符性分析</w:t>
            </w:r>
          </w:p>
          <w:p>
            <w:pPr>
              <w:pStyle w:val="11"/>
              <w:spacing w:after="0" w:line="360" w:lineRule="auto"/>
              <w:ind w:left="0" w:leftChars="0" w:firstLine="480" w:firstLineChars="200"/>
              <w:rPr>
                <w:rFonts w:ascii="Times New Roman" w:hAnsi="Times New Roman" w:eastAsia="宋体"/>
                <w:color w:val="auto"/>
                <w:sz w:val="24"/>
                <w:szCs w:val="22"/>
              </w:rPr>
            </w:pPr>
            <w:r>
              <w:rPr>
                <w:rFonts w:ascii="Times New Roman" w:hAnsi="Times New Roman" w:eastAsia="宋体"/>
                <w:color w:val="auto"/>
                <w:sz w:val="24"/>
                <w:szCs w:val="22"/>
              </w:rPr>
              <w:t>推进重点领域节水。强化工业节水，以南京、武汉、长沙、重庆、成都等城市为重点，实施高耗水行业生产工艺节水改造，降低单位产品用水量。</w:t>
            </w:r>
          </w:p>
          <w:p>
            <w:pPr>
              <w:pStyle w:val="11"/>
              <w:spacing w:after="0" w:line="360" w:lineRule="auto"/>
              <w:ind w:left="0" w:leftChars="0" w:firstLine="480" w:firstLineChars="200"/>
              <w:rPr>
                <w:rFonts w:ascii="Times New Roman" w:hAnsi="Times New Roman" w:eastAsia="宋体"/>
                <w:color w:val="auto"/>
                <w:sz w:val="24"/>
                <w:szCs w:val="22"/>
              </w:rPr>
            </w:pPr>
            <w:r>
              <w:rPr>
                <w:rFonts w:ascii="Times New Roman" w:hAnsi="Times New Roman" w:eastAsia="宋体"/>
                <w:color w:val="auto"/>
                <w:sz w:val="24"/>
                <w:szCs w:val="22"/>
              </w:rPr>
              <w:t>划定并严守生态保护红线。生态保护红线原则上按禁止开发区域的要求进行管理，严禁不符合主体功能定位的各类开发活动，严禁任意改变用途。</w:t>
            </w:r>
          </w:p>
          <w:p>
            <w:pPr>
              <w:pStyle w:val="11"/>
              <w:spacing w:after="0" w:line="360" w:lineRule="auto"/>
              <w:ind w:left="0" w:leftChars="0" w:firstLine="480" w:firstLineChars="200"/>
              <w:rPr>
                <w:rFonts w:ascii="Times New Roman" w:hAnsi="Times New Roman" w:eastAsia="宋体"/>
                <w:color w:val="auto"/>
                <w:sz w:val="24"/>
                <w:szCs w:val="22"/>
              </w:rPr>
            </w:pPr>
            <w:r>
              <w:rPr>
                <w:rFonts w:ascii="Times New Roman" w:hAnsi="Times New Roman" w:eastAsia="宋体"/>
                <w:color w:val="auto"/>
                <w:sz w:val="24"/>
                <w:szCs w:val="22"/>
              </w:rPr>
              <w:t>全面推进长江经济带126个地级及以上城市空气质量限期达标工作，已达标城市空气质量进一步巩固，未达标城市要制定并实施分阶段达标计划。完善大气污染物排放总量控制制度，加强二氧化硫、氮氧化物、烟粉尘、挥发性有机物等主要污染物综合防治。</w:t>
            </w:r>
          </w:p>
          <w:p>
            <w:pPr>
              <w:pStyle w:val="11"/>
              <w:spacing w:after="0" w:line="360" w:lineRule="auto"/>
              <w:ind w:left="0" w:leftChars="0" w:firstLine="480" w:firstLineChars="200"/>
              <w:rPr>
                <w:rFonts w:ascii="Times New Roman" w:hAnsi="Times New Roman" w:eastAsia="宋体"/>
                <w:color w:val="auto"/>
                <w:sz w:val="24"/>
                <w:szCs w:val="22"/>
              </w:rPr>
            </w:pPr>
            <w:r>
              <w:rPr>
                <w:rFonts w:ascii="Times New Roman" w:hAnsi="Times New Roman" w:eastAsia="宋体"/>
                <w:color w:val="auto"/>
                <w:sz w:val="24"/>
                <w:szCs w:val="22"/>
              </w:rPr>
              <w:t>禁止在长江干流自然保护区、风景名胜区、“四大家鱼”产卵场等管控重点区域新建工业类和污染类项目。</w:t>
            </w:r>
          </w:p>
          <w:p>
            <w:pPr>
              <w:pStyle w:val="11"/>
              <w:spacing w:after="0" w:line="360" w:lineRule="auto"/>
              <w:ind w:left="0" w:leftChars="0" w:firstLine="480" w:firstLineChars="200"/>
              <w:rPr>
                <w:rFonts w:ascii="Times New Roman" w:hAnsi="Times New Roman" w:eastAsia="宋体"/>
                <w:b w:val="0"/>
                <w:bCs w:val="0"/>
                <w:color w:val="auto"/>
                <w:sz w:val="24"/>
                <w:szCs w:val="22"/>
              </w:rPr>
            </w:pPr>
            <w:r>
              <w:rPr>
                <w:rFonts w:ascii="Times New Roman" w:hAnsi="Times New Roman" w:eastAsia="宋体"/>
                <w:b w:val="0"/>
                <w:bCs w:val="0"/>
                <w:color w:val="auto"/>
                <w:sz w:val="24"/>
                <w:szCs w:val="22"/>
              </w:rPr>
              <w:t>本项目无生产用水。项目不在安徽省生态保护红线范围内，本项目位于</w:t>
            </w:r>
            <w:r>
              <w:rPr>
                <w:rFonts w:hint="eastAsia" w:ascii="Times New Roman" w:hAnsi="Times New Roman" w:eastAsia="宋体"/>
                <w:b w:val="0"/>
                <w:bCs w:val="0"/>
                <w:color w:val="auto"/>
                <w:sz w:val="24"/>
                <w:szCs w:val="22"/>
              </w:rPr>
              <w:t>芜湖市三山区春洲路2号芜湖新兴铸管有限责任公司厂区</w:t>
            </w:r>
            <w:r>
              <w:rPr>
                <w:rFonts w:hint="eastAsia" w:ascii="Times New Roman" w:hAnsi="Times New Roman" w:eastAsia="宋体"/>
                <w:b w:val="0"/>
                <w:bCs w:val="0"/>
                <w:color w:val="auto"/>
                <w:sz w:val="24"/>
                <w:szCs w:val="22"/>
                <w:lang w:val="en-US" w:eastAsia="zh-CN"/>
              </w:rPr>
              <w:t>内</w:t>
            </w:r>
            <w:r>
              <w:rPr>
                <w:rFonts w:ascii="Times New Roman" w:hAnsi="Times New Roman" w:eastAsia="宋体"/>
                <w:b w:val="0"/>
                <w:bCs w:val="0"/>
                <w:color w:val="auto"/>
                <w:sz w:val="24"/>
                <w:szCs w:val="22"/>
              </w:rPr>
              <w:t>，芜湖市属于长江经济带126个地级及以上城市之一，本项目为环境治理业，项目实施后，可以有效对区域环境有利，不会影响周围生产区域的正常运行。正项目实施总量控制制度，生产过程产生的挥发性有机物经处理后可达标排放，各类总量控制因子和控制量向环保主管部门申请后实施：项目采用清洁能源，对挥发性有机物采取治理措施，大大减少有机废气的排放。</w:t>
            </w:r>
          </w:p>
          <w:p>
            <w:pPr>
              <w:pStyle w:val="11"/>
              <w:spacing w:after="0" w:line="360" w:lineRule="auto"/>
              <w:ind w:left="0" w:leftChars="0" w:firstLine="480" w:firstLineChars="200"/>
              <w:rPr>
                <w:rFonts w:ascii="Times New Roman" w:hAnsi="Times New Roman" w:eastAsia="宋体"/>
                <w:b w:val="0"/>
                <w:bCs w:val="0"/>
                <w:color w:val="auto"/>
                <w:sz w:val="24"/>
                <w:szCs w:val="22"/>
              </w:rPr>
            </w:pPr>
            <w:r>
              <w:rPr>
                <w:rFonts w:ascii="Times New Roman" w:hAnsi="Times New Roman" w:eastAsia="宋体"/>
                <w:b w:val="0"/>
                <w:bCs w:val="0"/>
                <w:color w:val="auto"/>
                <w:sz w:val="24"/>
                <w:szCs w:val="22"/>
              </w:rPr>
              <w:t>项目用地不涉及长江干流自然保护区、风景名胜区、“四大家鱼”产卵场等管控重点区。</w:t>
            </w:r>
          </w:p>
          <w:p>
            <w:pPr>
              <w:spacing w:line="360" w:lineRule="auto"/>
              <w:ind w:firstLine="482" w:firstLineChars="200"/>
              <w:rPr>
                <w:rFonts w:ascii="Times New Roman" w:hAnsi="Times New Roman" w:eastAsia="宋体"/>
                <w:b/>
                <w:color w:val="auto"/>
                <w:sz w:val="24"/>
                <w:szCs w:val="24"/>
              </w:rPr>
            </w:pPr>
            <w:r>
              <w:rPr>
                <w:rFonts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2</w:t>
            </w:r>
            <w:r>
              <w:rPr>
                <w:rFonts w:ascii="Times New Roman" w:hAnsi="Times New Roman" w:eastAsia="宋体"/>
                <w:b/>
                <w:color w:val="auto"/>
                <w:sz w:val="24"/>
                <w:szCs w:val="24"/>
              </w:rPr>
              <w:t>、项目“三线一单”符合性分析</w:t>
            </w:r>
          </w:p>
          <w:p>
            <w:pPr>
              <w:pStyle w:val="11"/>
              <w:spacing w:after="0" w:line="360" w:lineRule="auto"/>
              <w:ind w:left="0" w:leftChars="0" w:firstLine="480" w:firstLineChars="200"/>
              <w:rPr>
                <w:rFonts w:ascii="Times New Roman" w:hAnsi="Times New Roman" w:eastAsia="宋体"/>
                <w:color w:val="auto"/>
                <w:sz w:val="24"/>
                <w:szCs w:val="22"/>
              </w:rPr>
            </w:pPr>
            <w:r>
              <w:rPr>
                <w:rFonts w:ascii="Times New Roman" w:hAnsi="Times New Roman" w:eastAsia="宋体"/>
                <w:color w:val="auto"/>
                <w:sz w:val="24"/>
                <w:szCs w:val="22"/>
              </w:rPr>
              <w:t>根据环境保护部2016年10月27日下发的《关于以改善环境质量为核心加强环境影响评价管理的通知》( 环环评[2016]150号)要求，切实加强环境影响评价管理，落实“生态保护红线、环境质量底线、资源利用上线和环境准入负面清单”约束，建立项目环评审批与规划环评、现有项目环境管理、区域环境质量联动机制，更好地发挥环评制度从源头防范环境污染和生态破坏的作用，加快推进改善环境质量。本项目的“三线一单”符合性分析如下:</w:t>
            </w:r>
          </w:p>
          <w:p>
            <w:pPr>
              <w:spacing w:line="360" w:lineRule="auto"/>
              <w:ind w:firstLine="482" w:firstLineChars="200"/>
              <w:jc w:val="center"/>
              <w:rPr>
                <w:rFonts w:ascii="Times New Roman" w:hAnsi="Times New Roman" w:eastAsia="宋体"/>
                <w:b/>
                <w:color w:val="auto"/>
                <w:sz w:val="24"/>
              </w:rPr>
            </w:pPr>
            <w:r>
              <w:rPr>
                <w:rFonts w:ascii="Times New Roman" w:hAnsi="Times New Roman" w:eastAsia="宋体"/>
                <w:b/>
                <w:color w:val="auto"/>
                <w:sz w:val="24"/>
                <w:szCs w:val="24"/>
              </w:rPr>
              <w:t>表1-</w:t>
            </w:r>
            <w:r>
              <w:rPr>
                <w:rFonts w:hint="eastAsia" w:ascii="Times New Roman" w:hAnsi="Times New Roman" w:eastAsia="宋体"/>
                <w:b/>
                <w:color w:val="auto"/>
                <w:sz w:val="24"/>
                <w:szCs w:val="24"/>
                <w:lang w:val="en-US" w:eastAsia="zh-CN"/>
              </w:rPr>
              <w:t>6</w:t>
            </w:r>
            <w:r>
              <w:rPr>
                <w:rFonts w:ascii="Times New Roman" w:hAnsi="Times New Roman" w:eastAsia="宋体"/>
                <w:b/>
                <w:color w:val="auto"/>
                <w:sz w:val="24"/>
                <w:szCs w:val="24"/>
              </w:rPr>
              <w:t xml:space="preserve">  “三线一单”符合性分析</w:t>
            </w:r>
          </w:p>
          <w:tbl>
            <w:tblPr>
              <w:tblStyle w:val="22"/>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1"/>
              <w:gridCol w:w="6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61" w:type="dxa"/>
                  <w:vAlign w:val="center"/>
                </w:tcPr>
                <w:p>
                  <w:pPr>
                    <w:jc w:val="center"/>
                    <w:rPr>
                      <w:rFonts w:ascii="Times New Roman" w:hAnsi="Times New Roman" w:eastAsia="宋体"/>
                      <w:color w:val="auto"/>
                      <w:szCs w:val="21"/>
                    </w:rPr>
                  </w:pPr>
                  <w:r>
                    <w:rPr>
                      <w:rFonts w:ascii="Times New Roman" w:hAnsi="Times New Roman" w:eastAsia="宋体"/>
                      <w:color w:val="auto"/>
                      <w:szCs w:val="21"/>
                    </w:rPr>
                    <w:t>内容</w:t>
                  </w:r>
                </w:p>
              </w:tc>
              <w:tc>
                <w:tcPr>
                  <w:tcW w:w="6083" w:type="dxa"/>
                  <w:vAlign w:val="center"/>
                </w:tcPr>
                <w:p>
                  <w:pPr>
                    <w:jc w:val="center"/>
                    <w:rPr>
                      <w:rFonts w:ascii="Times New Roman" w:hAnsi="Times New Roman" w:eastAsia="宋体"/>
                      <w:color w:val="auto"/>
                      <w:szCs w:val="21"/>
                    </w:rPr>
                  </w:pPr>
                  <w:r>
                    <w:rPr>
                      <w:rFonts w:ascii="Times New Roman" w:hAnsi="Times New Roman" w:eastAsia="宋体"/>
                      <w:color w:val="auto"/>
                      <w:szCs w:val="21"/>
                    </w:rPr>
                    <w:t>符合性分析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761" w:type="dxa"/>
                  <w:vAlign w:val="center"/>
                </w:tcPr>
                <w:p>
                  <w:pPr>
                    <w:jc w:val="center"/>
                    <w:rPr>
                      <w:rFonts w:ascii="Times New Roman" w:hAnsi="Times New Roman" w:eastAsia="宋体"/>
                      <w:color w:val="auto"/>
                      <w:szCs w:val="21"/>
                    </w:rPr>
                  </w:pPr>
                  <w:r>
                    <w:rPr>
                      <w:rFonts w:ascii="Times New Roman" w:hAnsi="Times New Roman" w:eastAsia="宋体"/>
                      <w:color w:val="auto"/>
                      <w:szCs w:val="21"/>
                    </w:rPr>
                    <w:t>生态保护红线</w:t>
                  </w:r>
                </w:p>
              </w:tc>
              <w:tc>
                <w:tcPr>
                  <w:tcW w:w="6083" w:type="dxa"/>
                  <w:vAlign w:val="center"/>
                </w:tcPr>
                <w:p>
                  <w:pPr>
                    <w:rPr>
                      <w:rFonts w:ascii="Times New Roman" w:hAnsi="Times New Roman" w:eastAsia="宋体"/>
                      <w:color w:val="auto"/>
                      <w:szCs w:val="21"/>
                    </w:rPr>
                  </w:pPr>
                  <w:r>
                    <w:rPr>
                      <w:rFonts w:ascii="Times New Roman" w:hAnsi="Times New Roman" w:eastAsia="宋体"/>
                      <w:color w:val="auto"/>
                      <w:szCs w:val="21"/>
                    </w:rPr>
                    <w:t>2018年6月27日，安徽省人民政府发布了《安徽省生态保护红线》（皖政秘【2018】120号），安徽省内的国家级和省级禁止开发区域包括国家公园、自然保护区、森林公园的生态保育区和核心景观区、风景名胜区的核心景区、地质公园的地质遗迹保护区、世界自然遗产的核心区和缓冲区、湿地公园的湿地保育区和恢复重建区、饮用水水源地的一级保护区、水产种质资源保护区的核心区、其他类型禁止开发区的核心保护区域。</w:t>
                  </w:r>
                </w:p>
                <w:p>
                  <w:pPr>
                    <w:rPr>
                      <w:rFonts w:ascii="Times New Roman" w:hAnsi="Times New Roman" w:eastAsia="宋体"/>
                      <w:color w:val="auto"/>
                      <w:szCs w:val="21"/>
                    </w:rPr>
                  </w:pPr>
                  <w:r>
                    <w:rPr>
                      <w:rFonts w:ascii="Times New Roman" w:hAnsi="Times New Roman" w:eastAsia="宋体"/>
                      <w:color w:val="auto"/>
                      <w:szCs w:val="21"/>
                    </w:rPr>
                    <w:t>本项目位于</w:t>
                  </w:r>
                  <w:r>
                    <w:rPr>
                      <w:rFonts w:hint="eastAsia" w:ascii="Times New Roman" w:hAnsi="Times New Roman" w:eastAsia="宋体"/>
                      <w:color w:val="auto"/>
                      <w:szCs w:val="21"/>
                    </w:rPr>
                    <w:t>芜湖市三山区春洲路2号芜湖新兴铸管有限责任公司厂区</w:t>
                  </w:r>
                  <w:r>
                    <w:rPr>
                      <w:rFonts w:hint="eastAsia" w:ascii="Times New Roman" w:hAnsi="Times New Roman" w:eastAsia="宋体"/>
                      <w:color w:val="auto"/>
                      <w:szCs w:val="21"/>
                      <w:lang w:val="en-US" w:eastAsia="zh-CN"/>
                    </w:rPr>
                    <w:t>内</w:t>
                  </w:r>
                  <w:r>
                    <w:rPr>
                      <w:rFonts w:ascii="Times New Roman" w:hAnsi="Times New Roman" w:eastAsia="宋体"/>
                      <w:color w:val="auto"/>
                      <w:szCs w:val="21"/>
                    </w:rPr>
                    <w:t>，项目影响范围内无国家级和省级禁止开发区域，项目建设与安徽省生态红线区域保护规划是相符的。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61" w:type="dxa"/>
                  <w:vAlign w:val="center"/>
                </w:tcPr>
                <w:p>
                  <w:pPr>
                    <w:jc w:val="center"/>
                    <w:rPr>
                      <w:rFonts w:ascii="Times New Roman" w:hAnsi="Times New Roman" w:eastAsia="宋体"/>
                      <w:color w:val="auto"/>
                      <w:szCs w:val="21"/>
                    </w:rPr>
                  </w:pPr>
                  <w:r>
                    <w:rPr>
                      <w:rFonts w:ascii="Times New Roman" w:hAnsi="Times New Roman" w:eastAsia="宋体"/>
                      <w:color w:val="auto"/>
                      <w:szCs w:val="21"/>
                    </w:rPr>
                    <w:t>资源利用上线</w:t>
                  </w:r>
                </w:p>
              </w:tc>
              <w:tc>
                <w:tcPr>
                  <w:tcW w:w="6083" w:type="dxa"/>
                  <w:vAlign w:val="center"/>
                </w:tcPr>
                <w:p>
                  <w:pPr>
                    <w:rPr>
                      <w:rFonts w:ascii="Times New Roman" w:hAnsi="Times New Roman" w:eastAsia="宋体"/>
                      <w:color w:val="auto"/>
                      <w:szCs w:val="21"/>
                    </w:rPr>
                  </w:pPr>
                  <w:r>
                    <w:rPr>
                      <w:rFonts w:ascii="Times New Roman" w:hAnsi="Times New Roman" w:eastAsia="宋体"/>
                      <w:color w:val="auto"/>
                      <w:szCs w:val="21"/>
                    </w:rPr>
                    <w:t>本项目运营过程中消耗一定量的电源等资源，本项目不产生生活以及生产用水；能源主要依托当地电网上线供电。因此，项目资源利用满足要求。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761" w:type="dxa"/>
                  <w:vAlign w:val="center"/>
                </w:tcPr>
                <w:p>
                  <w:pPr>
                    <w:jc w:val="center"/>
                    <w:rPr>
                      <w:rFonts w:ascii="Times New Roman" w:hAnsi="Times New Roman" w:eastAsia="宋体"/>
                      <w:color w:val="auto"/>
                      <w:szCs w:val="21"/>
                    </w:rPr>
                  </w:pPr>
                  <w:r>
                    <w:rPr>
                      <w:rFonts w:ascii="Times New Roman" w:hAnsi="Times New Roman" w:eastAsia="宋体"/>
                      <w:color w:val="auto"/>
                      <w:szCs w:val="21"/>
                    </w:rPr>
                    <w:t>环境质量底线</w:t>
                  </w:r>
                </w:p>
              </w:tc>
              <w:tc>
                <w:tcPr>
                  <w:tcW w:w="6083" w:type="dxa"/>
                  <w:vAlign w:val="center"/>
                </w:tcPr>
                <w:p>
                  <w:pPr>
                    <w:rPr>
                      <w:rFonts w:ascii="Times New Roman" w:hAnsi="Times New Roman" w:eastAsia="宋体"/>
                      <w:color w:val="auto"/>
                      <w:szCs w:val="21"/>
                    </w:rPr>
                  </w:pPr>
                  <w:r>
                    <w:rPr>
                      <w:rFonts w:ascii="Times New Roman" w:hAnsi="Times New Roman" w:eastAsia="宋体"/>
                      <w:color w:val="auto"/>
                      <w:szCs w:val="21"/>
                    </w:rPr>
                    <w:t>项目所在地区域环境空气质量不符合《环境空气质量标准》( GB3095-2012)二级标准要求；</w:t>
                  </w:r>
                </w:p>
                <w:p>
                  <w:pPr>
                    <w:rPr>
                      <w:rFonts w:ascii="Times New Roman" w:hAnsi="Times New Roman" w:eastAsia="宋体"/>
                      <w:color w:val="auto"/>
                      <w:szCs w:val="21"/>
                    </w:rPr>
                  </w:pPr>
                  <w:r>
                    <w:rPr>
                      <w:rFonts w:ascii="Times New Roman" w:hAnsi="Times New Roman" w:eastAsia="宋体"/>
                      <w:color w:val="auto"/>
                      <w:szCs w:val="21"/>
                    </w:rPr>
                    <w:t>区域环境噪声达到《声环境质量标准》（GB3096-2008）3类标准。地表水长江可以满足环境质量《地表水环境质量标准》( GB3838-2002)中的Ⅲ类标准要求。</w:t>
                  </w:r>
                </w:p>
                <w:p>
                  <w:pPr>
                    <w:rPr>
                      <w:rFonts w:ascii="Times New Roman" w:hAnsi="Times New Roman" w:eastAsia="宋体"/>
                      <w:color w:val="auto"/>
                      <w:szCs w:val="21"/>
                    </w:rPr>
                  </w:pPr>
                  <w:r>
                    <w:rPr>
                      <w:rFonts w:ascii="Times New Roman" w:hAnsi="Times New Roman" w:eastAsia="宋体"/>
                      <w:color w:val="auto"/>
                      <w:szCs w:val="21"/>
                    </w:rPr>
                    <w:t>本项目无废水产生，对区域地表水环境影响较小；本项产生的废气采取以下措施：</w:t>
                  </w:r>
                  <w:r>
                    <w:rPr>
                      <w:rFonts w:hint="eastAsia" w:ascii="Times New Roman" w:hAnsi="Times New Roman" w:eastAsia="宋体"/>
                      <w:color w:val="auto"/>
                      <w:szCs w:val="21"/>
                      <w:lang w:val="en-US" w:eastAsia="zh-CN"/>
                    </w:rPr>
                    <w:t>颗粒物采取脉冲式布袋除尘器进行处理后通过15m排气筒外排，喷漆废气采取过滤棉+两级活性炭装置处理后通过18m排气筒外排。</w:t>
                  </w:r>
                  <w:r>
                    <w:rPr>
                      <w:rFonts w:ascii="Times New Roman" w:hAnsi="Times New Roman" w:eastAsia="宋体"/>
                      <w:color w:val="auto"/>
                      <w:szCs w:val="22"/>
                    </w:rPr>
                    <w:t>对环境影响较小；</w:t>
                  </w:r>
                  <w:r>
                    <w:rPr>
                      <w:rFonts w:ascii="Times New Roman" w:hAnsi="Times New Roman" w:eastAsia="宋体"/>
                      <w:color w:val="auto"/>
                      <w:szCs w:val="21"/>
                    </w:rPr>
                    <w:t>本项目噪声经减振、隔声等措施后，厂界噪声排放可满足《工业企业厂界环境噪声排放标准》(GB12348-2008)3类标准要求。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761" w:type="dxa"/>
                  <w:vAlign w:val="center"/>
                </w:tcPr>
                <w:p>
                  <w:pPr>
                    <w:jc w:val="center"/>
                    <w:rPr>
                      <w:rFonts w:ascii="Times New Roman" w:hAnsi="Times New Roman" w:eastAsia="宋体"/>
                      <w:color w:val="auto"/>
                      <w:szCs w:val="21"/>
                    </w:rPr>
                  </w:pPr>
                  <w:r>
                    <w:rPr>
                      <w:rFonts w:ascii="Times New Roman" w:hAnsi="Times New Roman" w:eastAsia="宋体"/>
                      <w:color w:val="auto"/>
                      <w:szCs w:val="21"/>
                    </w:rPr>
                    <w:t>负面清单</w:t>
                  </w:r>
                </w:p>
              </w:tc>
              <w:tc>
                <w:tcPr>
                  <w:tcW w:w="6083" w:type="dxa"/>
                  <w:vAlign w:val="center"/>
                </w:tcPr>
                <w:p>
                  <w:pPr>
                    <w:rPr>
                      <w:rFonts w:ascii="Times New Roman" w:hAnsi="Times New Roman" w:eastAsia="宋体"/>
                      <w:color w:val="auto"/>
                      <w:szCs w:val="21"/>
                    </w:rPr>
                  </w:pPr>
                  <w:r>
                    <w:rPr>
                      <w:rFonts w:ascii="Times New Roman" w:hAnsi="Times New Roman" w:eastAsia="宋体"/>
                      <w:color w:val="auto"/>
                      <w:szCs w:val="21"/>
                    </w:rPr>
                    <w:t>本项目位于</w:t>
                  </w:r>
                  <w:r>
                    <w:rPr>
                      <w:rFonts w:hint="eastAsia" w:ascii="Times New Roman" w:hAnsi="Times New Roman" w:eastAsia="宋体"/>
                      <w:color w:val="auto"/>
                      <w:szCs w:val="21"/>
                    </w:rPr>
                    <w:t>芜湖市三山区春洲路2号芜湖新兴铸管有限责任公司厂区</w:t>
                  </w:r>
                  <w:r>
                    <w:rPr>
                      <w:rFonts w:hint="eastAsia" w:ascii="Times New Roman" w:hAnsi="Times New Roman" w:eastAsia="宋体"/>
                      <w:color w:val="auto"/>
                      <w:szCs w:val="21"/>
                      <w:lang w:val="en-US" w:eastAsia="zh-CN"/>
                    </w:rPr>
                    <w:t>内</w:t>
                  </w:r>
                  <w:r>
                    <w:rPr>
                      <w:rFonts w:ascii="Times New Roman" w:hAnsi="Times New Roman" w:eastAsia="宋体"/>
                      <w:color w:val="auto"/>
                      <w:szCs w:val="21"/>
                    </w:rPr>
                    <w:t>，目前项目选正区暂无明确的环境准入负面清单</w:t>
                  </w:r>
                </w:p>
              </w:tc>
            </w:tr>
          </w:tbl>
          <w:p>
            <w:pPr>
              <w:rPr>
                <w:rFonts w:ascii="Times New Roman" w:hAnsi="Times New Roman" w:eastAsia="宋体"/>
                <w:b/>
                <w:color w:val="auto"/>
                <w:sz w:val="24"/>
                <w:szCs w:val="24"/>
              </w:rPr>
            </w:pPr>
          </w:p>
          <w:p>
            <w:pPr>
              <w:pStyle w:val="11"/>
              <w:spacing w:after="0" w:line="360" w:lineRule="auto"/>
              <w:ind w:left="0" w:leftChars="0"/>
              <w:rPr>
                <w:rFonts w:ascii="Times New Roman" w:hAnsi="Times New Roman" w:eastAsia="宋体"/>
                <w:color w:val="auto"/>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1" w:hRule="atLeast"/>
          <w:jc w:val="center"/>
        </w:trPr>
        <w:tc>
          <w:tcPr>
            <w:tcW w:w="9242" w:type="dxa"/>
            <w:gridSpan w:val="6"/>
            <w:tcBorders>
              <w:top w:val="single" w:color="auto" w:sz="4" w:space="0"/>
            </w:tcBorders>
          </w:tcPr>
          <w:p>
            <w:pPr>
              <w:spacing w:line="360" w:lineRule="auto"/>
              <w:rPr>
                <w:rFonts w:ascii="Times New Roman" w:hAnsi="Times New Roman" w:eastAsia="宋体"/>
                <w:b/>
                <w:color w:val="auto"/>
                <w:sz w:val="28"/>
                <w:szCs w:val="28"/>
              </w:rPr>
            </w:pPr>
            <w:r>
              <w:rPr>
                <w:rFonts w:ascii="Times New Roman" w:hAnsi="Times New Roman" w:eastAsia="宋体"/>
                <w:b/>
                <w:color w:val="auto"/>
                <w:sz w:val="28"/>
                <w:szCs w:val="28"/>
              </w:rPr>
              <w:t>与本项目有关的原有污染情况及主要环境问题：</w:t>
            </w:r>
          </w:p>
          <w:p>
            <w:pPr>
              <w:numPr>
                <w:numId w:val="0"/>
              </w:numPr>
              <w:spacing w:line="440" w:lineRule="exact"/>
              <w:ind w:firstLine="480" w:firstLineChars="200"/>
              <w:rPr>
                <w:rFonts w:hint="eastAsia" w:ascii="Times New Roman" w:hAnsi="Times New Roman" w:eastAsia="宋体"/>
                <w:color w:val="auto"/>
                <w:sz w:val="24"/>
                <w:lang w:val="en-US" w:eastAsia="zh-CN"/>
              </w:rPr>
            </w:pPr>
            <w:r>
              <w:rPr>
                <w:rFonts w:hint="eastAsia" w:ascii="Times New Roman" w:hAnsi="Times New Roman" w:eastAsia="宋体"/>
                <w:color w:val="auto"/>
                <w:sz w:val="24"/>
                <w:lang w:val="en-US" w:eastAsia="zh-CN"/>
              </w:rPr>
              <w:t>2016年12月8日，芜湖市三山区经济和发改委员会以三经发[2016]590号文对特喷线技术改造项目进行了备案；据此，该公司根据环境影响评价法律法规的相关要求，于2017年1月委托南京赛特环境工程有限公司开展特喷线技术改造项目环境影响报告书的编制工作。2017年6月9号芜湖市环保局以环行审[2017]31号文对该项目进行了批复，同意其建设。2018年6月芜湖新兴铸管有限责任公司委托安徽基越环境检测有限公司开展该建设项目整体竣工验收监测，并于2018年6月11日～12日实施竣工环保验收现场监测。</w:t>
            </w:r>
          </w:p>
          <w:p>
            <w:pPr>
              <w:keepNext w:val="0"/>
              <w:keepLines w:val="0"/>
              <w:pageBreakBefore w:val="0"/>
              <w:widowControl w:val="0"/>
              <w:numPr>
                <w:numId w:val="0"/>
              </w:numPr>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olor w:val="auto"/>
                <w:sz w:val="24"/>
                <w:lang w:val="en-US" w:eastAsia="zh-CN"/>
              </w:rPr>
            </w:pPr>
            <w:r>
              <w:rPr>
                <w:rFonts w:hint="eastAsia" w:ascii="Times New Roman" w:hAnsi="Times New Roman" w:eastAsia="宋体"/>
                <w:color w:val="auto"/>
                <w:sz w:val="24"/>
                <w:lang w:val="en-US" w:eastAsia="zh-CN"/>
              </w:rPr>
              <w:t>1、</w:t>
            </w:r>
            <w:r>
              <w:rPr>
                <w:rFonts w:hint="eastAsia" w:ascii="Times New Roman" w:hAnsi="Times New Roman" w:eastAsia="宋体"/>
                <w:color w:val="auto"/>
                <w:sz w:val="24"/>
                <w:lang w:val="en-US" w:eastAsia="zh-CN"/>
              </w:rPr>
              <w:t>原有污染情况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500" w:firstLineChars="200"/>
              <w:textAlignment w:val="auto"/>
              <w:rPr>
                <w:rFonts w:hint="eastAsia" w:ascii="Times New Roman" w:hAnsi="Times New Roman" w:eastAsia="宋体"/>
                <w:color w:val="auto"/>
                <w:spacing w:val="5"/>
                <w:sz w:val="24"/>
                <w:lang w:val="en-US" w:eastAsia="zh-CN"/>
              </w:rPr>
            </w:pPr>
            <w:r>
              <w:rPr>
                <w:rFonts w:hint="eastAsia" w:ascii="Times New Roman" w:hAnsi="Times New Roman" w:eastAsia="宋体"/>
                <w:color w:val="auto"/>
                <w:spacing w:val="5"/>
                <w:sz w:val="24"/>
                <w:lang w:val="en-US" w:eastAsia="zh-CN"/>
              </w:rPr>
              <w:t>①</w:t>
            </w:r>
            <w:r>
              <w:rPr>
                <w:rFonts w:hint="eastAsia" w:ascii="Times New Roman" w:hAnsi="Times New Roman" w:eastAsia="宋体"/>
                <w:color w:val="auto"/>
                <w:spacing w:val="5"/>
                <w:sz w:val="24"/>
                <w:lang w:val="en-US" w:eastAsia="zh-CN"/>
              </w:rPr>
              <w:t>废气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ascii="Times New Roman" w:hAnsi="Times New Roman" w:eastAsia="宋体" w:cs="Arial"/>
                <w:bCs/>
                <w:color w:val="000000"/>
                <w:sz w:val="24"/>
                <w:szCs w:val="22"/>
              </w:rPr>
            </w:pPr>
            <w:r>
              <w:rPr>
                <w:rFonts w:ascii="Times New Roman" w:hAnsi="Times New Roman" w:eastAsia="宋体" w:cs="Arial"/>
                <w:bCs/>
                <w:color w:val="000000"/>
                <w:sz w:val="24"/>
                <w:szCs w:val="22"/>
              </w:rPr>
              <w:t>主要的</w:t>
            </w:r>
            <w:r>
              <w:rPr>
                <w:rFonts w:hint="eastAsia" w:ascii="Times New Roman" w:hAnsi="Times New Roman" w:eastAsia="宋体" w:cs="Arial"/>
                <w:bCs/>
                <w:color w:val="000000"/>
                <w:sz w:val="24"/>
                <w:szCs w:val="22"/>
              </w:rPr>
              <w:t>废气产</w:t>
            </w:r>
            <w:r>
              <w:rPr>
                <w:rFonts w:ascii="Times New Roman" w:hAnsi="Times New Roman" w:eastAsia="宋体" w:cs="Arial"/>
                <w:bCs/>
                <w:color w:val="000000"/>
                <w:sz w:val="24"/>
                <w:szCs w:val="22"/>
              </w:rPr>
              <w:t>污</w:t>
            </w:r>
            <w:r>
              <w:rPr>
                <w:rFonts w:hint="eastAsia" w:ascii="Times New Roman" w:hAnsi="Times New Roman" w:eastAsia="宋体" w:cs="Arial"/>
                <w:bCs/>
                <w:color w:val="000000"/>
                <w:sz w:val="24"/>
                <w:szCs w:val="22"/>
              </w:rPr>
              <w:t>环节</w:t>
            </w:r>
            <w:r>
              <w:rPr>
                <w:rFonts w:ascii="Times New Roman" w:hAnsi="Times New Roman" w:eastAsia="宋体" w:cs="Arial"/>
                <w:bCs/>
                <w:color w:val="000000"/>
                <w:sz w:val="24"/>
                <w:szCs w:val="22"/>
              </w:rPr>
              <w:t>为</w:t>
            </w:r>
            <w:r>
              <w:rPr>
                <w:rFonts w:hint="eastAsia" w:ascii="Times New Roman" w:hAnsi="Times New Roman" w:eastAsia="宋体" w:cs="Arial"/>
                <w:bCs/>
                <w:color w:val="000000"/>
                <w:sz w:val="24"/>
                <w:szCs w:val="22"/>
              </w:rPr>
              <w:t>三磨</w:t>
            </w:r>
            <w:r>
              <w:rPr>
                <w:rFonts w:ascii="Times New Roman" w:hAnsi="Times New Roman" w:eastAsia="宋体" w:cs="Arial"/>
                <w:bCs/>
                <w:color w:val="000000"/>
                <w:sz w:val="24"/>
                <w:szCs w:val="22"/>
              </w:rPr>
              <w:t>、</w:t>
            </w:r>
            <w:r>
              <w:rPr>
                <w:rFonts w:hint="eastAsia" w:ascii="Times New Roman" w:hAnsi="Times New Roman" w:eastAsia="宋体" w:cs="Arial"/>
                <w:bCs/>
                <w:color w:val="000000"/>
                <w:sz w:val="24"/>
                <w:szCs w:val="22"/>
              </w:rPr>
              <w:t>内外壁抛丸</w:t>
            </w:r>
            <w:r>
              <w:rPr>
                <w:rFonts w:ascii="Times New Roman" w:hAnsi="Times New Roman" w:eastAsia="宋体" w:cs="Arial"/>
                <w:bCs/>
                <w:color w:val="000000"/>
                <w:sz w:val="24"/>
                <w:szCs w:val="22"/>
              </w:rPr>
              <w:t>等过程产生的工业粉尘，</w:t>
            </w:r>
            <w:r>
              <w:rPr>
                <w:rFonts w:hint="eastAsia" w:ascii="Times New Roman" w:hAnsi="Times New Roman" w:eastAsia="宋体" w:cs="Arial"/>
                <w:bCs/>
                <w:color w:val="000000"/>
                <w:sz w:val="24"/>
                <w:szCs w:val="22"/>
              </w:rPr>
              <w:t>加热炉、烘干炉燃烧焦炉煤气产生的废气，</w:t>
            </w:r>
            <w:r>
              <w:rPr>
                <w:rFonts w:ascii="Times New Roman" w:hAnsi="Times New Roman" w:eastAsia="宋体" w:cs="Arial"/>
                <w:bCs/>
                <w:color w:val="000000"/>
                <w:sz w:val="24"/>
                <w:szCs w:val="22"/>
              </w:rPr>
              <w:t>此外在</w:t>
            </w:r>
            <w:r>
              <w:rPr>
                <w:rFonts w:hint="eastAsia" w:ascii="Times New Roman" w:hAnsi="Times New Roman" w:eastAsia="宋体" w:cs="Arial"/>
                <w:bCs/>
                <w:color w:val="000000"/>
                <w:sz w:val="24"/>
                <w:szCs w:val="22"/>
              </w:rPr>
              <w:t>铸管内、外壁表面喷涂、承口和插口刷漆</w:t>
            </w:r>
            <w:r>
              <w:rPr>
                <w:rFonts w:ascii="Times New Roman" w:hAnsi="Times New Roman" w:eastAsia="宋体" w:cs="Arial"/>
                <w:bCs/>
                <w:color w:val="000000"/>
                <w:sz w:val="24"/>
                <w:szCs w:val="22"/>
              </w:rPr>
              <w:t>过程中</w:t>
            </w:r>
            <w:r>
              <w:rPr>
                <w:rFonts w:hint="eastAsia" w:ascii="Times New Roman" w:hAnsi="Times New Roman" w:eastAsia="宋体" w:cs="Arial"/>
                <w:bCs/>
                <w:color w:val="000000"/>
                <w:sz w:val="24"/>
                <w:szCs w:val="22"/>
              </w:rPr>
              <w:t>也</w:t>
            </w:r>
            <w:r>
              <w:rPr>
                <w:rFonts w:ascii="Times New Roman" w:hAnsi="Times New Roman" w:eastAsia="宋体" w:cs="Arial"/>
                <w:bCs/>
                <w:color w:val="000000"/>
                <w:sz w:val="24"/>
                <w:szCs w:val="22"/>
              </w:rPr>
              <w:t>将</w:t>
            </w:r>
            <w:r>
              <w:rPr>
                <w:rFonts w:hint="eastAsia" w:ascii="Times New Roman" w:hAnsi="Times New Roman" w:eastAsia="宋体" w:cs="Arial"/>
                <w:bCs/>
                <w:color w:val="000000"/>
                <w:sz w:val="24"/>
                <w:szCs w:val="22"/>
              </w:rPr>
              <w:t>有</w:t>
            </w:r>
            <w:r>
              <w:rPr>
                <w:rFonts w:ascii="Times New Roman" w:hAnsi="Times New Roman" w:eastAsia="宋体" w:cs="Arial"/>
                <w:bCs/>
                <w:color w:val="000000"/>
                <w:sz w:val="24"/>
                <w:szCs w:val="22"/>
              </w:rPr>
              <w:t>少量的有机废气</w:t>
            </w:r>
            <w:r>
              <w:rPr>
                <w:rFonts w:hint="eastAsia" w:ascii="Times New Roman" w:hAnsi="Times New Roman" w:eastAsia="宋体" w:cs="Arial"/>
                <w:bCs/>
                <w:color w:val="000000"/>
                <w:sz w:val="24"/>
                <w:szCs w:val="22"/>
              </w:rPr>
              <w:t>产生。</w:t>
            </w:r>
            <w:r>
              <w:rPr>
                <w:rFonts w:ascii="Times New Roman" w:hAnsi="Times New Roman" w:eastAsia="宋体" w:cs="Arial"/>
                <w:color w:val="000000"/>
                <w:sz w:val="24"/>
                <w:szCs w:val="22"/>
              </w:rPr>
              <w:t>项目废气主要的处理措施及排放方式见下表。</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center"/>
              <w:textAlignment w:val="auto"/>
              <w:rPr>
                <w:rFonts w:ascii="Times New Roman" w:hAnsi="Times New Roman" w:eastAsia="宋体" w:cs="Arial"/>
                <w:b/>
                <w:color w:val="000000"/>
              </w:rPr>
            </w:pPr>
            <w:r>
              <w:rPr>
                <w:rFonts w:ascii="Times New Roman" w:hAnsi="Times New Roman" w:eastAsia="宋体" w:cs="Arial"/>
                <w:b/>
                <w:color w:val="000000"/>
              </w:rPr>
              <w:t>表</w:t>
            </w:r>
            <w:r>
              <w:rPr>
                <w:rFonts w:hint="eastAsia" w:ascii="Times New Roman" w:hAnsi="Times New Roman" w:eastAsia="宋体" w:cs="Arial"/>
                <w:b/>
                <w:color w:val="000000"/>
                <w:lang w:val="en-US" w:eastAsia="zh-CN"/>
              </w:rPr>
              <w:t>1</w:t>
            </w:r>
            <w:r>
              <w:rPr>
                <w:rFonts w:ascii="Times New Roman" w:hAnsi="Times New Roman" w:eastAsia="宋体" w:cs="Arial"/>
                <w:b/>
                <w:color w:val="000000"/>
              </w:rPr>
              <w:t>-</w:t>
            </w:r>
            <w:r>
              <w:rPr>
                <w:rFonts w:hint="eastAsia" w:ascii="Times New Roman" w:hAnsi="Times New Roman" w:eastAsia="宋体" w:cs="Arial"/>
                <w:b/>
                <w:color w:val="000000"/>
                <w:lang w:val="en-US" w:eastAsia="zh-CN"/>
              </w:rPr>
              <w:t>7</w:t>
            </w:r>
            <w:r>
              <w:rPr>
                <w:rFonts w:ascii="Times New Roman" w:hAnsi="Times New Roman" w:eastAsia="宋体" w:cs="Arial"/>
                <w:b/>
                <w:color w:val="000000"/>
              </w:rPr>
              <w:t xml:space="preserve">  项目废气的产生及处理方式</w:t>
            </w:r>
          </w:p>
          <w:tbl>
            <w:tblPr>
              <w:tblStyle w:val="2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28" w:type="dxa"/>
                <w:bottom w:w="0" w:type="dxa"/>
                <w:right w:w="28" w:type="dxa"/>
              </w:tblCellMar>
            </w:tblPr>
            <w:tblGrid>
              <w:gridCol w:w="353"/>
              <w:gridCol w:w="1134"/>
              <w:gridCol w:w="1701"/>
              <w:gridCol w:w="1559"/>
              <w:gridCol w:w="1134"/>
              <w:gridCol w:w="818"/>
              <w:gridCol w:w="180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3" w:type="dxa"/>
                  <w:noWrap w:val="0"/>
                  <w:vAlign w:val="center"/>
                </w:tcPr>
                <w:p>
                  <w:pPr>
                    <w:autoSpaceDN w:val="0"/>
                    <w:adjustRightInd w:val="0"/>
                    <w:snapToGrid w:val="0"/>
                    <w:spacing w:line="240" w:lineRule="auto"/>
                    <w:jc w:val="center"/>
                    <w:rPr>
                      <w:rFonts w:ascii="Times New Roman" w:hAnsi="Times New Roman" w:eastAsia="宋体" w:cs="Arial"/>
                      <w:b/>
                      <w:color w:val="000000"/>
                      <w:sz w:val="21"/>
                    </w:rPr>
                  </w:pPr>
                  <w:r>
                    <w:rPr>
                      <w:rFonts w:hint="eastAsia" w:ascii="Times New Roman" w:hAnsi="Times New Roman" w:eastAsia="宋体" w:cs="Arial"/>
                      <w:b/>
                      <w:color w:val="000000"/>
                      <w:sz w:val="21"/>
                    </w:rPr>
                    <w:t>序号</w:t>
                  </w:r>
                </w:p>
              </w:tc>
              <w:tc>
                <w:tcPr>
                  <w:tcW w:w="1134" w:type="dxa"/>
                  <w:noWrap w:val="0"/>
                  <w:vAlign w:val="center"/>
                </w:tcPr>
                <w:p>
                  <w:pPr>
                    <w:autoSpaceDN w:val="0"/>
                    <w:adjustRightInd w:val="0"/>
                    <w:snapToGrid w:val="0"/>
                    <w:spacing w:line="240" w:lineRule="auto"/>
                    <w:jc w:val="center"/>
                    <w:rPr>
                      <w:rFonts w:ascii="Times New Roman" w:hAnsi="Times New Roman" w:eastAsia="宋体" w:cs="Arial"/>
                      <w:b/>
                      <w:color w:val="000000"/>
                      <w:sz w:val="21"/>
                    </w:rPr>
                  </w:pPr>
                  <w:r>
                    <w:rPr>
                      <w:rFonts w:ascii="Times New Roman" w:hAnsi="Times New Roman" w:eastAsia="宋体" w:cs="Arial"/>
                      <w:b/>
                      <w:color w:val="000000"/>
                      <w:sz w:val="21"/>
                    </w:rPr>
                    <w:t>产污工段</w:t>
                  </w:r>
                </w:p>
              </w:tc>
              <w:tc>
                <w:tcPr>
                  <w:tcW w:w="1701" w:type="dxa"/>
                  <w:noWrap w:val="0"/>
                  <w:vAlign w:val="center"/>
                </w:tcPr>
                <w:p>
                  <w:pPr>
                    <w:autoSpaceDN w:val="0"/>
                    <w:adjustRightInd w:val="0"/>
                    <w:snapToGrid w:val="0"/>
                    <w:spacing w:line="240" w:lineRule="auto"/>
                    <w:jc w:val="center"/>
                    <w:rPr>
                      <w:rFonts w:ascii="Times New Roman" w:hAnsi="Times New Roman" w:eastAsia="宋体" w:cs="Arial"/>
                      <w:b/>
                      <w:color w:val="000000"/>
                      <w:sz w:val="21"/>
                    </w:rPr>
                  </w:pPr>
                  <w:r>
                    <w:rPr>
                      <w:rFonts w:ascii="Times New Roman" w:hAnsi="Times New Roman" w:eastAsia="宋体" w:cs="Arial"/>
                      <w:b/>
                      <w:color w:val="000000"/>
                      <w:sz w:val="21"/>
                    </w:rPr>
                    <w:t>污染物种类</w:t>
                  </w:r>
                </w:p>
              </w:tc>
              <w:tc>
                <w:tcPr>
                  <w:tcW w:w="1559" w:type="dxa"/>
                  <w:noWrap w:val="0"/>
                  <w:vAlign w:val="center"/>
                </w:tcPr>
                <w:p>
                  <w:pPr>
                    <w:autoSpaceDN w:val="0"/>
                    <w:adjustRightInd w:val="0"/>
                    <w:snapToGrid w:val="0"/>
                    <w:spacing w:line="240" w:lineRule="auto"/>
                    <w:jc w:val="center"/>
                    <w:rPr>
                      <w:rFonts w:ascii="Times New Roman" w:hAnsi="Times New Roman" w:eastAsia="宋体" w:cs="Arial"/>
                      <w:b/>
                      <w:color w:val="000000"/>
                      <w:sz w:val="21"/>
                    </w:rPr>
                  </w:pPr>
                  <w:r>
                    <w:rPr>
                      <w:rFonts w:ascii="Times New Roman" w:hAnsi="Times New Roman" w:eastAsia="宋体" w:cs="Arial"/>
                      <w:b/>
                      <w:color w:val="000000"/>
                      <w:sz w:val="21"/>
                    </w:rPr>
                    <w:t>处理方式</w:t>
                  </w:r>
                </w:p>
              </w:tc>
              <w:tc>
                <w:tcPr>
                  <w:tcW w:w="1134" w:type="dxa"/>
                  <w:noWrap w:val="0"/>
                  <w:vAlign w:val="center"/>
                </w:tcPr>
                <w:p>
                  <w:pPr>
                    <w:autoSpaceDN w:val="0"/>
                    <w:adjustRightInd w:val="0"/>
                    <w:snapToGrid w:val="0"/>
                    <w:spacing w:line="240" w:lineRule="auto"/>
                    <w:jc w:val="center"/>
                    <w:rPr>
                      <w:rFonts w:ascii="Times New Roman" w:hAnsi="Times New Roman" w:eastAsia="宋体" w:cs="Arial"/>
                      <w:b/>
                      <w:color w:val="000000"/>
                      <w:sz w:val="21"/>
                    </w:rPr>
                  </w:pPr>
                  <w:r>
                    <w:rPr>
                      <w:rFonts w:hint="eastAsia" w:ascii="Times New Roman" w:hAnsi="Times New Roman" w:eastAsia="宋体" w:cs="Arial"/>
                      <w:b/>
                      <w:color w:val="000000"/>
                      <w:sz w:val="21"/>
                    </w:rPr>
                    <w:t>标况烟气</w:t>
                  </w:r>
                </w:p>
                <w:p>
                  <w:pPr>
                    <w:autoSpaceDN w:val="0"/>
                    <w:adjustRightInd w:val="0"/>
                    <w:snapToGrid w:val="0"/>
                    <w:spacing w:line="240" w:lineRule="auto"/>
                    <w:jc w:val="center"/>
                    <w:rPr>
                      <w:rFonts w:ascii="Times New Roman" w:hAnsi="Times New Roman" w:eastAsia="宋体" w:cs="Arial"/>
                      <w:b/>
                      <w:color w:val="000000"/>
                      <w:sz w:val="21"/>
                    </w:rPr>
                  </w:pPr>
                  <w:r>
                    <w:rPr>
                      <w:rFonts w:hint="eastAsia" w:ascii="Times New Roman" w:hAnsi="Times New Roman" w:eastAsia="宋体" w:cs="Arial"/>
                      <w:b/>
                      <w:color w:val="000000"/>
                      <w:sz w:val="21"/>
                    </w:rPr>
                    <w:t>量</w:t>
                  </w:r>
                  <w:r>
                    <w:rPr>
                      <w:rFonts w:ascii="Times New Roman" w:hAnsi="Times New Roman" w:eastAsia="宋体" w:cs="Arial"/>
                      <w:b/>
                      <w:color w:val="000000"/>
                      <w:sz w:val="21"/>
                    </w:rPr>
                    <w:t>(m</w:t>
                  </w:r>
                  <w:r>
                    <w:rPr>
                      <w:rFonts w:ascii="Times New Roman" w:hAnsi="Times New Roman" w:eastAsia="宋体" w:cs="Arial"/>
                      <w:b/>
                      <w:color w:val="000000"/>
                      <w:sz w:val="21"/>
                      <w:vertAlign w:val="superscript"/>
                    </w:rPr>
                    <w:t>3</w:t>
                  </w:r>
                  <w:r>
                    <w:rPr>
                      <w:rFonts w:ascii="Times New Roman" w:hAnsi="Times New Roman" w:eastAsia="宋体" w:cs="Arial"/>
                      <w:b/>
                      <w:color w:val="000000"/>
                      <w:sz w:val="21"/>
                    </w:rPr>
                    <w:t>/h)</w:t>
                  </w:r>
                </w:p>
              </w:tc>
              <w:tc>
                <w:tcPr>
                  <w:tcW w:w="818" w:type="dxa"/>
                  <w:noWrap w:val="0"/>
                  <w:vAlign w:val="center"/>
                </w:tcPr>
                <w:p>
                  <w:pPr>
                    <w:autoSpaceDN w:val="0"/>
                    <w:adjustRightInd w:val="0"/>
                    <w:snapToGrid w:val="0"/>
                    <w:spacing w:line="240" w:lineRule="auto"/>
                    <w:jc w:val="center"/>
                    <w:rPr>
                      <w:rFonts w:ascii="Times New Roman" w:hAnsi="Times New Roman" w:eastAsia="宋体" w:cs="Arial"/>
                      <w:b/>
                      <w:color w:val="000000"/>
                      <w:sz w:val="21"/>
                    </w:rPr>
                  </w:pPr>
                  <w:r>
                    <w:rPr>
                      <w:rFonts w:hint="eastAsia" w:ascii="Times New Roman" w:hAnsi="Times New Roman" w:eastAsia="宋体" w:cs="Arial"/>
                      <w:b/>
                      <w:color w:val="000000"/>
                      <w:sz w:val="21"/>
                    </w:rPr>
                    <w:t>内径</w:t>
                  </w:r>
                </w:p>
                <w:p>
                  <w:pPr>
                    <w:autoSpaceDN w:val="0"/>
                    <w:adjustRightInd w:val="0"/>
                    <w:snapToGrid w:val="0"/>
                    <w:spacing w:line="240" w:lineRule="auto"/>
                    <w:jc w:val="center"/>
                    <w:rPr>
                      <w:rFonts w:hint="eastAsia" w:ascii="Times New Roman" w:hAnsi="Times New Roman" w:eastAsia="宋体" w:cs="Arial"/>
                      <w:b/>
                      <w:color w:val="000000"/>
                      <w:sz w:val="21"/>
                    </w:rPr>
                  </w:pPr>
                  <w:r>
                    <w:rPr>
                      <w:rFonts w:hint="eastAsia" w:ascii="Times New Roman" w:hAnsi="Times New Roman" w:eastAsia="宋体" w:cs="Arial"/>
                      <w:b/>
                      <w:color w:val="000000"/>
                      <w:sz w:val="21"/>
                    </w:rPr>
                    <w:t>（</w:t>
                  </w:r>
                  <w:r>
                    <w:rPr>
                      <w:rFonts w:ascii="Times New Roman" w:hAnsi="Times New Roman" w:eastAsia="宋体" w:cs="Arial"/>
                      <w:b/>
                      <w:color w:val="000000"/>
                      <w:sz w:val="21"/>
                    </w:rPr>
                    <w:t>m</w:t>
                  </w:r>
                  <w:r>
                    <w:rPr>
                      <w:rFonts w:hint="eastAsia" w:ascii="Times New Roman" w:hAnsi="Times New Roman" w:eastAsia="宋体" w:cs="Arial"/>
                      <w:b/>
                      <w:color w:val="000000"/>
                      <w:sz w:val="21"/>
                    </w:rPr>
                    <w:t>）</w:t>
                  </w:r>
                </w:p>
              </w:tc>
              <w:tc>
                <w:tcPr>
                  <w:tcW w:w="1806" w:type="dxa"/>
                  <w:noWrap w:val="0"/>
                  <w:vAlign w:val="center"/>
                </w:tcPr>
                <w:p>
                  <w:pPr>
                    <w:autoSpaceDN w:val="0"/>
                    <w:adjustRightInd w:val="0"/>
                    <w:snapToGrid w:val="0"/>
                    <w:spacing w:line="240" w:lineRule="auto"/>
                    <w:jc w:val="center"/>
                    <w:rPr>
                      <w:rFonts w:ascii="Times New Roman" w:hAnsi="Times New Roman" w:eastAsia="宋体" w:cs="Arial"/>
                      <w:b/>
                      <w:color w:val="000000"/>
                      <w:sz w:val="21"/>
                    </w:rPr>
                  </w:pPr>
                  <w:r>
                    <w:rPr>
                      <w:rFonts w:ascii="Times New Roman" w:hAnsi="Times New Roman" w:eastAsia="宋体" w:cs="Arial"/>
                      <w:b/>
                      <w:color w:val="000000"/>
                      <w:sz w:val="21"/>
                    </w:rPr>
                    <w:t>排放方式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3" w:type="dxa"/>
                  <w:noWrap w:val="0"/>
                  <w:vAlign w:val="center"/>
                </w:tcPr>
                <w:p>
                  <w:pPr>
                    <w:adjustRightInd w:val="0"/>
                    <w:snapToGrid w:val="0"/>
                    <w:spacing w:line="240" w:lineRule="auto"/>
                    <w:jc w:val="center"/>
                    <w:rPr>
                      <w:rFonts w:hint="eastAsia" w:ascii="Times New Roman" w:hAnsi="Times New Roman" w:eastAsia="宋体" w:cs="Arial"/>
                      <w:color w:val="000000"/>
                      <w:kern w:val="0"/>
                      <w:sz w:val="21"/>
                    </w:rPr>
                  </w:pPr>
                  <w:r>
                    <w:rPr>
                      <w:rFonts w:hint="eastAsia" w:ascii="Times New Roman" w:hAnsi="Times New Roman" w:eastAsia="宋体" w:cs="Arial"/>
                      <w:color w:val="000000"/>
                      <w:kern w:val="0"/>
                      <w:sz w:val="21"/>
                    </w:rPr>
                    <w:t>1</w:t>
                  </w:r>
                </w:p>
              </w:tc>
              <w:tc>
                <w:tcPr>
                  <w:tcW w:w="1134" w:type="dxa"/>
                  <w:noWrap w:val="0"/>
                  <w:vAlign w:val="center"/>
                </w:tcPr>
                <w:p>
                  <w:pPr>
                    <w:adjustRightInd w:val="0"/>
                    <w:snapToGrid w:val="0"/>
                    <w:spacing w:line="240" w:lineRule="auto"/>
                    <w:jc w:val="center"/>
                    <w:rPr>
                      <w:rFonts w:ascii="Times New Roman" w:hAnsi="Times New Roman" w:eastAsia="宋体" w:cs="Arial"/>
                      <w:color w:val="000000"/>
                      <w:sz w:val="21"/>
                      <w:lang w:val="de-DE"/>
                    </w:rPr>
                  </w:pPr>
                  <w:r>
                    <w:rPr>
                      <w:rFonts w:hint="eastAsia" w:ascii="Times New Roman" w:hAnsi="Times New Roman" w:eastAsia="宋体" w:cs="Arial"/>
                      <w:color w:val="000000"/>
                      <w:kern w:val="0"/>
                      <w:sz w:val="21"/>
                    </w:rPr>
                    <w:t>三磨</w:t>
                  </w:r>
                </w:p>
              </w:tc>
              <w:tc>
                <w:tcPr>
                  <w:tcW w:w="1701" w:type="dxa"/>
                  <w:noWrap w:val="0"/>
                  <w:vAlign w:val="center"/>
                </w:tcPr>
                <w:p>
                  <w:pPr>
                    <w:autoSpaceDN w:val="0"/>
                    <w:adjustRightInd w:val="0"/>
                    <w:snapToGrid w:val="0"/>
                    <w:spacing w:line="240" w:lineRule="auto"/>
                    <w:jc w:val="center"/>
                    <w:rPr>
                      <w:rFonts w:hint="eastAsia" w:ascii="Times New Roman" w:hAnsi="Times New Roman" w:eastAsia="宋体" w:cs="Arial"/>
                      <w:color w:val="000000"/>
                      <w:sz w:val="21"/>
                    </w:rPr>
                  </w:pPr>
                  <w:r>
                    <w:rPr>
                      <w:rFonts w:hint="eastAsia" w:ascii="Times New Roman" w:hAnsi="Times New Roman" w:eastAsia="宋体" w:cs="Arial"/>
                      <w:color w:val="000000"/>
                      <w:sz w:val="21"/>
                    </w:rPr>
                    <w:t>颗粒物</w:t>
                  </w:r>
                </w:p>
              </w:tc>
              <w:tc>
                <w:tcPr>
                  <w:tcW w:w="1559" w:type="dxa"/>
                  <w:noWrap w:val="0"/>
                  <w:vAlign w:val="center"/>
                </w:tcPr>
                <w:p>
                  <w:pPr>
                    <w:adjustRightInd w:val="0"/>
                    <w:snapToGrid w:val="0"/>
                    <w:spacing w:line="240" w:lineRule="auto"/>
                    <w:jc w:val="center"/>
                    <w:rPr>
                      <w:rFonts w:ascii="Times New Roman" w:hAnsi="Times New Roman" w:eastAsia="宋体" w:cs="Arial"/>
                      <w:color w:val="000000"/>
                      <w:sz w:val="21"/>
                      <w:lang w:val="de-DE"/>
                    </w:rPr>
                  </w:pPr>
                  <w:r>
                    <w:rPr>
                      <w:rFonts w:hint="eastAsia" w:ascii="Times New Roman" w:hAnsi="Times New Roman" w:eastAsia="宋体" w:cs="Arial"/>
                      <w:bCs/>
                      <w:color w:val="000000"/>
                      <w:sz w:val="21"/>
                    </w:rPr>
                    <w:t>脉冲布袋除尘器</w:t>
                  </w:r>
                </w:p>
              </w:tc>
              <w:tc>
                <w:tcPr>
                  <w:tcW w:w="1134" w:type="dxa"/>
                  <w:noWrap w:val="0"/>
                  <w:vAlign w:val="center"/>
                </w:tcPr>
                <w:p>
                  <w:pPr>
                    <w:adjustRightInd w:val="0"/>
                    <w:snapToGrid w:val="0"/>
                    <w:spacing w:line="240" w:lineRule="auto"/>
                    <w:jc w:val="center"/>
                    <w:rPr>
                      <w:rFonts w:ascii="Times New Roman" w:hAnsi="Times New Roman" w:eastAsia="宋体" w:cs="Arial"/>
                      <w:color w:val="000000"/>
                      <w:sz w:val="21"/>
                      <w:lang w:val="de-DE"/>
                    </w:rPr>
                  </w:pPr>
                  <w:r>
                    <w:rPr>
                      <w:rFonts w:ascii="Times New Roman" w:hAnsi="Times New Roman" w:eastAsia="宋体" w:cs="Arial"/>
                      <w:color w:val="000000"/>
                      <w:sz w:val="21"/>
                      <w:lang w:val="de-DE"/>
                    </w:rPr>
                    <w:t>55000</w:t>
                  </w:r>
                </w:p>
              </w:tc>
              <w:tc>
                <w:tcPr>
                  <w:tcW w:w="818" w:type="dxa"/>
                  <w:noWrap w:val="0"/>
                  <w:vAlign w:val="center"/>
                </w:tcPr>
                <w:p>
                  <w:pPr>
                    <w:adjustRightInd w:val="0"/>
                    <w:snapToGrid w:val="0"/>
                    <w:spacing w:line="240" w:lineRule="auto"/>
                    <w:jc w:val="center"/>
                    <w:rPr>
                      <w:rFonts w:ascii="Times New Roman" w:hAnsi="Times New Roman" w:eastAsia="宋体" w:cs="Arial"/>
                      <w:color w:val="000000"/>
                      <w:sz w:val="21"/>
                      <w:lang w:val="de-DE"/>
                    </w:rPr>
                  </w:pPr>
                  <w:r>
                    <w:rPr>
                      <w:rFonts w:hint="eastAsia" w:ascii="Times New Roman" w:hAnsi="Times New Roman" w:eastAsia="宋体" w:cs="Arial"/>
                      <w:color w:val="000000"/>
                      <w:sz w:val="21"/>
                      <w:lang w:val="de-DE"/>
                    </w:rPr>
                    <w:t>1.2</w:t>
                  </w:r>
                </w:p>
              </w:tc>
              <w:tc>
                <w:tcPr>
                  <w:tcW w:w="1806" w:type="dxa"/>
                  <w:noWrap w:val="0"/>
                  <w:vAlign w:val="center"/>
                </w:tcPr>
                <w:p>
                  <w:pPr>
                    <w:adjustRightInd w:val="0"/>
                    <w:snapToGrid w:val="0"/>
                    <w:spacing w:line="240" w:lineRule="auto"/>
                    <w:jc w:val="center"/>
                    <w:rPr>
                      <w:rFonts w:hint="eastAsia" w:ascii="Times New Roman" w:hAnsi="Times New Roman" w:eastAsia="宋体" w:cs="Arial"/>
                      <w:color w:val="000000"/>
                      <w:sz w:val="21"/>
                      <w:lang w:val="de-DE"/>
                    </w:rPr>
                  </w:pPr>
                  <w:r>
                    <w:rPr>
                      <w:rFonts w:ascii="Times New Roman" w:hAnsi="Times New Roman" w:eastAsia="宋体" w:cs="Arial"/>
                      <w:color w:val="000000"/>
                      <w:sz w:val="21"/>
                      <w:lang w:val="de-DE"/>
                    </w:rPr>
                    <w:t>18m</w:t>
                  </w:r>
                  <w:r>
                    <w:rPr>
                      <w:rFonts w:hint="eastAsia" w:ascii="Times New Roman" w:hAnsi="Times New Roman" w:eastAsia="宋体" w:cs="Arial"/>
                      <w:color w:val="000000"/>
                      <w:sz w:val="21"/>
                      <w:lang w:val="de-DE"/>
                    </w:rPr>
                    <w:t>高</w:t>
                  </w:r>
                  <w:r>
                    <w:rPr>
                      <w:rFonts w:ascii="Times New Roman" w:hAnsi="Times New Roman" w:eastAsia="宋体" w:cs="Arial"/>
                      <w:color w:val="000000"/>
                      <w:sz w:val="21"/>
                      <w:lang w:val="de-DE"/>
                    </w:rPr>
                    <w:t>排气筒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3" w:type="dxa"/>
                  <w:noWrap w:val="0"/>
                  <w:vAlign w:val="center"/>
                </w:tcPr>
                <w:p>
                  <w:pPr>
                    <w:adjustRightInd w:val="0"/>
                    <w:snapToGrid w:val="0"/>
                    <w:spacing w:line="240" w:lineRule="auto"/>
                    <w:jc w:val="center"/>
                    <w:rPr>
                      <w:rFonts w:hint="eastAsia" w:ascii="Times New Roman" w:hAnsi="Times New Roman" w:eastAsia="宋体" w:cs="Arial"/>
                      <w:color w:val="000000"/>
                      <w:kern w:val="0"/>
                      <w:sz w:val="21"/>
                    </w:rPr>
                  </w:pPr>
                  <w:r>
                    <w:rPr>
                      <w:rFonts w:hint="eastAsia" w:ascii="Times New Roman" w:hAnsi="Times New Roman" w:eastAsia="宋体" w:cs="Arial"/>
                      <w:color w:val="000000"/>
                      <w:kern w:val="0"/>
                      <w:sz w:val="21"/>
                    </w:rPr>
                    <w:t>2</w:t>
                  </w:r>
                </w:p>
              </w:tc>
              <w:tc>
                <w:tcPr>
                  <w:tcW w:w="1134" w:type="dxa"/>
                  <w:noWrap w:val="0"/>
                  <w:vAlign w:val="center"/>
                </w:tcPr>
                <w:p>
                  <w:pPr>
                    <w:adjustRightInd w:val="0"/>
                    <w:snapToGrid w:val="0"/>
                    <w:spacing w:line="240" w:lineRule="auto"/>
                    <w:jc w:val="center"/>
                    <w:rPr>
                      <w:rFonts w:hint="eastAsia" w:ascii="Times New Roman" w:hAnsi="Times New Roman" w:eastAsia="宋体" w:cs="Arial"/>
                      <w:color w:val="000000"/>
                      <w:kern w:val="0"/>
                      <w:sz w:val="21"/>
                    </w:rPr>
                  </w:pPr>
                  <w:r>
                    <w:rPr>
                      <w:rFonts w:hint="eastAsia" w:ascii="Times New Roman" w:hAnsi="Times New Roman" w:eastAsia="宋体" w:cs="Arial"/>
                      <w:color w:val="000000"/>
                      <w:kern w:val="0"/>
                      <w:sz w:val="21"/>
                    </w:rPr>
                    <w:t>外抛</w:t>
                  </w:r>
                </w:p>
              </w:tc>
              <w:tc>
                <w:tcPr>
                  <w:tcW w:w="1701" w:type="dxa"/>
                  <w:noWrap w:val="0"/>
                  <w:vAlign w:val="center"/>
                </w:tcPr>
                <w:p>
                  <w:pPr>
                    <w:autoSpaceDN w:val="0"/>
                    <w:adjustRightInd w:val="0"/>
                    <w:snapToGrid w:val="0"/>
                    <w:spacing w:line="240" w:lineRule="auto"/>
                    <w:jc w:val="center"/>
                    <w:rPr>
                      <w:rFonts w:hint="eastAsia" w:ascii="Times New Roman" w:hAnsi="Times New Roman" w:eastAsia="宋体" w:cs="Arial"/>
                      <w:color w:val="000000"/>
                      <w:sz w:val="21"/>
                    </w:rPr>
                  </w:pPr>
                  <w:r>
                    <w:rPr>
                      <w:rFonts w:hint="eastAsia" w:ascii="Times New Roman" w:hAnsi="Times New Roman" w:eastAsia="宋体" w:cs="Arial"/>
                      <w:color w:val="000000"/>
                      <w:sz w:val="21"/>
                    </w:rPr>
                    <w:t>颗粒物</w:t>
                  </w:r>
                </w:p>
              </w:tc>
              <w:tc>
                <w:tcPr>
                  <w:tcW w:w="1559" w:type="dxa"/>
                  <w:noWrap w:val="0"/>
                  <w:vAlign w:val="center"/>
                </w:tcPr>
                <w:p>
                  <w:pPr>
                    <w:adjustRightInd w:val="0"/>
                    <w:snapToGrid w:val="0"/>
                    <w:spacing w:line="240" w:lineRule="auto"/>
                    <w:jc w:val="center"/>
                    <w:rPr>
                      <w:rFonts w:hint="eastAsia" w:ascii="Times New Roman" w:hAnsi="Times New Roman" w:eastAsia="宋体" w:cs="Arial"/>
                      <w:bCs/>
                      <w:color w:val="000000"/>
                      <w:sz w:val="21"/>
                    </w:rPr>
                  </w:pPr>
                  <w:r>
                    <w:rPr>
                      <w:rFonts w:hint="eastAsia" w:ascii="Times New Roman" w:hAnsi="Times New Roman" w:eastAsia="宋体" w:cs="Arial"/>
                      <w:bCs/>
                      <w:color w:val="000000"/>
                      <w:sz w:val="21"/>
                    </w:rPr>
                    <w:t>脉冲布袋除尘器</w:t>
                  </w:r>
                </w:p>
              </w:tc>
              <w:tc>
                <w:tcPr>
                  <w:tcW w:w="1134" w:type="dxa"/>
                  <w:noWrap w:val="0"/>
                  <w:vAlign w:val="center"/>
                </w:tcPr>
                <w:p>
                  <w:pPr>
                    <w:adjustRightInd w:val="0"/>
                    <w:snapToGrid w:val="0"/>
                    <w:spacing w:line="240" w:lineRule="auto"/>
                    <w:jc w:val="center"/>
                    <w:rPr>
                      <w:rFonts w:hint="eastAsia" w:ascii="Times New Roman" w:hAnsi="Times New Roman" w:eastAsia="宋体" w:cs="Arial"/>
                      <w:color w:val="000000"/>
                      <w:sz w:val="21"/>
                      <w:lang w:val="de-DE"/>
                    </w:rPr>
                  </w:pPr>
                  <w:r>
                    <w:rPr>
                      <w:rFonts w:hint="eastAsia" w:ascii="Times New Roman" w:hAnsi="Times New Roman" w:eastAsia="宋体" w:cs="Arial"/>
                      <w:color w:val="000000"/>
                      <w:sz w:val="21"/>
                    </w:rPr>
                    <w:t>60000</w:t>
                  </w:r>
                </w:p>
              </w:tc>
              <w:tc>
                <w:tcPr>
                  <w:tcW w:w="818" w:type="dxa"/>
                  <w:noWrap w:val="0"/>
                  <w:vAlign w:val="center"/>
                </w:tcPr>
                <w:p>
                  <w:pPr>
                    <w:adjustRightInd w:val="0"/>
                    <w:snapToGrid w:val="0"/>
                    <w:spacing w:line="240" w:lineRule="auto"/>
                    <w:jc w:val="center"/>
                    <w:rPr>
                      <w:rFonts w:hint="eastAsia" w:ascii="Times New Roman" w:hAnsi="Times New Roman" w:eastAsia="宋体" w:cs="Arial"/>
                      <w:color w:val="000000"/>
                      <w:sz w:val="21"/>
                      <w:lang w:val="de-DE"/>
                    </w:rPr>
                  </w:pPr>
                  <w:r>
                    <w:rPr>
                      <w:rFonts w:hint="eastAsia" w:ascii="Times New Roman" w:hAnsi="Times New Roman" w:eastAsia="宋体" w:cs="Arial"/>
                      <w:color w:val="000000"/>
                      <w:sz w:val="21"/>
                      <w:lang w:val="de-DE"/>
                    </w:rPr>
                    <w:t>1.1</w:t>
                  </w:r>
                </w:p>
              </w:tc>
              <w:tc>
                <w:tcPr>
                  <w:tcW w:w="1806" w:type="dxa"/>
                  <w:noWrap w:val="0"/>
                  <w:vAlign w:val="center"/>
                </w:tcPr>
                <w:p>
                  <w:pPr>
                    <w:adjustRightInd w:val="0"/>
                    <w:snapToGrid w:val="0"/>
                    <w:spacing w:line="240" w:lineRule="auto"/>
                    <w:jc w:val="center"/>
                    <w:rPr>
                      <w:rFonts w:ascii="Times New Roman" w:hAnsi="Times New Roman" w:eastAsia="宋体" w:cs="Arial"/>
                      <w:color w:val="000000"/>
                      <w:sz w:val="21"/>
                      <w:lang w:val="de-DE"/>
                    </w:rPr>
                  </w:pPr>
                  <w:r>
                    <w:rPr>
                      <w:rFonts w:hint="eastAsia" w:ascii="Times New Roman" w:hAnsi="Times New Roman" w:eastAsia="宋体" w:cs="Arial"/>
                      <w:color w:val="000000"/>
                      <w:sz w:val="21"/>
                      <w:lang w:val="de-DE"/>
                    </w:rPr>
                    <w:t>19.5</w:t>
                  </w:r>
                  <w:r>
                    <w:rPr>
                      <w:rFonts w:ascii="Times New Roman" w:hAnsi="Times New Roman" w:eastAsia="宋体" w:cs="Arial"/>
                      <w:color w:val="000000"/>
                      <w:sz w:val="21"/>
                      <w:lang w:val="de-DE"/>
                    </w:rPr>
                    <w:t xml:space="preserve"> m</w:t>
                  </w:r>
                  <w:r>
                    <w:rPr>
                      <w:rFonts w:hint="eastAsia" w:ascii="Times New Roman" w:hAnsi="Times New Roman" w:eastAsia="宋体" w:cs="Arial"/>
                      <w:color w:val="000000"/>
                      <w:sz w:val="21"/>
                      <w:lang w:val="de-DE"/>
                    </w:rPr>
                    <w:t>高</w:t>
                  </w:r>
                  <w:r>
                    <w:rPr>
                      <w:rFonts w:ascii="Times New Roman" w:hAnsi="Times New Roman" w:eastAsia="宋体" w:cs="Arial"/>
                      <w:color w:val="000000"/>
                      <w:sz w:val="21"/>
                      <w:lang w:val="de-DE"/>
                    </w:rPr>
                    <w:t>排气筒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3" w:type="dxa"/>
                  <w:noWrap w:val="0"/>
                  <w:vAlign w:val="center"/>
                </w:tcPr>
                <w:p>
                  <w:pPr>
                    <w:adjustRightInd w:val="0"/>
                    <w:snapToGrid w:val="0"/>
                    <w:spacing w:line="240" w:lineRule="auto"/>
                    <w:jc w:val="center"/>
                    <w:rPr>
                      <w:rFonts w:hint="eastAsia" w:ascii="Times New Roman" w:hAnsi="Times New Roman" w:eastAsia="宋体" w:cs="Arial"/>
                      <w:color w:val="000000"/>
                      <w:kern w:val="0"/>
                      <w:sz w:val="21"/>
                    </w:rPr>
                  </w:pPr>
                  <w:r>
                    <w:rPr>
                      <w:rFonts w:hint="eastAsia" w:ascii="Times New Roman" w:hAnsi="Times New Roman" w:eastAsia="宋体" w:cs="Arial"/>
                      <w:color w:val="000000"/>
                      <w:kern w:val="0"/>
                      <w:sz w:val="21"/>
                    </w:rPr>
                    <w:t>3</w:t>
                  </w:r>
                </w:p>
              </w:tc>
              <w:tc>
                <w:tcPr>
                  <w:tcW w:w="1134" w:type="dxa"/>
                  <w:noWrap w:val="0"/>
                  <w:vAlign w:val="center"/>
                </w:tcPr>
                <w:p>
                  <w:pPr>
                    <w:adjustRightInd w:val="0"/>
                    <w:snapToGrid w:val="0"/>
                    <w:spacing w:line="240" w:lineRule="auto"/>
                    <w:jc w:val="center"/>
                    <w:rPr>
                      <w:rFonts w:hint="eastAsia" w:ascii="Times New Roman" w:hAnsi="Times New Roman" w:eastAsia="宋体" w:cs="Arial"/>
                      <w:color w:val="000000"/>
                      <w:kern w:val="0"/>
                      <w:sz w:val="21"/>
                    </w:rPr>
                  </w:pPr>
                  <w:r>
                    <w:rPr>
                      <w:rFonts w:hint="eastAsia" w:ascii="Times New Roman" w:hAnsi="Times New Roman" w:eastAsia="宋体" w:cs="Arial"/>
                      <w:color w:val="000000"/>
                      <w:kern w:val="0"/>
                      <w:sz w:val="21"/>
                    </w:rPr>
                    <w:t>喷锌</w:t>
                  </w:r>
                </w:p>
              </w:tc>
              <w:tc>
                <w:tcPr>
                  <w:tcW w:w="1701" w:type="dxa"/>
                  <w:noWrap w:val="0"/>
                  <w:vAlign w:val="center"/>
                </w:tcPr>
                <w:p>
                  <w:pPr>
                    <w:autoSpaceDN w:val="0"/>
                    <w:adjustRightInd w:val="0"/>
                    <w:snapToGrid w:val="0"/>
                    <w:spacing w:line="240" w:lineRule="auto"/>
                    <w:jc w:val="center"/>
                    <w:rPr>
                      <w:rFonts w:hint="eastAsia" w:ascii="Times New Roman" w:hAnsi="Times New Roman" w:eastAsia="宋体" w:cs="Arial"/>
                      <w:color w:val="000000"/>
                      <w:sz w:val="21"/>
                    </w:rPr>
                  </w:pPr>
                  <w:r>
                    <w:rPr>
                      <w:rFonts w:hint="eastAsia" w:ascii="Times New Roman" w:hAnsi="Times New Roman" w:eastAsia="宋体" w:cs="Arial"/>
                      <w:color w:val="000000"/>
                      <w:sz w:val="21"/>
                    </w:rPr>
                    <w:t>颗粒物</w:t>
                  </w:r>
                </w:p>
              </w:tc>
              <w:tc>
                <w:tcPr>
                  <w:tcW w:w="1559" w:type="dxa"/>
                  <w:noWrap w:val="0"/>
                  <w:vAlign w:val="center"/>
                </w:tcPr>
                <w:p>
                  <w:pPr>
                    <w:adjustRightInd w:val="0"/>
                    <w:snapToGrid w:val="0"/>
                    <w:spacing w:line="240" w:lineRule="auto"/>
                    <w:jc w:val="center"/>
                    <w:rPr>
                      <w:rFonts w:hint="eastAsia" w:ascii="Times New Roman" w:hAnsi="Times New Roman" w:eastAsia="宋体" w:cs="Arial"/>
                      <w:bCs/>
                      <w:color w:val="000000"/>
                      <w:sz w:val="21"/>
                    </w:rPr>
                  </w:pPr>
                  <w:r>
                    <w:rPr>
                      <w:rFonts w:hint="eastAsia" w:ascii="Times New Roman" w:hAnsi="Times New Roman" w:eastAsia="宋体" w:cs="Arial"/>
                      <w:bCs/>
                      <w:color w:val="000000"/>
                      <w:sz w:val="21"/>
                    </w:rPr>
                    <w:t>脉冲布袋除尘器</w:t>
                  </w:r>
                </w:p>
              </w:tc>
              <w:tc>
                <w:tcPr>
                  <w:tcW w:w="1134" w:type="dxa"/>
                  <w:noWrap w:val="0"/>
                  <w:vAlign w:val="center"/>
                </w:tcPr>
                <w:p>
                  <w:pPr>
                    <w:adjustRightInd w:val="0"/>
                    <w:snapToGrid w:val="0"/>
                    <w:spacing w:line="240" w:lineRule="auto"/>
                    <w:jc w:val="center"/>
                    <w:rPr>
                      <w:rFonts w:hint="eastAsia" w:ascii="Times New Roman" w:hAnsi="Times New Roman" w:eastAsia="宋体" w:cs="Arial"/>
                      <w:color w:val="000000"/>
                      <w:sz w:val="21"/>
                      <w:lang w:val="de-DE"/>
                    </w:rPr>
                  </w:pPr>
                  <w:r>
                    <w:rPr>
                      <w:rFonts w:ascii="Times New Roman" w:hAnsi="Times New Roman" w:eastAsia="宋体" w:cs="Arial"/>
                      <w:color w:val="000000"/>
                      <w:sz w:val="21"/>
                      <w:lang w:val="de-DE"/>
                    </w:rPr>
                    <w:t>58570</w:t>
                  </w:r>
                </w:p>
              </w:tc>
              <w:tc>
                <w:tcPr>
                  <w:tcW w:w="818" w:type="dxa"/>
                  <w:noWrap w:val="0"/>
                  <w:vAlign w:val="center"/>
                </w:tcPr>
                <w:p>
                  <w:pPr>
                    <w:adjustRightInd w:val="0"/>
                    <w:snapToGrid w:val="0"/>
                    <w:spacing w:line="240" w:lineRule="auto"/>
                    <w:jc w:val="center"/>
                    <w:rPr>
                      <w:rFonts w:hint="eastAsia" w:ascii="Times New Roman" w:hAnsi="Times New Roman" w:eastAsia="宋体" w:cs="Arial"/>
                      <w:color w:val="000000"/>
                      <w:sz w:val="21"/>
                      <w:lang w:val="de-DE"/>
                    </w:rPr>
                  </w:pPr>
                  <w:r>
                    <w:rPr>
                      <w:rFonts w:hint="eastAsia" w:ascii="Times New Roman" w:hAnsi="Times New Roman" w:eastAsia="宋体" w:cs="Arial"/>
                      <w:color w:val="000000"/>
                      <w:sz w:val="21"/>
                      <w:lang w:val="de-DE"/>
                    </w:rPr>
                    <w:t>1.2</w:t>
                  </w:r>
                </w:p>
              </w:tc>
              <w:tc>
                <w:tcPr>
                  <w:tcW w:w="1806" w:type="dxa"/>
                  <w:noWrap w:val="0"/>
                  <w:vAlign w:val="center"/>
                </w:tcPr>
                <w:p>
                  <w:pPr>
                    <w:adjustRightInd w:val="0"/>
                    <w:snapToGrid w:val="0"/>
                    <w:spacing w:line="240" w:lineRule="auto"/>
                    <w:jc w:val="center"/>
                    <w:rPr>
                      <w:rFonts w:ascii="Times New Roman" w:hAnsi="Times New Roman" w:eastAsia="宋体" w:cs="Arial"/>
                      <w:color w:val="000000"/>
                      <w:sz w:val="21"/>
                      <w:lang w:val="de-DE"/>
                    </w:rPr>
                  </w:pPr>
                  <w:r>
                    <w:rPr>
                      <w:rFonts w:hint="eastAsia" w:ascii="Times New Roman" w:hAnsi="Times New Roman" w:eastAsia="宋体" w:cs="Arial"/>
                      <w:color w:val="000000"/>
                      <w:sz w:val="21"/>
                      <w:lang w:val="de-DE"/>
                    </w:rPr>
                    <w:t>17.6</w:t>
                  </w:r>
                  <w:r>
                    <w:rPr>
                      <w:rFonts w:ascii="Times New Roman" w:hAnsi="Times New Roman" w:eastAsia="宋体" w:cs="Arial"/>
                      <w:color w:val="000000"/>
                      <w:sz w:val="21"/>
                      <w:lang w:val="de-DE"/>
                    </w:rPr>
                    <w:t xml:space="preserve"> m</w:t>
                  </w:r>
                  <w:r>
                    <w:rPr>
                      <w:rFonts w:hint="eastAsia" w:ascii="Times New Roman" w:hAnsi="Times New Roman" w:eastAsia="宋体" w:cs="Arial"/>
                      <w:color w:val="000000"/>
                      <w:sz w:val="21"/>
                      <w:lang w:val="de-DE"/>
                    </w:rPr>
                    <w:t>高</w:t>
                  </w:r>
                  <w:r>
                    <w:rPr>
                      <w:rFonts w:ascii="Times New Roman" w:hAnsi="Times New Roman" w:eastAsia="宋体" w:cs="Arial"/>
                      <w:color w:val="000000"/>
                      <w:sz w:val="21"/>
                      <w:lang w:val="de-DE"/>
                    </w:rPr>
                    <w:t>排气筒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3" w:type="dxa"/>
                  <w:noWrap w:val="0"/>
                  <w:vAlign w:val="center"/>
                </w:tcPr>
                <w:p>
                  <w:pPr>
                    <w:adjustRightInd w:val="0"/>
                    <w:snapToGrid w:val="0"/>
                    <w:spacing w:line="240" w:lineRule="auto"/>
                    <w:jc w:val="center"/>
                    <w:rPr>
                      <w:rFonts w:hint="eastAsia" w:ascii="Times New Roman" w:hAnsi="Times New Roman" w:eastAsia="宋体" w:cs="Arial"/>
                      <w:color w:val="000000"/>
                      <w:kern w:val="0"/>
                      <w:sz w:val="21"/>
                    </w:rPr>
                  </w:pPr>
                  <w:r>
                    <w:rPr>
                      <w:rFonts w:hint="eastAsia" w:ascii="Times New Roman" w:hAnsi="Times New Roman" w:eastAsia="宋体" w:cs="Arial"/>
                      <w:color w:val="000000"/>
                      <w:kern w:val="0"/>
                      <w:sz w:val="21"/>
                    </w:rPr>
                    <w:t>4</w:t>
                  </w:r>
                </w:p>
              </w:tc>
              <w:tc>
                <w:tcPr>
                  <w:tcW w:w="1134" w:type="dxa"/>
                  <w:noWrap w:val="0"/>
                  <w:vAlign w:val="center"/>
                </w:tcPr>
                <w:p>
                  <w:pPr>
                    <w:adjustRightInd w:val="0"/>
                    <w:snapToGrid w:val="0"/>
                    <w:spacing w:line="240" w:lineRule="auto"/>
                    <w:jc w:val="center"/>
                    <w:rPr>
                      <w:rFonts w:hint="eastAsia" w:ascii="Times New Roman" w:hAnsi="Times New Roman" w:eastAsia="宋体" w:cs="Arial"/>
                      <w:color w:val="000000"/>
                      <w:kern w:val="0"/>
                      <w:sz w:val="21"/>
                    </w:rPr>
                  </w:pPr>
                  <w:r>
                    <w:rPr>
                      <w:rFonts w:hint="eastAsia" w:ascii="Times New Roman" w:hAnsi="Times New Roman" w:eastAsia="宋体" w:cs="Arial"/>
                      <w:color w:val="000000"/>
                      <w:kern w:val="0"/>
                      <w:sz w:val="21"/>
                    </w:rPr>
                    <w:t>内磨</w:t>
                  </w:r>
                </w:p>
              </w:tc>
              <w:tc>
                <w:tcPr>
                  <w:tcW w:w="1701" w:type="dxa"/>
                  <w:noWrap w:val="0"/>
                  <w:vAlign w:val="center"/>
                </w:tcPr>
                <w:p>
                  <w:pPr>
                    <w:autoSpaceDN w:val="0"/>
                    <w:adjustRightInd w:val="0"/>
                    <w:snapToGrid w:val="0"/>
                    <w:spacing w:line="240" w:lineRule="auto"/>
                    <w:jc w:val="center"/>
                    <w:rPr>
                      <w:rFonts w:hint="eastAsia" w:ascii="Times New Roman" w:hAnsi="Times New Roman" w:eastAsia="宋体" w:cs="Arial"/>
                      <w:color w:val="000000"/>
                      <w:sz w:val="21"/>
                    </w:rPr>
                  </w:pPr>
                  <w:r>
                    <w:rPr>
                      <w:rFonts w:hint="eastAsia" w:ascii="Times New Roman" w:hAnsi="Times New Roman" w:eastAsia="宋体" w:cs="Arial"/>
                      <w:color w:val="000000"/>
                      <w:sz w:val="21"/>
                    </w:rPr>
                    <w:t>颗粒物</w:t>
                  </w:r>
                </w:p>
              </w:tc>
              <w:tc>
                <w:tcPr>
                  <w:tcW w:w="1559" w:type="dxa"/>
                  <w:noWrap w:val="0"/>
                  <w:vAlign w:val="center"/>
                </w:tcPr>
                <w:p>
                  <w:pPr>
                    <w:adjustRightInd w:val="0"/>
                    <w:snapToGrid w:val="0"/>
                    <w:spacing w:line="240" w:lineRule="auto"/>
                    <w:jc w:val="center"/>
                    <w:rPr>
                      <w:rFonts w:hint="eastAsia" w:ascii="Times New Roman" w:hAnsi="Times New Roman" w:eastAsia="宋体" w:cs="Arial"/>
                      <w:bCs/>
                      <w:color w:val="000000"/>
                      <w:sz w:val="21"/>
                    </w:rPr>
                  </w:pPr>
                  <w:r>
                    <w:rPr>
                      <w:rFonts w:hint="eastAsia" w:ascii="Times New Roman" w:hAnsi="Times New Roman" w:eastAsia="宋体" w:cs="Arial"/>
                      <w:bCs/>
                      <w:color w:val="000000"/>
                      <w:sz w:val="21"/>
                    </w:rPr>
                    <w:t>脉冲布袋除尘器</w:t>
                  </w:r>
                </w:p>
              </w:tc>
              <w:tc>
                <w:tcPr>
                  <w:tcW w:w="1134" w:type="dxa"/>
                  <w:noWrap w:val="0"/>
                  <w:vAlign w:val="center"/>
                </w:tcPr>
                <w:p>
                  <w:pPr>
                    <w:adjustRightInd w:val="0"/>
                    <w:snapToGrid w:val="0"/>
                    <w:spacing w:line="240" w:lineRule="auto"/>
                    <w:jc w:val="center"/>
                    <w:rPr>
                      <w:rFonts w:hint="eastAsia" w:ascii="Times New Roman" w:hAnsi="Times New Roman" w:eastAsia="宋体" w:cs="Arial"/>
                      <w:color w:val="000000"/>
                      <w:sz w:val="21"/>
                      <w:lang w:val="de-DE"/>
                    </w:rPr>
                  </w:pPr>
                  <w:r>
                    <w:rPr>
                      <w:rFonts w:ascii="Times New Roman" w:hAnsi="Times New Roman" w:eastAsia="宋体" w:cs="Arial"/>
                      <w:color w:val="000000"/>
                      <w:sz w:val="21"/>
                      <w:lang w:val="de-DE"/>
                    </w:rPr>
                    <w:t>110000</w:t>
                  </w:r>
                </w:p>
              </w:tc>
              <w:tc>
                <w:tcPr>
                  <w:tcW w:w="818" w:type="dxa"/>
                  <w:noWrap w:val="0"/>
                  <w:vAlign w:val="center"/>
                </w:tcPr>
                <w:p>
                  <w:pPr>
                    <w:adjustRightInd w:val="0"/>
                    <w:snapToGrid w:val="0"/>
                    <w:spacing w:line="240" w:lineRule="auto"/>
                    <w:jc w:val="center"/>
                    <w:rPr>
                      <w:rFonts w:hint="eastAsia" w:ascii="Times New Roman" w:hAnsi="Times New Roman" w:eastAsia="宋体" w:cs="Arial"/>
                      <w:color w:val="000000"/>
                      <w:sz w:val="21"/>
                      <w:lang w:val="de-DE"/>
                    </w:rPr>
                  </w:pPr>
                  <w:r>
                    <w:rPr>
                      <w:rFonts w:hint="eastAsia" w:ascii="Times New Roman" w:hAnsi="Times New Roman" w:eastAsia="宋体" w:cs="Arial"/>
                      <w:color w:val="000000"/>
                      <w:sz w:val="21"/>
                      <w:lang w:val="de-DE"/>
                    </w:rPr>
                    <w:t>1.6</w:t>
                  </w:r>
                </w:p>
              </w:tc>
              <w:tc>
                <w:tcPr>
                  <w:tcW w:w="1806" w:type="dxa"/>
                  <w:noWrap w:val="0"/>
                  <w:vAlign w:val="center"/>
                </w:tcPr>
                <w:p>
                  <w:pPr>
                    <w:adjustRightInd w:val="0"/>
                    <w:snapToGrid w:val="0"/>
                    <w:spacing w:line="240" w:lineRule="auto"/>
                    <w:jc w:val="center"/>
                    <w:rPr>
                      <w:rFonts w:ascii="Times New Roman" w:hAnsi="Times New Roman" w:eastAsia="宋体" w:cs="Arial"/>
                      <w:color w:val="000000"/>
                      <w:sz w:val="21"/>
                      <w:lang w:val="de-DE"/>
                    </w:rPr>
                  </w:pPr>
                  <w:r>
                    <w:rPr>
                      <w:rFonts w:hint="eastAsia" w:ascii="Times New Roman" w:hAnsi="Times New Roman" w:eastAsia="宋体" w:cs="Arial"/>
                      <w:color w:val="000000"/>
                      <w:sz w:val="21"/>
                      <w:lang w:val="de-DE"/>
                    </w:rPr>
                    <w:t>18</w:t>
                  </w:r>
                  <w:r>
                    <w:rPr>
                      <w:rFonts w:ascii="Times New Roman" w:hAnsi="Times New Roman" w:eastAsia="宋体" w:cs="Arial"/>
                      <w:color w:val="000000"/>
                      <w:sz w:val="21"/>
                      <w:lang w:val="de-DE"/>
                    </w:rPr>
                    <w:t xml:space="preserve"> m</w:t>
                  </w:r>
                  <w:r>
                    <w:rPr>
                      <w:rFonts w:hint="eastAsia" w:ascii="Times New Roman" w:hAnsi="Times New Roman" w:eastAsia="宋体" w:cs="Arial"/>
                      <w:color w:val="000000"/>
                      <w:sz w:val="21"/>
                      <w:lang w:val="de-DE"/>
                    </w:rPr>
                    <w:t>高</w:t>
                  </w:r>
                  <w:r>
                    <w:rPr>
                      <w:rFonts w:ascii="Times New Roman" w:hAnsi="Times New Roman" w:eastAsia="宋体" w:cs="Arial"/>
                      <w:color w:val="000000"/>
                      <w:sz w:val="21"/>
                      <w:lang w:val="de-DE"/>
                    </w:rPr>
                    <w:t>排气筒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3" w:type="dxa"/>
                  <w:noWrap w:val="0"/>
                  <w:vAlign w:val="center"/>
                </w:tcPr>
                <w:p>
                  <w:pPr>
                    <w:adjustRightInd w:val="0"/>
                    <w:snapToGrid w:val="0"/>
                    <w:spacing w:line="240" w:lineRule="auto"/>
                    <w:jc w:val="center"/>
                    <w:rPr>
                      <w:rFonts w:hint="eastAsia" w:ascii="Times New Roman" w:hAnsi="Times New Roman" w:eastAsia="宋体" w:cs="Arial"/>
                      <w:color w:val="000000"/>
                      <w:kern w:val="0"/>
                      <w:sz w:val="21"/>
                    </w:rPr>
                  </w:pPr>
                </w:p>
              </w:tc>
              <w:tc>
                <w:tcPr>
                  <w:tcW w:w="1134" w:type="dxa"/>
                  <w:noWrap w:val="0"/>
                  <w:vAlign w:val="center"/>
                </w:tcPr>
                <w:p>
                  <w:pPr>
                    <w:adjustRightInd w:val="0"/>
                    <w:snapToGrid w:val="0"/>
                    <w:spacing w:line="240" w:lineRule="auto"/>
                    <w:jc w:val="center"/>
                    <w:rPr>
                      <w:rFonts w:hint="eastAsia" w:ascii="Times New Roman" w:hAnsi="Times New Roman" w:eastAsia="宋体" w:cs="Arial"/>
                      <w:color w:val="000000"/>
                      <w:kern w:val="0"/>
                      <w:sz w:val="21"/>
                    </w:rPr>
                  </w:pPr>
                  <w:r>
                    <w:rPr>
                      <w:rFonts w:hint="eastAsia" w:ascii="Times New Roman" w:hAnsi="Times New Roman" w:eastAsia="宋体" w:cs="Arial"/>
                      <w:color w:val="000000"/>
                      <w:kern w:val="0"/>
                      <w:sz w:val="21"/>
                    </w:rPr>
                    <w:t>内抛</w:t>
                  </w:r>
                </w:p>
              </w:tc>
              <w:tc>
                <w:tcPr>
                  <w:tcW w:w="1701" w:type="dxa"/>
                  <w:noWrap w:val="0"/>
                  <w:vAlign w:val="center"/>
                </w:tcPr>
                <w:p>
                  <w:pPr>
                    <w:autoSpaceDN w:val="0"/>
                    <w:adjustRightInd w:val="0"/>
                    <w:snapToGrid w:val="0"/>
                    <w:spacing w:line="240" w:lineRule="auto"/>
                    <w:jc w:val="center"/>
                    <w:rPr>
                      <w:rFonts w:hint="eastAsia" w:ascii="Times New Roman" w:hAnsi="Times New Roman" w:eastAsia="宋体" w:cs="Arial"/>
                      <w:color w:val="000000"/>
                      <w:sz w:val="21"/>
                    </w:rPr>
                  </w:pPr>
                  <w:r>
                    <w:rPr>
                      <w:rFonts w:hint="eastAsia" w:ascii="Times New Roman" w:hAnsi="Times New Roman" w:eastAsia="宋体" w:cs="Arial"/>
                      <w:color w:val="000000"/>
                      <w:sz w:val="21"/>
                    </w:rPr>
                    <w:t>颗粒物</w:t>
                  </w:r>
                </w:p>
              </w:tc>
              <w:tc>
                <w:tcPr>
                  <w:tcW w:w="1559" w:type="dxa"/>
                  <w:noWrap w:val="0"/>
                  <w:vAlign w:val="center"/>
                </w:tcPr>
                <w:p>
                  <w:pPr>
                    <w:adjustRightInd w:val="0"/>
                    <w:snapToGrid w:val="0"/>
                    <w:spacing w:line="240" w:lineRule="auto"/>
                    <w:jc w:val="center"/>
                    <w:rPr>
                      <w:rFonts w:hint="eastAsia" w:ascii="Times New Roman" w:hAnsi="Times New Roman" w:eastAsia="宋体" w:cs="Arial"/>
                      <w:bCs/>
                      <w:color w:val="000000"/>
                      <w:sz w:val="21"/>
                    </w:rPr>
                  </w:pPr>
                  <w:r>
                    <w:rPr>
                      <w:rFonts w:hint="eastAsia" w:ascii="Times New Roman" w:hAnsi="Times New Roman" w:eastAsia="宋体" w:cs="Arial"/>
                      <w:bCs/>
                      <w:color w:val="000000"/>
                      <w:sz w:val="21"/>
                    </w:rPr>
                    <w:t>脉冲布袋除尘器</w:t>
                  </w:r>
                </w:p>
              </w:tc>
              <w:tc>
                <w:tcPr>
                  <w:tcW w:w="1134" w:type="dxa"/>
                  <w:noWrap w:val="0"/>
                  <w:vAlign w:val="center"/>
                </w:tcPr>
                <w:p>
                  <w:pPr>
                    <w:adjustRightInd w:val="0"/>
                    <w:snapToGrid w:val="0"/>
                    <w:spacing w:line="240" w:lineRule="auto"/>
                    <w:jc w:val="center"/>
                    <w:rPr>
                      <w:rFonts w:hint="eastAsia" w:ascii="Times New Roman" w:hAnsi="Times New Roman" w:eastAsia="宋体" w:cs="Arial"/>
                      <w:color w:val="000000"/>
                      <w:sz w:val="21"/>
                      <w:lang w:val="de-DE"/>
                    </w:rPr>
                  </w:pPr>
                  <w:r>
                    <w:rPr>
                      <w:rFonts w:ascii="Times New Roman" w:hAnsi="Times New Roman" w:eastAsia="宋体" w:cs="Arial"/>
                      <w:color w:val="000000"/>
                      <w:sz w:val="21"/>
                      <w:lang w:val="de-DE"/>
                    </w:rPr>
                    <w:t>120000</w:t>
                  </w:r>
                </w:p>
              </w:tc>
              <w:tc>
                <w:tcPr>
                  <w:tcW w:w="818" w:type="dxa"/>
                  <w:noWrap w:val="0"/>
                  <w:vAlign w:val="center"/>
                </w:tcPr>
                <w:p>
                  <w:pPr>
                    <w:adjustRightInd w:val="0"/>
                    <w:snapToGrid w:val="0"/>
                    <w:spacing w:line="240" w:lineRule="auto"/>
                    <w:jc w:val="center"/>
                    <w:rPr>
                      <w:rFonts w:hint="eastAsia" w:ascii="Times New Roman" w:hAnsi="Times New Roman" w:eastAsia="宋体" w:cs="Arial"/>
                      <w:color w:val="000000"/>
                      <w:sz w:val="21"/>
                      <w:lang w:val="de-DE"/>
                    </w:rPr>
                  </w:pPr>
                  <w:r>
                    <w:rPr>
                      <w:rFonts w:hint="eastAsia" w:ascii="Times New Roman" w:hAnsi="Times New Roman" w:eastAsia="宋体" w:cs="Arial"/>
                      <w:color w:val="000000"/>
                      <w:sz w:val="21"/>
                      <w:lang w:val="de-DE"/>
                    </w:rPr>
                    <w:t>1.7</w:t>
                  </w:r>
                </w:p>
              </w:tc>
              <w:tc>
                <w:tcPr>
                  <w:tcW w:w="1806" w:type="dxa"/>
                  <w:noWrap w:val="0"/>
                  <w:vAlign w:val="center"/>
                </w:tcPr>
                <w:p>
                  <w:pPr>
                    <w:adjustRightInd w:val="0"/>
                    <w:snapToGrid w:val="0"/>
                    <w:spacing w:line="240" w:lineRule="auto"/>
                    <w:jc w:val="center"/>
                    <w:rPr>
                      <w:rFonts w:ascii="Times New Roman" w:hAnsi="Times New Roman" w:eastAsia="宋体" w:cs="Arial"/>
                      <w:color w:val="000000"/>
                      <w:sz w:val="21"/>
                      <w:lang w:val="de-DE"/>
                    </w:rPr>
                  </w:pPr>
                  <w:r>
                    <w:rPr>
                      <w:rFonts w:hint="eastAsia" w:ascii="Times New Roman" w:hAnsi="Times New Roman" w:eastAsia="宋体" w:cs="Arial"/>
                      <w:color w:val="000000"/>
                      <w:sz w:val="21"/>
                      <w:lang w:val="de-DE"/>
                    </w:rPr>
                    <w:t>18</w:t>
                  </w:r>
                  <w:r>
                    <w:rPr>
                      <w:rFonts w:ascii="Times New Roman" w:hAnsi="Times New Roman" w:eastAsia="宋体" w:cs="Arial"/>
                      <w:color w:val="000000"/>
                      <w:sz w:val="21"/>
                      <w:lang w:val="de-DE"/>
                    </w:rPr>
                    <w:t xml:space="preserve"> m</w:t>
                  </w:r>
                  <w:r>
                    <w:rPr>
                      <w:rFonts w:hint="eastAsia" w:ascii="Times New Roman" w:hAnsi="Times New Roman" w:eastAsia="宋体" w:cs="Arial"/>
                      <w:color w:val="000000"/>
                      <w:sz w:val="21"/>
                      <w:lang w:val="de-DE"/>
                    </w:rPr>
                    <w:t>高</w:t>
                  </w:r>
                  <w:r>
                    <w:rPr>
                      <w:rFonts w:ascii="Times New Roman" w:hAnsi="Times New Roman" w:eastAsia="宋体" w:cs="Arial"/>
                      <w:color w:val="000000"/>
                      <w:sz w:val="21"/>
                      <w:lang w:val="de-DE"/>
                    </w:rPr>
                    <w:t>排气筒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3" w:type="dxa"/>
                  <w:noWrap w:val="0"/>
                  <w:vAlign w:val="center"/>
                </w:tcPr>
                <w:p>
                  <w:pPr>
                    <w:adjustRightInd w:val="0"/>
                    <w:snapToGrid w:val="0"/>
                    <w:spacing w:line="240" w:lineRule="auto"/>
                    <w:jc w:val="center"/>
                    <w:rPr>
                      <w:rFonts w:hint="eastAsia" w:ascii="Times New Roman" w:hAnsi="Times New Roman" w:eastAsia="宋体" w:cs="Arial"/>
                      <w:color w:val="000000"/>
                      <w:kern w:val="0"/>
                      <w:sz w:val="21"/>
                    </w:rPr>
                  </w:pPr>
                  <w:r>
                    <w:rPr>
                      <w:rFonts w:hint="eastAsia" w:ascii="Times New Roman" w:hAnsi="Times New Roman" w:eastAsia="宋体" w:cs="Arial"/>
                      <w:color w:val="000000"/>
                      <w:kern w:val="0"/>
                      <w:sz w:val="21"/>
                    </w:rPr>
                    <w:t>5</w:t>
                  </w:r>
                </w:p>
              </w:tc>
              <w:tc>
                <w:tcPr>
                  <w:tcW w:w="1134" w:type="dxa"/>
                  <w:noWrap w:val="0"/>
                  <w:vAlign w:val="center"/>
                </w:tcPr>
                <w:p>
                  <w:pPr>
                    <w:adjustRightInd w:val="0"/>
                    <w:snapToGrid w:val="0"/>
                    <w:spacing w:line="240" w:lineRule="auto"/>
                    <w:jc w:val="center"/>
                    <w:rPr>
                      <w:rFonts w:hint="eastAsia" w:ascii="Times New Roman" w:hAnsi="Times New Roman" w:eastAsia="宋体" w:cs="Arial"/>
                      <w:color w:val="000000"/>
                      <w:kern w:val="0"/>
                      <w:sz w:val="21"/>
                    </w:rPr>
                  </w:pPr>
                  <w:r>
                    <w:rPr>
                      <w:rFonts w:hint="eastAsia" w:ascii="Times New Roman" w:hAnsi="Times New Roman" w:eastAsia="宋体" w:cs="Arial"/>
                      <w:color w:val="000000"/>
                      <w:kern w:val="0"/>
                      <w:sz w:val="21"/>
                    </w:rPr>
                    <w:t>喷涂</w:t>
                  </w:r>
                </w:p>
              </w:tc>
              <w:tc>
                <w:tcPr>
                  <w:tcW w:w="1701" w:type="dxa"/>
                  <w:noWrap w:val="0"/>
                  <w:vAlign w:val="center"/>
                </w:tcPr>
                <w:p>
                  <w:pPr>
                    <w:autoSpaceDN w:val="0"/>
                    <w:adjustRightInd w:val="0"/>
                    <w:snapToGrid w:val="0"/>
                    <w:spacing w:line="240" w:lineRule="auto"/>
                    <w:jc w:val="center"/>
                    <w:rPr>
                      <w:rFonts w:hint="eastAsia" w:ascii="Times New Roman" w:hAnsi="Times New Roman" w:eastAsia="宋体" w:cs="Arial"/>
                      <w:color w:val="000000"/>
                      <w:sz w:val="21"/>
                    </w:rPr>
                  </w:pPr>
                  <w:r>
                    <w:rPr>
                      <w:rFonts w:hint="eastAsia" w:ascii="Times New Roman" w:hAnsi="Times New Roman" w:eastAsia="宋体" w:cs="Arial"/>
                      <w:color w:val="000000"/>
                      <w:sz w:val="21"/>
                    </w:rPr>
                    <w:t>颗粒物</w:t>
                  </w:r>
                  <w:r>
                    <w:rPr>
                      <w:rFonts w:ascii="Times New Roman" w:hAnsi="Times New Roman" w:eastAsia="宋体" w:cs="Arial"/>
                      <w:color w:val="000000"/>
                      <w:sz w:val="21"/>
                    </w:rPr>
                    <w:t>、甲苯、二甲苯、</w:t>
                  </w:r>
                  <w:r>
                    <w:rPr>
                      <w:rFonts w:hint="eastAsia" w:ascii="Times New Roman" w:hAnsi="Times New Roman" w:eastAsia="宋体" w:cs="Arial"/>
                      <w:color w:val="000000"/>
                      <w:sz w:val="21"/>
                    </w:rPr>
                    <w:t>VOC</w:t>
                  </w:r>
                  <w:r>
                    <w:rPr>
                      <w:rFonts w:ascii="Times New Roman" w:hAnsi="Times New Roman" w:eastAsia="宋体" w:cs="Arial"/>
                      <w:color w:val="000000"/>
                      <w:sz w:val="21"/>
                    </w:rPr>
                    <w:t>s</w:t>
                  </w:r>
                </w:p>
              </w:tc>
              <w:tc>
                <w:tcPr>
                  <w:tcW w:w="1559" w:type="dxa"/>
                  <w:noWrap w:val="0"/>
                  <w:vAlign w:val="center"/>
                </w:tcPr>
                <w:p>
                  <w:pPr>
                    <w:adjustRightInd w:val="0"/>
                    <w:snapToGrid w:val="0"/>
                    <w:spacing w:line="240" w:lineRule="auto"/>
                    <w:jc w:val="center"/>
                    <w:rPr>
                      <w:rFonts w:hint="eastAsia" w:ascii="Times New Roman" w:hAnsi="Times New Roman" w:eastAsia="宋体" w:cs="Arial"/>
                      <w:bCs/>
                      <w:color w:val="000000"/>
                      <w:sz w:val="21"/>
                    </w:rPr>
                  </w:pPr>
                  <w:r>
                    <w:rPr>
                      <w:rFonts w:hint="eastAsia" w:ascii="Times New Roman" w:hAnsi="Times New Roman" w:eastAsia="宋体" w:cs="Arial"/>
                      <w:bCs/>
                      <w:color w:val="000000"/>
                      <w:sz w:val="21"/>
                    </w:rPr>
                    <w:t>过滤棉</w:t>
                  </w:r>
                  <w:r>
                    <w:rPr>
                      <w:rFonts w:ascii="Times New Roman" w:hAnsi="Times New Roman" w:eastAsia="宋体" w:cs="Arial"/>
                      <w:bCs/>
                      <w:color w:val="000000"/>
                      <w:sz w:val="21"/>
                    </w:rPr>
                    <w:t>+活性炭吸附</w:t>
                  </w:r>
                </w:p>
              </w:tc>
              <w:tc>
                <w:tcPr>
                  <w:tcW w:w="1134" w:type="dxa"/>
                  <w:noWrap w:val="0"/>
                  <w:vAlign w:val="center"/>
                </w:tcPr>
                <w:p>
                  <w:pPr>
                    <w:adjustRightInd w:val="0"/>
                    <w:snapToGrid w:val="0"/>
                    <w:spacing w:line="240" w:lineRule="auto"/>
                    <w:jc w:val="center"/>
                    <w:rPr>
                      <w:rFonts w:hint="eastAsia" w:ascii="Times New Roman" w:hAnsi="Times New Roman" w:eastAsia="宋体" w:cs="Arial"/>
                      <w:color w:val="000000"/>
                      <w:sz w:val="21"/>
                      <w:lang w:val="de-DE"/>
                    </w:rPr>
                  </w:pPr>
                  <w:r>
                    <w:rPr>
                      <w:rFonts w:ascii="Times New Roman" w:hAnsi="Times New Roman" w:eastAsia="宋体" w:cs="Arial"/>
                      <w:color w:val="000000"/>
                      <w:sz w:val="21"/>
                      <w:lang w:val="de-DE"/>
                    </w:rPr>
                    <w:t>60000</w:t>
                  </w:r>
                </w:p>
              </w:tc>
              <w:tc>
                <w:tcPr>
                  <w:tcW w:w="818" w:type="dxa"/>
                  <w:noWrap w:val="0"/>
                  <w:vAlign w:val="center"/>
                </w:tcPr>
                <w:p>
                  <w:pPr>
                    <w:adjustRightInd w:val="0"/>
                    <w:snapToGrid w:val="0"/>
                    <w:spacing w:line="240" w:lineRule="auto"/>
                    <w:jc w:val="center"/>
                    <w:rPr>
                      <w:rFonts w:hint="eastAsia" w:ascii="Times New Roman" w:hAnsi="Times New Roman" w:eastAsia="宋体" w:cs="Arial"/>
                      <w:color w:val="000000"/>
                      <w:sz w:val="21"/>
                      <w:lang w:val="de-DE"/>
                    </w:rPr>
                  </w:pPr>
                  <w:r>
                    <w:rPr>
                      <w:rFonts w:hint="eastAsia" w:ascii="Times New Roman" w:hAnsi="Times New Roman" w:eastAsia="宋体" w:cs="Arial"/>
                      <w:color w:val="000000"/>
                      <w:sz w:val="21"/>
                      <w:lang w:val="de-DE"/>
                    </w:rPr>
                    <w:t>1.2</w:t>
                  </w:r>
                </w:p>
              </w:tc>
              <w:tc>
                <w:tcPr>
                  <w:tcW w:w="1806" w:type="dxa"/>
                  <w:noWrap w:val="0"/>
                  <w:vAlign w:val="center"/>
                </w:tcPr>
                <w:p>
                  <w:pPr>
                    <w:adjustRightInd w:val="0"/>
                    <w:snapToGrid w:val="0"/>
                    <w:spacing w:line="240" w:lineRule="auto"/>
                    <w:jc w:val="center"/>
                    <w:rPr>
                      <w:rFonts w:ascii="Times New Roman" w:hAnsi="Times New Roman" w:eastAsia="宋体" w:cs="Arial"/>
                      <w:color w:val="000000"/>
                      <w:sz w:val="21"/>
                      <w:lang w:val="de-DE"/>
                    </w:rPr>
                  </w:pPr>
                  <w:r>
                    <w:rPr>
                      <w:rFonts w:hint="eastAsia" w:ascii="Times New Roman" w:hAnsi="Times New Roman" w:eastAsia="宋体" w:cs="Arial"/>
                      <w:color w:val="000000"/>
                      <w:sz w:val="21"/>
                      <w:lang w:val="de-DE"/>
                    </w:rPr>
                    <w:t>18</w:t>
                  </w:r>
                  <w:r>
                    <w:rPr>
                      <w:rFonts w:ascii="Times New Roman" w:hAnsi="Times New Roman" w:eastAsia="宋体" w:cs="Arial"/>
                      <w:color w:val="000000"/>
                      <w:sz w:val="21"/>
                      <w:lang w:val="de-DE"/>
                    </w:rPr>
                    <w:t xml:space="preserve"> m</w:t>
                  </w:r>
                  <w:r>
                    <w:rPr>
                      <w:rFonts w:hint="eastAsia" w:ascii="Times New Roman" w:hAnsi="Times New Roman" w:eastAsia="宋体" w:cs="Arial"/>
                      <w:color w:val="000000"/>
                      <w:sz w:val="21"/>
                      <w:lang w:val="de-DE"/>
                    </w:rPr>
                    <w:t>高</w:t>
                  </w:r>
                  <w:r>
                    <w:rPr>
                      <w:rFonts w:ascii="Times New Roman" w:hAnsi="Times New Roman" w:eastAsia="宋体" w:cs="Arial"/>
                      <w:color w:val="000000"/>
                      <w:sz w:val="21"/>
                      <w:lang w:val="de-DE"/>
                    </w:rPr>
                    <w:t>排气筒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3" w:type="dxa"/>
                  <w:noWrap w:val="0"/>
                  <w:vAlign w:val="center"/>
                </w:tcPr>
                <w:p>
                  <w:pPr>
                    <w:adjustRightInd w:val="0"/>
                    <w:snapToGrid w:val="0"/>
                    <w:spacing w:line="240" w:lineRule="auto"/>
                    <w:jc w:val="center"/>
                    <w:rPr>
                      <w:rFonts w:hint="eastAsia" w:ascii="Times New Roman" w:hAnsi="Times New Roman" w:eastAsia="宋体" w:cs="Arial"/>
                      <w:color w:val="000000"/>
                      <w:kern w:val="0"/>
                      <w:sz w:val="21"/>
                    </w:rPr>
                  </w:pPr>
                  <w:r>
                    <w:rPr>
                      <w:rFonts w:hint="eastAsia" w:ascii="Times New Roman" w:hAnsi="Times New Roman" w:eastAsia="宋体" w:cs="Arial"/>
                      <w:color w:val="000000"/>
                      <w:kern w:val="0"/>
                      <w:sz w:val="21"/>
                    </w:rPr>
                    <w:t>6</w:t>
                  </w:r>
                </w:p>
              </w:tc>
              <w:tc>
                <w:tcPr>
                  <w:tcW w:w="1134" w:type="dxa"/>
                  <w:noWrap w:val="0"/>
                  <w:vAlign w:val="center"/>
                </w:tcPr>
                <w:p>
                  <w:pPr>
                    <w:adjustRightInd w:val="0"/>
                    <w:snapToGrid w:val="0"/>
                    <w:spacing w:line="240" w:lineRule="auto"/>
                    <w:jc w:val="center"/>
                    <w:rPr>
                      <w:rFonts w:hint="eastAsia" w:ascii="Times New Roman" w:hAnsi="Times New Roman" w:eastAsia="宋体" w:cs="Arial"/>
                      <w:color w:val="000000"/>
                      <w:kern w:val="0"/>
                      <w:sz w:val="21"/>
                    </w:rPr>
                  </w:pPr>
                  <w:r>
                    <w:rPr>
                      <w:rFonts w:hint="eastAsia" w:ascii="Times New Roman" w:hAnsi="Times New Roman" w:eastAsia="宋体" w:cs="Arial"/>
                      <w:color w:val="000000"/>
                      <w:kern w:val="0"/>
                      <w:sz w:val="21"/>
                    </w:rPr>
                    <w:t>预热炉</w:t>
                  </w:r>
                </w:p>
              </w:tc>
              <w:tc>
                <w:tcPr>
                  <w:tcW w:w="1701" w:type="dxa"/>
                  <w:noWrap w:val="0"/>
                  <w:vAlign w:val="center"/>
                </w:tcPr>
                <w:p>
                  <w:pPr>
                    <w:autoSpaceDN w:val="0"/>
                    <w:adjustRightInd w:val="0"/>
                    <w:snapToGrid w:val="0"/>
                    <w:spacing w:line="240" w:lineRule="auto"/>
                    <w:jc w:val="center"/>
                    <w:rPr>
                      <w:rFonts w:hint="eastAsia" w:ascii="Times New Roman" w:hAnsi="Times New Roman" w:eastAsia="宋体" w:cs="Arial"/>
                      <w:color w:val="000000"/>
                      <w:sz w:val="21"/>
                    </w:rPr>
                  </w:pPr>
                  <w:r>
                    <w:rPr>
                      <w:rFonts w:hint="eastAsia" w:ascii="Times New Roman" w:hAnsi="Times New Roman" w:eastAsia="宋体" w:cs="Arial"/>
                      <w:color w:val="000000"/>
                      <w:sz w:val="21"/>
                    </w:rPr>
                    <w:t>颗粒物</w:t>
                  </w:r>
                  <w:r>
                    <w:rPr>
                      <w:rFonts w:ascii="Times New Roman" w:hAnsi="Times New Roman" w:eastAsia="宋体" w:cs="Arial"/>
                      <w:color w:val="000000"/>
                      <w:sz w:val="21"/>
                    </w:rPr>
                    <w:t>、二氧化硫、氮氧化物</w:t>
                  </w:r>
                </w:p>
              </w:tc>
              <w:tc>
                <w:tcPr>
                  <w:tcW w:w="1559" w:type="dxa"/>
                  <w:noWrap w:val="0"/>
                  <w:vAlign w:val="center"/>
                </w:tcPr>
                <w:p>
                  <w:pPr>
                    <w:adjustRightInd w:val="0"/>
                    <w:snapToGrid w:val="0"/>
                    <w:spacing w:line="240" w:lineRule="auto"/>
                    <w:jc w:val="center"/>
                    <w:rPr>
                      <w:rFonts w:hint="eastAsia" w:ascii="Times New Roman" w:hAnsi="Times New Roman" w:eastAsia="宋体" w:cs="Arial"/>
                      <w:bCs/>
                      <w:color w:val="000000"/>
                      <w:sz w:val="21"/>
                    </w:rPr>
                  </w:pPr>
                  <w:r>
                    <w:rPr>
                      <w:rFonts w:ascii="Times New Roman" w:hAnsi="Times New Roman" w:eastAsia="宋体" w:cs="Arial"/>
                      <w:bCs/>
                      <w:color w:val="000000"/>
                      <w:sz w:val="21"/>
                    </w:rPr>
                    <w:t>/</w:t>
                  </w:r>
                </w:p>
              </w:tc>
              <w:tc>
                <w:tcPr>
                  <w:tcW w:w="1134" w:type="dxa"/>
                  <w:noWrap w:val="0"/>
                  <w:vAlign w:val="center"/>
                </w:tcPr>
                <w:p>
                  <w:pPr>
                    <w:adjustRightInd w:val="0"/>
                    <w:snapToGrid w:val="0"/>
                    <w:spacing w:line="240" w:lineRule="auto"/>
                    <w:jc w:val="center"/>
                    <w:rPr>
                      <w:rFonts w:hint="eastAsia" w:ascii="Times New Roman" w:hAnsi="Times New Roman" w:eastAsia="宋体" w:cs="Arial"/>
                      <w:color w:val="000000"/>
                      <w:sz w:val="21"/>
                      <w:lang w:val="de-DE"/>
                    </w:rPr>
                  </w:pPr>
                  <w:r>
                    <w:rPr>
                      <w:rFonts w:ascii="Times New Roman" w:hAnsi="Times New Roman" w:eastAsia="宋体" w:cs="Arial"/>
                      <w:color w:val="000000"/>
                      <w:sz w:val="21"/>
                      <w:lang w:val="de-DE"/>
                    </w:rPr>
                    <w:t>6000</w:t>
                  </w:r>
                </w:p>
              </w:tc>
              <w:tc>
                <w:tcPr>
                  <w:tcW w:w="818" w:type="dxa"/>
                  <w:noWrap w:val="0"/>
                  <w:vAlign w:val="center"/>
                </w:tcPr>
                <w:p>
                  <w:pPr>
                    <w:adjustRightInd w:val="0"/>
                    <w:snapToGrid w:val="0"/>
                    <w:spacing w:line="240" w:lineRule="auto"/>
                    <w:jc w:val="center"/>
                    <w:rPr>
                      <w:rFonts w:hint="eastAsia" w:ascii="Times New Roman" w:hAnsi="Times New Roman" w:eastAsia="宋体" w:cs="Arial"/>
                      <w:color w:val="000000"/>
                      <w:sz w:val="21"/>
                      <w:lang w:val="de-DE"/>
                    </w:rPr>
                  </w:pPr>
                  <w:r>
                    <w:rPr>
                      <w:rFonts w:hint="eastAsia" w:ascii="Times New Roman" w:hAnsi="Times New Roman" w:eastAsia="宋体" w:cs="Arial"/>
                      <w:color w:val="000000"/>
                      <w:sz w:val="21"/>
                      <w:lang w:val="de-DE"/>
                    </w:rPr>
                    <w:t>0.5</w:t>
                  </w:r>
                </w:p>
              </w:tc>
              <w:tc>
                <w:tcPr>
                  <w:tcW w:w="1806" w:type="dxa"/>
                  <w:noWrap w:val="0"/>
                  <w:vAlign w:val="center"/>
                </w:tcPr>
                <w:p>
                  <w:pPr>
                    <w:adjustRightInd w:val="0"/>
                    <w:snapToGrid w:val="0"/>
                    <w:spacing w:line="240" w:lineRule="auto"/>
                    <w:jc w:val="center"/>
                    <w:rPr>
                      <w:rFonts w:ascii="Times New Roman" w:hAnsi="Times New Roman" w:eastAsia="宋体" w:cs="Arial"/>
                      <w:color w:val="000000"/>
                      <w:sz w:val="21"/>
                      <w:lang w:val="de-DE"/>
                    </w:rPr>
                  </w:pPr>
                  <w:r>
                    <w:rPr>
                      <w:rFonts w:hint="eastAsia" w:ascii="Times New Roman" w:hAnsi="Times New Roman" w:eastAsia="宋体" w:cs="Arial"/>
                      <w:color w:val="000000"/>
                      <w:sz w:val="21"/>
                      <w:lang w:val="de-DE"/>
                    </w:rPr>
                    <w:t>18</w:t>
                  </w:r>
                  <w:r>
                    <w:rPr>
                      <w:rFonts w:ascii="Times New Roman" w:hAnsi="Times New Roman" w:eastAsia="宋体" w:cs="Arial"/>
                      <w:color w:val="000000"/>
                      <w:sz w:val="21"/>
                      <w:lang w:val="de-DE"/>
                    </w:rPr>
                    <w:t xml:space="preserve"> m</w:t>
                  </w:r>
                  <w:r>
                    <w:rPr>
                      <w:rFonts w:hint="eastAsia" w:ascii="Times New Roman" w:hAnsi="Times New Roman" w:eastAsia="宋体" w:cs="Arial"/>
                      <w:color w:val="000000"/>
                      <w:sz w:val="21"/>
                      <w:lang w:val="de-DE"/>
                    </w:rPr>
                    <w:t>高</w:t>
                  </w:r>
                  <w:r>
                    <w:rPr>
                      <w:rFonts w:ascii="Times New Roman" w:hAnsi="Times New Roman" w:eastAsia="宋体" w:cs="Arial"/>
                      <w:color w:val="000000"/>
                      <w:sz w:val="21"/>
                      <w:lang w:val="de-DE"/>
                    </w:rPr>
                    <w:t>排气筒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3" w:type="dxa"/>
                  <w:noWrap w:val="0"/>
                  <w:vAlign w:val="center"/>
                </w:tcPr>
                <w:p>
                  <w:pPr>
                    <w:adjustRightInd w:val="0"/>
                    <w:snapToGrid w:val="0"/>
                    <w:spacing w:line="240" w:lineRule="auto"/>
                    <w:jc w:val="center"/>
                    <w:rPr>
                      <w:rFonts w:hint="eastAsia" w:ascii="Times New Roman" w:hAnsi="Times New Roman" w:eastAsia="宋体" w:cs="Arial"/>
                      <w:color w:val="000000"/>
                      <w:kern w:val="0"/>
                      <w:sz w:val="21"/>
                    </w:rPr>
                  </w:pPr>
                  <w:r>
                    <w:rPr>
                      <w:rFonts w:hint="eastAsia" w:ascii="Times New Roman" w:hAnsi="Times New Roman" w:eastAsia="宋体" w:cs="Arial"/>
                      <w:color w:val="000000"/>
                      <w:kern w:val="0"/>
                      <w:sz w:val="21"/>
                    </w:rPr>
                    <w:t>7</w:t>
                  </w:r>
                </w:p>
              </w:tc>
              <w:tc>
                <w:tcPr>
                  <w:tcW w:w="1134" w:type="dxa"/>
                  <w:noWrap w:val="0"/>
                  <w:vAlign w:val="center"/>
                </w:tcPr>
                <w:p>
                  <w:pPr>
                    <w:adjustRightInd w:val="0"/>
                    <w:snapToGrid w:val="0"/>
                    <w:spacing w:line="240" w:lineRule="auto"/>
                    <w:jc w:val="center"/>
                    <w:rPr>
                      <w:rFonts w:hint="eastAsia" w:ascii="Times New Roman" w:hAnsi="Times New Roman" w:eastAsia="宋体" w:cs="Arial"/>
                      <w:color w:val="000000"/>
                      <w:kern w:val="0"/>
                      <w:sz w:val="21"/>
                    </w:rPr>
                  </w:pPr>
                  <w:r>
                    <w:rPr>
                      <w:rFonts w:hint="eastAsia" w:ascii="Times New Roman" w:hAnsi="Times New Roman" w:eastAsia="宋体" w:cs="Arial"/>
                      <w:color w:val="000000"/>
                      <w:kern w:val="0"/>
                      <w:sz w:val="21"/>
                    </w:rPr>
                    <w:t>加热炉</w:t>
                  </w:r>
                </w:p>
              </w:tc>
              <w:tc>
                <w:tcPr>
                  <w:tcW w:w="1701" w:type="dxa"/>
                  <w:noWrap w:val="0"/>
                  <w:vAlign w:val="center"/>
                </w:tcPr>
                <w:p>
                  <w:pPr>
                    <w:autoSpaceDN w:val="0"/>
                    <w:adjustRightInd w:val="0"/>
                    <w:snapToGrid w:val="0"/>
                    <w:spacing w:line="240" w:lineRule="auto"/>
                    <w:jc w:val="center"/>
                    <w:rPr>
                      <w:rFonts w:hint="eastAsia" w:ascii="Times New Roman" w:hAnsi="Times New Roman" w:eastAsia="宋体" w:cs="Arial"/>
                      <w:color w:val="000000"/>
                      <w:sz w:val="21"/>
                    </w:rPr>
                  </w:pPr>
                  <w:r>
                    <w:rPr>
                      <w:rFonts w:hint="eastAsia" w:ascii="Times New Roman" w:hAnsi="Times New Roman" w:eastAsia="宋体" w:cs="Arial"/>
                      <w:color w:val="000000"/>
                      <w:sz w:val="21"/>
                    </w:rPr>
                    <w:t>颗粒物</w:t>
                  </w:r>
                  <w:r>
                    <w:rPr>
                      <w:rFonts w:ascii="Times New Roman" w:hAnsi="Times New Roman" w:eastAsia="宋体" w:cs="Arial"/>
                      <w:color w:val="000000"/>
                      <w:sz w:val="21"/>
                    </w:rPr>
                    <w:t>、二氧化硫、氮氧化物</w:t>
                  </w:r>
                </w:p>
              </w:tc>
              <w:tc>
                <w:tcPr>
                  <w:tcW w:w="1559" w:type="dxa"/>
                  <w:noWrap w:val="0"/>
                  <w:vAlign w:val="center"/>
                </w:tcPr>
                <w:p>
                  <w:pPr>
                    <w:adjustRightInd w:val="0"/>
                    <w:snapToGrid w:val="0"/>
                    <w:spacing w:line="240" w:lineRule="auto"/>
                    <w:jc w:val="center"/>
                    <w:rPr>
                      <w:rFonts w:hint="eastAsia" w:ascii="Times New Roman" w:hAnsi="Times New Roman" w:eastAsia="宋体" w:cs="Arial"/>
                      <w:bCs/>
                      <w:color w:val="000000"/>
                      <w:sz w:val="21"/>
                    </w:rPr>
                  </w:pPr>
                  <w:r>
                    <w:rPr>
                      <w:rFonts w:ascii="Times New Roman" w:hAnsi="Times New Roman" w:eastAsia="宋体" w:cs="Arial"/>
                      <w:bCs/>
                      <w:color w:val="000000"/>
                      <w:sz w:val="21"/>
                    </w:rPr>
                    <w:t>/</w:t>
                  </w:r>
                </w:p>
              </w:tc>
              <w:tc>
                <w:tcPr>
                  <w:tcW w:w="1134" w:type="dxa"/>
                  <w:noWrap w:val="0"/>
                  <w:vAlign w:val="center"/>
                </w:tcPr>
                <w:p>
                  <w:pPr>
                    <w:adjustRightInd w:val="0"/>
                    <w:snapToGrid w:val="0"/>
                    <w:spacing w:line="240" w:lineRule="auto"/>
                    <w:jc w:val="center"/>
                    <w:rPr>
                      <w:rFonts w:hint="eastAsia" w:ascii="Times New Roman" w:hAnsi="Times New Roman" w:eastAsia="宋体" w:cs="Arial"/>
                      <w:color w:val="000000"/>
                      <w:sz w:val="21"/>
                      <w:lang w:val="de-DE"/>
                    </w:rPr>
                  </w:pPr>
                  <w:r>
                    <w:rPr>
                      <w:rFonts w:ascii="Times New Roman" w:hAnsi="Times New Roman" w:eastAsia="宋体" w:cs="Arial"/>
                      <w:color w:val="000000"/>
                      <w:sz w:val="21"/>
                      <w:lang w:val="de-DE"/>
                    </w:rPr>
                    <w:t>6000</w:t>
                  </w:r>
                </w:p>
              </w:tc>
              <w:tc>
                <w:tcPr>
                  <w:tcW w:w="818" w:type="dxa"/>
                  <w:noWrap w:val="0"/>
                  <w:vAlign w:val="center"/>
                </w:tcPr>
                <w:p>
                  <w:pPr>
                    <w:adjustRightInd w:val="0"/>
                    <w:snapToGrid w:val="0"/>
                    <w:spacing w:line="240" w:lineRule="auto"/>
                    <w:jc w:val="center"/>
                    <w:rPr>
                      <w:rFonts w:hint="eastAsia" w:ascii="Times New Roman" w:hAnsi="Times New Roman" w:eastAsia="宋体" w:cs="Arial"/>
                      <w:color w:val="000000"/>
                      <w:sz w:val="21"/>
                      <w:lang w:val="de-DE"/>
                    </w:rPr>
                  </w:pPr>
                  <w:r>
                    <w:rPr>
                      <w:rFonts w:hint="eastAsia" w:ascii="Times New Roman" w:hAnsi="Times New Roman" w:eastAsia="宋体" w:cs="Arial"/>
                      <w:color w:val="000000"/>
                      <w:sz w:val="21"/>
                      <w:lang w:val="de-DE"/>
                    </w:rPr>
                    <w:t>0.5</w:t>
                  </w:r>
                </w:p>
              </w:tc>
              <w:tc>
                <w:tcPr>
                  <w:tcW w:w="1806" w:type="dxa"/>
                  <w:noWrap w:val="0"/>
                  <w:vAlign w:val="center"/>
                </w:tcPr>
                <w:p>
                  <w:pPr>
                    <w:adjustRightInd w:val="0"/>
                    <w:snapToGrid w:val="0"/>
                    <w:spacing w:line="240" w:lineRule="auto"/>
                    <w:jc w:val="center"/>
                    <w:rPr>
                      <w:rFonts w:ascii="Times New Roman" w:hAnsi="Times New Roman" w:eastAsia="宋体" w:cs="Arial"/>
                      <w:color w:val="000000"/>
                      <w:sz w:val="21"/>
                      <w:lang w:val="de-DE"/>
                    </w:rPr>
                  </w:pPr>
                  <w:r>
                    <w:rPr>
                      <w:rFonts w:hint="eastAsia" w:ascii="Times New Roman" w:hAnsi="Times New Roman" w:eastAsia="宋体" w:cs="Arial"/>
                      <w:color w:val="000000"/>
                      <w:sz w:val="21"/>
                      <w:lang w:val="de-DE"/>
                    </w:rPr>
                    <w:t>18</w:t>
                  </w:r>
                  <w:r>
                    <w:rPr>
                      <w:rFonts w:ascii="Times New Roman" w:hAnsi="Times New Roman" w:eastAsia="宋体" w:cs="Arial"/>
                      <w:color w:val="000000"/>
                      <w:sz w:val="21"/>
                      <w:lang w:val="de-DE"/>
                    </w:rPr>
                    <w:t xml:space="preserve"> m</w:t>
                  </w:r>
                  <w:r>
                    <w:rPr>
                      <w:rFonts w:hint="eastAsia" w:ascii="Times New Roman" w:hAnsi="Times New Roman" w:eastAsia="宋体" w:cs="Arial"/>
                      <w:color w:val="000000"/>
                      <w:sz w:val="21"/>
                      <w:lang w:val="de-DE"/>
                    </w:rPr>
                    <w:t>高</w:t>
                  </w:r>
                  <w:r>
                    <w:rPr>
                      <w:rFonts w:ascii="Times New Roman" w:hAnsi="Times New Roman" w:eastAsia="宋体" w:cs="Arial"/>
                      <w:color w:val="000000"/>
                      <w:sz w:val="21"/>
                      <w:lang w:val="de-DE"/>
                    </w:rPr>
                    <w:t>排气筒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3" w:type="dxa"/>
                  <w:noWrap w:val="0"/>
                  <w:vAlign w:val="center"/>
                </w:tcPr>
                <w:p>
                  <w:pPr>
                    <w:adjustRightInd w:val="0"/>
                    <w:snapToGrid w:val="0"/>
                    <w:spacing w:line="240" w:lineRule="auto"/>
                    <w:jc w:val="center"/>
                    <w:rPr>
                      <w:rFonts w:hint="eastAsia" w:ascii="Times New Roman" w:hAnsi="Times New Roman" w:eastAsia="宋体" w:cs="Arial"/>
                      <w:color w:val="000000"/>
                      <w:kern w:val="0"/>
                      <w:sz w:val="21"/>
                    </w:rPr>
                  </w:pPr>
                  <w:r>
                    <w:rPr>
                      <w:rFonts w:hint="eastAsia" w:ascii="Times New Roman" w:hAnsi="Times New Roman" w:eastAsia="宋体" w:cs="Arial"/>
                      <w:color w:val="000000"/>
                      <w:kern w:val="0"/>
                      <w:sz w:val="21"/>
                    </w:rPr>
                    <w:t>8</w:t>
                  </w:r>
                </w:p>
              </w:tc>
              <w:tc>
                <w:tcPr>
                  <w:tcW w:w="1134" w:type="dxa"/>
                  <w:noWrap w:val="0"/>
                  <w:vAlign w:val="center"/>
                </w:tcPr>
                <w:p>
                  <w:pPr>
                    <w:adjustRightInd w:val="0"/>
                    <w:snapToGrid w:val="0"/>
                    <w:spacing w:line="240" w:lineRule="auto"/>
                    <w:jc w:val="center"/>
                    <w:rPr>
                      <w:rFonts w:hint="eastAsia" w:ascii="Times New Roman" w:hAnsi="Times New Roman" w:eastAsia="宋体" w:cs="Arial"/>
                      <w:color w:val="000000"/>
                      <w:kern w:val="0"/>
                      <w:sz w:val="21"/>
                    </w:rPr>
                  </w:pPr>
                  <w:r>
                    <w:rPr>
                      <w:rFonts w:hint="eastAsia" w:ascii="Times New Roman" w:hAnsi="Times New Roman" w:eastAsia="宋体" w:cs="Arial"/>
                      <w:color w:val="000000"/>
                      <w:kern w:val="0"/>
                      <w:sz w:val="21"/>
                    </w:rPr>
                    <w:t>烘干炉</w:t>
                  </w:r>
                </w:p>
              </w:tc>
              <w:tc>
                <w:tcPr>
                  <w:tcW w:w="1701" w:type="dxa"/>
                  <w:noWrap w:val="0"/>
                  <w:vAlign w:val="center"/>
                </w:tcPr>
                <w:p>
                  <w:pPr>
                    <w:autoSpaceDN w:val="0"/>
                    <w:adjustRightInd w:val="0"/>
                    <w:snapToGrid w:val="0"/>
                    <w:spacing w:line="240" w:lineRule="auto"/>
                    <w:jc w:val="center"/>
                    <w:rPr>
                      <w:rFonts w:hint="eastAsia" w:ascii="Times New Roman" w:hAnsi="Times New Roman" w:eastAsia="宋体" w:cs="Arial"/>
                      <w:color w:val="000000"/>
                      <w:sz w:val="21"/>
                    </w:rPr>
                  </w:pPr>
                  <w:r>
                    <w:rPr>
                      <w:rFonts w:hint="eastAsia" w:ascii="Times New Roman" w:hAnsi="Times New Roman" w:eastAsia="宋体" w:cs="Arial"/>
                      <w:color w:val="000000"/>
                      <w:sz w:val="21"/>
                    </w:rPr>
                    <w:t>颗粒物</w:t>
                  </w:r>
                  <w:r>
                    <w:rPr>
                      <w:rFonts w:ascii="Times New Roman" w:hAnsi="Times New Roman" w:eastAsia="宋体" w:cs="Arial"/>
                      <w:color w:val="000000"/>
                      <w:sz w:val="21"/>
                    </w:rPr>
                    <w:t>、二氧化硫、氮氧化物、</w:t>
                  </w:r>
                  <w:r>
                    <w:rPr>
                      <w:rFonts w:hint="eastAsia" w:ascii="Times New Roman" w:hAnsi="Times New Roman" w:eastAsia="宋体" w:cs="Arial"/>
                      <w:color w:val="000000"/>
                      <w:sz w:val="21"/>
                    </w:rPr>
                    <w:t>VOC</w:t>
                  </w:r>
                  <w:r>
                    <w:rPr>
                      <w:rFonts w:ascii="Times New Roman" w:hAnsi="Times New Roman" w:eastAsia="宋体" w:cs="Arial"/>
                      <w:color w:val="000000"/>
                      <w:sz w:val="21"/>
                    </w:rPr>
                    <w:t>s</w:t>
                  </w:r>
                </w:p>
              </w:tc>
              <w:tc>
                <w:tcPr>
                  <w:tcW w:w="1559" w:type="dxa"/>
                  <w:noWrap w:val="0"/>
                  <w:vAlign w:val="center"/>
                </w:tcPr>
                <w:p>
                  <w:pPr>
                    <w:adjustRightInd w:val="0"/>
                    <w:snapToGrid w:val="0"/>
                    <w:spacing w:line="240" w:lineRule="auto"/>
                    <w:jc w:val="center"/>
                    <w:rPr>
                      <w:rFonts w:hint="eastAsia" w:ascii="Times New Roman" w:hAnsi="Times New Roman" w:eastAsia="宋体" w:cs="Arial"/>
                      <w:bCs/>
                      <w:color w:val="000000"/>
                      <w:sz w:val="21"/>
                    </w:rPr>
                  </w:pPr>
                  <w:r>
                    <w:rPr>
                      <w:rFonts w:ascii="Times New Roman" w:hAnsi="Times New Roman" w:eastAsia="宋体" w:cs="Arial"/>
                      <w:bCs/>
                      <w:color w:val="000000"/>
                      <w:sz w:val="21"/>
                    </w:rPr>
                    <w:t>燃烧装置</w:t>
                  </w:r>
                </w:p>
              </w:tc>
              <w:tc>
                <w:tcPr>
                  <w:tcW w:w="1134" w:type="dxa"/>
                  <w:noWrap w:val="0"/>
                  <w:vAlign w:val="center"/>
                </w:tcPr>
                <w:p>
                  <w:pPr>
                    <w:adjustRightInd w:val="0"/>
                    <w:snapToGrid w:val="0"/>
                    <w:spacing w:line="240" w:lineRule="auto"/>
                    <w:jc w:val="center"/>
                    <w:rPr>
                      <w:rFonts w:hint="eastAsia" w:ascii="Times New Roman" w:hAnsi="Times New Roman" w:eastAsia="宋体" w:cs="Arial"/>
                      <w:color w:val="000000"/>
                      <w:sz w:val="21"/>
                      <w:lang w:val="de-DE"/>
                    </w:rPr>
                  </w:pPr>
                  <w:r>
                    <w:rPr>
                      <w:rFonts w:ascii="Times New Roman" w:hAnsi="Times New Roman" w:eastAsia="宋体" w:cs="Arial"/>
                      <w:color w:val="000000"/>
                      <w:sz w:val="21"/>
                      <w:lang w:val="de-DE"/>
                    </w:rPr>
                    <w:t>6000</w:t>
                  </w:r>
                </w:p>
              </w:tc>
              <w:tc>
                <w:tcPr>
                  <w:tcW w:w="818" w:type="dxa"/>
                  <w:noWrap w:val="0"/>
                  <w:vAlign w:val="center"/>
                </w:tcPr>
                <w:p>
                  <w:pPr>
                    <w:adjustRightInd w:val="0"/>
                    <w:snapToGrid w:val="0"/>
                    <w:spacing w:line="240" w:lineRule="auto"/>
                    <w:jc w:val="center"/>
                    <w:rPr>
                      <w:rFonts w:hint="eastAsia" w:ascii="Times New Roman" w:hAnsi="Times New Roman" w:eastAsia="宋体" w:cs="Arial"/>
                      <w:color w:val="000000"/>
                      <w:sz w:val="21"/>
                      <w:lang w:val="de-DE"/>
                    </w:rPr>
                  </w:pPr>
                  <w:r>
                    <w:rPr>
                      <w:rFonts w:hint="eastAsia" w:ascii="Times New Roman" w:hAnsi="Times New Roman" w:eastAsia="宋体" w:cs="Arial"/>
                      <w:color w:val="000000"/>
                      <w:sz w:val="21"/>
                      <w:lang w:val="de-DE"/>
                    </w:rPr>
                    <w:t>0.5</w:t>
                  </w:r>
                </w:p>
              </w:tc>
              <w:tc>
                <w:tcPr>
                  <w:tcW w:w="1806" w:type="dxa"/>
                  <w:noWrap w:val="0"/>
                  <w:vAlign w:val="center"/>
                </w:tcPr>
                <w:p>
                  <w:pPr>
                    <w:adjustRightInd w:val="0"/>
                    <w:snapToGrid w:val="0"/>
                    <w:spacing w:line="240" w:lineRule="auto"/>
                    <w:jc w:val="center"/>
                    <w:rPr>
                      <w:rFonts w:ascii="Times New Roman" w:hAnsi="Times New Roman" w:eastAsia="宋体" w:cs="Arial"/>
                      <w:color w:val="000000"/>
                      <w:sz w:val="21"/>
                      <w:lang w:val="de-DE"/>
                    </w:rPr>
                  </w:pPr>
                  <w:r>
                    <w:rPr>
                      <w:rFonts w:hint="eastAsia" w:ascii="Times New Roman" w:hAnsi="Times New Roman" w:eastAsia="宋体" w:cs="Arial"/>
                      <w:color w:val="000000"/>
                      <w:sz w:val="21"/>
                      <w:lang w:val="de-DE"/>
                    </w:rPr>
                    <w:t>18</w:t>
                  </w:r>
                  <w:r>
                    <w:rPr>
                      <w:rFonts w:ascii="Times New Roman" w:hAnsi="Times New Roman" w:eastAsia="宋体" w:cs="Arial"/>
                      <w:color w:val="000000"/>
                      <w:sz w:val="21"/>
                      <w:lang w:val="de-DE"/>
                    </w:rPr>
                    <w:t xml:space="preserve"> m</w:t>
                  </w:r>
                  <w:r>
                    <w:rPr>
                      <w:rFonts w:hint="eastAsia" w:ascii="Times New Roman" w:hAnsi="Times New Roman" w:eastAsia="宋体" w:cs="Arial"/>
                      <w:color w:val="000000"/>
                      <w:sz w:val="21"/>
                      <w:lang w:val="de-DE"/>
                    </w:rPr>
                    <w:t>高</w:t>
                  </w:r>
                  <w:r>
                    <w:rPr>
                      <w:rFonts w:ascii="Times New Roman" w:hAnsi="Times New Roman" w:eastAsia="宋体" w:cs="Arial"/>
                      <w:color w:val="000000"/>
                      <w:sz w:val="21"/>
                      <w:lang w:val="de-DE"/>
                    </w:rPr>
                    <w:t>排气筒</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53" w:type="dxa"/>
                  <w:noWrap w:val="0"/>
                  <w:vAlign w:val="center"/>
                </w:tcPr>
                <w:p>
                  <w:pPr>
                    <w:autoSpaceDN w:val="0"/>
                    <w:adjustRightInd w:val="0"/>
                    <w:snapToGrid w:val="0"/>
                    <w:spacing w:line="240" w:lineRule="auto"/>
                    <w:jc w:val="center"/>
                    <w:rPr>
                      <w:rFonts w:ascii="Times New Roman" w:hAnsi="Times New Roman" w:eastAsia="宋体" w:cs="Arial"/>
                      <w:color w:val="000000"/>
                      <w:sz w:val="21"/>
                      <w:lang w:val="de-DE"/>
                    </w:rPr>
                  </w:pPr>
                  <w:r>
                    <w:rPr>
                      <w:rFonts w:hint="eastAsia" w:ascii="Times New Roman" w:hAnsi="Times New Roman" w:eastAsia="宋体" w:cs="Arial"/>
                      <w:color w:val="000000"/>
                      <w:sz w:val="21"/>
                      <w:lang w:val="de-DE"/>
                    </w:rPr>
                    <w:t>9</w:t>
                  </w:r>
                </w:p>
              </w:tc>
              <w:tc>
                <w:tcPr>
                  <w:tcW w:w="1134" w:type="dxa"/>
                  <w:noWrap w:val="0"/>
                  <w:vAlign w:val="center"/>
                </w:tcPr>
                <w:p>
                  <w:pPr>
                    <w:autoSpaceDN w:val="0"/>
                    <w:adjustRightInd w:val="0"/>
                    <w:snapToGrid w:val="0"/>
                    <w:spacing w:line="240" w:lineRule="auto"/>
                    <w:jc w:val="center"/>
                    <w:rPr>
                      <w:rFonts w:ascii="Times New Roman" w:hAnsi="Times New Roman" w:eastAsia="宋体" w:cs="Arial"/>
                      <w:color w:val="000000"/>
                      <w:sz w:val="21"/>
                      <w:lang w:val="de-DE"/>
                    </w:rPr>
                  </w:pPr>
                  <w:r>
                    <w:rPr>
                      <w:rFonts w:ascii="Times New Roman" w:hAnsi="Times New Roman" w:eastAsia="宋体" w:cs="Arial"/>
                      <w:color w:val="000000"/>
                      <w:sz w:val="21"/>
                      <w:lang w:val="de-DE"/>
                    </w:rPr>
                    <w:t>未收集到的废气</w:t>
                  </w:r>
                </w:p>
              </w:tc>
              <w:tc>
                <w:tcPr>
                  <w:tcW w:w="1701" w:type="dxa"/>
                  <w:noWrap w:val="0"/>
                  <w:vAlign w:val="center"/>
                </w:tcPr>
                <w:p>
                  <w:pPr>
                    <w:autoSpaceDN w:val="0"/>
                    <w:adjustRightInd w:val="0"/>
                    <w:snapToGrid w:val="0"/>
                    <w:spacing w:line="240" w:lineRule="auto"/>
                    <w:jc w:val="center"/>
                    <w:rPr>
                      <w:rFonts w:hint="eastAsia" w:ascii="Times New Roman" w:hAnsi="Times New Roman" w:eastAsia="宋体" w:cs="Arial"/>
                      <w:color w:val="000000"/>
                      <w:sz w:val="21"/>
                    </w:rPr>
                  </w:pPr>
                  <w:r>
                    <w:rPr>
                      <w:rFonts w:hint="eastAsia" w:ascii="Times New Roman" w:hAnsi="Times New Roman" w:eastAsia="宋体" w:cs="Arial"/>
                      <w:color w:val="000000"/>
                      <w:sz w:val="21"/>
                    </w:rPr>
                    <w:t>颗粒物</w:t>
                  </w:r>
                  <w:r>
                    <w:rPr>
                      <w:rFonts w:ascii="Times New Roman" w:hAnsi="Times New Roman" w:eastAsia="宋体" w:cs="Arial"/>
                      <w:color w:val="000000"/>
                      <w:sz w:val="21"/>
                    </w:rPr>
                    <w:t>、甲苯、二甲苯、</w:t>
                  </w:r>
                  <w:r>
                    <w:rPr>
                      <w:rFonts w:hint="eastAsia" w:ascii="Times New Roman" w:hAnsi="Times New Roman" w:eastAsia="宋体" w:cs="Arial"/>
                      <w:color w:val="000000"/>
                      <w:sz w:val="21"/>
                    </w:rPr>
                    <w:t>VOC</w:t>
                  </w:r>
                  <w:r>
                    <w:rPr>
                      <w:rFonts w:ascii="Times New Roman" w:hAnsi="Times New Roman" w:eastAsia="宋体" w:cs="Arial"/>
                      <w:color w:val="000000"/>
                      <w:sz w:val="21"/>
                    </w:rPr>
                    <w:t>s</w:t>
                  </w:r>
                </w:p>
              </w:tc>
              <w:tc>
                <w:tcPr>
                  <w:tcW w:w="5317" w:type="dxa"/>
                  <w:gridSpan w:val="4"/>
                  <w:noWrap w:val="0"/>
                  <w:vAlign w:val="center"/>
                </w:tcPr>
                <w:p>
                  <w:pPr>
                    <w:autoSpaceDN w:val="0"/>
                    <w:adjustRightInd w:val="0"/>
                    <w:snapToGrid w:val="0"/>
                    <w:spacing w:line="240" w:lineRule="auto"/>
                    <w:jc w:val="center"/>
                    <w:rPr>
                      <w:rFonts w:ascii="Times New Roman" w:hAnsi="Times New Roman" w:eastAsia="宋体" w:cs="Arial"/>
                      <w:color w:val="000000"/>
                      <w:sz w:val="21"/>
                      <w:lang w:val="de-DE"/>
                    </w:rPr>
                  </w:pPr>
                  <w:r>
                    <w:rPr>
                      <w:rFonts w:ascii="Times New Roman" w:hAnsi="Times New Roman" w:eastAsia="宋体" w:cs="Arial"/>
                      <w:color w:val="000000"/>
                      <w:sz w:val="21"/>
                      <w:lang w:val="de-DE"/>
                    </w:rPr>
                    <w:t>车间通风无组织排放</w:t>
                  </w:r>
                </w:p>
              </w:tc>
            </w:tr>
          </w:tbl>
          <w:p>
            <w:pPr>
              <w:numPr>
                <w:ilvl w:val="0"/>
                <w:numId w:val="0"/>
              </w:numPr>
              <w:spacing w:line="440" w:lineRule="exact"/>
              <w:ind w:leftChars="200"/>
              <w:rPr>
                <w:rFonts w:hint="eastAsia" w:ascii="Times New Roman" w:hAnsi="Times New Roman" w:eastAsia="宋体" w:cs="Arial"/>
                <w:b/>
                <w:color w:val="000000"/>
                <w:sz w:val="21"/>
              </w:rPr>
            </w:pPr>
            <w:r>
              <w:rPr>
                <w:rFonts w:hint="eastAsia" w:ascii="Times New Roman" w:hAnsi="Times New Roman" w:eastAsia="宋体" w:cs="Arial"/>
                <w:b/>
                <w:color w:val="000000"/>
                <w:sz w:val="21"/>
              </w:rPr>
              <w:t>【注</w:t>
            </w:r>
            <w:r>
              <w:rPr>
                <w:rFonts w:ascii="Times New Roman" w:hAnsi="Times New Roman" w:eastAsia="宋体" w:cs="Arial"/>
                <w:b/>
                <w:color w:val="000000"/>
                <w:sz w:val="21"/>
              </w:rPr>
              <w:t>：喷涂废气有两个进口各有一套活性炭吸附装置</w:t>
            </w:r>
            <w:r>
              <w:rPr>
                <w:rFonts w:hint="eastAsia" w:ascii="Times New Roman" w:hAnsi="Times New Roman" w:eastAsia="宋体" w:cs="Arial"/>
                <w:b/>
                <w:color w:val="000000"/>
                <w:sz w:val="21"/>
              </w:rPr>
              <w:t>，共用</w:t>
            </w:r>
            <w:r>
              <w:rPr>
                <w:rFonts w:ascii="Times New Roman" w:hAnsi="Times New Roman" w:eastAsia="宋体" w:cs="Arial"/>
                <w:b/>
                <w:color w:val="000000"/>
                <w:sz w:val="21"/>
              </w:rPr>
              <w:t>一个</w:t>
            </w:r>
            <w:r>
              <w:rPr>
                <w:rFonts w:hint="eastAsia" w:ascii="Times New Roman" w:hAnsi="Times New Roman" w:eastAsia="宋体" w:cs="Arial"/>
                <w:b/>
                <w:color w:val="000000"/>
                <w:sz w:val="21"/>
              </w:rPr>
              <w:t>排气筒</w:t>
            </w:r>
            <w:r>
              <w:rPr>
                <w:rFonts w:ascii="Times New Roman" w:hAnsi="Times New Roman" w:eastAsia="宋体" w:cs="Arial"/>
                <w:b/>
                <w:color w:val="000000"/>
                <w:sz w:val="21"/>
              </w:rPr>
              <w:t>。</w:t>
            </w:r>
            <w:r>
              <w:rPr>
                <w:rFonts w:hint="eastAsia" w:ascii="Times New Roman" w:hAnsi="Times New Roman" w:eastAsia="宋体" w:cs="Arial"/>
                <w:b/>
                <w:color w:val="000000"/>
                <w:sz w:val="21"/>
              </w:rPr>
              <w:t>】</w:t>
            </w:r>
          </w:p>
          <w:p>
            <w:pPr>
              <w:numPr>
                <w:ilvl w:val="0"/>
                <w:numId w:val="0"/>
              </w:numPr>
              <w:spacing w:line="440" w:lineRule="exact"/>
              <w:ind w:leftChars="200"/>
              <w:rPr>
                <w:rFonts w:hint="eastAsia" w:ascii="Times New Roman" w:hAnsi="Times New Roman" w:eastAsia="宋体"/>
                <w:color w:val="auto"/>
                <w:spacing w:val="5"/>
                <w:sz w:val="24"/>
                <w:lang w:val="en-US" w:eastAsia="zh-CN"/>
              </w:rPr>
            </w:pPr>
            <w:r>
              <w:rPr>
                <w:rFonts w:hint="eastAsia" w:ascii="Times New Roman" w:hAnsi="Times New Roman" w:eastAsia="宋体" w:cs="Arial"/>
                <w:b/>
                <w:color w:val="000000"/>
                <w:sz w:val="21"/>
                <w:lang w:val="en-US" w:eastAsia="zh-CN"/>
              </w:rPr>
              <w:t>②</w:t>
            </w:r>
            <w:r>
              <w:rPr>
                <w:rFonts w:hint="eastAsia" w:ascii="Times New Roman" w:hAnsi="Times New Roman" w:eastAsia="宋体"/>
                <w:color w:val="auto"/>
                <w:spacing w:val="5"/>
                <w:sz w:val="24"/>
                <w:lang w:val="en-US" w:eastAsia="zh-CN"/>
              </w:rPr>
              <w:t>废水</w:t>
            </w:r>
          </w:p>
          <w:p>
            <w:pPr>
              <w:numPr>
                <w:ilvl w:val="0"/>
                <w:numId w:val="0"/>
              </w:numPr>
              <w:spacing w:line="440" w:lineRule="exact"/>
              <w:ind w:firstLine="500" w:firstLineChars="200"/>
              <w:rPr>
                <w:rFonts w:hint="eastAsia" w:ascii="Times New Roman" w:hAnsi="Times New Roman" w:eastAsia="宋体"/>
                <w:color w:val="auto"/>
                <w:spacing w:val="5"/>
                <w:sz w:val="24"/>
                <w:lang w:val="en-US" w:eastAsia="zh-CN"/>
              </w:rPr>
            </w:pPr>
            <w:r>
              <w:rPr>
                <w:rFonts w:hint="eastAsia" w:ascii="Times New Roman" w:hAnsi="Times New Roman" w:eastAsia="宋体"/>
                <w:color w:val="auto"/>
                <w:spacing w:val="5"/>
                <w:sz w:val="24"/>
                <w:lang w:val="en-US" w:eastAsia="zh-CN"/>
              </w:rPr>
              <w:t>加热炉、烘干炉、液压站、除尘风机等设备间接冷却水使用后仅水温升高，冷却后循环使用。定期外排的冷却水和经过化粪池预处理后的生活废水，一同进入公司综合污水处理站进行深度处理后回用，不外排。</w:t>
            </w:r>
          </w:p>
          <w:p>
            <w:pPr>
              <w:numPr>
                <w:ilvl w:val="0"/>
                <w:numId w:val="0"/>
              </w:numPr>
              <w:spacing w:line="440" w:lineRule="exact"/>
              <w:ind w:firstLine="500" w:firstLineChars="200"/>
              <w:rPr>
                <w:rFonts w:hint="eastAsia" w:ascii="Times New Roman" w:hAnsi="Times New Roman" w:eastAsia="宋体"/>
                <w:color w:val="auto"/>
                <w:spacing w:val="5"/>
                <w:sz w:val="24"/>
                <w:lang w:val="en-US" w:eastAsia="zh-CN"/>
              </w:rPr>
            </w:pPr>
            <w:r>
              <w:rPr>
                <w:rFonts w:hint="eastAsia" w:ascii="Times New Roman" w:hAnsi="Times New Roman" w:eastAsia="宋体"/>
                <w:color w:val="auto"/>
                <w:spacing w:val="5"/>
                <w:sz w:val="24"/>
                <w:lang w:val="en-US" w:eastAsia="zh-CN"/>
              </w:rPr>
              <w:t>使用内磨（水磨系统）时，产生的废水经过沉淀处理后循环使用、定期有很少量的废水进入现有项目污水处理站处理后再利用，不外排。</w:t>
            </w:r>
          </w:p>
          <w:p>
            <w:pPr>
              <w:spacing w:line="360" w:lineRule="auto"/>
              <w:ind w:firstLine="500" w:firstLineChars="200"/>
              <w:jc w:val="both"/>
              <w:rPr>
                <w:rFonts w:ascii="Times New Roman" w:hAnsi="Times New Roman" w:eastAsia="宋体"/>
                <w:b/>
                <w:color w:val="auto"/>
                <w:sz w:val="24"/>
                <w:szCs w:val="24"/>
                <w:highlight w:val="yellow"/>
              </w:rPr>
            </w:pPr>
            <w:r>
              <w:rPr>
                <w:rFonts w:hint="eastAsia" w:ascii="Times New Roman" w:hAnsi="Times New Roman" w:eastAsia="宋体"/>
                <w:color w:val="auto"/>
                <w:spacing w:val="5"/>
                <w:sz w:val="24"/>
                <w:lang w:val="en-US" w:eastAsia="zh-CN"/>
              </w:rPr>
              <w:t>使用内磨（干磨系统）时，无废水产生。</w:t>
            </w:r>
          </w:p>
          <w:p>
            <w:pPr>
              <w:spacing w:line="360" w:lineRule="auto"/>
              <w:ind w:firstLine="480" w:firstLineChars="200"/>
              <w:jc w:val="left"/>
              <w:rPr>
                <w:rFonts w:hint="eastAsia" w:ascii="Times New Roman" w:hAnsi="Times New Roman" w:eastAsia="宋体"/>
                <w:b w:val="0"/>
                <w:bCs/>
                <w:color w:val="auto"/>
                <w:sz w:val="24"/>
                <w:szCs w:val="24"/>
              </w:rPr>
            </w:pPr>
            <w:r>
              <w:rPr>
                <w:rFonts w:hint="eastAsia" w:ascii="Times New Roman" w:hAnsi="Times New Roman" w:eastAsia="宋体"/>
                <w:b w:val="0"/>
                <w:bCs/>
                <w:color w:val="auto"/>
                <w:sz w:val="24"/>
                <w:szCs w:val="24"/>
                <w:lang w:val="en-US" w:eastAsia="zh-CN"/>
              </w:rPr>
              <w:t>③</w:t>
            </w:r>
            <w:r>
              <w:rPr>
                <w:rFonts w:hint="eastAsia" w:ascii="Times New Roman" w:hAnsi="Times New Roman" w:eastAsia="宋体"/>
                <w:b w:val="0"/>
                <w:bCs/>
                <w:color w:val="auto"/>
                <w:sz w:val="24"/>
                <w:szCs w:val="24"/>
              </w:rPr>
              <w:t>固体废物</w:t>
            </w:r>
          </w:p>
          <w:p>
            <w:pPr>
              <w:spacing w:line="360" w:lineRule="auto"/>
              <w:ind w:firstLine="480" w:firstLineChars="200"/>
              <w:jc w:val="left"/>
              <w:rPr>
                <w:rFonts w:hint="eastAsia" w:ascii="Times New Roman" w:hAnsi="Times New Roman" w:eastAsia="宋体"/>
                <w:b w:val="0"/>
                <w:bCs/>
                <w:color w:val="auto"/>
                <w:sz w:val="24"/>
                <w:szCs w:val="24"/>
              </w:rPr>
            </w:pPr>
            <w:r>
              <w:rPr>
                <w:rFonts w:hint="eastAsia" w:ascii="Times New Roman" w:hAnsi="Times New Roman" w:eastAsia="宋体"/>
                <w:b w:val="0"/>
                <w:bCs/>
                <w:color w:val="auto"/>
                <w:sz w:val="24"/>
                <w:szCs w:val="24"/>
              </w:rPr>
              <w:t>项目运营期间产生的固体废物主要是有铸管切环边角料、铁屑产生、氧化锌粉、喷涂废气净化的废活性炭等。</w:t>
            </w:r>
          </w:p>
          <w:p>
            <w:pPr>
              <w:spacing w:line="360" w:lineRule="auto"/>
              <w:jc w:val="center"/>
              <w:rPr>
                <w:rFonts w:ascii="Times New Roman" w:hAnsi="Times New Roman" w:eastAsia="宋体"/>
                <w:b w:val="0"/>
                <w:bCs/>
                <w:color w:val="auto"/>
                <w:sz w:val="24"/>
                <w:szCs w:val="24"/>
              </w:rPr>
            </w:pPr>
            <w:r>
              <w:rPr>
                <w:rFonts w:hint="eastAsia" w:ascii="Times New Roman" w:hAnsi="Times New Roman" w:eastAsia="宋体"/>
                <w:b w:val="0"/>
                <w:bCs/>
                <w:color w:val="auto"/>
                <w:sz w:val="24"/>
                <w:szCs w:val="24"/>
              </w:rPr>
              <w:t>表1-</w:t>
            </w:r>
            <w:r>
              <w:rPr>
                <w:rFonts w:hint="eastAsia" w:ascii="Times New Roman" w:hAnsi="Times New Roman" w:eastAsia="宋体"/>
                <w:b w:val="0"/>
                <w:bCs/>
                <w:color w:val="auto"/>
                <w:sz w:val="24"/>
                <w:szCs w:val="24"/>
                <w:lang w:val="en-US" w:eastAsia="zh-CN"/>
              </w:rPr>
              <w:t>8</w:t>
            </w:r>
            <w:r>
              <w:rPr>
                <w:rFonts w:hint="eastAsia" w:ascii="Times New Roman" w:hAnsi="Times New Roman" w:eastAsia="宋体"/>
                <w:b w:val="0"/>
                <w:bCs/>
                <w:color w:val="auto"/>
                <w:sz w:val="24"/>
                <w:szCs w:val="24"/>
              </w:rPr>
              <w:t xml:space="preserve"> 项目固体废物处置情况一览表</w:t>
            </w:r>
          </w:p>
          <w:tbl>
            <w:tblPr>
              <w:tblStyle w:val="2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1654"/>
              <w:gridCol w:w="1791"/>
              <w:gridCol w:w="744"/>
              <w:gridCol w:w="1202"/>
              <w:gridCol w:w="2936"/>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85" w:type="pct"/>
                  <w:noWrap w:val="0"/>
                  <w:vAlign w:val="center"/>
                </w:tcPr>
                <w:p>
                  <w:pPr>
                    <w:spacing w:line="240" w:lineRule="auto"/>
                    <w:jc w:val="center"/>
                    <w:rPr>
                      <w:rFonts w:ascii="Times New Roman" w:hAnsi="Times New Roman" w:eastAsia="宋体" w:cs="Arial"/>
                      <w:b/>
                      <w:color w:val="000000"/>
                      <w:sz w:val="21"/>
                    </w:rPr>
                  </w:pPr>
                  <w:r>
                    <w:rPr>
                      <w:rFonts w:ascii="Times New Roman" w:hAnsi="Times New Roman" w:eastAsia="宋体" w:cs="Arial"/>
                      <w:b/>
                      <w:color w:val="000000"/>
                      <w:sz w:val="21"/>
                    </w:rPr>
                    <w:t>序号</w:t>
                  </w:r>
                </w:p>
              </w:tc>
              <w:tc>
                <w:tcPr>
                  <w:tcW w:w="916" w:type="pct"/>
                  <w:noWrap w:val="0"/>
                  <w:vAlign w:val="center"/>
                </w:tcPr>
                <w:p>
                  <w:pPr>
                    <w:spacing w:line="240" w:lineRule="auto"/>
                    <w:jc w:val="center"/>
                    <w:rPr>
                      <w:rFonts w:ascii="Times New Roman" w:hAnsi="Times New Roman" w:eastAsia="宋体" w:cs="Arial"/>
                      <w:b/>
                      <w:color w:val="000000"/>
                      <w:sz w:val="21"/>
                    </w:rPr>
                  </w:pPr>
                  <w:r>
                    <w:rPr>
                      <w:rFonts w:ascii="Times New Roman" w:hAnsi="Times New Roman" w:eastAsia="宋体" w:cs="Arial"/>
                      <w:b/>
                      <w:color w:val="000000"/>
                      <w:sz w:val="21"/>
                    </w:rPr>
                    <w:t>固废名称</w:t>
                  </w:r>
                </w:p>
              </w:tc>
              <w:tc>
                <w:tcPr>
                  <w:tcW w:w="992" w:type="pct"/>
                  <w:noWrap w:val="0"/>
                  <w:vAlign w:val="center"/>
                </w:tcPr>
                <w:p>
                  <w:pPr>
                    <w:spacing w:line="240" w:lineRule="auto"/>
                    <w:jc w:val="center"/>
                    <w:rPr>
                      <w:rFonts w:ascii="Times New Roman" w:hAnsi="Times New Roman" w:eastAsia="宋体" w:cs="Arial"/>
                      <w:b/>
                      <w:color w:val="000000"/>
                      <w:sz w:val="21"/>
                    </w:rPr>
                  </w:pPr>
                  <w:r>
                    <w:rPr>
                      <w:rFonts w:ascii="Times New Roman" w:hAnsi="Times New Roman" w:eastAsia="宋体" w:cs="Arial"/>
                      <w:b/>
                      <w:color w:val="000000"/>
                      <w:sz w:val="21"/>
                    </w:rPr>
                    <w:t>分类</w:t>
                  </w:r>
                </w:p>
              </w:tc>
              <w:tc>
                <w:tcPr>
                  <w:tcW w:w="412" w:type="pct"/>
                  <w:noWrap w:val="0"/>
                  <w:vAlign w:val="center"/>
                </w:tcPr>
                <w:p>
                  <w:pPr>
                    <w:spacing w:line="240" w:lineRule="auto"/>
                    <w:jc w:val="center"/>
                    <w:rPr>
                      <w:rFonts w:ascii="Times New Roman" w:hAnsi="Times New Roman" w:eastAsia="宋体" w:cs="Arial"/>
                      <w:b/>
                      <w:color w:val="000000"/>
                      <w:sz w:val="21"/>
                    </w:rPr>
                  </w:pPr>
                  <w:r>
                    <w:rPr>
                      <w:rFonts w:ascii="Times New Roman" w:hAnsi="Times New Roman" w:eastAsia="宋体" w:cs="Arial"/>
                      <w:b/>
                      <w:color w:val="000000"/>
                      <w:sz w:val="21"/>
                    </w:rPr>
                    <w:t>性状</w:t>
                  </w:r>
                </w:p>
              </w:tc>
              <w:tc>
                <w:tcPr>
                  <w:tcW w:w="666" w:type="pct"/>
                  <w:noWrap w:val="0"/>
                  <w:vAlign w:val="center"/>
                </w:tcPr>
                <w:p>
                  <w:pPr>
                    <w:spacing w:line="240" w:lineRule="auto"/>
                    <w:jc w:val="center"/>
                    <w:rPr>
                      <w:rFonts w:ascii="Times New Roman" w:hAnsi="Times New Roman" w:eastAsia="宋体" w:cs="Arial"/>
                      <w:b/>
                      <w:color w:val="000000"/>
                      <w:sz w:val="21"/>
                    </w:rPr>
                  </w:pPr>
                  <w:r>
                    <w:rPr>
                      <w:rFonts w:ascii="Times New Roman" w:hAnsi="Times New Roman" w:eastAsia="宋体" w:cs="Arial"/>
                      <w:b/>
                      <w:color w:val="000000"/>
                      <w:sz w:val="21"/>
                    </w:rPr>
                    <w:t>处置量t/a</w:t>
                  </w:r>
                </w:p>
              </w:tc>
              <w:tc>
                <w:tcPr>
                  <w:tcW w:w="1626" w:type="pct"/>
                  <w:noWrap w:val="0"/>
                  <w:vAlign w:val="center"/>
                </w:tcPr>
                <w:p>
                  <w:pPr>
                    <w:spacing w:line="240" w:lineRule="auto"/>
                    <w:jc w:val="center"/>
                    <w:rPr>
                      <w:rFonts w:ascii="Times New Roman" w:hAnsi="Times New Roman" w:eastAsia="宋体" w:cs="Arial"/>
                      <w:b/>
                      <w:color w:val="000000"/>
                      <w:sz w:val="21"/>
                    </w:rPr>
                  </w:pPr>
                  <w:r>
                    <w:rPr>
                      <w:rFonts w:ascii="Times New Roman" w:hAnsi="Times New Roman" w:eastAsia="宋体" w:cs="Arial"/>
                      <w:b/>
                      <w:color w:val="000000"/>
                      <w:sz w:val="21"/>
                    </w:rPr>
                    <w:t>处理或处置方式</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85"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1</w:t>
                  </w:r>
                </w:p>
              </w:tc>
              <w:tc>
                <w:tcPr>
                  <w:tcW w:w="916"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不合格特喷管</w:t>
                  </w:r>
                </w:p>
              </w:tc>
              <w:tc>
                <w:tcPr>
                  <w:tcW w:w="992"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一般固废</w:t>
                  </w:r>
                </w:p>
              </w:tc>
              <w:tc>
                <w:tcPr>
                  <w:tcW w:w="412"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固态</w:t>
                  </w:r>
                </w:p>
              </w:tc>
              <w:tc>
                <w:tcPr>
                  <w:tcW w:w="666"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600</w:t>
                  </w:r>
                </w:p>
              </w:tc>
              <w:tc>
                <w:tcPr>
                  <w:tcW w:w="1626"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回炉熔炼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85"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2</w:t>
                  </w:r>
                </w:p>
              </w:tc>
              <w:tc>
                <w:tcPr>
                  <w:tcW w:w="916"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铸管边角料</w:t>
                  </w:r>
                </w:p>
              </w:tc>
              <w:tc>
                <w:tcPr>
                  <w:tcW w:w="992"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一般固废</w:t>
                  </w:r>
                </w:p>
              </w:tc>
              <w:tc>
                <w:tcPr>
                  <w:tcW w:w="412"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固态</w:t>
                  </w:r>
                </w:p>
              </w:tc>
              <w:tc>
                <w:tcPr>
                  <w:tcW w:w="666"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200</w:t>
                  </w:r>
                </w:p>
              </w:tc>
              <w:tc>
                <w:tcPr>
                  <w:tcW w:w="1626"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回炉熔炼</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85"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3</w:t>
                  </w:r>
                </w:p>
              </w:tc>
              <w:tc>
                <w:tcPr>
                  <w:tcW w:w="916"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铁屑</w:t>
                  </w:r>
                </w:p>
              </w:tc>
              <w:tc>
                <w:tcPr>
                  <w:tcW w:w="992" w:type="pct"/>
                  <w:noWrap w:val="0"/>
                  <w:vAlign w:val="top"/>
                </w:tcPr>
                <w:p>
                  <w:pPr>
                    <w:spacing w:line="240" w:lineRule="auto"/>
                    <w:jc w:val="center"/>
                    <w:rPr>
                      <w:rFonts w:ascii="Times New Roman" w:hAnsi="Times New Roman" w:eastAsia="宋体" w:cs="Arial"/>
                      <w:color w:val="000000"/>
                      <w:sz w:val="21"/>
                      <w:szCs w:val="24"/>
                    </w:rPr>
                  </w:pPr>
                  <w:r>
                    <w:rPr>
                      <w:rFonts w:ascii="Times New Roman" w:hAnsi="Times New Roman" w:eastAsia="宋体" w:cs="Arial"/>
                      <w:color w:val="000000"/>
                      <w:sz w:val="21"/>
                    </w:rPr>
                    <w:t>一般固废</w:t>
                  </w:r>
                </w:p>
              </w:tc>
              <w:tc>
                <w:tcPr>
                  <w:tcW w:w="412" w:type="pct"/>
                  <w:noWrap w:val="0"/>
                  <w:vAlign w:val="top"/>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固态</w:t>
                  </w:r>
                </w:p>
              </w:tc>
              <w:tc>
                <w:tcPr>
                  <w:tcW w:w="666" w:type="pct"/>
                  <w:noWrap w:val="0"/>
                  <w:vAlign w:val="top"/>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771</w:t>
                  </w:r>
                </w:p>
              </w:tc>
              <w:tc>
                <w:tcPr>
                  <w:tcW w:w="1626"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作高炉炼铁原料使用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85"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4</w:t>
                  </w:r>
                </w:p>
              </w:tc>
              <w:tc>
                <w:tcPr>
                  <w:tcW w:w="916"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含铁除尘灰</w:t>
                  </w:r>
                </w:p>
              </w:tc>
              <w:tc>
                <w:tcPr>
                  <w:tcW w:w="992" w:type="pct"/>
                  <w:noWrap w:val="0"/>
                  <w:vAlign w:val="top"/>
                </w:tcPr>
                <w:p>
                  <w:pPr>
                    <w:spacing w:line="240" w:lineRule="auto"/>
                    <w:jc w:val="center"/>
                    <w:rPr>
                      <w:rFonts w:ascii="Times New Roman" w:hAnsi="Times New Roman" w:eastAsia="宋体" w:cs="Arial"/>
                      <w:color w:val="000000"/>
                      <w:sz w:val="21"/>
                      <w:szCs w:val="24"/>
                    </w:rPr>
                  </w:pPr>
                  <w:r>
                    <w:rPr>
                      <w:rFonts w:ascii="Times New Roman" w:hAnsi="Times New Roman" w:eastAsia="宋体" w:cs="Arial"/>
                      <w:color w:val="000000"/>
                      <w:sz w:val="21"/>
                    </w:rPr>
                    <w:t>一般固废</w:t>
                  </w:r>
                </w:p>
              </w:tc>
              <w:tc>
                <w:tcPr>
                  <w:tcW w:w="412" w:type="pct"/>
                  <w:noWrap w:val="0"/>
                  <w:vAlign w:val="top"/>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固态</w:t>
                  </w:r>
                </w:p>
              </w:tc>
              <w:tc>
                <w:tcPr>
                  <w:tcW w:w="666" w:type="pct"/>
                  <w:noWrap w:val="0"/>
                  <w:vAlign w:val="top"/>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428.97</w:t>
                  </w:r>
                </w:p>
              </w:tc>
              <w:tc>
                <w:tcPr>
                  <w:tcW w:w="1626"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作烧结原料使用</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85"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5</w:t>
                  </w:r>
                </w:p>
              </w:tc>
              <w:tc>
                <w:tcPr>
                  <w:tcW w:w="916"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涂料渣</w:t>
                  </w:r>
                </w:p>
              </w:tc>
              <w:tc>
                <w:tcPr>
                  <w:tcW w:w="992" w:type="pct"/>
                  <w:noWrap w:val="0"/>
                  <w:vAlign w:val="center"/>
                </w:tcPr>
                <w:p>
                  <w:pPr>
                    <w:spacing w:line="240" w:lineRule="auto"/>
                    <w:jc w:val="center"/>
                    <w:rPr>
                      <w:rFonts w:ascii="Times New Roman" w:hAnsi="Times New Roman" w:eastAsia="宋体" w:cs="Arial"/>
                      <w:color w:val="000000"/>
                      <w:sz w:val="21"/>
                    </w:rPr>
                  </w:pPr>
                  <w:r>
                    <w:rPr>
                      <w:rFonts w:hint="eastAsia" w:ascii="Times New Roman" w:hAnsi="Times New Roman" w:eastAsia="宋体" w:cs="Arial"/>
                      <w:color w:val="000000"/>
                      <w:sz w:val="21"/>
                    </w:rPr>
                    <w:t>危废HW12</w:t>
                  </w:r>
                </w:p>
              </w:tc>
              <w:tc>
                <w:tcPr>
                  <w:tcW w:w="412"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固态</w:t>
                  </w:r>
                </w:p>
              </w:tc>
              <w:tc>
                <w:tcPr>
                  <w:tcW w:w="666"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7.56</w:t>
                  </w:r>
                </w:p>
              </w:tc>
              <w:tc>
                <w:tcPr>
                  <w:tcW w:w="1626" w:type="pct"/>
                  <w:vMerge w:val="restart"/>
                  <w:noWrap w:val="0"/>
                  <w:vAlign w:val="center"/>
                </w:tcPr>
                <w:p>
                  <w:pPr>
                    <w:spacing w:line="240" w:lineRule="auto"/>
                    <w:jc w:val="center"/>
                    <w:rPr>
                      <w:rFonts w:hint="eastAsia" w:ascii="Times New Roman" w:hAnsi="Times New Roman" w:eastAsia="宋体" w:cs="Arial"/>
                      <w:color w:val="000000"/>
                      <w:sz w:val="21"/>
                    </w:rPr>
                  </w:pPr>
                  <w:r>
                    <w:rPr>
                      <w:rFonts w:hint="eastAsia" w:ascii="Times New Roman" w:hAnsi="Times New Roman" w:eastAsia="宋体" w:cs="Arial"/>
                      <w:color w:val="000000"/>
                      <w:sz w:val="21"/>
                    </w:rPr>
                    <w:t>芜湖</w:t>
                  </w:r>
                  <w:r>
                    <w:rPr>
                      <w:rFonts w:ascii="Times New Roman" w:hAnsi="Times New Roman" w:eastAsia="宋体" w:cs="Arial"/>
                      <w:color w:val="000000"/>
                      <w:sz w:val="21"/>
                    </w:rPr>
                    <w:t>海创</w:t>
                  </w:r>
                  <w:r>
                    <w:rPr>
                      <w:rFonts w:hint="eastAsia" w:ascii="Times New Roman" w:hAnsi="Times New Roman" w:eastAsia="宋体" w:cs="Arial"/>
                      <w:color w:val="000000"/>
                      <w:sz w:val="21"/>
                    </w:rPr>
                    <w:t>环保</w:t>
                  </w:r>
                  <w:r>
                    <w:rPr>
                      <w:rFonts w:ascii="Times New Roman" w:hAnsi="Times New Roman" w:eastAsia="宋体" w:cs="Arial"/>
                      <w:color w:val="000000"/>
                      <w:sz w:val="21"/>
                    </w:rPr>
                    <w:t>科技</w:t>
                  </w:r>
                  <w:r>
                    <w:rPr>
                      <w:rFonts w:hint="eastAsia" w:ascii="Times New Roman" w:hAnsi="Times New Roman" w:eastAsia="宋体" w:cs="Arial"/>
                      <w:color w:val="000000"/>
                      <w:sz w:val="21"/>
                    </w:rPr>
                    <w:t>有限</w:t>
                  </w:r>
                  <w:r>
                    <w:rPr>
                      <w:rFonts w:ascii="Times New Roman" w:hAnsi="Times New Roman" w:eastAsia="宋体" w:cs="Arial"/>
                      <w:color w:val="000000"/>
                      <w:sz w:val="21"/>
                    </w:rPr>
                    <w:t>责任公司</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85"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6</w:t>
                  </w:r>
                </w:p>
              </w:tc>
              <w:tc>
                <w:tcPr>
                  <w:tcW w:w="916"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废油漆桶</w:t>
                  </w:r>
                </w:p>
              </w:tc>
              <w:tc>
                <w:tcPr>
                  <w:tcW w:w="992" w:type="pct"/>
                  <w:noWrap w:val="0"/>
                  <w:vAlign w:val="center"/>
                </w:tcPr>
                <w:p>
                  <w:pPr>
                    <w:spacing w:line="240" w:lineRule="auto"/>
                    <w:jc w:val="center"/>
                    <w:rPr>
                      <w:rFonts w:hint="eastAsia" w:ascii="Times New Roman" w:hAnsi="Times New Roman" w:eastAsia="宋体" w:cs="Arial"/>
                      <w:color w:val="000000"/>
                      <w:sz w:val="21"/>
                    </w:rPr>
                  </w:pPr>
                  <w:r>
                    <w:rPr>
                      <w:rFonts w:hint="eastAsia" w:ascii="Times New Roman" w:hAnsi="Times New Roman" w:eastAsia="宋体" w:cs="Arial"/>
                      <w:color w:val="000000"/>
                      <w:sz w:val="21"/>
                    </w:rPr>
                    <w:t>危废HW49</w:t>
                  </w:r>
                </w:p>
              </w:tc>
              <w:tc>
                <w:tcPr>
                  <w:tcW w:w="412" w:type="pct"/>
                  <w:noWrap w:val="0"/>
                  <w:vAlign w:val="top"/>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固态</w:t>
                  </w:r>
                </w:p>
              </w:tc>
              <w:tc>
                <w:tcPr>
                  <w:tcW w:w="666" w:type="pct"/>
                  <w:noWrap w:val="0"/>
                  <w:vAlign w:val="top"/>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0.45</w:t>
                  </w:r>
                </w:p>
              </w:tc>
              <w:tc>
                <w:tcPr>
                  <w:tcW w:w="1626" w:type="pct"/>
                  <w:vMerge w:val="continue"/>
                  <w:noWrap w:val="0"/>
                  <w:vAlign w:val="center"/>
                </w:tcPr>
                <w:p>
                  <w:pPr>
                    <w:spacing w:line="240" w:lineRule="auto"/>
                    <w:jc w:val="center"/>
                    <w:rPr>
                      <w:rFonts w:ascii="Times New Roman" w:hAnsi="Times New Roman" w:eastAsia="宋体" w:cs="Arial"/>
                      <w:color w:val="000000"/>
                      <w:sz w:val="21"/>
                    </w:rPr>
                  </w:pP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85"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7</w:t>
                  </w:r>
                </w:p>
              </w:tc>
              <w:tc>
                <w:tcPr>
                  <w:tcW w:w="916"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喷锌除尘灰</w:t>
                  </w:r>
                </w:p>
              </w:tc>
              <w:tc>
                <w:tcPr>
                  <w:tcW w:w="992" w:type="pct"/>
                  <w:noWrap w:val="0"/>
                  <w:vAlign w:val="top"/>
                </w:tcPr>
                <w:p>
                  <w:pPr>
                    <w:spacing w:line="240" w:lineRule="auto"/>
                    <w:jc w:val="center"/>
                    <w:rPr>
                      <w:rFonts w:ascii="Times New Roman" w:hAnsi="Times New Roman" w:eastAsia="宋体" w:cs="Arial"/>
                      <w:color w:val="000000"/>
                      <w:sz w:val="21"/>
                      <w:szCs w:val="24"/>
                    </w:rPr>
                  </w:pPr>
                  <w:r>
                    <w:rPr>
                      <w:rFonts w:ascii="Times New Roman" w:hAnsi="Times New Roman" w:eastAsia="宋体" w:cs="Arial"/>
                      <w:color w:val="000000"/>
                      <w:sz w:val="21"/>
                    </w:rPr>
                    <w:t>危废HW23</w:t>
                  </w:r>
                </w:p>
              </w:tc>
              <w:tc>
                <w:tcPr>
                  <w:tcW w:w="412" w:type="pct"/>
                  <w:noWrap w:val="0"/>
                  <w:vAlign w:val="top"/>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固态</w:t>
                  </w:r>
                </w:p>
              </w:tc>
              <w:tc>
                <w:tcPr>
                  <w:tcW w:w="666" w:type="pct"/>
                  <w:noWrap w:val="0"/>
                  <w:vAlign w:val="top"/>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1.68</w:t>
                  </w:r>
                </w:p>
              </w:tc>
              <w:tc>
                <w:tcPr>
                  <w:tcW w:w="1626" w:type="pct"/>
                  <w:noWrap w:val="0"/>
                  <w:vAlign w:val="center"/>
                </w:tcPr>
                <w:p>
                  <w:pPr>
                    <w:spacing w:line="240" w:lineRule="auto"/>
                    <w:jc w:val="center"/>
                    <w:rPr>
                      <w:rFonts w:hint="eastAsia" w:ascii="Times New Roman" w:hAnsi="Times New Roman" w:eastAsia="宋体" w:cs="Arial"/>
                      <w:color w:val="000000"/>
                      <w:sz w:val="21"/>
                    </w:rPr>
                  </w:pPr>
                  <w:r>
                    <w:rPr>
                      <w:rFonts w:hint="eastAsia" w:ascii="Times New Roman" w:hAnsi="Times New Roman" w:eastAsia="宋体" w:cs="Arial"/>
                      <w:color w:val="000000"/>
                      <w:sz w:val="21"/>
                    </w:rPr>
                    <w:t>芜湖市易晖</w:t>
                  </w:r>
                  <w:r>
                    <w:rPr>
                      <w:rFonts w:ascii="Times New Roman" w:hAnsi="Times New Roman" w:eastAsia="宋体" w:cs="Arial"/>
                      <w:color w:val="000000"/>
                      <w:sz w:val="21"/>
                    </w:rPr>
                    <w:t>金属有限公司</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85"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8</w:t>
                  </w:r>
                </w:p>
              </w:tc>
              <w:tc>
                <w:tcPr>
                  <w:tcW w:w="916"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废活性炭</w:t>
                  </w:r>
                </w:p>
              </w:tc>
              <w:tc>
                <w:tcPr>
                  <w:tcW w:w="992"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危废HW49</w:t>
                  </w:r>
                </w:p>
              </w:tc>
              <w:tc>
                <w:tcPr>
                  <w:tcW w:w="412" w:type="pct"/>
                  <w:noWrap w:val="0"/>
                  <w:vAlign w:val="top"/>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固态</w:t>
                  </w:r>
                </w:p>
              </w:tc>
              <w:tc>
                <w:tcPr>
                  <w:tcW w:w="666" w:type="pct"/>
                  <w:noWrap w:val="0"/>
                  <w:vAlign w:val="top"/>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8.52</w:t>
                  </w:r>
                </w:p>
              </w:tc>
              <w:tc>
                <w:tcPr>
                  <w:tcW w:w="1626" w:type="pct"/>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作炼铁燃料使用</w:t>
                  </w:r>
                </w:p>
              </w:tc>
            </w:tr>
          </w:tbl>
          <w:p>
            <w:pPr>
              <w:spacing w:line="360" w:lineRule="auto"/>
              <w:ind w:firstLine="480" w:firstLineChars="200"/>
              <w:jc w:val="both"/>
              <w:rPr>
                <w:rFonts w:hint="eastAsia" w:ascii="Times New Roman" w:hAnsi="Times New Roman" w:eastAsia="宋体"/>
                <w:b w:val="0"/>
                <w:bCs/>
                <w:color w:val="auto"/>
                <w:sz w:val="24"/>
                <w:szCs w:val="24"/>
              </w:rPr>
            </w:pPr>
            <w:r>
              <w:rPr>
                <w:rFonts w:hint="eastAsia" w:ascii="Times New Roman" w:hAnsi="Times New Roman" w:eastAsia="宋体"/>
                <w:b w:val="0"/>
                <w:bCs/>
                <w:color w:val="auto"/>
                <w:sz w:val="24"/>
                <w:szCs w:val="24"/>
                <w:lang w:val="en-US" w:eastAsia="zh-CN"/>
              </w:rPr>
              <w:t>④</w:t>
            </w:r>
            <w:r>
              <w:rPr>
                <w:rFonts w:hint="eastAsia" w:ascii="Times New Roman" w:hAnsi="Times New Roman" w:eastAsia="宋体"/>
                <w:b w:val="0"/>
                <w:bCs/>
                <w:color w:val="auto"/>
                <w:sz w:val="24"/>
                <w:szCs w:val="24"/>
              </w:rPr>
              <w:t>噪声</w:t>
            </w:r>
          </w:p>
          <w:p>
            <w:pPr>
              <w:spacing w:line="360" w:lineRule="auto"/>
              <w:ind w:firstLine="480" w:firstLineChars="200"/>
              <w:jc w:val="both"/>
              <w:rPr>
                <w:rFonts w:ascii="Times New Roman" w:hAnsi="Times New Roman" w:eastAsia="宋体"/>
                <w:b w:val="0"/>
                <w:bCs/>
                <w:color w:val="auto"/>
                <w:sz w:val="24"/>
                <w:szCs w:val="24"/>
              </w:rPr>
            </w:pPr>
            <w:r>
              <w:rPr>
                <w:rFonts w:hint="eastAsia" w:ascii="Times New Roman" w:hAnsi="Times New Roman" w:eastAsia="宋体"/>
                <w:b w:val="0"/>
                <w:bCs/>
                <w:color w:val="auto"/>
                <w:sz w:val="24"/>
                <w:szCs w:val="24"/>
              </w:rPr>
              <w:t>项目噪声污染源主要为间歇性的切环、倒角、修磨、抛丸等产生的机械噪声等设备噪声。通过安装减振垫、消音器等措施，以及厂房隔声、距离衰减达到降低噪声的目的。</w:t>
            </w:r>
          </w:p>
          <w:p>
            <w:pPr>
              <w:spacing w:line="360" w:lineRule="auto"/>
              <w:jc w:val="center"/>
              <w:rPr>
                <w:rFonts w:ascii="Times New Roman" w:hAnsi="Times New Roman" w:eastAsia="宋体"/>
                <w:b w:val="0"/>
                <w:bCs/>
                <w:color w:val="auto"/>
                <w:sz w:val="24"/>
                <w:szCs w:val="24"/>
              </w:rPr>
            </w:pPr>
            <w:r>
              <w:rPr>
                <w:rFonts w:hint="eastAsia" w:ascii="Times New Roman" w:hAnsi="Times New Roman" w:eastAsia="宋体"/>
                <w:b w:val="0"/>
                <w:bCs/>
                <w:color w:val="auto"/>
                <w:sz w:val="24"/>
                <w:szCs w:val="24"/>
              </w:rPr>
              <w:t>表1-</w:t>
            </w:r>
            <w:r>
              <w:rPr>
                <w:rFonts w:hint="eastAsia" w:ascii="Times New Roman" w:hAnsi="Times New Roman" w:eastAsia="宋体"/>
                <w:b w:val="0"/>
                <w:bCs/>
                <w:color w:val="auto"/>
                <w:sz w:val="24"/>
                <w:szCs w:val="24"/>
                <w:lang w:val="en-US" w:eastAsia="zh-CN"/>
              </w:rPr>
              <w:t>9</w:t>
            </w:r>
            <w:r>
              <w:rPr>
                <w:rFonts w:hint="eastAsia" w:ascii="Times New Roman" w:hAnsi="Times New Roman" w:eastAsia="宋体"/>
                <w:b w:val="0"/>
                <w:bCs/>
                <w:color w:val="auto"/>
                <w:sz w:val="24"/>
                <w:szCs w:val="24"/>
              </w:rPr>
              <w:t xml:space="preserve"> 噪声污染源强及治理状况表</w:t>
            </w:r>
          </w:p>
          <w:tbl>
            <w:tblPr>
              <w:tblStyle w:val="22"/>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94"/>
              <w:gridCol w:w="2184"/>
              <w:gridCol w:w="1769"/>
              <w:gridCol w:w="1417"/>
              <w:gridCol w:w="2341"/>
            </w:tblGrid>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noWrap w:val="0"/>
                  <w:vAlign w:val="center"/>
                </w:tcPr>
                <w:p>
                  <w:pPr>
                    <w:spacing w:line="240" w:lineRule="auto"/>
                    <w:jc w:val="center"/>
                    <w:rPr>
                      <w:rFonts w:ascii="Times New Roman" w:hAnsi="Times New Roman" w:eastAsia="宋体" w:cs="Arial"/>
                      <w:b/>
                      <w:color w:val="000000"/>
                      <w:sz w:val="21"/>
                    </w:rPr>
                  </w:pPr>
                  <w:r>
                    <w:rPr>
                      <w:rFonts w:ascii="Times New Roman" w:hAnsi="Times New Roman" w:eastAsia="宋体" w:cs="Arial"/>
                      <w:b/>
                      <w:color w:val="000000"/>
                      <w:sz w:val="21"/>
                    </w:rPr>
                    <w:t>序号</w:t>
                  </w:r>
                </w:p>
              </w:tc>
              <w:tc>
                <w:tcPr>
                  <w:tcW w:w="2184" w:type="dxa"/>
                  <w:noWrap w:val="0"/>
                  <w:vAlign w:val="center"/>
                </w:tcPr>
                <w:p>
                  <w:pPr>
                    <w:spacing w:line="240" w:lineRule="auto"/>
                    <w:jc w:val="center"/>
                    <w:rPr>
                      <w:rFonts w:ascii="Times New Roman" w:hAnsi="Times New Roman" w:eastAsia="宋体" w:cs="Arial"/>
                      <w:b/>
                      <w:color w:val="000000"/>
                      <w:sz w:val="21"/>
                    </w:rPr>
                  </w:pPr>
                  <w:r>
                    <w:rPr>
                      <w:rFonts w:ascii="Times New Roman" w:hAnsi="Times New Roman" w:eastAsia="宋体" w:cs="Arial"/>
                      <w:b/>
                      <w:color w:val="000000"/>
                      <w:sz w:val="21"/>
                    </w:rPr>
                    <w:t>设备名称</w:t>
                  </w:r>
                </w:p>
              </w:tc>
              <w:tc>
                <w:tcPr>
                  <w:tcW w:w="1769" w:type="dxa"/>
                  <w:noWrap w:val="0"/>
                  <w:vAlign w:val="center"/>
                </w:tcPr>
                <w:p>
                  <w:pPr>
                    <w:spacing w:line="240" w:lineRule="auto"/>
                    <w:jc w:val="center"/>
                    <w:rPr>
                      <w:rFonts w:ascii="Times New Roman" w:hAnsi="Times New Roman" w:eastAsia="宋体" w:cs="Arial"/>
                      <w:b/>
                      <w:color w:val="000000"/>
                      <w:sz w:val="21"/>
                    </w:rPr>
                  </w:pPr>
                  <w:r>
                    <w:rPr>
                      <w:rFonts w:ascii="Times New Roman" w:hAnsi="Times New Roman" w:eastAsia="宋体" w:cs="Arial"/>
                      <w:b/>
                      <w:color w:val="000000"/>
                      <w:sz w:val="21"/>
                    </w:rPr>
                    <w:t>噪声源强</w:t>
                  </w:r>
                </w:p>
                <w:p>
                  <w:pPr>
                    <w:spacing w:line="240" w:lineRule="auto"/>
                    <w:jc w:val="center"/>
                    <w:rPr>
                      <w:rFonts w:ascii="Times New Roman" w:hAnsi="Times New Roman" w:eastAsia="宋体" w:cs="Arial"/>
                      <w:b/>
                      <w:color w:val="000000"/>
                      <w:sz w:val="21"/>
                    </w:rPr>
                  </w:pPr>
                  <w:r>
                    <w:rPr>
                      <w:rFonts w:ascii="Times New Roman" w:hAnsi="Times New Roman" w:eastAsia="宋体" w:cs="Arial"/>
                      <w:b/>
                      <w:color w:val="000000"/>
                      <w:sz w:val="21"/>
                    </w:rPr>
                    <w:t>dB(A)</w:t>
                  </w:r>
                </w:p>
              </w:tc>
              <w:tc>
                <w:tcPr>
                  <w:tcW w:w="1417" w:type="dxa"/>
                  <w:noWrap w:val="0"/>
                  <w:vAlign w:val="center"/>
                </w:tcPr>
                <w:p>
                  <w:pPr>
                    <w:spacing w:line="240" w:lineRule="auto"/>
                    <w:jc w:val="center"/>
                    <w:rPr>
                      <w:rFonts w:ascii="Times New Roman" w:hAnsi="Times New Roman" w:eastAsia="宋体" w:cs="Arial"/>
                      <w:b/>
                      <w:color w:val="000000"/>
                      <w:sz w:val="21"/>
                    </w:rPr>
                  </w:pPr>
                  <w:r>
                    <w:rPr>
                      <w:rFonts w:ascii="Times New Roman" w:hAnsi="Times New Roman" w:eastAsia="宋体" w:cs="Arial"/>
                      <w:b/>
                      <w:color w:val="000000"/>
                      <w:sz w:val="21"/>
                    </w:rPr>
                    <w:t>排放规律</w:t>
                  </w:r>
                </w:p>
              </w:tc>
              <w:tc>
                <w:tcPr>
                  <w:tcW w:w="2341" w:type="dxa"/>
                  <w:noWrap w:val="0"/>
                  <w:vAlign w:val="center"/>
                </w:tcPr>
                <w:p>
                  <w:pPr>
                    <w:spacing w:line="240" w:lineRule="auto"/>
                    <w:jc w:val="center"/>
                    <w:rPr>
                      <w:rFonts w:ascii="Times New Roman" w:hAnsi="Times New Roman" w:eastAsia="宋体" w:cs="Arial"/>
                      <w:b/>
                      <w:color w:val="000000"/>
                      <w:sz w:val="21"/>
                    </w:rPr>
                  </w:pPr>
                  <w:r>
                    <w:rPr>
                      <w:rFonts w:ascii="Times New Roman" w:hAnsi="Times New Roman" w:eastAsia="宋体" w:cs="Arial"/>
                      <w:b/>
                      <w:color w:val="000000"/>
                      <w:sz w:val="21"/>
                    </w:rPr>
                    <w:t>治理措施</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1</w:t>
                  </w:r>
                </w:p>
              </w:tc>
              <w:tc>
                <w:tcPr>
                  <w:tcW w:w="2184"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切环机</w:t>
                  </w:r>
                </w:p>
              </w:tc>
              <w:tc>
                <w:tcPr>
                  <w:tcW w:w="1769"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95-105</w:t>
                  </w:r>
                </w:p>
              </w:tc>
              <w:tc>
                <w:tcPr>
                  <w:tcW w:w="1417" w:type="dxa"/>
                  <w:noWrap w:val="0"/>
                  <w:vAlign w:val="top"/>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间歇</w:t>
                  </w:r>
                </w:p>
              </w:tc>
              <w:tc>
                <w:tcPr>
                  <w:tcW w:w="2341"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减震、厂房隔声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2</w:t>
                  </w:r>
                </w:p>
              </w:tc>
              <w:tc>
                <w:tcPr>
                  <w:tcW w:w="2184"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倒角机</w:t>
                  </w:r>
                </w:p>
              </w:tc>
              <w:tc>
                <w:tcPr>
                  <w:tcW w:w="1769"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90-100</w:t>
                  </w:r>
                </w:p>
              </w:tc>
              <w:tc>
                <w:tcPr>
                  <w:tcW w:w="1417" w:type="dxa"/>
                  <w:noWrap w:val="0"/>
                  <w:vAlign w:val="top"/>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间歇</w:t>
                  </w:r>
                </w:p>
              </w:tc>
              <w:tc>
                <w:tcPr>
                  <w:tcW w:w="2341"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减震、厂房隔声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3</w:t>
                  </w:r>
                </w:p>
              </w:tc>
              <w:tc>
                <w:tcPr>
                  <w:tcW w:w="2184"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内磨机</w:t>
                  </w:r>
                </w:p>
              </w:tc>
              <w:tc>
                <w:tcPr>
                  <w:tcW w:w="1769"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85-95</w:t>
                  </w:r>
                </w:p>
              </w:tc>
              <w:tc>
                <w:tcPr>
                  <w:tcW w:w="1417" w:type="dxa"/>
                  <w:noWrap w:val="0"/>
                  <w:vAlign w:val="top"/>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间歇</w:t>
                  </w:r>
                </w:p>
              </w:tc>
              <w:tc>
                <w:tcPr>
                  <w:tcW w:w="2341"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减震、厂房隔声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4</w:t>
                  </w:r>
                </w:p>
              </w:tc>
              <w:tc>
                <w:tcPr>
                  <w:tcW w:w="2184"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内抛丸机</w:t>
                  </w:r>
                </w:p>
              </w:tc>
              <w:tc>
                <w:tcPr>
                  <w:tcW w:w="1769"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90-100</w:t>
                  </w:r>
                </w:p>
              </w:tc>
              <w:tc>
                <w:tcPr>
                  <w:tcW w:w="1417" w:type="dxa"/>
                  <w:noWrap w:val="0"/>
                  <w:vAlign w:val="top"/>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间歇</w:t>
                  </w:r>
                </w:p>
              </w:tc>
              <w:tc>
                <w:tcPr>
                  <w:tcW w:w="2341"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减震、厂房隔声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5</w:t>
                  </w:r>
                </w:p>
              </w:tc>
              <w:tc>
                <w:tcPr>
                  <w:tcW w:w="2184"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外抛丸机</w:t>
                  </w:r>
                </w:p>
              </w:tc>
              <w:tc>
                <w:tcPr>
                  <w:tcW w:w="1769"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90-100</w:t>
                  </w:r>
                </w:p>
              </w:tc>
              <w:tc>
                <w:tcPr>
                  <w:tcW w:w="1417" w:type="dxa"/>
                  <w:noWrap w:val="0"/>
                  <w:vAlign w:val="top"/>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间歇</w:t>
                  </w:r>
                </w:p>
              </w:tc>
              <w:tc>
                <w:tcPr>
                  <w:tcW w:w="2341"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减震、厂房隔声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794"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6</w:t>
                  </w:r>
                </w:p>
              </w:tc>
              <w:tc>
                <w:tcPr>
                  <w:tcW w:w="2184"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除尘等风机</w:t>
                  </w:r>
                </w:p>
              </w:tc>
              <w:tc>
                <w:tcPr>
                  <w:tcW w:w="1769"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85-95</w:t>
                  </w:r>
                </w:p>
              </w:tc>
              <w:tc>
                <w:tcPr>
                  <w:tcW w:w="1417" w:type="dxa"/>
                  <w:noWrap w:val="0"/>
                  <w:vAlign w:val="top"/>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连续</w:t>
                  </w:r>
                </w:p>
              </w:tc>
              <w:tc>
                <w:tcPr>
                  <w:tcW w:w="2341"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减震、厂房隔声</w:t>
                  </w:r>
                </w:p>
              </w:tc>
            </w:tr>
            <w:tr>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jc w:val="center"/>
              </w:trPr>
              <w:tc>
                <w:tcPr>
                  <w:tcW w:w="794"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7</w:t>
                  </w:r>
                </w:p>
              </w:tc>
              <w:tc>
                <w:tcPr>
                  <w:tcW w:w="2184"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循环水泵</w:t>
                  </w:r>
                </w:p>
              </w:tc>
              <w:tc>
                <w:tcPr>
                  <w:tcW w:w="1769"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75-85</w:t>
                  </w:r>
                </w:p>
              </w:tc>
              <w:tc>
                <w:tcPr>
                  <w:tcW w:w="1417" w:type="dxa"/>
                  <w:noWrap w:val="0"/>
                  <w:vAlign w:val="top"/>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连续</w:t>
                  </w:r>
                </w:p>
              </w:tc>
              <w:tc>
                <w:tcPr>
                  <w:tcW w:w="2341" w:type="dxa"/>
                  <w:noWrap w:val="0"/>
                  <w:vAlign w:val="center"/>
                </w:tcPr>
                <w:p>
                  <w:pPr>
                    <w:spacing w:line="240" w:lineRule="auto"/>
                    <w:jc w:val="center"/>
                    <w:rPr>
                      <w:rFonts w:ascii="Times New Roman" w:hAnsi="Times New Roman" w:eastAsia="宋体" w:cs="Arial"/>
                      <w:color w:val="000000"/>
                      <w:sz w:val="21"/>
                    </w:rPr>
                  </w:pPr>
                  <w:r>
                    <w:rPr>
                      <w:rFonts w:ascii="Times New Roman" w:hAnsi="Times New Roman" w:eastAsia="宋体" w:cs="Arial"/>
                      <w:color w:val="000000"/>
                      <w:sz w:val="21"/>
                    </w:rPr>
                    <w:t>减震、厂房隔声</w:t>
                  </w:r>
                </w:p>
              </w:tc>
            </w:tr>
          </w:tbl>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pStyle w:val="2"/>
              <w:rPr>
                <w:rFonts w:ascii="Times New Roman" w:hAnsi="Times New Roman" w:eastAsia="宋体"/>
                <w:b/>
                <w:color w:val="auto"/>
                <w:sz w:val="24"/>
                <w:szCs w:val="24"/>
              </w:rPr>
            </w:pPr>
          </w:p>
          <w:p>
            <w:pPr>
              <w:spacing w:line="360" w:lineRule="auto"/>
              <w:rPr>
                <w:rFonts w:ascii="Times New Roman" w:hAnsi="Times New Roman" w:eastAsia="宋体"/>
                <w:color w:val="auto"/>
                <w:sz w:val="24"/>
              </w:rPr>
            </w:pPr>
          </w:p>
        </w:tc>
      </w:tr>
    </w:tbl>
    <w:p>
      <w:pPr>
        <w:pStyle w:val="3"/>
        <w:rPr>
          <w:rFonts w:ascii="Times New Roman" w:hAnsi="Times New Roman" w:eastAsia="宋体"/>
          <w:color w:val="auto"/>
        </w:rPr>
        <w:sectPr>
          <w:footerReference r:id="rId3" w:type="default"/>
          <w:pgSz w:w="11906" w:h="16838"/>
          <w:pgMar w:top="1440" w:right="1800" w:bottom="1558" w:left="1800" w:header="851" w:footer="992" w:gutter="0"/>
          <w:cols w:space="720" w:num="1"/>
          <w:docGrid w:type="lines" w:linePitch="312" w:charSpace="0"/>
        </w:sectPr>
      </w:pPr>
    </w:p>
    <w:p>
      <w:pPr>
        <w:pStyle w:val="3"/>
        <w:rPr>
          <w:rFonts w:ascii="Times New Roman" w:hAnsi="Times New Roman" w:eastAsia="宋体"/>
          <w:color w:val="auto"/>
        </w:rPr>
      </w:pPr>
      <w:r>
        <w:rPr>
          <w:rFonts w:ascii="Times New Roman" w:hAnsi="Times New Roman" w:eastAsia="宋体"/>
          <w:color w:val="auto"/>
        </w:rPr>
        <w:t>建设项目所在地自然环境简况</w:t>
      </w:r>
    </w:p>
    <w:tbl>
      <w:tblPr>
        <w:tblStyle w:val="22"/>
        <w:tblW w:w="924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24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08" w:hRule="atLeast"/>
          <w:jc w:val="center"/>
        </w:trPr>
        <w:tc>
          <w:tcPr>
            <w:tcW w:w="9242" w:type="dxa"/>
            <w:tcBorders>
              <w:top w:val="single" w:color="auto" w:sz="4" w:space="0"/>
              <w:left w:val="single" w:color="auto" w:sz="4" w:space="0"/>
              <w:bottom w:val="single" w:color="auto" w:sz="4" w:space="0"/>
              <w:right w:val="single" w:color="auto" w:sz="4" w:space="0"/>
            </w:tcBorders>
          </w:tcPr>
          <w:p>
            <w:pPr>
              <w:spacing w:line="360" w:lineRule="auto"/>
              <w:rPr>
                <w:rFonts w:ascii="Times New Roman" w:hAnsi="Times New Roman" w:eastAsia="宋体"/>
                <w:b/>
                <w:color w:val="auto"/>
                <w:spacing w:val="-6"/>
                <w:sz w:val="28"/>
              </w:rPr>
            </w:pPr>
            <w:r>
              <w:rPr>
                <w:rFonts w:ascii="Times New Roman" w:hAnsi="Times New Roman" w:eastAsia="宋体"/>
                <w:b/>
                <w:color w:val="auto"/>
                <w:spacing w:val="-6"/>
                <w:sz w:val="28"/>
              </w:rPr>
              <w:t>自然环境简况（地形、地貌、地质、气候、气象、水文、植被、生物多样性等）：</w:t>
            </w:r>
          </w:p>
          <w:p>
            <w:pPr>
              <w:spacing w:line="360" w:lineRule="auto"/>
              <w:ind w:firstLine="482" w:firstLineChars="200"/>
              <w:rPr>
                <w:rFonts w:ascii="Times New Roman" w:hAnsi="Times New Roman" w:eastAsia="宋体"/>
                <w:b/>
                <w:color w:val="auto"/>
                <w:sz w:val="24"/>
              </w:rPr>
            </w:pPr>
            <w:r>
              <w:rPr>
                <w:rFonts w:ascii="Times New Roman" w:hAnsi="Times New Roman" w:eastAsia="宋体"/>
                <w:b/>
                <w:color w:val="auto"/>
                <w:sz w:val="24"/>
              </w:rPr>
              <w:t>1、地理位置</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芜湖市位于安徽省东南部，长江下游南岸，其地理位置为东经117°58′～118°43′，北纬30°38′～31°31′，市区坐落在长江与青弋江交汇处，是座有着两千五百多年历史的滨江古城，曾以中国“四大米市“之一闻名遐迩，素有”长江巨埠，皖中之坚“的美誉。 芜湖市域面积5988平方公里，人口384.21万，其中市区面积1064.7平方公里、人口123.8万，下辖无为</w:t>
            </w:r>
            <w:r>
              <w:rPr>
                <w:rFonts w:hint="eastAsia" w:ascii="Times New Roman" w:hAnsi="Times New Roman" w:eastAsia="宋体"/>
                <w:color w:val="auto"/>
                <w:sz w:val="24"/>
                <w:lang w:val="en-US" w:eastAsia="zh-CN"/>
              </w:rPr>
              <w:t>市</w:t>
            </w:r>
            <w:r>
              <w:rPr>
                <w:rFonts w:ascii="Times New Roman" w:hAnsi="Times New Roman" w:eastAsia="宋体"/>
                <w:color w:val="auto"/>
                <w:sz w:val="24"/>
              </w:rPr>
              <w:t>、芜湖、繁昌、南陵</w:t>
            </w:r>
            <w:r>
              <w:rPr>
                <w:rFonts w:hint="eastAsia" w:ascii="Times New Roman" w:hAnsi="Times New Roman" w:eastAsia="宋体"/>
                <w:color w:val="auto"/>
                <w:sz w:val="24"/>
                <w:lang w:val="en-US" w:eastAsia="zh-CN"/>
              </w:rPr>
              <w:t>3</w:t>
            </w:r>
            <w:r>
              <w:rPr>
                <w:rFonts w:ascii="Times New Roman" w:hAnsi="Times New Roman" w:eastAsia="宋体"/>
                <w:color w:val="auto"/>
                <w:sz w:val="24"/>
              </w:rPr>
              <w:t>县和镜湖、弋江、鸠江、三山4区，2个国家级开发区。</w:t>
            </w:r>
          </w:p>
          <w:p>
            <w:pPr>
              <w:spacing w:line="360" w:lineRule="auto"/>
              <w:ind w:firstLine="482" w:firstLineChars="200"/>
              <w:rPr>
                <w:rFonts w:ascii="Times New Roman" w:hAnsi="Times New Roman" w:eastAsia="宋体"/>
                <w:b/>
                <w:color w:val="auto"/>
                <w:sz w:val="24"/>
              </w:rPr>
            </w:pPr>
            <w:r>
              <w:rPr>
                <w:rFonts w:ascii="Times New Roman" w:hAnsi="Times New Roman" w:eastAsia="宋体"/>
                <w:b/>
                <w:color w:val="auto"/>
                <w:sz w:val="24"/>
              </w:rPr>
              <w:t>2、地质地貌</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芜湖市在大地构造上分属淮阳山字型构造东翼下扬子准地台宁芜凹陷南缘，基岩以岩浆岩为主。规划区内绝大部分地质条件良好，主要持力层为可塑状态粘土及砂质粘土，部分为坚硬性粘土，适宜中型以上建筑物。沿青弋江边200m左右地带，土质的主要挂力层为可塑性流动状态的薄层淤泥质土壤和粘土，砂质粘土，宜建中型以下的建筑物。</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总体上地势西高东低、南高北低，属长江中下游冲积平原地貌，主要由河漫滩和阶地构成。而弋江区区内东北高、西南低，地势平坦低洼，且多沟塘；地面标高一般在6～10m之间(黄海高程)，低于1954年洪水位（10.95m）4.0m左右，基本属于圩区，仅有一些低岗在边缘零星分布。</w:t>
            </w:r>
          </w:p>
          <w:p>
            <w:pPr>
              <w:spacing w:line="360" w:lineRule="auto"/>
              <w:ind w:firstLine="482" w:firstLineChars="200"/>
              <w:rPr>
                <w:rFonts w:ascii="Times New Roman" w:hAnsi="Times New Roman" w:eastAsia="宋体"/>
                <w:b/>
                <w:color w:val="auto"/>
                <w:sz w:val="24"/>
              </w:rPr>
            </w:pPr>
            <w:r>
              <w:rPr>
                <w:rFonts w:ascii="Times New Roman" w:hAnsi="Times New Roman" w:eastAsia="宋体"/>
                <w:b/>
                <w:color w:val="auto"/>
                <w:sz w:val="24"/>
              </w:rPr>
              <w:t>3、气侯</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芜湖市属亚热带湿润季风气候。地势南高北低，地形呈不规则长条状；地貌类型多样，平原丘陵皆备，河湖水网密布。芜湖的气候特点是：光照充足，雨量充沛，四季分明，年平均气温15-16摄氏度，日照时数2000小时左右。最热为7-8月，平均气温超过28℃，极端最高气温接近40℃；最冷为1月，月平均气温仅3℃，曾出现过-10℃的极端最低气温。芜湖降雨充沛，年降雨量1200毫米，但分布不均，主要集中在春季、梅雨季节和初冬。</w:t>
            </w:r>
          </w:p>
          <w:p>
            <w:pPr>
              <w:spacing w:line="360" w:lineRule="auto"/>
              <w:ind w:firstLine="482" w:firstLineChars="200"/>
              <w:rPr>
                <w:rFonts w:ascii="Times New Roman" w:hAnsi="Times New Roman" w:eastAsia="宋体"/>
                <w:b/>
                <w:color w:val="auto"/>
                <w:sz w:val="24"/>
              </w:rPr>
            </w:pPr>
            <w:r>
              <w:rPr>
                <w:rFonts w:ascii="Times New Roman" w:hAnsi="Times New Roman" w:eastAsia="宋体"/>
                <w:b/>
                <w:color w:val="auto"/>
                <w:sz w:val="24"/>
              </w:rPr>
              <w:t>4、水文</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区域内主要地表水系为长江，据水文站水文资料统计，本段长江多年平均流量为28300m</w:t>
            </w:r>
            <w:r>
              <w:rPr>
                <w:rFonts w:ascii="Times New Roman" w:hAnsi="Times New Roman" w:eastAsia="宋体"/>
                <w:color w:val="auto"/>
                <w:sz w:val="24"/>
                <w:vertAlign w:val="superscript"/>
              </w:rPr>
              <w:t>3</w:t>
            </w:r>
            <w:r>
              <w:rPr>
                <w:rFonts w:ascii="Times New Roman" w:hAnsi="Times New Roman" w:eastAsia="宋体"/>
                <w:color w:val="auto"/>
                <w:sz w:val="24"/>
              </w:rPr>
              <w:t>/s，终年水量丰沛，冬季为枯水期，年最低水位一般在1～2月，一般在7～8月水位最高。</w:t>
            </w:r>
          </w:p>
          <w:p>
            <w:pPr>
              <w:spacing w:line="360" w:lineRule="auto"/>
              <w:ind w:firstLine="482" w:firstLineChars="200"/>
              <w:rPr>
                <w:rFonts w:ascii="Times New Roman" w:hAnsi="Times New Roman" w:eastAsia="宋体"/>
                <w:b/>
                <w:color w:val="auto"/>
                <w:sz w:val="24"/>
              </w:rPr>
            </w:pPr>
            <w:r>
              <w:rPr>
                <w:rFonts w:ascii="Times New Roman" w:hAnsi="Times New Roman" w:eastAsia="宋体"/>
                <w:b/>
                <w:color w:val="auto"/>
                <w:sz w:val="24"/>
              </w:rPr>
              <w:t>5、土壤</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本项目所属区域地貌分区为冲积平原、侵蚀残丘和长江古老阶地三个基本地貌单元，土壤类型复杂多样，自然土壤有黄棕壤土和砂质粘土，适合发展林业，耕作土壤为水稻土和砂壤土，宜于种植水稻、油菜和各种蔬菜。</w:t>
            </w:r>
          </w:p>
          <w:p>
            <w:pPr>
              <w:spacing w:line="360" w:lineRule="auto"/>
              <w:ind w:firstLine="482" w:firstLineChars="200"/>
              <w:rPr>
                <w:rFonts w:ascii="Times New Roman" w:hAnsi="Times New Roman" w:eastAsia="宋体"/>
                <w:b/>
                <w:color w:val="auto"/>
                <w:sz w:val="24"/>
              </w:rPr>
            </w:pPr>
            <w:r>
              <w:rPr>
                <w:rFonts w:ascii="Times New Roman" w:hAnsi="Times New Roman" w:eastAsia="宋体"/>
                <w:b/>
                <w:color w:val="auto"/>
                <w:sz w:val="24"/>
              </w:rPr>
              <w:t>6、植被</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芜湖属于北亚热带、中亚热带的落叶阔叶林与常绿阔叶林混杂林地带，由于人为影响，原生天然植物已不存在，多为次生和人工林，如马尾松、银杏、水杉、香樟等，主要花卉有月季、杜鹃、牡丹、菊花等。</w:t>
            </w:r>
          </w:p>
          <w:p>
            <w:pPr>
              <w:spacing w:line="360" w:lineRule="auto"/>
              <w:ind w:firstLine="482" w:firstLineChars="200"/>
              <w:rPr>
                <w:rFonts w:ascii="Times New Roman" w:hAnsi="Times New Roman" w:eastAsia="宋体"/>
                <w:b/>
                <w:color w:val="auto"/>
                <w:sz w:val="24"/>
              </w:rPr>
            </w:pPr>
            <w:r>
              <w:rPr>
                <w:rFonts w:ascii="Times New Roman" w:hAnsi="Times New Roman" w:eastAsia="宋体"/>
                <w:b/>
                <w:color w:val="auto"/>
                <w:sz w:val="24"/>
              </w:rPr>
              <w:t>7、动物</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芜湖有山地、丘陵和广阔水面，动物资源丰富，有食用动物、毛皮动物、药源动物和珍稀动物。拟建项目区域内目前已少见野生动物。</w:t>
            </w:r>
          </w:p>
          <w:p>
            <w:pPr>
              <w:spacing w:line="360" w:lineRule="auto"/>
              <w:ind w:firstLine="482" w:firstLineChars="200"/>
              <w:rPr>
                <w:rFonts w:ascii="Times New Roman" w:hAnsi="Times New Roman" w:eastAsia="宋体"/>
                <w:b/>
                <w:color w:val="auto"/>
                <w:sz w:val="24"/>
              </w:rPr>
            </w:pPr>
            <w:r>
              <w:rPr>
                <w:rFonts w:ascii="Times New Roman" w:hAnsi="Times New Roman" w:eastAsia="宋体"/>
                <w:b/>
                <w:color w:val="auto"/>
                <w:sz w:val="24"/>
              </w:rPr>
              <w:t>8、矿产资源</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矿产资源比较丰富，至今已查明的矿产有55种，矿产地逾百处，但储量均不大，仅石灰石等非金属资源储量较大，主要分布在芜湖县白马山和繁昌荻港、马坝等地，其次为铁矿，分布在繁昌县桃冲等地，这些主要矿产均已被开发利用。开发区境内未发现有开采价值的矿产地。</w:t>
            </w:r>
          </w:p>
          <w:p>
            <w:pPr>
              <w:spacing w:line="360" w:lineRule="auto"/>
              <w:rPr>
                <w:rFonts w:ascii="Times New Roman" w:hAnsi="Times New Roman" w:eastAsia="宋体"/>
                <w:color w:val="auto"/>
              </w:rPr>
            </w:pPr>
          </w:p>
          <w:p>
            <w:pPr>
              <w:spacing w:line="360" w:lineRule="auto"/>
              <w:rPr>
                <w:rFonts w:ascii="Times New Roman" w:hAnsi="Times New Roman" w:eastAsia="宋体"/>
                <w:color w:val="auto"/>
              </w:rPr>
            </w:pPr>
          </w:p>
          <w:p>
            <w:pPr>
              <w:spacing w:line="360" w:lineRule="auto"/>
              <w:rPr>
                <w:rFonts w:ascii="Times New Roman" w:hAnsi="Times New Roman" w:eastAsia="宋体"/>
                <w:color w:val="auto"/>
              </w:rPr>
            </w:pPr>
          </w:p>
          <w:p>
            <w:pPr>
              <w:spacing w:line="360" w:lineRule="auto"/>
              <w:rPr>
                <w:rFonts w:ascii="Times New Roman" w:hAnsi="Times New Roman" w:eastAsia="宋体"/>
                <w:color w:val="auto"/>
              </w:rPr>
            </w:pPr>
          </w:p>
          <w:p>
            <w:pPr>
              <w:spacing w:line="360" w:lineRule="auto"/>
              <w:rPr>
                <w:rFonts w:ascii="Times New Roman" w:hAnsi="Times New Roman" w:eastAsia="宋体"/>
                <w:color w:val="auto"/>
              </w:rPr>
            </w:pPr>
          </w:p>
          <w:p>
            <w:pPr>
              <w:spacing w:line="360" w:lineRule="auto"/>
              <w:rPr>
                <w:rFonts w:ascii="Times New Roman" w:hAnsi="Times New Roman" w:eastAsia="宋体"/>
                <w:color w:val="auto"/>
              </w:rPr>
            </w:pPr>
          </w:p>
          <w:p>
            <w:pPr>
              <w:spacing w:line="360" w:lineRule="auto"/>
              <w:rPr>
                <w:rFonts w:ascii="Times New Roman" w:hAnsi="Times New Roman" w:eastAsia="宋体"/>
                <w:color w:val="auto"/>
              </w:rPr>
            </w:pPr>
          </w:p>
          <w:p>
            <w:pPr>
              <w:spacing w:line="360" w:lineRule="auto"/>
              <w:rPr>
                <w:rFonts w:ascii="Times New Roman" w:hAnsi="Times New Roman" w:eastAsia="宋体"/>
                <w:color w:val="auto"/>
              </w:rPr>
            </w:pPr>
          </w:p>
          <w:p>
            <w:pPr>
              <w:spacing w:line="360" w:lineRule="auto"/>
              <w:rPr>
                <w:rFonts w:ascii="Times New Roman" w:hAnsi="Times New Roman" w:eastAsia="宋体"/>
                <w:color w:val="auto"/>
              </w:rPr>
            </w:pPr>
          </w:p>
          <w:p>
            <w:pPr>
              <w:pStyle w:val="18"/>
              <w:spacing w:line="360" w:lineRule="auto"/>
              <w:ind w:leftChars="0" w:firstLine="0" w:firstLineChars="0"/>
              <w:rPr>
                <w:rFonts w:ascii="Times New Roman" w:hAnsi="Times New Roman" w:eastAsia="宋体"/>
                <w:color w:val="auto"/>
              </w:rPr>
            </w:pPr>
          </w:p>
          <w:p>
            <w:pPr>
              <w:spacing w:line="360" w:lineRule="auto"/>
              <w:rPr>
                <w:rFonts w:ascii="Times New Roman" w:hAnsi="Times New Roman" w:eastAsia="宋体"/>
                <w:color w:val="auto"/>
              </w:rPr>
            </w:pPr>
          </w:p>
          <w:p>
            <w:pPr>
              <w:spacing w:line="360" w:lineRule="auto"/>
              <w:rPr>
                <w:rFonts w:ascii="Times New Roman" w:hAnsi="Times New Roman" w:eastAsia="宋体"/>
                <w:color w:val="auto"/>
                <w:sz w:val="24"/>
                <w:highlight w:val="yellow"/>
              </w:rPr>
            </w:pPr>
          </w:p>
        </w:tc>
      </w:tr>
    </w:tbl>
    <w:p>
      <w:pPr>
        <w:pStyle w:val="3"/>
        <w:rPr>
          <w:rFonts w:ascii="Times New Roman" w:hAnsi="Times New Roman" w:eastAsia="宋体"/>
          <w:color w:val="auto"/>
        </w:rPr>
      </w:pPr>
      <w:r>
        <w:rPr>
          <w:rFonts w:ascii="Times New Roman" w:hAnsi="Times New Roman" w:eastAsia="宋体"/>
          <w:color w:val="auto"/>
        </w:rPr>
        <w:t>环境质量状况</w:t>
      </w:r>
    </w:p>
    <w:tbl>
      <w:tblPr>
        <w:tblStyle w:val="22"/>
        <w:tblW w:w="928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28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PrEx>
        <w:trPr>
          <w:trHeight w:val="2174" w:hRule="atLeast"/>
          <w:jc w:val="center"/>
        </w:trPr>
        <w:tc>
          <w:tcPr>
            <w:tcW w:w="9286" w:type="dxa"/>
            <w:tcBorders>
              <w:top w:val="single" w:color="auto" w:sz="4" w:space="0"/>
              <w:left w:val="single" w:color="auto" w:sz="4" w:space="0"/>
              <w:bottom w:val="single" w:color="auto" w:sz="4" w:space="0"/>
              <w:right w:val="single" w:color="auto" w:sz="4" w:space="0"/>
            </w:tcBorders>
          </w:tcPr>
          <w:p>
            <w:pPr>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建设项目所在地区域环境质量现状及主要环境问题（环境空气、地面水、地下水、声环境、生态环境等）：</w:t>
            </w:r>
          </w:p>
          <w:p>
            <w:pPr>
              <w:pStyle w:val="4"/>
              <w:pageBreakBefore w:val="0"/>
              <w:widowControl w:val="0"/>
              <w:numPr>
                <w:ilvl w:val="0"/>
                <w:numId w:val="1"/>
              </w:numPr>
              <w:suppressLineNumbers w:val="0"/>
              <w:kinsoku/>
              <w:wordWrap/>
              <w:overflowPunct/>
              <w:topLinePunct w:val="0"/>
              <w:autoSpaceDE/>
              <w:autoSpaceDN/>
              <w:bidi w:val="0"/>
              <w:adjustRightInd/>
              <w:snapToGrid/>
              <w:spacing w:beforeLines="0" w:afterLines="0" w:line="360" w:lineRule="auto"/>
              <w:ind w:left="0" w:leftChars="0" w:right="0" w:firstLine="482" w:firstLineChars="200"/>
              <w:textAlignment w:val="auto"/>
              <w:rPr>
                <w:rFonts w:hint="default" w:ascii="Times New Roman" w:hAnsi="Times New Roman" w:eastAsia="宋体" w:cs="Times New Roman"/>
                <w:color w:val="auto"/>
                <w:sz w:val="24"/>
                <w:szCs w:val="24"/>
              </w:rPr>
            </w:pPr>
            <w:bookmarkStart w:id="0" w:name="_Hlk507535386"/>
            <w:r>
              <w:rPr>
                <w:rFonts w:hint="default" w:ascii="Times New Roman" w:hAnsi="Times New Roman" w:eastAsia="宋体" w:cs="Times New Roman"/>
                <w:color w:val="auto"/>
                <w:sz w:val="24"/>
                <w:szCs w:val="24"/>
              </w:rPr>
              <w:t>环境空气质量现状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left="0" w:right="0" w:firstLine="480" w:firstLineChars="200"/>
              <w:textAlignment w:val="auto"/>
              <w:rPr>
                <w:rFonts w:hint="default" w:ascii="Times New Roman" w:hAnsi="Times New Roman" w:eastAsia="宋体"/>
                <w:color w:val="auto"/>
                <w:sz w:val="24"/>
                <w:szCs w:val="24"/>
              </w:rPr>
            </w:pPr>
            <w:r>
              <w:rPr>
                <w:rFonts w:hint="default" w:ascii="Times New Roman" w:hAnsi="Times New Roman" w:eastAsia="宋体"/>
                <w:color w:val="auto"/>
                <w:sz w:val="24"/>
                <w:szCs w:val="24"/>
              </w:rPr>
              <w:t>根据《环境影响评价技术导则  大气环境》（HJ2.2-2018）</w:t>
            </w:r>
            <w:r>
              <w:rPr>
                <w:rFonts w:hint="eastAsia" w:ascii="Times New Roman" w:hAnsi="Times New Roman" w:eastAsia="宋体"/>
                <w:color w:val="auto"/>
                <w:sz w:val="24"/>
                <w:szCs w:val="24"/>
                <w:lang w:val="en-US" w:eastAsia="zh-CN"/>
              </w:rPr>
              <w:t>要求，选取</w:t>
            </w:r>
            <w:r>
              <w:rPr>
                <w:rFonts w:hint="default" w:ascii="Times New Roman" w:hAnsi="Times New Roman" w:eastAsia="宋体"/>
                <w:color w:val="auto"/>
                <w:sz w:val="24"/>
                <w:szCs w:val="24"/>
              </w:rPr>
              <w:t>SO</w:t>
            </w:r>
            <w:r>
              <w:rPr>
                <w:rFonts w:hint="default" w:ascii="Times New Roman" w:hAnsi="Times New Roman" w:eastAsia="宋体"/>
                <w:color w:val="auto"/>
                <w:sz w:val="24"/>
                <w:szCs w:val="24"/>
                <w:vertAlign w:val="subscript"/>
              </w:rPr>
              <w:t>2</w:t>
            </w:r>
            <w:r>
              <w:rPr>
                <w:rFonts w:hint="default" w:ascii="Times New Roman" w:hAnsi="Times New Roman" w:eastAsia="宋体"/>
                <w:color w:val="auto"/>
                <w:sz w:val="24"/>
                <w:szCs w:val="24"/>
              </w:rPr>
              <w:t>、NO</w:t>
            </w:r>
            <w:r>
              <w:rPr>
                <w:rFonts w:hint="default" w:ascii="Times New Roman" w:hAnsi="Times New Roman" w:eastAsia="宋体"/>
                <w:color w:val="auto"/>
                <w:sz w:val="24"/>
                <w:szCs w:val="24"/>
                <w:vertAlign w:val="subscript"/>
              </w:rPr>
              <w:t>2</w:t>
            </w:r>
            <w:r>
              <w:rPr>
                <w:rFonts w:hint="default" w:ascii="Times New Roman" w:hAnsi="Times New Roman" w:eastAsia="宋体"/>
                <w:color w:val="auto"/>
                <w:sz w:val="24"/>
                <w:szCs w:val="24"/>
              </w:rPr>
              <w:t>、PM</w:t>
            </w:r>
            <w:r>
              <w:rPr>
                <w:rFonts w:hint="default" w:ascii="Times New Roman" w:hAnsi="Times New Roman" w:eastAsia="宋体"/>
                <w:color w:val="auto"/>
                <w:sz w:val="24"/>
                <w:szCs w:val="24"/>
                <w:vertAlign w:val="subscript"/>
              </w:rPr>
              <w:t>10</w:t>
            </w:r>
            <w:r>
              <w:rPr>
                <w:rFonts w:hint="default" w:ascii="Times New Roman" w:hAnsi="Times New Roman" w:eastAsia="宋体"/>
                <w:color w:val="auto"/>
                <w:sz w:val="24"/>
                <w:szCs w:val="24"/>
              </w:rPr>
              <w:t>、PM</w:t>
            </w:r>
            <w:r>
              <w:rPr>
                <w:rFonts w:hint="eastAsia" w:ascii="Times New Roman" w:hAnsi="Times New Roman" w:eastAsia="宋体"/>
                <w:color w:val="auto"/>
                <w:sz w:val="24"/>
                <w:szCs w:val="24"/>
                <w:vertAlign w:val="subscript"/>
                <w:lang w:val="en-US" w:eastAsia="zh-CN"/>
              </w:rPr>
              <w:t>2.5</w:t>
            </w:r>
            <w:r>
              <w:rPr>
                <w:rFonts w:hint="default"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CO和O</w:t>
            </w:r>
            <w:r>
              <w:rPr>
                <w:rFonts w:hint="eastAsia" w:ascii="Times New Roman" w:hAnsi="Times New Roman" w:eastAsia="宋体"/>
                <w:color w:val="auto"/>
                <w:sz w:val="24"/>
                <w:szCs w:val="24"/>
                <w:vertAlign w:val="subscript"/>
                <w:lang w:val="en-US" w:eastAsia="zh-CN"/>
              </w:rPr>
              <w:t>3</w:t>
            </w:r>
            <w:r>
              <w:rPr>
                <w:rFonts w:hint="eastAsia" w:ascii="Times New Roman" w:hAnsi="Times New Roman" w:eastAsia="宋体"/>
                <w:color w:val="auto"/>
                <w:sz w:val="24"/>
                <w:szCs w:val="24"/>
                <w:vertAlign w:val="baseline"/>
                <w:lang w:val="en-US" w:eastAsia="zh-CN"/>
              </w:rPr>
              <w:t>，共6个常规因子，本次评价将2019年定为本次评价达标区判定的基准年</w:t>
            </w:r>
            <w:r>
              <w:rPr>
                <w:rFonts w:hint="default" w:ascii="Times New Roman" w:hAnsi="Times New Roman" w:eastAsia="宋体"/>
                <w:color w:val="auto"/>
                <w:sz w:val="24"/>
                <w:szCs w:val="24"/>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left="0" w:right="0" w:firstLine="480" w:firstLineChars="200"/>
              <w:textAlignment w:val="auto"/>
              <w:rPr>
                <w:rFonts w:hint="eastAsia" w:ascii="Times New Roman" w:hAnsi="Times New Roman" w:eastAsia="宋体"/>
                <w:color w:val="auto"/>
                <w:sz w:val="24"/>
                <w:szCs w:val="24"/>
                <w:lang w:val="en-US" w:eastAsia="zh-CN"/>
              </w:rPr>
            </w:pPr>
            <w:r>
              <w:rPr>
                <w:rFonts w:hint="default" w:ascii="Times New Roman" w:hAnsi="Times New Roman" w:eastAsia="宋体"/>
                <w:color w:val="auto"/>
                <w:sz w:val="24"/>
                <w:szCs w:val="24"/>
              </w:rPr>
              <w:t>根据《环境影响评价技术导则  大气环境》</w:t>
            </w:r>
            <w:r>
              <w:rPr>
                <w:rFonts w:hint="eastAsia" w:ascii="Times New Roman" w:hAnsi="Times New Roman" w:eastAsia="宋体"/>
                <w:color w:val="auto"/>
                <w:sz w:val="24"/>
                <w:szCs w:val="24"/>
                <w:lang w:eastAsia="zh-CN"/>
              </w:rPr>
              <w:t>（</w:t>
            </w:r>
            <w:r>
              <w:rPr>
                <w:rFonts w:hint="default" w:ascii="Times New Roman" w:hAnsi="Times New Roman" w:eastAsia="宋体"/>
                <w:color w:val="auto"/>
                <w:sz w:val="24"/>
                <w:szCs w:val="24"/>
              </w:rPr>
              <w:t>HJ2.2-2018）</w:t>
            </w:r>
            <w:r>
              <w:rPr>
                <w:rFonts w:hint="eastAsia" w:ascii="Times New Roman" w:hAnsi="Times New Roman" w:eastAsia="宋体"/>
                <w:color w:val="auto"/>
                <w:sz w:val="24"/>
                <w:szCs w:val="24"/>
                <w:lang w:val="en-US" w:eastAsia="zh-CN"/>
              </w:rPr>
              <w:t>要求，项目所在区域达标判定，优先采用国家或地方生态环境主管部门公开发布的评价基准年环境质量公告或环境质量报告中的数据或结论。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left="0" w:right="0"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根据芜湖市生态环境局网站公布的2019年芜湖市环境质量公报，2019年芜湖市大气环境质量监测见下表。</w:t>
            </w:r>
          </w:p>
          <w:p>
            <w:pPr>
              <w:pStyle w:val="29"/>
              <w:keepNext w:val="0"/>
              <w:keepLines w:val="0"/>
              <w:pageBreakBefore w:val="0"/>
              <w:widowControl w:val="0"/>
              <w:suppressLineNumbers w:val="0"/>
              <w:kinsoku/>
              <w:wordWrap/>
              <w:overflowPunct/>
              <w:topLinePunct w:val="0"/>
              <w:autoSpaceDE/>
              <w:autoSpaceDN/>
              <w:bidi w:val="0"/>
              <w:adjustRightInd/>
              <w:snapToGrid/>
              <w:spacing w:beforeAutospacing="0" w:afterAutospacing="0" w:line="360" w:lineRule="auto"/>
              <w:ind w:left="0" w:right="0" w:firstLine="482" w:firstLineChars="200"/>
              <w:textAlignment w:val="auto"/>
              <w:rPr>
                <w:rFonts w:hint="default"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表3-1 2019年度芜湖市环境空气质量现状评价表</w:t>
            </w:r>
          </w:p>
          <w:tbl>
            <w:tblPr>
              <w:tblStyle w:val="23"/>
              <w:tblW w:w="88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82"/>
              <w:gridCol w:w="900"/>
              <w:gridCol w:w="1860"/>
              <w:gridCol w:w="780"/>
              <w:gridCol w:w="1155"/>
              <w:gridCol w:w="840"/>
              <w:gridCol w:w="915"/>
              <w:gridCol w:w="915"/>
              <w:gridCol w:w="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2"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序号</w:t>
                  </w:r>
                </w:p>
              </w:tc>
              <w:tc>
                <w:tcPr>
                  <w:tcW w:w="900"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污染物</w:t>
                  </w:r>
                </w:p>
              </w:tc>
              <w:tc>
                <w:tcPr>
                  <w:tcW w:w="1860"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评价指标</w:t>
                  </w:r>
                </w:p>
              </w:tc>
              <w:tc>
                <w:tcPr>
                  <w:tcW w:w="780"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单位</w:t>
                  </w:r>
                </w:p>
              </w:tc>
              <w:tc>
                <w:tcPr>
                  <w:tcW w:w="1155"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2019年基准年浓度</w:t>
                  </w:r>
                </w:p>
              </w:tc>
              <w:tc>
                <w:tcPr>
                  <w:tcW w:w="840"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标准限值</w:t>
                  </w:r>
                </w:p>
              </w:tc>
              <w:tc>
                <w:tcPr>
                  <w:tcW w:w="915"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占标率%</w:t>
                  </w:r>
                </w:p>
              </w:tc>
              <w:tc>
                <w:tcPr>
                  <w:tcW w:w="915"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default" w:ascii="Times New Roman" w:hAnsi="Times New Roman" w:eastAsia="宋体"/>
                      <w:color w:val="auto"/>
                    </w:rPr>
                    <w:t>达标情况</w:t>
                  </w:r>
                </w:p>
              </w:tc>
              <w:tc>
                <w:tcPr>
                  <w:tcW w:w="796"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判定结果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2"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1</w:t>
                  </w:r>
                </w:p>
              </w:tc>
              <w:tc>
                <w:tcPr>
                  <w:tcW w:w="900"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default" w:ascii="Times New Roman" w:hAnsi="Times New Roman" w:eastAsia="宋体"/>
                      <w:color w:val="auto"/>
                    </w:rPr>
                    <w:t>SO</w:t>
                  </w:r>
                  <w:r>
                    <w:rPr>
                      <w:rFonts w:hint="default" w:ascii="Times New Roman" w:hAnsi="Times New Roman" w:eastAsia="宋体"/>
                      <w:color w:val="auto"/>
                      <w:vertAlign w:val="subscript"/>
                    </w:rPr>
                    <w:t>2</w:t>
                  </w:r>
                </w:p>
              </w:tc>
              <w:tc>
                <w:tcPr>
                  <w:tcW w:w="1860"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年平均浓度</w:t>
                  </w:r>
                </w:p>
              </w:tc>
              <w:tc>
                <w:tcPr>
                  <w:tcW w:w="780"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default" w:ascii="Times New Roman" w:hAnsi="Times New Roman" w:eastAsia="宋体"/>
                      <w:color w:val="auto"/>
                    </w:rPr>
                    <w:t>μg/m</w:t>
                  </w:r>
                  <w:r>
                    <w:rPr>
                      <w:rFonts w:hint="eastAsia" w:ascii="Times New Roman" w:hAnsi="Times New Roman" w:eastAsia="宋体"/>
                      <w:color w:val="auto"/>
                      <w:vertAlign w:val="superscript"/>
                      <w:lang w:val="en-US" w:eastAsia="zh-CN"/>
                    </w:rPr>
                    <w:t>3</w:t>
                  </w:r>
                </w:p>
              </w:tc>
              <w:tc>
                <w:tcPr>
                  <w:tcW w:w="1155"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10</w:t>
                  </w:r>
                </w:p>
              </w:tc>
              <w:tc>
                <w:tcPr>
                  <w:tcW w:w="840" w:type="dxa"/>
                  <w:vAlign w:val="center"/>
                </w:tcPr>
                <w:p>
                  <w:pPr>
                    <w:pStyle w:val="30"/>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0"/>
                      <w:sz w:val="21"/>
                      <w:szCs w:val="18"/>
                      <w:lang w:val="en-US" w:eastAsia="zh-CN" w:bidi="ar-SA"/>
                    </w:rPr>
                  </w:pPr>
                  <w:r>
                    <w:rPr>
                      <w:rFonts w:hint="eastAsia" w:ascii="Times New Roman" w:hAnsi="Times New Roman" w:eastAsia="宋体"/>
                      <w:color w:val="auto"/>
                      <w:lang w:val="en-US" w:eastAsia="zh-CN"/>
                    </w:rPr>
                    <w:t>60</w:t>
                  </w:r>
                </w:p>
              </w:tc>
              <w:tc>
                <w:tcPr>
                  <w:tcW w:w="915"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16.7</w:t>
                  </w:r>
                </w:p>
              </w:tc>
              <w:tc>
                <w:tcPr>
                  <w:tcW w:w="915"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lang w:val="en-US" w:eastAsia="zh-CN"/>
                    </w:rPr>
                    <w:t>达标</w:t>
                  </w:r>
                </w:p>
              </w:tc>
              <w:tc>
                <w:tcPr>
                  <w:tcW w:w="796" w:type="dxa"/>
                  <w:vMerge w:val="restart"/>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不达标区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2"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2</w:t>
                  </w:r>
                </w:p>
              </w:tc>
              <w:tc>
                <w:tcPr>
                  <w:tcW w:w="900"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default" w:ascii="Times New Roman" w:hAnsi="Times New Roman" w:eastAsia="宋体"/>
                      <w:color w:val="auto"/>
                    </w:rPr>
                    <w:t>NO</w:t>
                  </w:r>
                  <w:r>
                    <w:rPr>
                      <w:rFonts w:hint="default" w:ascii="Times New Roman" w:hAnsi="Times New Roman" w:eastAsia="宋体"/>
                      <w:color w:val="auto"/>
                      <w:vertAlign w:val="subscript"/>
                    </w:rPr>
                    <w:t>2</w:t>
                  </w:r>
                </w:p>
              </w:tc>
              <w:tc>
                <w:tcPr>
                  <w:tcW w:w="1860"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年平均浓度</w:t>
                  </w:r>
                </w:p>
              </w:tc>
              <w:tc>
                <w:tcPr>
                  <w:tcW w:w="780"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default" w:ascii="Times New Roman" w:hAnsi="Times New Roman" w:eastAsia="宋体"/>
                      <w:color w:val="auto"/>
                    </w:rPr>
                    <w:t>μg/m</w:t>
                  </w:r>
                  <w:r>
                    <w:rPr>
                      <w:rFonts w:hint="eastAsia" w:ascii="Times New Roman" w:hAnsi="Times New Roman" w:eastAsia="宋体"/>
                      <w:color w:val="auto"/>
                      <w:vertAlign w:val="superscript"/>
                      <w:lang w:val="en-US" w:eastAsia="zh-CN"/>
                    </w:rPr>
                    <w:t>3</w:t>
                  </w:r>
                </w:p>
              </w:tc>
              <w:tc>
                <w:tcPr>
                  <w:tcW w:w="1155"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28</w:t>
                  </w:r>
                </w:p>
              </w:tc>
              <w:tc>
                <w:tcPr>
                  <w:tcW w:w="840" w:type="dxa"/>
                  <w:vAlign w:val="center"/>
                </w:tcPr>
                <w:p>
                  <w:pPr>
                    <w:pStyle w:val="30"/>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0"/>
                      <w:sz w:val="21"/>
                      <w:szCs w:val="18"/>
                      <w:lang w:val="en-US" w:eastAsia="zh-CN" w:bidi="ar-SA"/>
                    </w:rPr>
                  </w:pPr>
                  <w:r>
                    <w:rPr>
                      <w:rFonts w:hint="eastAsia" w:ascii="Times New Roman" w:hAnsi="Times New Roman" w:eastAsia="宋体"/>
                      <w:color w:val="auto"/>
                      <w:lang w:val="en-US" w:eastAsia="zh-CN"/>
                    </w:rPr>
                    <w:t>40</w:t>
                  </w:r>
                </w:p>
              </w:tc>
              <w:tc>
                <w:tcPr>
                  <w:tcW w:w="915"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70</w:t>
                  </w:r>
                </w:p>
              </w:tc>
              <w:tc>
                <w:tcPr>
                  <w:tcW w:w="915"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lang w:val="en-US" w:eastAsia="zh-CN"/>
                    </w:rPr>
                    <w:t>达标</w:t>
                  </w:r>
                </w:p>
              </w:tc>
              <w:tc>
                <w:tcPr>
                  <w:tcW w:w="796" w:type="dxa"/>
                  <w:vMerge w:val="continue"/>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2"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3</w:t>
                  </w:r>
                </w:p>
              </w:tc>
              <w:tc>
                <w:tcPr>
                  <w:tcW w:w="900"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default" w:ascii="Times New Roman" w:hAnsi="Times New Roman" w:eastAsia="宋体"/>
                      <w:color w:val="auto"/>
                    </w:rPr>
                    <w:t>PM</w:t>
                  </w:r>
                  <w:r>
                    <w:rPr>
                      <w:rFonts w:hint="default" w:ascii="Times New Roman" w:hAnsi="Times New Roman" w:eastAsia="宋体"/>
                      <w:color w:val="auto"/>
                      <w:vertAlign w:val="subscript"/>
                    </w:rPr>
                    <w:t>10</w:t>
                  </w:r>
                </w:p>
              </w:tc>
              <w:tc>
                <w:tcPr>
                  <w:tcW w:w="1860"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年平均浓度</w:t>
                  </w:r>
                </w:p>
              </w:tc>
              <w:tc>
                <w:tcPr>
                  <w:tcW w:w="780"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default" w:ascii="Times New Roman" w:hAnsi="Times New Roman" w:eastAsia="宋体"/>
                      <w:color w:val="auto"/>
                    </w:rPr>
                    <w:t>μg/m</w:t>
                  </w:r>
                  <w:r>
                    <w:rPr>
                      <w:rFonts w:hint="eastAsia" w:ascii="Times New Roman" w:hAnsi="Times New Roman" w:eastAsia="宋体"/>
                      <w:color w:val="auto"/>
                      <w:vertAlign w:val="superscript"/>
                      <w:lang w:val="en-US" w:eastAsia="zh-CN"/>
                    </w:rPr>
                    <w:t>3</w:t>
                  </w:r>
                </w:p>
              </w:tc>
              <w:tc>
                <w:tcPr>
                  <w:tcW w:w="1155"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76</w:t>
                  </w:r>
                </w:p>
              </w:tc>
              <w:tc>
                <w:tcPr>
                  <w:tcW w:w="840" w:type="dxa"/>
                  <w:vAlign w:val="center"/>
                </w:tcPr>
                <w:p>
                  <w:pPr>
                    <w:pStyle w:val="30"/>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0"/>
                      <w:sz w:val="21"/>
                      <w:szCs w:val="18"/>
                      <w:lang w:val="en-US" w:eastAsia="zh-CN" w:bidi="ar-SA"/>
                    </w:rPr>
                  </w:pPr>
                  <w:r>
                    <w:rPr>
                      <w:rFonts w:hint="eastAsia" w:ascii="Times New Roman" w:hAnsi="Times New Roman" w:eastAsia="宋体"/>
                      <w:color w:val="auto"/>
                      <w:lang w:val="en-US" w:eastAsia="zh-CN"/>
                    </w:rPr>
                    <w:t>70</w:t>
                  </w:r>
                </w:p>
              </w:tc>
              <w:tc>
                <w:tcPr>
                  <w:tcW w:w="915"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108.6</w:t>
                  </w:r>
                </w:p>
              </w:tc>
              <w:tc>
                <w:tcPr>
                  <w:tcW w:w="915"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lang w:val="en-US" w:eastAsia="zh-CN"/>
                    </w:rPr>
                    <w:t>不达标</w:t>
                  </w:r>
                </w:p>
              </w:tc>
              <w:tc>
                <w:tcPr>
                  <w:tcW w:w="796" w:type="dxa"/>
                  <w:vMerge w:val="continue"/>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2"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4</w:t>
                  </w:r>
                </w:p>
              </w:tc>
              <w:tc>
                <w:tcPr>
                  <w:tcW w:w="900"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default" w:ascii="Times New Roman" w:hAnsi="Times New Roman" w:eastAsia="宋体"/>
                      <w:color w:val="auto"/>
                    </w:rPr>
                    <w:t>PM</w:t>
                  </w:r>
                  <w:r>
                    <w:rPr>
                      <w:rFonts w:hint="eastAsia" w:ascii="Times New Roman" w:hAnsi="Times New Roman" w:eastAsia="宋体"/>
                      <w:color w:val="auto"/>
                      <w:vertAlign w:val="subscript"/>
                      <w:lang w:val="en-US" w:eastAsia="zh-CN"/>
                    </w:rPr>
                    <w:t>2.5</w:t>
                  </w:r>
                </w:p>
              </w:tc>
              <w:tc>
                <w:tcPr>
                  <w:tcW w:w="1860"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年平均浓度</w:t>
                  </w:r>
                </w:p>
              </w:tc>
              <w:tc>
                <w:tcPr>
                  <w:tcW w:w="780"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default" w:ascii="Times New Roman" w:hAnsi="Times New Roman" w:eastAsia="宋体"/>
                      <w:color w:val="auto"/>
                    </w:rPr>
                    <w:t>μg/m</w:t>
                  </w:r>
                  <w:r>
                    <w:rPr>
                      <w:rFonts w:hint="eastAsia" w:ascii="Times New Roman" w:hAnsi="Times New Roman" w:eastAsia="宋体"/>
                      <w:color w:val="auto"/>
                      <w:vertAlign w:val="superscript"/>
                      <w:lang w:val="en-US" w:eastAsia="zh-CN"/>
                    </w:rPr>
                    <w:t>3</w:t>
                  </w:r>
                </w:p>
              </w:tc>
              <w:tc>
                <w:tcPr>
                  <w:tcW w:w="1155"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47</w:t>
                  </w:r>
                </w:p>
              </w:tc>
              <w:tc>
                <w:tcPr>
                  <w:tcW w:w="840" w:type="dxa"/>
                  <w:vAlign w:val="center"/>
                </w:tcPr>
                <w:p>
                  <w:pPr>
                    <w:pStyle w:val="30"/>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0"/>
                      <w:sz w:val="21"/>
                      <w:szCs w:val="18"/>
                      <w:lang w:val="en-US" w:eastAsia="zh-CN" w:bidi="ar-SA"/>
                    </w:rPr>
                  </w:pPr>
                  <w:r>
                    <w:rPr>
                      <w:rFonts w:hint="eastAsia" w:ascii="Times New Roman" w:hAnsi="Times New Roman" w:eastAsia="宋体"/>
                      <w:color w:val="auto"/>
                      <w:lang w:val="en-US" w:eastAsia="zh-CN"/>
                    </w:rPr>
                    <w:t>35</w:t>
                  </w:r>
                </w:p>
              </w:tc>
              <w:tc>
                <w:tcPr>
                  <w:tcW w:w="915"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134.3</w:t>
                  </w:r>
                </w:p>
              </w:tc>
              <w:tc>
                <w:tcPr>
                  <w:tcW w:w="915"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lang w:val="en-US" w:eastAsia="zh-CN"/>
                    </w:rPr>
                    <w:t>不达标</w:t>
                  </w:r>
                </w:p>
              </w:tc>
              <w:tc>
                <w:tcPr>
                  <w:tcW w:w="796" w:type="dxa"/>
                  <w:vMerge w:val="continue"/>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2"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5</w:t>
                  </w:r>
                </w:p>
              </w:tc>
              <w:tc>
                <w:tcPr>
                  <w:tcW w:w="900"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lang w:val="en-US" w:eastAsia="zh-CN"/>
                    </w:rPr>
                    <w:t>CO</w:t>
                  </w:r>
                </w:p>
              </w:tc>
              <w:tc>
                <w:tcPr>
                  <w:tcW w:w="1860" w:type="dxa"/>
                  <w:vAlign w:val="center"/>
                </w:tcPr>
                <w:p>
                  <w:pPr>
                    <w:pStyle w:val="30"/>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0"/>
                      <w:sz w:val="21"/>
                      <w:szCs w:val="18"/>
                      <w:lang w:val="en-US" w:eastAsia="zh-CN" w:bidi="ar-SA"/>
                    </w:rPr>
                  </w:pPr>
                  <w:r>
                    <w:rPr>
                      <w:rFonts w:hint="default" w:ascii="Times New Roman" w:hAnsi="Times New Roman" w:eastAsia="宋体"/>
                      <w:color w:val="auto"/>
                    </w:rPr>
                    <w:t>全年日均值</w:t>
                  </w:r>
                </w:p>
              </w:tc>
              <w:tc>
                <w:tcPr>
                  <w:tcW w:w="780"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lang w:val="en-US" w:eastAsia="zh-CN"/>
                    </w:rPr>
                    <w:t>m</w:t>
                  </w:r>
                  <w:r>
                    <w:rPr>
                      <w:rFonts w:hint="default" w:ascii="Times New Roman" w:hAnsi="Times New Roman" w:eastAsia="宋体"/>
                      <w:color w:val="auto"/>
                    </w:rPr>
                    <w:t>g/m</w:t>
                  </w:r>
                  <w:r>
                    <w:rPr>
                      <w:rFonts w:hint="eastAsia" w:ascii="Times New Roman" w:hAnsi="Times New Roman" w:eastAsia="宋体"/>
                      <w:color w:val="auto"/>
                      <w:vertAlign w:val="superscript"/>
                      <w:lang w:val="en-US" w:eastAsia="zh-CN"/>
                    </w:rPr>
                    <w:t>3</w:t>
                  </w:r>
                </w:p>
              </w:tc>
              <w:tc>
                <w:tcPr>
                  <w:tcW w:w="1155"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1.4</w:t>
                  </w:r>
                </w:p>
              </w:tc>
              <w:tc>
                <w:tcPr>
                  <w:tcW w:w="840"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4</w:t>
                  </w:r>
                </w:p>
              </w:tc>
              <w:tc>
                <w:tcPr>
                  <w:tcW w:w="915"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35</w:t>
                  </w:r>
                </w:p>
              </w:tc>
              <w:tc>
                <w:tcPr>
                  <w:tcW w:w="915"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lang w:val="en-US" w:eastAsia="zh-CN"/>
                    </w:rPr>
                    <w:t>达标</w:t>
                  </w:r>
                </w:p>
              </w:tc>
              <w:tc>
                <w:tcPr>
                  <w:tcW w:w="796" w:type="dxa"/>
                  <w:vMerge w:val="continue"/>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2"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6</w:t>
                  </w:r>
                </w:p>
              </w:tc>
              <w:tc>
                <w:tcPr>
                  <w:tcW w:w="900"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lang w:val="en-US" w:eastAsia="zh-CN"/>
                    </w:rPr>
                    <w:t>O</w:t>
                  </w:r>
                  <w:r>
                    <w:rPr>
                      <w:rFonts w:hint="eastAsia" w:ascii="Times New Roman" w:hAnsi="Times New Roman" w:eastAsia="宋体"/>
                      <w:color w:val="auto"/>
                      <w:vertAlign w:val="subscript"/>
                      <w:lang w:val="en-US" w:eastAsia="zh-CN"/>
                    </w:rPr>
                    <w:t>3</w:t>
                  </w:r>
                </w:p>
              </w:tc>
              <w:tc>
                <w:tcPr>
                  <w:tcW w:w="1860" w:type="dxa"/>
                  <w:vAlign w:val="center"/>
                </w:tcPr>
                <w:p>
                  <w:pPr>
                    <w:pStyle w:val="30"/>
                    <w:keepNext w:val="0"/>
                    <w:keepLines w:val="0"/>
                    <w:suppressLineNumbers w:val="0"/>
                    <w:bidi w:val="0"/>
                    <w:spacing w:before="0" w:beforeAutospacing="0" w:after="0" w:afterAutospacing="0"/>
                    <w:ind w:left="0" w:right="0" w:firstLine="0" w:firstLineChars="0"/>
                    <w:rPr>
                      <w:rFonts w:hint="default" w:ascii="Times New Roman" w:hAnsi="Times New Roman" w:eastAsia="宋体" w:cs="Times New Roman"/>
                      <w:color w:val="auto"/>
                      <w:kern w:val="0"/>
                      <w:sz w:val="21"/>
                      <w:szCs w:val="18"/>
                      <w:lang w:val="en-US" w:eastAsia="zh-CN" w:bidi="ar-SA"/>
                    </w:rPr>
                  </w:pPr>
                  <w:r>
                    <w:rPr>
                      <w:rFonts w:hint="default" w:ascii="Times New Roman" w:hAnsi="Times New Roman" w:eastAsia="宋体"/>
                      <w:color w:val="auto"/>
                    </w:rPr>
                    <w:t>全年日8小时均值</w:t>
                  </w:r>
                </w:p>
              </w:tc>
              <w:tc>
                <w:tcPr>
                  <w:tcW w:w="780"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default" w:ascii="Times New Roman" w:hAnsi="Times New Roman" w:eastAsia="宋体"/>
                      <w:color w:val="auto"/>
                    </w:rPr>
                    <w:t>μg/m</w:t>
                  </w:r>
                  <w:r>
                    <w:rPr>
                      <w:rFonts w:hint="eastAsia" w:ascii="Times New Roman" w:hAnsi="Times New Roman" w:eastAsia="宋体"/>
                      <w:color w:val="auto"/>
                      <w:vertAlign w:val="superscript"/>
                      <w:lang w:val="en-US" w:eastAsia="zh-CN"/>
                    </w:rPr>
                    <w:t>3</w:t>
                  </w:r>
                </w:p>
              </w:tc>
              <w:tc>
                <w:tcPr>
                  <w:tcW w:w="1155"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186</w:t>
                  </w:r>
                </w:p>
              </w:tc>
              <w:tc>
                <w:tcPr>
                  <w:tcW w:w="840"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160</w:t>
                  </w:r>
                </w:p>
              </w:tc>
              <w:tc>
                <w:tcPr>
                  <w:tcW w:w="915"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vertAlign w:val="baseline"/>
                      <w:lang w:val="en-US" w:eastAsia="zh-CN"/>
                    </w:rPr>
                    <w:t>116.3</w:t>
                  </w:r>
                </w:p>
              </w:tc>
              <w:tc>
                <w:tcPr>
                  <w:tcW w:w="915" w:type="dxa"/>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r>
                    <w:rPr>
                      <w:rFonts w:hint="eastAsia" w:ascii="Times New Roman" w:hAnsi="Times New Roman" w:eastAsia="宋体"/>
                      <w:color w:val="auto"/>
                      <w:lang w:val="en-US" w:eastAsia="zh-CN"/>
                    </w:rPr>
                    <w:t>不达标</w:t>
                  </w:r>
                </w:p>
              </w:tc>
              <w:tc>
                <w:tcPr>
                  <w:tcW w:w="796" w:type="dxa"/>
                  <w:vMerge w:val="continue"/>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vertAlign w:val="baseline"/>
                      <w:lang w:val="en-US" w:eastAsia="zh-CN"/>
                    </w:rPr>
                  </w:pPr>
                </w:p>
              </w:tc>
            </w:tr>
          </w:tbl>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olor w:val="auto"/>
                <w:sz w:val="24"/>
                <w:szCs w:val="22"/>
                <w:vertAlign w:val="baseline"/>
                <w:lang w:val="en-US" w:eastAsia="zh-CN"/>
              </w:rPr>
            </w:pPr>
            <w:r>
              <w:rPr>
                <w:rFonts w:hint="eastAsia" w:ascii="Times New Roman" w:hAnsi="Times New Roman" w:eastAsia="宋体"/>
                <w:color w:val="auto"/>
                <w:sz w:val="24"/>
                <w:szCs w:val="22"/>
                <w:lang w:val="en-US" w:eastAsia="zh-CN"/>
              </w:rPr>
              <w:t>根据</w:t>
            </w:r>
            <w:r>
              <w:rPr>
                <w:rFonts w:hint="default" w:ascii="Times New Roman" w:hAnsi="Times New Roman" w:eastAsia="宋体"/>
                <w:color w:val="auto"/>
                <w:sz w:val="24"/>
                <w:szCs w:val="22"/>
              </w:rPr>
              <w:t>《环境影响评价技术导则  大气环境》</w:t>
            </w:r>
            <w:r>
              <w:rPr>
                <w:rFonts w:hint="eastAsia" w:ascii="Times New Roman" w:hAnsi="Times New Roman" w:eastAsia="宋体"/>
                <w:color w:val="auto"/>
                <w:sz w:val="24"/>
                <w:szCs w:val="22"/>
                <w:lang w:eastAsia="zh-CN"/>
              </w:rPr>
              <w:t>（</w:t>
            </w:r>
            <w:r>
              <w:rPr>
                <w:rFonts w:hint="default" w:ascii="Times New Roman" w:hAnsi="Times New Roman" w:eastAsia="宋体"/>
                <w:color w:val="auto"/>
                <w:sz w:val="24"/>
                <w:szCs w:val="22"/>
              </w:rPr>
              <w:t>HJ2.2-2018）</w:t>
            </w:r>
            <w:r>
              <w:rPr>
                <w:rFonts w:hint="eastAsia" w:ascii="Times New Roman" w:hAnsi="Times New Roman" w:eastAsia="宋体"/>
                <w:color w:val="auto"/>
                <w:sz w:val="24"/>
                <w:szCs w:val="22"/>
                <w:lang w:eastAsia="zh-CN"/>
              </w:rPr>
              <w:t>，</w:t>
            </w:r>
            <w:r>
              <w:rPr>
                <w:rFonts w:hint="eastAsia" w:ascii="Times New Roman" w:hAnsi="Times New Roman" w:eastAsia="宋体"/>
                <w:color w:val="auto"/>
                <w:sz w:val="24"/>
                <w:szCs w:val="22"/>
                <w:lang w:val="en-US" w:eastAsia="zh-CN"/>
              </w:rPr>
              <w:t>城市环境空气质量达标情况评价指标为</w:t>
            </w:r>
            <w:r>
              <w:rPr>
                <w:rFonts w:hint="default" w:ascii="Times New Roman" w:hAnsi="Times New Roman" w:eastAsia="宋体"/>
                <w:color w:val="auto"/>
                <w:sz w:val="24"/>
                <w:szCs w:val="22"/>
              </w:rPr>
              <w:t>SO</w:t>
            </w:r>
            <w:r>
              <w:rPr>
                <w:rFonts w:hint="default" w:ascii="Times New Roman" w:hAnsi="Times New Roman" w:eastAsia="宋体"/>
                <w:color w:val="auto"/>
                <w:sz w:val="24"/>
                <w:szCs w:val="22"/>
                <w:vertAlign w:val="subscript"/>
              </w:rPr>
              <w:t>2</w:t>
            </w:r>
            <w:r>
              <w:rPr>
                <w:rFonts w:hint="default" w:ascii="Times New Roman" w:hAnsi="Times New Roman" w:eastAsia="宋体"/>
                <w:color w:val="auto"/>
                <w:sz w:val="24"/>
                <w:szCs w:val="22"/>
              </w:rPr>
              <w:t>、NO</w:t>
            </w:r>
            <w:r>
              <w:rPr>
                <w:rFonts w:hint="default" w:ascii="Times New Roman" w:hAnsi="Times New Roman" w:eastAsia="宋体"/>
                <w:color w:val="auto"/>
                <w:sz w:val="24"/>
                <w:szCs w:val="22"/>
                <w:vertAlign w:val="subscript"/>
              </w:rPr>
              <w:t>2</w:t>
            </w:r>
            <w:r>
              <w:rPr>
                <w:rFonts w:hint="default" w:ascii="Times New Roman" w:hAnsi="Times New Roman" w:eastAsia="宋体"/>
                <w:color w:val="auto"/>
                <w:sz w:val="24"/>
                <w:szCs w:val="22"/>
              </w:rPr>
              <w:t>、PM</w:t>
            </w:r>
            <w:r>
              <w:rPr>
                <w:rFonts w:hint="default" w:ascii="Times New Roman" w:hAnsi="Times New Roman" w:eastAsia="宋体"/>
                <w:color w:val="auto"/>
                <w:sz w:val="24"/>
                <w:szCs w:val="22"/>
                <w:vertAlign w:val="subscript"/>
              </w:rPr>
              <w:t>10</w:t>
            </w:r>
            <w:r>
              <w:rPr>
                <w:rFonts w:hint="default" w:ascii="Times New Roman" w:hAnsi="Times New Roman" w:eastAsia="宋体"/>
                <w:color w:val="auto"/>
                <w:sz w:val="24"/>
                <w:szCs w:val="22"/>
              </w:rPr>
              <w:t>、PM</w:t>
            </w:r>
            <w:r>
              <w:rPr>
                <w:rFonts w:hint="eastAsia" w:ascii="Times New Roman" w:hAnsi="Times New Roman" w:eastAsia="宋体"/>
                <w:color w:val="auto"/>
                <w:sz w:val="24"/>
                <w:szCs w:val="22"/>
                <w:vertAlign w:val="subscript"/>
                <w:lang w:val="en-US" w:eastAsia="zh-CN"/>
              </w:rPr>
              <w:t>2.5</w:t>
            </w:r>
            <w:r>
              <w:rPr>
                <w:rFonts w:hint="default" w:ascii="Times New Roman" w:hAnsi="Times New Roman" w:eastAsia="宋体"/>
                <w:color w:val="auto"/>
                <w:sz w:val="24"/>
                <w:szCs w:val="22"/>
              </w:rPr>
              <w:t>、</w:t>
            </w:r>
            <w:r>
              <w:rPr>
                <w:rFonts w:hint="eastAsia" w:ascii="Times New Roman" w:hAnsi="Times New Roman" w:eastAsia="宋体"/>
                <w:color w:val="auto"/>
                <w:sz w:val="24"/>
                <w:szCs w:val="22"/>
                <w:lang w:val="en-US" w:eastAsia="zh-CN"/>
              </w:rPr>
              <w:t>CO和O</w:t>
            </w:r>
            <w:r>
              <w:rPr>
                <w:rFonts w:hint="eastAsia" w:ascii="Times New Roman" w:hAnsi="Times New Roman" w:eastAsia="宋体"/>
                <w:color w:val="auto"/>
                <w:sz w:val="24"/>
                <w:szCs w:val="22"/>
                <w:vertAlign w:val="subscript"/>
                <w:lang w:val="en-US" w:eastAsia="zh-CN"/>
              </w:rPr>
              <w:t>3</w:t>
            </w:r>
            <w:r>
              <w:rPr>
                <w:rFonts w:hint="eastAsia" w:ascii="Times New Roman" w:hAnsi="Times New Roman" w:eastAsia="宋体"/>
                <w:color w:val="auto"/>
                <w:sz w:val="24"/>
                <w:szCs w:val="22"/>
                <w:vertAlign w:val="baseline"/>
                <w:lang w:val="en-US" w:eastAsia="zh-CN"/>
              </w:rPr>
              <w:t>，六项污染物全部达标即为城市空气质量达标。</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eastAsia" w:ascii="Times New Roman" w:hAnsi="Times New Roman" w:eastAsia="宋体"/>
                <w:color w:val="auto"/>
                <w:sz w:val="24"/>
                <w:szCs w:val="22"/>
                <w:vertAlign w:val="baseline"/>
                <w:lang w:val="en-US" w:eastAsia="zh-CN"/>
              </w:rPr>
            </w:pPr>
            <w:r>
              <w:rPr>
                <w:rFonts w:hint="eastAsia" w:ascii="Times New Roman" w:hAnsi="Times New Roman" w:eastAsia="宋体"/>
                <w:color w:val="auto"/>
                <w:sz w:val="24"/>
                <w:szCs w:val="22"/>
                <w:vertAlign w:val="baseline"/>
                <w:lang w:val="en-US" w:eastAsia="zh-CN"/>
              </w:rPr>
              <w:t>由上表可知，</w:t>
            </w:r>
            <w:r>
              <w:rPr>
                <w:rFonts w:hint="default" w:ascii="Times New Roman" w:hAnsi="Times New Roman" w:eastAsia="宋体"/>
                <w:color w:val="auto"/>
                <w:sz w:val="24"/>
                <w:szCs w:val="22"/>
              </w:rPr>
              <w:t>项目区域SO</w:t>
            </w:r>
            <w:r>
              <w:rPr>
                <w:rFonts w:hint="default" w:ascii="Times New Roman" w:hAnsi="Times New Roman" w:eastAsia="宋体"/>
                <w:color w:val="auto"/>
                <w:sz w:val="24"/>
                <w:szCs w:val="22"/>
                <w:vertAlign w:val="subscript"/>
              </w:rPr>
              <w:t>2</w:t>
            </w:r>
            <w:r>
              <w:rPr>
                <w:rFonts w:hint="default" w:ascii="Times New Roman" w:hAnsi="Times New Roman" w:eastAsia="宋体"/>
                <w:color w:val="auto"/>
                <w:sz w:val="24"/>
                <w:szCs w:val="22"/>
              </w:rPr>
              <w:t>、NO</w:t>
            </w:r>
            <w:r>
              <w:rPr>
                <w:rFonts w:hint="default" w:ascii="Times New Roman" w:hAnsi="Times New Roman" w:eastAsia="宋体"/>
                <w:color w:val="auto"/>
                <w:sz w:val="24"/>
                <w:szCs w:val="22"/>
                <w:vertAlign w:val="subscript"/>
              </w:rPr>
              <w:t>2</w:t>
            </w:r>
            <w:r>
              <w:rPr>
                <w:rFonts w:hint="default" w:ascii="Times New Roman" w:hAnsi="Times New Roman" w:eastAsia="宋体"/>
                <w:color w:val="auto"/>
                <w:sz w:val="24"/>
                <w:szCs w:val="22"/>
              </w:rPr>
              <w:t>年均浓度</w:t>
            </w:r>
            <w:r>
              <w:rPr>
                <w:rFonts w:hint="eastAsia" w:ascii="Times New Roman" w:hAnsi="Times New Roman" w:eastAsia="宋体"/>
                <w:color w:val="auto"/>
                <w:sz w:val="24"/>
                <w:szCs w:val="22"/>
                <w:lang w:val="en-US" w:eastAsia="zh-CN"/>
              </w:rPr>
              <w:t>达到</w:t>
            </w:r>
            <w:r>
              <w:rPr>
                <w:rFonts w:hint="default" w:ascii="Times New Roman" w:hAnsi="Times New Roman" w:eastAsia="宋体"/>
                <w:color w:val="auto"/>
                <w:sz w:val="24"/>
                <w:szCs w:val="22"/>
              </w:rPr>
              <w:t>《环境空气质量标准》（GB3095-2012）的二级标准</w:t>
            </w:r>
            <w:r>
              <w:rPr>
                <w:rFonts w:hint="eastAsia" w:ascii="Times New Roman" w:hAnsi="Times New Roman" w:eastAsia="宋体"/>
                <w:color w:val="auto"/>
                <w:sz w:val="24"/>
                <w:szCs w:val="22"/>
                <w:lang w:eastAsia="zh-CN"/>
              </w:rPr>
              <w:t>，</w:t>
            </w:r>
            <w:r>
              <w:rPr>
                <w:rFonts w:hint="default" w:ascii="Times New Roman" w:hAnsi="Times New Roman" w:eastAsia="宋体"/>
                <w:color w:val="auto"/>
                <w:sz w:val="24"/>
                <w:szCs w:val="22"/>
              </w:rPr>
              <w:t>CO日均浓度</w:t>
            </w:r>
            <w:r>
              <w:rPr>
                <w:rFonts w:hint="eastAsia" w:ascii="Times New Roman" w:hAnsi="Times New Roman" w:eastAsia="宋体"/>
                <w:color w:val="auto"/>
                <w:sz w:val="24"/>
                <w:szCs w:val="22"/>
                <w:lang w:val="en-US" w:eastAsia="zh-CN"/>
              </w:rPr>
              <w:t>达到</w:t>
            </w:r>
            <w:r>
              <w:rPr>
                <w:rFonts w:hint="default" w:ascii="Times New Roman" w:hAnsi="Times New Roman" w:eastAsia="宋体"/>
                <w:color w:val="auto"/>
                <w:sz w:val="24"/>
                <w:szCs w:val="22"/>
              </w:rPr>
              <w:t>《环境空气质量标准》（GB3095-2012）的二级标准</w:t>
            </w:r>
            <w:r>
              <w:rPr>
                <w:rFonts w:hint="eastAsia" w:ascii="Times New Roman" w:hAnsi="Times New Roman" w:eastAsia="宋体"/>
                <w:color w:val="auto"/>
                <w:sz w:val="24"/>
                <w:szCs w:val="22"/>
                <w:lang w:eastAsia="zh-CN"/>
              </w:rPr>
              <w:t>，</w:t>
            </w:r>
            <w:r>
              <w:rPr>
                <w:rFonts w:hint="default" w:ascii="Times New Roman" w:hAnsi="Times New Roman" w:eastAsia="宋体"/>
                <w:color w:val="auto"/>
                <w:sz w:val="24"/>
                <w:szCs w:val="22"/>
              </w:rPr>
              <w:t>PM</w:t>
            </w:r>
            <w:r>
              <w:rPr>
                <w:rFonts w:hint="default" w:ascii="Times New Roman" w:hAnsi="Times New Roman" w:eastAsia="宋体"/>
                <w:color w:val="auto"/>
                <w:sz w:val="24"/>
                <w:szCs w:val="22"/>
                <w:vertAlign w:val="subscript"/>
              </w:rPr>
              <w:t>10</w:t>
            </w:r>
            <w:r>
              <w:rPr>
                <w:rFonts w:hint="default" w:ascii="Times New Roman" w:hAnsi="Times New Roman" w:eastAsia="宋体"/>
                <w:color w:val="auto"/>
                <w:sz w:val="24"/>
                <w:szCs w:val="22"/>
              </w:rPr>
              <w:t>、PM</w:t>
            </w:r>
            <w:r>
              <w:rPr>
                <w:rFonts w:hint="default" w:ascii="Times New Roman" w:hAnsi="Times New Roman" w:eastAsia="宋体"/>
                <w:color w:val="auto"/>
                <w:sz w:val="24"/>
                <w:szCs w:val="22"/>
                <w:vertAlign w:val="subscript"/>
              </w:rPr>
              <w:t>2.5</w:t>
            </w:r>
            <w:r>
              <w:rPr>
                <w:rFonts w:hint="default" w:ascii="Times New Roman" w:hAnsi="Times New Roman" w:eastAsia="宋体"/>
                <w:color w:val="auto"/>
                <w:sz w:val="24"/>
                <w:szCs w:val="22"/>
              </w:rPr>
              <w:t>年均浓度与O</w:t>
            </w:r>
            <w:r>
              <w:rPr>
                <w:rFonts w:hint="default" w:ascii="Times New Roman" w:hAnsi="Times New Roman" w:eastAsia="宋体"/>
                <w:color w:val="auto"/>
                <w:sz w:val="24"/>
                <w:szCs w:val="22"/>
                <w:vertAlign w:val="subscript"/>
              </w:rPr>
              <w:t>3</w:t>
            </w:r>
            <w:r>
              <w:rPr>
                <w:rFonts w:hint="default" w:ascii="Times New Roman" w:hAnsi="Times New Roman" w:eastAsia="宋体"/>
                <w:color w:val="auto"/>
                <w:sz w:val="24"/>
                <w:szCs w:val="22"/>
              </w:rPr>
              <w:t>日最大8小时平均浓度均有超标现象，因此区域环境质量判定为不达标。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根据《芜湖市大气污染防治行动计划实施方案》、《芜湖市进一步加强高污染燃料禁燃区管理工作实施方案》等工作文件，芜湖市通过加快重点行业工业企业治理，对电力、钢铁、水泥、平板玻璃等重点行业实施烟气排放超标改造，开展</w:t>
            </w:r>
            <w:r>
              <w:rPr>
                <w:rFonts w:hint="eastAsia" w:ascii="Times New Roman" w:hAnsi="Times New Roman" w:eastAsia="宋体"/>
                <w:color w:val="auto"/>
                <w:sz w:val="24"/>
                <w:szCs w:val="24"/>
              </w:rPr>
              <w:t>VOCs</w:t>
            </w:r>
            <w:r>
              <w:rPr>
                <w:rFonts w:ascii="Times New Roman" w:hAnsi="Times New Roman" w:eastAsia="宋体"/>
                <w:color w:val="auto"/>
                <w:sz w:val="24"/>
                <w:szCs w:val="24"/>
              </w:rPr>
              <w:t>（挥发性有机化合物）综合治理，落实扬尘整治措施，强化移动源污染监管，加强燃煤锅炉小锅炉淘汰、餐饮油烟治理等措施改善环境空气质量。</w:t>
            </w:r>
          </w:p>
          <w:p>
            <w:pPr>
              <w:keepNext w:val="0"/>
              <w:keepLines w:val="0"/>
              <w:pageBreakBefore w:val="0"/>
              <w:widowControl w:val="0"/>
              <w:kinsoku/>
              <w:wordWrap/>
              <w:overflowPunct/>
              <w:topLinePunct w:val="0"/>
              <w:bidi w:val="0"/>
              <w:snapToGrid/>
              <w:spacing w:beforeLines="20" w:line="360" w:lineRule="auto"/>
              <w:jc w:val="left"/>
              <w:textAlignment w:val="auto"/>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特征因子监测数据</w:t>
            </w:r>
          </w:p>
          <w:p>
            <w:pPr>
              <w:pStyle w:val="2"/>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default" w:ascii="Times New Roman" w:hAnsi="Times New Roman" w:eastAsia="宋体"/>
                <w:b w:val="0"/>
                <w:bCs/>
                <w:color w:val="auto"/>
                <w:lang w:val="en-US" w:eastAsia="zh-CN"/>
              </w:rPr>
            </w:pPr>
            <w:r>
              <w:rPr>
                <w:rFonts w:hint="eastAsia" w:ascii="Times New Roman" w:hAnsi="Times New Roman" w:eastAsia="宋体"/>
                <w:b w:val="0"/>
                <w:bCs/>
                <w:color w:val="auto"/>
                <w:sz w:val="24"/>
                <w:szCs w:val="24"/>
                <w:lang w:val="en-US" w:eastAsia="zh-CN"/>
              </w:rPr>
              <w:t>本项目特征因子监测引用安徽基越环境检测有限公司2019年12月23日-24日在芜湖新兴铸管有限责任公司内监测数据，详细数据见表：</w:t>
            </w:r>
          </w:p>
          <w:p>
            <w:pPr>
              <w:adjustRightInd w:val="0"/>
              <w:snapToGrid w:val="0"/>
              <w:spacing w:before="120" w:beforeLines="50"/>
              <w:ind w:left="682" w:hanging="682" w:hangingChars="283"/>
              <w:jc w:val="center"/>
              <w:rPr>
                <w:rFonts w:ascii="Times New Roman" w:hAnsi="Times New Roman" w:eastAsia="宋体" w:cs="Arial"/>
                <w:b/>
                <w:bCs/>
                <w:sz w:val="24"/>
                <w:szCs w:val="24"/>
              </w:rPr>
            </w:pPr>
            <w:r>
              <w:rPr>
                <w:rFonts w:hint="eastAsia" w:ascii="Times New Roman" w:hAnsi="Times New Roman" w:eastAsia="宋体" w:cs="Arial"/>
                <w:b/>
                <w:sz w:val="24"/>
                <w:szCs w:val="24"/>
              </w:rPr>
              <w:t>表</w:t>
            </w:r>
            <w:r>
              <w:rPr>
                <w:rFonts w:hint="eastAsia" w:ascii="Times New Roman" w:hAnsi="Times New Roman" w:eastAsia="宋体" w:cs="Arial"/>
                <w:b/>
                <w:sz w:val="24"/>
                <w:szCs w:val="24"/>
                <w:lang w:val="en-US" w:eastAsia="zh-CN"/>
              </w:rPr>
              <w:t>3</w:t>
            </w:r>
            <w:r>
              <w:rPr>
                <w:rFonts w:hint="eastAsia" w:ascii="Times New Roman" w:hAnsi="Times New Roman" w:eastAsia="宋体" w:cs="Arial"/>
                <w:b/>
                <w:sz w:val="24"/>
                <w:szCs w:val="24"/>
              </w:rPr>
              <w:t>-</w:t>
            </w:r>
            <w:r>
              <w:rPr>
                <w:rFonts w:hint="eastAsia" w:ascii="Times New Roman" w:hAnsi="Times New Roman" w:eastAsia="宋体" w:cs="Arial"/>
                <w:b/>
                <w:sz w:val="24"/>
                <w:szCs w:val="24"/>
                <w:lang w:val="en-US" w:eastAsia="zh-CN"/>
              </w:rPr>
              <w:t xml:space="preserve">2 </w:t>
            </w:r>
            <w:r>
              <w:rPr>
                <w:rFonts w:hint="eastAsia" w:ascii="Times New Roman" w:hAnsi="Times New Roman" w:eastAsia="宋体" w:cs="Arial"/>
                <w:b/>
                <w:sz w:val="24"/>
                <w:szCs w:val="24"/>
              </w:rPr>
              <w:t>环境空气检测结果</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790"/>
              <w:gridCol w:w="1026"/>
              <w:gridCol w:w="1180"/>
              <w:gridCol w:w="810"/>
              <w:gridCol w:w="810"/>
              <w:gridCol w:w="810"/>
              <w:gridCol w:w="810"/>
              <w:gridCol w:w="810"/>
              <w:gridCol w:w="770"/>
              <w:gridCol w:w="603"/>
              <w:gridCol w:w="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36" w:type="pct"/>
                  <w:vMerge w:val="restart"/>
                  <w:noWrap w:val="0"/>
                  <w:vAlign w:val="center"/>
                </w:tcPr>
                <w:p>
                  <w:pPr>
                    <w:adjustRightInd w:val="0"/>
                    <w:snapToGrid w:val="0"/>
                    <w:jc w:val="center"/>
                    <w:rPr>
                      <w:rFonts w:ascii="Times New Roman" w:hAnsi="Times New Roman" w:eastAsia="宋体" w:cs="Arial"/>
                      <w:bCs/>
                      <w:color w:val="FF0000"/>
                      <w:szCs w:val="21"/>
                    </w:rPr>
                  </w:pPr>
                  <w:r>
                    <w:rPr>
                      <w:rFonts w:ascii="Times New Roman" w:hAnsi="Times New Roman" w:eastAsia="宋体" w:cs="Arial"/>
                      <w:bCs/>
                      <w:color w:val="auto"/>
                      <w:szCs w:val="21"/>
                    </w:rPr>
                    <w:t>采样日期</w:t>
                  </w:r>
                </w:p>
              </w:tc>
              <w:tc>
                <w:tcPr>
                  <w:tcW w:w="566" w:type="pct"/>
                  <w:vMerge w:val="restart"/>
                  <w:noWrap w:val="0"/>
                  <w:vAlign w:val="center"/>
                </w:tcPr>
                <w:p>
                  <w:pPr>
                    <w:adjustRightInd w:val="0"/>
                    <w:snapToGrid w:val="0"/>
                    <w:jc w:val="center"/>
                    <w:outlineLvl w:val="1"/>
                    <w:rPr>
                      <w:rFonts w:ascii="Times New Roman" w:hAnsi="Times New Roman" w:eastAsia="宋体" w:cs="Arial"/>
                      <w:color w:val="FF0000"/>
                      <w:szCs w:val="21"/>
                    </w:rPr>
                  </w:pPr>
                  <w:r>
                    <w:rPr>
                      <w:rFonts w:ascii="Times New Roman" w:hAnsi="Times New Roman" w:eastAsia="宋体" w:cs="Arial"/>
                      <w:color w:val="auto"/>
                      <w:szCs w:val="21"/>
                    </w:rPr>
                    <w:t>检测因子</w:t>
                  </w:r>
                </w:p>
              </w:tc>
              <w:tc>
                <w:tcPr>
                  <w:tcW w:w="651" w:type="pct"/>
                  <w:vMerge w:val="restart"/>
                  <w:noWrap w:val="0"/>
                  <w:vAlign w:val="center"/>
                </w:tcPr>
                <w:p>
                  <w:pPr>
                    <w:adjustRightInd w:val="0"/>
                    <w:snapToGrid w:val="0"/>
                    <w:jc w:val="center"/>
                    <w:rPr>
                      <w:rFonts w:ascii="Times New Roman" w:hAnsi="Times New Roman" w:eastAsia="宋体" w:cs="Arial"/>
                      <w:szCs w:val="21"/>
                    </w:rPr>
                  </w:pPr>
                  <w:r>
                    <w:rPr>
                      <w:rFonts w:hint="eastAsia" w:ascii="Times New Roman" w:hAnsi="Times New Roman" w:eastAsia="宋体" w:cs="Arial"/>
                      <w:color w:val="auto"/>
                      <w:szCs w:val="21"/>
                      <w:lang w:eastAsia="zh-CN"/>
                    </w:rPr>
                    <w:t>采样</w:t>
                  </w:r>
                  <w:r>
                    <w:rPr>
                      <w:rFonts w:ascii="Times New Roman" w:hAnsi="Times New Roman" w:eastAsia="宋体" w:cs="Arial"/>
                      <w:color w:val="auto"/>
                      <w:szCs w:val="21"/>
                    </w:rPr>
                    <w:t>时间</w:t>
                  </w:r>
                </w:p>
              </w:tc>
              <w:tc>
                <w:tcPr>
                  <w:tcW w:w="2660" w:type="pct"/>
                  <w:gridSpan w:val="6"/>
                  <w:noWrap w:val="0"/>
                  <w:vAlign w:val="center"/>
                </w:tcPr>
                <w:p>
                  <w:pPr>
                    <w:adjustRightInd w:val="0"/>
                    <w:snapToGrid w:val="0"/>
                    <w:jc w:val="center"/>
                    <w:rPr>
                      <w:rFonts w:ascii="Times New Roman" w:hAnsi="Times New Roman" w:eastAsia="宋体" w:cs="Arial"/>
                      <w:szCs w:val="21"/>
                    </w:rPr>
                  </w:pPr>
                  <w:r>
                    <w:rPr>
                      <w:rFonts w:ascii="Times New Roman" w:hAnsi="Times New Roman" w:eastAsia="宋体" w:cs="Arial"/>
                      <w:szCs w:val="21"/>
                    </w:rPr>
                    <w:t>检测结果</w:t>
                  </w:r>
                </w:p>
              </w:tc>
              <w:tc>
                <w:tcPr>
                  <w:tcW w:w="332" w:type="pct"/>
                  <w:vMerge w:val="restart"/>
                  <w:noWrap w:val="0"/>
                  <w:vAlign w:val="center"/>
                </w:tcPr>
                <w:p>
                  <w:pPr>
                    <w:adjustRightInd w:val="0"/>
                    <w:snapToGrid w:val="0"/>
                    <w:jc w:val="center"/>
                    <w:rPr>
                      <w:rFonts w:ascii="Times New Roman" w:hAnsi="Times New Roman" w:eastAsia="宋体" w:cs="Arial"/>
                      <w:szCs w:val="21"/>
                    </w:rPr>
                  </w:pPr>
                  <w:r>
                    <w:rPr>
                      <w:rFonts w:ascii="Times New Roman" w:hAnsi="Times New Roman" w:eastAsia="宋体" w:cs="Arial"/>
                      <w:szCs w:val="21"/>
                    </w:rPr>
                    <w:t>最大值</w:t>
                  </w:r>
                </w:p>
              </w:tc>
              <w:tc>
                <w:tcPr>
                  <w:tcW w:w="353" w:type="pct"/>
                  <w:vMerge w:val="restart"/>
                  <w:noWrap w:val="0"/>
                  <w:vAlign w:val="center"/>
                </w:tcPr>
                <w:p>
                  <w:pPr>
                    <w:adjustRightInd w:val="0"/>
                    <w:snapToGrid w:val="0"/>
                    <w:jc w:val="center"/>
                    <w:rPr>
                      <w:rFonts w:ascii="Times New Roman" w:hAnsi="Times New Roman" w:eastAsia="宋体" w:cs="Arial"/>
                      <w:szCs w:val="21"/>
                    </w:rPr>
                  </w:pPr>
                  <w:r>
                    <w:rPr>
                      <w:rFonts w:ascii="Times New Roman" w:hAnsi="Times New Roman" w:eastAsia="宋体" w:cs="Arial"/>
                      <w:szCs w:val="21"/>
                    </w:rPr>
                    <w:t>标准</w:t>
                  </w:r>
                </w:p>
                <w:p>
                  <w:pPr>
                    <w:adjustRightInd w:val="0"/>
                    <w:snapToGrid w:val="0"/>
                    <w:jc w:val="center"/>
                    <w:rPr>
                      <w:rFonts w:ascii="Times New Roman" w:hAnsi="Times New Roman" w:eastAsia="宋体" w:cs="Arial"/>
                      <w:szCs w:val="21"/>
                    </w:rPr>
                  </w:pPr>
                  <w:r>
                    <w:rPr>
                      <w:rFonts w:ascii="Times New Roman" w:hAnsi="Times New Roman" w:eastAsia="宋体" w:cs="Arial"/>
                      <w:szCs w:val="21"/>
                    </w:rPr>
                    <w:t>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36" w:type="pct"/>
                  <w:vMerge w:val="continue"/>
                  <w:noWrap w:val="0"/>
                  <w:vAlign w:val="center"/>
                </w:tcPr>
                <w:p>
                  <w:pPr>
                    <w:adjustRightInd w:val="0"/>
                    <w:snapToGrid w:val="0"/>
                    <w:jc w:val="center"/>
                    <w:rPr>
                      <w:rFonts w:ascii="Times New Roman" w:hAnsi="Times New Roman" w:eastAsia="宋体" w:cs="Arial"/>
                      <w:bCs/>
                      <w:color w:val="FF0000"/>
                      <w:szCs w:val="21"/>
                    </w:rPr>
                  </w:pPr>
                </w:p>
              </w:tc>
              <w:tc>
                <w:tcPr>
                  <w:tcW w:w="566" w:type="pct"/>
                  <w:vMerge w:val="continue"/>
                  <w:noWrap w:val="0"/>
                  <w:vAlign w:val="center"/>
                </w:tcPr>
                <w:p>
                  <w:pPr>
                    <w:adjustRightInd w:val="0"/>
                    <w:snapToGrid w:val="0"/>
                    <w:jc w:val="center"/>
                    <w:outlineLvl w:val="1"/>
                    <w:rPr>
                      <w:rFonts w:ascii="Times New Roman" w:hAnsi="Times New Roman" w:eastAsia="宋体" w:cs="Arial"/>
                      <w:szCs w:val="21"/>
                    </w:rPr>
                  </w:pPr>
                </w:p>
              </w:tc>
              <w:tc>
                <w:tcPr>
                  <w:tcW w:w="651" w:type="pct"/>
                  <w:vMerge w:val="continue"/>
                  <w:noWrap w:val="0"/>
                  <w:vAlign w:val="center"/>
                </w:tcPr>
                <w:p>
                  <w:pPr>
                    <w:adjustRightInd w:val="0"/>
                    <w:snapToGrid w:val="0"/>
                    <w:jc w:val="center"/>
                    <w:rPr>
                      <w:rFonts w:ascii="Times New Roman" w:hAnsi="Times New Roman" w:eastAsia="宋体" w:cs="Arial"/>
                      <w:color w:val="FF0000"/>
                      <w:szCs w:val="21"/>
                    </w:rPr>
                  </w:pPr>
                </w:p>
              </w:tc>
              <w:tc>
                <w:tcPr>
                  <w:tcW w:w="447"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bCs/>
                      <w:szCs w:val="21"/>
                    </w:rPr>
                    <w:t>G1</w:t>
                  </w:r>
                </w:p>
                <w:p>
                  <w:pPr>
                    <w:adjustRightInd w:val="0"/>
                    <w:snapToGrid w:val="0"/>
                    <w:jc w:val="center"/>
                    <w:rPr>
                      <w:rFonts w:ascii="Times New Roman" w:hAnsi="Times New Roman" w:eastAsia="宋体" w:cs="Arial"/>
                      <w:szCs w:val="21"/>
                    </w:rPr>
                  </w:pPr>
                  <w:r>
                    <w:rPr>
                      <w:rFonts w:ascii="Times New Roman" w:hAnsi="Times New Roman" w:eastAsia="宋体" w:cs="Arial"/>
                      <w:bCs/>
                      <w:szCs w:val="21"/>
                    </w:rPr>
                    <w:t>六洲村</w:t>
                  </w:r>
                </w:p>
              </w:tc>
              <w:tc>
                <w:tcPr>
                  <w:tcW w:w="447"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bCs/>
                      <w:szCs w:val="21"/>
                    </w:rPr>
                    <w:t>G2</w:t>
                  </w:r>
                </w:p>
                <w:p>
                  <w:pPr>
                    <w:adjustRightInd w:val="0"/>
                    <w:snapToGrid w:val="0"/>
                    <w:jc w:val="center"/>
                    <w:rPr>
                      <w:rFonts w:ascii="Times New Roman" w:hAnsi="Times New Roman" w:eastAsia="宋体" w:cs="Arial"/>
                      <w:szCs w:val="21"/>
                    </w:rPr>
                  </w:pPr>
                  <w:r>
                    <w:rPr>
                      <w:rFonts w:ascii="Times New Roman" w:hAnsi="Times New Roman" w:eastAsia="宋体" w:cs="Arial"/>
                      <w:bCs/>
                      <w:szCs w:val="21"/>
                    </w:rPr>
                    <w:t>华电小区</w:t>
                  </w:r>
                </w:p>
              </w:tc>
              <w:tc>
                <w:tcPr>
                  <w:tcW w:w="447"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bCs/>
                      <w:szCs w:val="21"/>
                    </w:rPr>
                    <w:t>G3</w:t>
                  </w:r>
                </w:p>
                <w:p>
                  <w:pPr>
                    <w:adjustRightInd w:val="0"/>
                    <w:snapToGrid w:val="0"/>
                    <w:rPr>
                      <w:rFonts w:ascii="Times New Roman" w:hAnsi="Times New Roman" w:eastAsia="宋体" w:cs="Arial"/>
                      <w:szCs w:val="21"/>
                    </w:rPr>
                  </w:pPr>
                  <w:r>
                    <w:rPr>
                      <w:rFonts w:ascii="Times New Roman" w:hAnsi="Times New Roman" w:eastAsia="宋体" w:cs="Arial"/>
                      <w:bCs/>
                      <w:szCs w:val="21"/>
                    </w:rPr>
                    <w:t>月亮湾小区</w:t>
                  </w:r>
                </w:p>
              </w:tc>
              <w:tc>
                <w:tcPr>
                  <w:tcW w:w="447"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bCs/>
                      <w:szCs w:val="21"/>
                    </w:rPr>
                    <w:t>G4</w:t>
                  </w:r>
                </w:p>
                <w:p>
                  <w:pPr>
                    <w:adjustRightInd w:val="0"/>
                    <w:snapToGrid w:val="0"/>
                    <w:jc w:val="center"/>
                    <w:rPr>
                      <w:rFonts w:ascii="Times New Roman" w:hAnsi="Times New Roman" w:eastAsia="宋体" w:cs="Arial"/>
                      <w:szCs w:val="21"/>
                    </w:rPr>
                  </w:pPr>
                  <w:r>
                    <w:rPr>
                      <w:rFonts w:ascii="Times New Roman" w:hAnsi="Times New Roman" w:eastAsia="宋体" w:cs="Arial"/>
                      <w:bCs/>
                      <w:szCs w:val="21"/>
                    </w:rPr>
                    <w:t>孙滩村委会</w:t>
                  </w:r>
                </w:p>
              </w:tc>
              <w:tc>
                <w:tcPr>
                  <w:tcW w:w="447"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bCs/>
                      <w:szCs w:val="21"/>
                    </w:rPr>
                    <w:t>G5</w:t>
                  </w:r>
                </w:p>
                <w:p>
                  <w:pPr>
                    <w:adjustRightInd w:val="0"/>
                    <w:snapToGrid w:val="0"/>
                    <w:jc w:val="center"/>
                    <w:rPr>
                      <w:rFonts w:ascii="Times New Roman" w:hAnsi="Times New Roman" w:eastAsia="宋体" w:cs="Arial"/>
                      <w:szCs w:val="21"/>
                    </w:rPr>
                  </w:pPr>
                  <w:r>
                    <w:rPr>
                      <w:rFonts w:ascii="Times New Roman" w:hAnsi="Times New Roman" w:eastAsia="宋体" w:cs="Arial"/>
                      <w:bCs/>
                      <w:szCs w:val="21"/>
                    </w:rPr>
                    <w:t>高安村</w:t>
                  </w:r>
                </w:p>
              </w:tc>
              <w:tc>
                <w:tcPr>
                  <w:tcW w:w="424"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bCs/>
                      <w:szCs w:val="21"/>
                    </w:rPr>
                    <w:t>G6</w:t>
                  </w:r>
                </w:p>
                <w:p>
                  <w:pPr>
                    <w:adjustRightInd w:val="0"/>
                    <w:snapToGrid w:val="0"/>
                    <w:jc w:val="center"/>
                    <w:rPr>
                      <w:rFonts w:ascii="Times New Roman" w:hAnsi="Times New Roman" w:eastAsia="宋体" w:cs="Arial"/>
                      <w:szCs w:val="21"/>
                    </w:rPr>
                  </w:pPr>
                  <w:r>
                    <w:rPr>
                      <w:rFonts w:ascii="Times New Roman" w:hAnsi="Times New Roman" w:eastAsia="宋体" w:cs="Arial"/>
                      <w:bCs/>
                      <w:szCs w:val="21"/>
                    </w:rPr>
                    <w:t>协力村</w:t>
                  </w:r>
                </w:p>
              </w:tc>
              <w:tc>
                <w:tcPr>
                  <w:tcW w:w="332" w:type="pct"/>
                  <w:vMerge w:val="continue"/>
                  <w:noWrap w:val="0"/>
                  <w:vAlign w:val="center"/>
                </w:tcPr>
                <w:p>
                  <w:pPr>
                    <w:adjustRightInd w:val="0"/>
                    <w:snapToGrid w:val="0"/>
                    <w:jc w:val="center"/>
                    <w:rPr>
                      <w:rFonts w:ascii="Times New Roman" w:hAnsi="Times New Roman" w:eastAsia="宋体" w:cs="Arial"/>
                      <w:szCs w:val="21"/>
                    </w:rPr>
                  </w:pPr>
                </w:p>
              </w:tc>
              <w:tc>
                <w:tcPr>
                  <w:tcW w:w="353" w:type="pct"/>
                  <w:vMerge w:val="continue"/>
                  <w:noWrap w:val="0"/>
                  <w:vAlign w:val="center"/>
                </w:tcPr>
                <w:p>
                  <w:pPr>
                    <w:adjustRightInd w:val="0"/>
                    <w:snapToGrid w:val="0"/>
                    <w:jc w:val="center"/>
                    <w:rPr>
                      <w:rFonts w:ascii="Times New Roman" w:hAnsi="Times New Roman" w:eastAsia="宋体" w:cs="Arial"/>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36" w:type="pct"/>
                  <w:vMerge w:val="restart"/>
                  <w:noWrap w:val="0"/>
                  <w:vAlign w:val="center"/>
                </w:tcPr>
                <w:p>
                  <w:pPr>
                    <w:adjustRightInd w:val="0"/>
                    <w:snapToGrid w:val="0"/>
                    <w:jc w:val="center"/>
                    <w:rPr>
                      <w:rFonts w:ascii="Times New Roman" w:hAnsi="Times New Roman" w:eastAsia="宋体" w:cs="Arial"/>
                      <w:szCs w:val="21"/>
                    </w:rPr>
                  </w:pPr>
                  <w:r>
                    <w:rPr>
                      <w:rFonts w:ascii="Times New Roman" w:hAnsi="Times New Roman" w:eastAsia="宋体" w:cs="Arial"/>
                      <w:szCs w:val="21"/>
                    </w:rPr>
                    <w:t>2019</w:t>
                  </w:r>
                </w:p>
                <w:p>
                  <w:pPr>
                    <w:adjustRightInd w:val="0"/>
                    <w:snapToGrid w:val="0"/>
                    <w:jc w:val="center"/>
                    <w:rPr>
                      <w:rFonts w:ascii="Times New Roman" w:hAnsi="Times New Roman" w:eastAsia="宋体" w:cs="Arial"/>
                      <w:szCs w:val="21"/>
                    </w:rPr>
                  </w:pPr>
                  <w:r>
                    <w:rPr>
                      <w:rFonts w:hint="eastAsia" w:ascii="Times New Roman" w:hAnsi="Times New Roman" w:eastAsia="宋体" w:cs="Arial"/>
                      <w:szCs w:val="21"/>
                    </w:rPr>
                    <w:t>.</w:t>
                  </w:r>
                  <w:r>
                    <w:rPr>
                      <w:rFonts w:ascii="Times New Roman" w:hAnsi="Times New Roman" w:eastAsia="宋体" w:cs="Arial"/>
                      <w:szCs w:val="21"/>
                    </w:rPr>
                    <w:t>12.2</w:t>
                  </w:r>
                  <w:r>
                    <w:rPr>
                      <w:rFonts w:hint="eastAsia" w:ascii="Times New Roman" w:hAnsi="Times New Roman" w:eastAsia="宋体" w:cs="Arial"/>
                      <w:szCs w:val="21"/>
                      <w:lang w:val="en-US" w:eastAsia="zh-CN"/>
                    </w:rPr>
                    <w:t>3</w:t>
                  </w:r>
                </w:p>
              </w:tc>
              <w:tc>
                <w:tcPr>
                  <w:tcW w:w="566" w:type="pct"/>
                  <w:vMerge w:val="restart"/>
                  <w:noWrap w:val="0"/>
                  <w:vAlign w:val="center"/>
                </w:tcPr>
                <w:p>
                  <w:pPr>
                    <w:adjustRightInd w:val="0"/>
                    <w:snapToGrid w:val="0"/>
                    <w:jc w:val="center"/>
                    <w:outlineLvl w:val="1"/>
                    <w:rPr>
                      <w:rFonts w:ascii="Times New Roman" w:hAnsi="Times New Roman" w:eastAsia="宋体" w:cs="Arial"/>
                      <w:color w:val="auto"/>
                      <w:szCs w:val="21"/>
                    </w:rPr>
                  </w:pPr>
                  <w:r>
                    <w:rPr>
                      <w:rFonts w:ascii="Times New Roman" w:hAnsi="Times New Roman" w:eastAsia="宋体" w:cs="Arial"/>
                      <w:color w:val="auto"/>
                      <w:szCs w:val="21"/>
                    </w:rPr>
                    <w:t>非甲烷总烃</w:t>
                  </w:r>
                </w:p>
                <w:p>
                  <w:pPr>
                    <w:adjustRightInd w:val="0"/>
                    <w:snapToGrid w:val="0"/>
                    <w:jc w:val="center"/>
                    <w:outlineLvl w:val="1"/>
                    <w:rPr>
                      <w:rFonts w:ascii="Times New Roman" w:hAnsi="Times New Roman" w:eastAsia="宋体" w:cs="Arial"/>
                      <w:bCs/>
                      <w:color w:val="auto"/>
                      <w:szCs w:val="21"/>
                    </w:rPr>
                  </w:pPr>
                  <w:r>
                    <w:rPr>
                      <w:rFonts w:ascii="Times New Roman" w:hAnsi="Times New Roman" w:eastAsia="宋体" w:cs="Arial"/>
                      <w:color w:val="auto"/>
                      <w:szCs w:val="21"/>
                    </w:rPr>
                    <w:t>（mg/m³）</w:t>
                  </w:r>
                </w:p>
              </w:tc>
              <w:tc>
                <w:tcPr>
                  <w:tcW w:w="651" w:type="pct"/>
                  <w:noWrap w:val="0"/>
                  <w:vAlign w:val="center"/>
                </w:tcPr>
                <w:p>
                  <w:pPr>
                    <w:adjustRightInd w:val="0"/>
                    <w:snapToGrid w:val="0"/>
                    <w:jc w:val="center"/>
                    <w:rPr>
                      <w:rFonts w:ascii="Times New Roman" w:hAnsi="Times New Roman" w:eastAsia="宋体" w:cs="Arial"/>
                      <w:bCs/>
                      <w:color w:val="auto"/>
                      <w:szCs w:val="21"/>
                    </w:rPr>
                  </w:pPr>
                  <w:r>
                    <w:rPr>
                      <w:rFonts w:hint="eastAsia" w:ascii="Times New Roman" w:hAnsi="Times New Roman" w:eastAsia="宋体" w:cs="Arial"/>
                      <w:color w:val="auto"/>
                      <w:szCs w:val="21"/>
                    </w:rPr>
                    <w:t>0</w:t>
                  </w:r>
                  <w:r>
                    <w:rPr>
                      <w:rFonts w:ascii="Times New Roman" w:hAnsi="Times New Roman" w:eastAsia="宋体" w:cs="Arial"/>
                      <w:color w:val="auto"/>
                      <w:szCs w:val="21"/>
                    </w:rPr>
                    <w:t>2:30</w:t>
                  </w:r>
                </w:p>
              </w:tc>
              <w:tc>
                <w:tcPr>
                  <w:tcW w:w="447"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color w:val="auto"/>
                      <w:szCs w:val="21"/>
                    </w:rPr>
                    <w:t>0.20</w:t>
                  </w:r>
                </w:p>
              </w:tc>
              <w:tc>
                <w:tcPr>
                  <w:tcW w:w="447"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color w:val="auto"/>
                      <w:szCs w:val="21"/>
                    </w:rPr>
                    <w:t>0.17</w:t>
                  </w:r>
                </w:p>
              </w:tc>
              <w:tc>
                <w:tcPr>
                  <w:tcW w:w="447"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szCs w:val="21"/>
                    </w:rPr>
                    <w:t>0.11</w:t>
                  </w:r>
                </w:p>
              </w:tc>
              <w:tc>
                <w:tcPr>
                  <w:tcW w:w="447"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szCs w:val="21"/>
                    </w:rPr>
                    <w:t>0.16</w:t>
                  </w:r>
                </w:p>
              </w:tc>
              <w:tc>
                <w:tcPr>
                  <w:tcW w:w="447"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szCs w:val="21"/>
                    </w:rPr>
                    <w:t>0.29</w:t>
                  </w:r>
                </w:p>
              </w:tc>
              <w:tc>
                <w:tcPr>
                  <w:tcW w:w="424"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szCs w:val="21"/>
                    </w:rPr>
                    <w:t>0.15</w:t>
                  </w:r>
                </w:p>
              </w:tc>
              <w:tc>
                <w:tcPr>
                  <w:tcW w:w="332" w:type="pct"/>
                  <w:vMerge w:val="restar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szCs w:val="21"/>
                    </w:rPr>
                    <w:t>0.43</w:t>
                  </w:r>
                </w:p>
              </w:tc>
              <w:tc>
                <w:tcPr>
                  <w:tcW w:w="353" w:type="pct"/>
                  <w:vMerge w:val="restart"/>
                  <w:noWrap w:val="0"/>
                  <w:vAlign w:val="center"/>
                </w:tcPr>
                <w:p>
                  <w:pPr>
                    <w:adjustRightInd w:val="0"/>
                    <w:snapToGrid w:val="0"/>
                    <w:jc w:val="center"/>
                    <w:rPr>
                      <w:rFonts w:hint="eastAsia" w:ascii="Times New Roman" w:hAnsi="Times New Roman" w:eastAsia="宋体" w:cs="Arial"/>
                      <w:szCs w:val="21"/>
                      <w:lang w:val="en-US" w:eastAsia="zh-CN"/>
                    </w:rPr>
                  </w:pPr>
                  <w:r>
                    <w:rPr>
                      <w:rFonts w:hint="eastAsia" w:ascii="Times New Roman" w:hAnsi="Times New Roman" w:eastAsia="宋体" w:cs="Arial"/>
                      <w:szCs w:val="21"/>
                      <w:lang w:val="en-US" w:eastAsia="zh-CN"/>
                    </w:rPr>
                    <w:t>4.0</w:t>
                  </w:r>
                </w:p>
                <w:p>
                  <w:pPr>
                    <w:adjustRightInd w:val="0"/>
                    <w:snapToGrid w:val="0"/>
                    <w:jc w:val="center"/>
                    <w:rPr>
                      <w:rFonts w:hint="eastAsia" w:ascii="Times New Roman" w:hAnsi="Times New Roman" w:eastAsia="宋体" w:cs="Arial"/>
                      <w:bCs/>
                      <w:szCs w:val="21"/>
                      <w:lang w:val="en-US" w:eastAsia="zh-CN"/>
                    </w:rPr>
                  </w:pPr>
                  <w:r>
                    <w:rPr>
                      <w:rFonts w:ascii="Times New Roman" w:hAnsi="Times New Roman" w:eastAsia="宋体" w:cs="Arial"/>
                      <w:color w:val="auto"/>
                      <w:szCs w:val="21"/>
                    </w:rPr>
                    <w:t>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36" w:type="pct"/>
                  <w:vMerge w:val="continue"/>
                  <w:noWrap w:val="0"/>
                  <w:vAlign w:val="center"/>
                </w:tcPr>
                <w:p>
                  <w:pPr>
                    <w:adjustRightInd w:val="0"/>
                    <w:snapToGrid w:val="0"/>
                    <w:jc w:val="center"/>
                    <w:rPr>
                      <w:rFonts w:ascii="Times New Roman" w:hAnsi="Times New Roman" w:eastAsia="宋体" w:cs="Arial"/>
                      <w:szCs w:val="21"/>
                    </w:rPr>
                  </w:pPr>
                </w:p>
              </w:tc>
              <w:tc>
                <w:tcPr>
                  <w:tcW w:w="566" w:type="pct"/>
                  <w:vMerge w:val="continue"/>
                  <w:noWrap w:val="0"/>
                  <w:vAlign w:val="center"/>
                </w:tcPr>
                <w:p>
                  <w:pPr>
                    <w:adjustRightInd w:val="0"/>
                    <w:snapToGrid w:val="0"/>
                    <w:jc w:val="center"/>
                    <w:rPr>
                      <w:rFonts w:ascii="Times New Roman" w:hAnsi="Times New Roman" w:eastAsia="宋体" w:cs="Arial"/>
                      <w:bCs/>
                      <w:szCs w:val="21"/>
                    </w:rPr>
                  </w:pPr>
                </w:p>
              </w:tc>
              <w:tc>
                <w:tcPr>
                  <w:tcW w:w="651" w:type="pct"/>
                  <w:noWrap w:val="0"/>
                  <w:vAlign w:val="center"/>
                </w:tcPr>
                <w:p>
                  <w:pPr>
                    <w:adjustRightInd w:val="0"/>
                    <w:snapToGrid w:val="0"/>
                    <w:jc w:val="center"/>
                    <w:rPr>
                      <w:rFonts w:ascii="Times New Roman" w:hAnsi="Times New Roman" w:eastAsia="宋体" w:cs="Arial"/>
                      <w:bCs/>
                      <w:color w:val="auto"/>
                      <w:szCs w:val="21"/>
                    </w:rPr>
                  </w:pPr>
                  <w:r>
                    <w:rPr>
                      <w:rFonts w:hint="eastAsia" w:ascii="Times New Roman" w:hAnsi="Times New Roman" w:eastAsia="宋体" w:cs="Arial"/>
                      <w:bCs/>
                      <w:color w:val="auto"/>
                      <w:szCs w:val="21"/>
                    </w:rPr>
                    <w:t>0</w:t>
                  </w:r>
                  <w:r>
                    <w:rPr>
                      <w:rFonts w:ascii="Times New Roman" w:hAnsi="Times New Roman" w:eastAsia="宋体" w:cs="Arial"/>
                      <w:bCs/>
                      <w:color w:val="auto"/>
                      <w:szCs w:val="21"/>
                    </w:rPr>
                    <w:t>8:30</w:t>
                  </w:r>
                </w:p>
              </w:tc>
              <w:tc>
                <w:tcPr>
                  <w:tcW w:w="447"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bCs/>
                      <w:color w:val="auto"/>
                      <w:szCs w:val="21"/>
                    </w:rPr>
                    <w:t>0.20</w:t>
                  </w:r>
                </w:p>
              </w:tc>
              <w:tc>
                <w:tcPr>
                  <w:tcW w:w="447"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bCs/>
                      <w:color w:val="auto"/>
                      <w:szCs w:val="21"/>
                    </w:rPr>
                    <w:t>0.37</w:t>
                  </w:r>
                </w:p>
              </w:tc>
              <w:tc>
                <w:tcPr>
                  <w:tcW w:w="447"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bCs/>
                      <w:szCs w:val="21"/>
                    </w:rPr>
                    <w:t>0.11</w:t>
                  </w:r>
                </w:p>
              </w:tc>
              <w:tc>
                <w:tcPr>
                  <w:tcW w:w="447"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bCs/>
                      <w:szCs w:val="21"/>
                    </w:rPr>
                    <w:t>0.26</w:t>
                  </w:r>
                </w:p>
              </w:tc>
              <w:tc>
                <w:tcPr>
                  <w:tcW w:w="447"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bCs/>
                      <w:szCs w:val="21"/>
                    </w:rPr>
                    <w:t>0.21</w:t>
                  </w:r>
                </w:p>
              </w:tc>
              <w:tc>
                <w:tcPr>
                  <w:tcW w:w="424"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bCs/>
                      <w:szCs w:val="21"/>
                    </w:rPr>
                    <w:t>0.11</w:t>
                  </w:r>
                </w:p>
              </w:tc>
              <w:tc>
                <w:tcPr>
                  <w:tcW w:w="332" w:type="pct"/>
                  <w:vMerge w:val="continue"/>
                  <w:noWrap w:val="0"/>
                  <w:vAlign w:val="center"/>
                </w:tcPr>
                <w:p>
                  <w:pPr>
                    <w:adjustRightInd w:val="0"/>
                    <w:snapToGrid w:val="0"/>
                    <w:jc w:val="center"/>
                    <w:rPr>
                      <w:rFonts w:ascii="Times New Roman" w:hAnsi="Times New Roman" w:eastAsia="宋体" w:cs="Arial"/>
                      <w:bCs/>
                      <w:szCs w:val="21"/>
                    </w:rPr>
                  </w:pPr>
                </w:p>
              </w:tc>
              <w:tc>
                <w:tcPr>
                  <w:tcW w:w="353" w:type="pct"/>
                  <w:vMerge w:val="continue"/>
                  <w:noWrap w:val="0"/>
                  <w:vAlign w:val="center"/>
                </w:tcPr>
                <w:p>
                  <w:pPr>
                    <w:adjustRightInd w:val="0"/>
                    <w:snapToGrid w:val="0"/>
                    <w:jc w:val="center"/>
                    <w:rPr>
                      <w:rFonts w:ascii="Times New Roman" w:hAnsi="Times New Roman" w:eastAsia="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36" w:type="pct"/>
                  <w:vMerge w:val="continue"/>
                  <w:noWrap w:val="0"/>
                  <w:vAlign w:val="center"/>
                </w:tcPr>
                <w:p>
                  <w:pPr>
                    <w:adjustRightInd w:val="0"/>
                    <w:snapToGrid w:val="0"/>
                    <w:jc w:val="center"/>
                    <w:rPr>
                      <w:rFonts w:ascii="Times New Roman" w:hAnsi="Times New Roman" w:eastAsia="宋体" w:cs="Arial"/>
                      <w:szCs w:val="21"/>
                    </w:rPr>
                  </w:pPr>
                </w:p>
              </w:tc>
              <w:tc>
                <w:tcPr>
                  <w:tcW w:w="566" w:type="pct"/>
                  <w:vMerge w:val="continue"/>
                  <w:noWrap w:val="0"/>
                  <w:vAlign w:val="center"/>
                </w:tcPr>
                <w:p>
                  <w:pPr>
                    <w:adjustRightInd w:val="0"/>
                    <w:snapToGrid w:val="0"/>
                    <w:jc w:val="center"/>
                    <w:rPr>
                      <w:rFonts w:ascii="Times New Roman" w:hAnsi="Times New Roman" w:eastAsia="宋体" w:cs="Arial"/>
                      <w:bCs/>
                      <w:szCs w:val="21"/>
                    </w:rPr>
                  </w:pPr>
                </w:p>
              </w:tc>
              <w:tc>
                <w:tcPr>
                  <w:tcW w:w="651" w:type="pct"/>
                  <w:noWrap w:val="0"/>
                  <w:vAlign w:val="center"/>
                </w:tcPr>
                <w:p>
                  <w:pPr>
                    <w:adjustRightInd w:val="0"/>
                    <w:snapToGrid w:val="0"/>
                    <w:jc w:val="center"/>
                    <w:rPr>
                      <w:rFonts w:ascii="Times New Roman" w:hAnsi="Times New Roman" w:eastAsia="宋体" w:cs="Arial"/>
                      <w:bCs/>
                      <w:color w:val="auto"/>
                      <w:szCs w:val="21"/>
                    </w:rPr>
                  </w:pPr>
                  <w:r>
                    <w:rPr>
                      <w:rFonts w:ascii="Times New Roman" w:hAnsi="Times New Roman" w:eastAsia="宋体" w:cs="Arial"/>
                      <w:bCs/>
                      <w:color w:val="auto"/>
                      <w:szCs w:val="21"/>
                    </w:rPr>
                    <w:t>14:30</w:t>
                  </w:r>
                </w:p>
              </w:tc>
              <w:tc>
                <w:tcPr>
                  <w:tcW w:w="447"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bCs/>
                      <w:color w:val="auto"/>
                      <w:szCs w:val="21"/>
                    </w:rPr>
                    <w:t>0.23</w:t>
                  </w:r>
                </w:p>
              </w:tc>
              <w:tc>
                <w:tcPr>
                  <w:tcW w:w="447"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bCs/>
                      <w:color w:val="auto"/>
                      <w:szCs w:val="21"/>
                    </w:rPr>
                    <w:t>0.12</w:t>
                  </w:r>
                </w:p>
              </w:tc>
              <w:tc>
                <w:tcPr>
                  <w:tcW w:w="447"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bCs/>
                      <w:szCs w:val="21"/>
                    </w:rPr>
                    <w:t>0.21</w:t>
                  </w:r>
                </w:p>
              </w:tc>
              <w:tc>
                <w:tcPr>
                  <w:tcW w:w="447"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bCs/>
                      <w:szCs w:val="21"/>
                    </w:rPr>
                    <w:t>0.23</w:t>
                  </w:r>
                </w:p>
              </w:tc>
              <w:tc>
                <w:tcPr>
                  <w:tcW w:w="447"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bCs/>
                      <w:szCs w:val="21"/>
                    </w:rPr>
                    <w:t>0.16</w:t>
                  </w:r>
                </w:p>
              </w:tc>
              <w:tc>
                <w:tcPr>
                  <w:tcW w:w="424"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bCs/>
                      <w:szCs w:val="21"/>
                    </w:rPr>
                    <w:t>0.22</w:t>
                  </w:r>
                </w:p>
              </w:tc>
              <w:tc>
                <w:tcPr>
                  <w:tcW w:w="332" w:type="pct"/>
                  <w:vMerge w:val="continue"/>
                  <w:noWrap w:val="0"/>
                  <w:vAlign w:val="center"/>
                </w:tcPr>
                <w:p>
                  <w:pPr>
                    <w:adjustRightInd w:val="0"/>
                    <w:snapToGrid w:val="0"/>
                    <w:jc w:val="center"/>
                    <w:rPr>
                      <w:rFonts w:ascii="Times New Roman" w:hAnsi="Times New Roman" w:eastAsia="宋体" w:cs="Arial"/>
                      <w:bCs/>
                      <w:szCs w:val="21"/>
                    </w:rPr>
                  </w:pPr>
                </w:p>
              </w:tc>
              <w:tc>
                <w:tcPr>
                  <w:tcW w:w="353" w:type="pct"/>
                  <w:vMerge w:val="continue"/>
                  <w:noWrap w:val="0"/>
                  <w:vAlign w:val="center"/>
                </w:tcPr>
                <w:p>
                  <w:pPr>
                    <w:adjustRightInd w:val="0"/>
                    <w:snapToGrid w:val="0"/>
                    <w:jc w:val="center"/>
                    <w:rPr>
                      <w:rFonts w:ascii="Times New Roman" w:hAnsi="Times New Roman" w:eastAsia="宋体" w:cs="Arial"/>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rPr>
              <w:tc>
                <w:tcPr>
                  <w:tcW w:w="436" w:type="pct"/>
                  <w:vMerge w:val="continue"/>
                  <w:noWrap w:val="0"/>
                  <w:vAlign w:val="center"/>
                </w:tcPr>
                <w:p>
                  <w:pPr>
                    <w:adjustRightInd w:val="0"/>
                    <w:snapToGrid w:val="0"/>
                    <w:jc w:val="center"/>
                    <w:rPr>
                      <w:rFonts w:ascii="Times New Roman" w:hAnsi="Times New Roman" w:eastAsia="宋体" w:cs="Arial"/>
                      <w:szCs w:val="21"/>
                    </w:rPr>
                  </w:pPr>
                </w:p>
              </w:tc>
              <w:tc>
                <w:tcPr>
                  <w:tcW w:w="566" w:type="pct"/>
                  <w:vMerge w:val="continue"/>
                  <w:noWrap w:val="0"/>
                  <w:vAlign w:val="center"/>
                </w:tcPr>
                <w:p>
                  <w:pPr>
                    <w:adjustRightInd w:val="0"/>
                    <w:snapToGrid w:val="0"/>
                    <w:jc w:val="center"/>
                    <w:rPr>
                      <w:rFonts w:ascii="Times New Roman" w:hAnsi="Times New Roman" w:eastAsia="宋体" w:cs="Arial"/>
                      <w:bCs/>
                      <w:szCs w:val="21"/>
                    </w:rPr>
                  </w:pPr>
                </w:p>
              </w:tc>
              <w:tc>
                <w:tcPr>
                  <w:tcW w:w="651" w:type="pct"/>
                  <w:noWrap w:val="0"/>
                  <w:vAlign w:val="center"/>
                </w:tcPr>
                <w:p>
                  <w:pPr>
                    <w:adjustRightInd w:val="0"/>
                    <w:snapToGrid w:val="0"/>
                    <w:jc w:val="center"/>
                    <w:rPr>
                      <w:rFonts w:ascii="Times New Roman" w:hAnsi="Times New Roman" w:eastAsia="宋体" w:cs="Arial"/>
                      <w:bCs/>
                      <w:color w:val="auto"/>
                      <w:szCs w:val="21"/>
                    </w:rPr>
                  </w:pPr>
                  <w:r>
                    <w:rPr>
                      <w:rFonts w:ascii="Times New Roman" w:hAnsi="Times New Roman" w:eastAsia="宋体" w:cs="Arial"/>
                      <w:bCs/>
                      <w:color w:val="auto"/>
                      <w:szCs w:val="21"/>
                    </w:rPr>
                    <w:t>20:30</w:t>
                  </w:r>
                </w:p>
              </w:tc>
              <w:tc>
                <w:tcPr>
                  <w:tcW w:w="447"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bCs/>
                      <w:color w:val="auto"/>
                      <w:szCs w:val="21"/>
                    </w:rPr>
                    <w:t>0.16</w:t>
                  </w:r>
                </w:p>
              </w:tc>
              <w:tc>
                <w:tcPr>
                  <w:tcW w:w="447"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bCs/>
                      <w:color w:val="auto"/>
                      <w:szCs w:val="21"/>
                    </w:rPr>
                    <w:t>0.13</w:t>
                  </w:r>
                </w:p>
              </w:tc>
              <w:tc>
                <w:tcPr>
                  <w:tcW w:w="447"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bCs/>
                      <w:szCs w:val="21"/>
                    </w:rPr>
                    <w:t>0.43</w:t>
                  </w:r>
                </w:p>
              </w:tc>
              <w:tc>
                <w:tcPr>
                  <w:tcW w:w="447"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bCs/>
                      <w:szCs w:val="21"/>
                    </w:rPr>
                    <w:t>0.18</w:t>
                  </w:r>
                </w:p>
              </w:tc>
              <w:tc>
                <w:tcPr>
                  <w:tcW w:w="447"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bCs/>
                      <w:szCs w:val="21"/>
                    </w:rPr>
                    <w:t>0.14</w:t>
                  </w:r>
                </w:p>
              </w:tc>
              <w:tc>
                <w:tcPr>
                  <w:tcW w:w="424" w:type="pct"/>
                  <w:noWrap w:val="0"/>
                  <w:vAlign w:val="center"/>
                </w:tcPr>
                <w:p>
                  <w:pPr>
                    <w:adjustRightInd w:val="0"/>
                    <w:snapToGrid w:val="0"/>
                    <w:jc w:val="center"/>
                    <w:rPr>
                      <w:rFonts w:ascii="Times New Roman" w:hAnsi="Times New Roman" w:eastAsia="宋体" w:cs="Arial"/>
                      <w:bCs/>
                      <w:szCs w:val="21"/>
                    </w:rPr>
                  </w:pPr>
                  <w:r>
                    <w:rPr>
                      <w:rFonts w:ascii="Times New Roman" w:hAnsi="Times New Roman" w:eastAsia="宋体" w:cs="Arial"/>
                      <w:bCs/>
                      <w:szCs w:val="21"/>
                    </w:rPr>
                    <w:t>0.13</w:t>
                  </w:r>
                </w:p>
              </w:tc>
              <w:tc>
                <w:tcPr>
                  <w:tcW w:w="332" w:type="pct"/>
                  <w:vMerge w:val="continue"/>
                  <w:noWrap w:val="0"/>
                  <w:vAlign w:val="center"/>
                </w:tcPr>
                <w:p>
                  <w:pPr>
                    <w:adjustRightInd w:val="0"/>
                    <w:snapToGrid w:val="0"/>
                    <w:jc w:val="center"/>
                    <w:rPr>
                      <w:rFonts w:ascii="Times New Roman" w:hAnsi="Times New Roman" w:eastAsia="宋体" w:cs="Arial"/>
                      <w:bCs/>
                      <w:szCs w:val="21"/>
                    </w:rPr>
                  </w:pPr>
                </w:p>
              </w:tc>
              <w:tc>
                <w:tcPr>
                  <w:tcW w:w="353" w:type="pct"/>
                  <w:vMerge w:val="continue"/>
                  <w:noWrap w:val="0"/>
                  <w:vAlign w:val="center"/>
                </w:tcPr>
                <w:p>
                  <w:pPr>
                    <w:adjustRightInd w:val="0"/>
                    <w:snapToGrid w:val="0"/>
                    <w:jc w:val="center"/>
                    <w:rPr>
                      <w:rFonts w:ascii="Times New Roman" w:hAnsi="Times New Roman" w:eastAsia="宋体" w:cs="Arial"/>
                      <w:bCs/>
                      <w:szCs w:val="21"/>
                    </w:rPr>
                  </w:pPr>
                </w:p>
              </w:tc>
            </w:tr>
          </w:tbl>
          <w:p>
            <w:pPr>
              <w:tabs>
                <w:tab w:val="left" w:pos="960"/>
              </w:tabs>
              <w:spacing w:line="360" w:lineRule="auto"/>
              <w:ind w:firstLine="480" w:firstLineChars="200"/>
              <w:rPr>
                <w:rFonts w:ascii="Times New Roman" w:hAnsi="Times New Roman" w:eastAsia="宋体" w:cs="Times New Roman"/>
                <w:color w:val="auto"/>
                <w:sz w:val="24"/>
                <w:szCs w:val="24"/>
              </w:rPr>
            </w:pPr>
            <w:r>
              <w:rPr>
                <w:rFonts w:ascii="Times New Roman" w:hAnsi="Times New Roman" w:eastAsia="宋体" w:cs="Times New Roman"/>
                <w:color w:val="auto"/>
                <w:sz w:val="24"/>
                <w:szCs w:val="24"/>
              </w:rPr>
              <w:t>监测结果表</w:t>
            </w:r>
            <w:r>
              <w:rPr>
                <w:rFonts w:ascii="Times New Roman" w:hAnsi="Times New Roman" w:eastAsia="宋体" w:cs="Times New Roman"/>
                <w:bCs/>
                <w:color w:val="auto"/>
                <w:sz w:val="24"/>
                <w:szCs w:val="24"/>
              </w:rPr>
              <w:t>明：</w:t>
            </w:r>
            <w:r>
              <w:rPr>
                <w:rFonts w:ascii="Times New Roman" w:hAnsi="Times New Roman" w:eastAsia="宋体" w:cs="Times New Roman"/>
                <w:color w:val="auto"/>
                <w:sz w:val="24"/>
                <w:szCs w:val="24"/>
              </w:rPr>
              <w:t>厂界无组织排放监控点的</w:t>
            </w:r>
            <w:r>
              <w:rPr>
                <w:rFonts w:hint="eastAsia" w:ascii="Times New Roman" w:hAnsi="Times New Roman" w:eastAsia="宋体" w:cs="Times New Roman"/>
                <w:color w:val="auto"/>
                <w:sz w:val="24"/>
                <w:szCs w:val="24"/>
                <w:lang w:val="en-US" w:eastAsia="zh-CN"/>
              </w:rPr>
              <w:t>非甲烷总烃</w:t>
            </w:r>
            <w:r>
              <w:rPr>
                <w:rFonts w:ascii="Times New Roman" w:hAnsi="Times New Roman" w:eastAsia="宋体" w:cs="Times New Roman"/>
                <w:color w:val="auto"/>
                <w:sz w:val="24"/>
                <w:szCs w:val="24"/>
              </w:rPr>
              <w:t>最大监测浓度值为0.</w:t>
            </w:r>
            <w:r>
              <w:rPr>
                <w:rFonts w:hint="eastAsia" w:ascii="Times New Roman" w:hAnsi="Times New Roman" w:eastAsia="宋体" w:cs="Times New Roman"/>
                <w:color w:val="auto"/>
                <w:sz w:val="24"/>
                <w:szCs w:val="24"/>
                <w:lang w:val="en-US" w:eastAsia="zh-CN"/>
              </w:rPr>
              <w:t>43</w:t>
            </w:r>
            <w:r>
              <w:rPr>
                <w:rFonts w:ascii="Times New Roman" w:hAnsi="Times New Roman" w:eastAsia="宋体" w:cs="Times New Roman"/>
                <w:color w:val="auto"/>
                <w:sz w:val="24"/>
                <w:szCs w:val="24"/>
              </w:rPr>
              <w:t>mg/m</w:t>
            </w:r>
            <w:r>
              <w:rPr>
                <w:rFonts w:ascii="Times New Roman" w:hAnsi="Times New Roman" w:eastAsia="宋体" w:cs="Times New Roman"/>
                <w:color w:val="auto"/>
                <w:sz w:val="24"/>
                <w:szCs w:val="24"/>
                <w:vertAlign w:val="superscript"/>
              </w:rPr>
              <w:t>3</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符合</w:t>
            </w:r>
            <w:r>
              <w:rPr>
                <w:rFonts w:hint="eastAsia" w:ascii="Times New Roman" w:hAnsi="Times New Roman" w:eastAsia="宋体" w:cs="Times New Roman"/>
                <w:color w:val="auto"/>
                <w:sz w:val="24"/>
                <w:szCs w:val="24"/>
              </w:rPr>
              <w:t>《大气污染物综合排放标准详解》中标准要求</w:t>
            </w:r>
            <w:r>
              <w:rPr>
                <w:rFonts w:ascii="Times New Roman" w:hAnsi="Times New Roman" w:eastAsia="宋体" w:cs="Times New Roman"/>
                <w:color w:val="auto"/>
                <w:sz w:val="24"/>
                <w:szCs w:val="24"/>
              </w:rPr>
              <w:t xml:space="preserve">。  </w:t>
            </w:r>
          </w:p>
          <w:p>
            <w:pPr>
              <w:spacing w:line="360" w:lineRule="auto"/>
              <w:ind w:firstLine="480" w:firstLineChars="200"/>
              <w:jc w:val="left"/>
              <w:rPr>
                <w:rFonts w:ascii="Times New Roman" w:hAnsi="Times New Roman" w:eastAsia="宋体"/>
                <w:color w:val="auto"/>
                <w:sz w:val="24"/>
              </w:rPr>
            </w:pPr>
            <w:r>
              <w:rPr>
                <w:rFonts w:ascii="Times New Roman" w:hAnsi="Times New Roman" w:eastAsia="宋体"/>
                <w:color w:val="auto"/>
                <w:sz w:val="24"/>
              </w:rPr>
              <w:t>2、地表水环境</w:t>
            </w:r>
          </w:p>
          <w:p>
            <w:pPr>
              <w:keepNext w:val="0"/>
              <w:keepLines w:val="0"/>
              <w:pageBreakBefore w:val="0"/>
              <w:widowControl w:val="0"/>
              <w:suppressLineNumbers w:val="0"/>
              <w:kinsoku/>
              <w:wordWrap/>
              <w:overflowPunct/>
              <w:topLinePunct w:val="0"/>
              <w:autoSpaceDE/>
              <w:autoSpaceDN w:val="0"/>
              <w:bidi w:val="0"/>
              <w:adjustRightInd/>
              <w:snapToGrid/>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本项目</w:t>
            </w:r>
            <w:r>
              <w:rPr>
                <w:rFonts w:hint="default" w:ascii="Times New Roman" w:hAnsi="Times New Roman" w:eastAsia="宋体" w:cs="Times New Roman"/>
                <w:color w:val="auto"/>
                <w:sz w:val="24"/>
                <w:highlight w:val="none"/>
                <w:lang w:eastAsia="zh-CN"/>
              </w:rPr>
              <w:t>地表水环境质量现状数据</w:t>
            </w:r>
            <w:r>
              <w:rPr>
                <w:rFonts w:hint="default" w:ascii="Times New Roman" w:hAnsi="Times New Roman" w:eastAsia="宋体" w:cs="Times New Roman"/>
                <w:color w:val="auto"/>
                <w:sz w:val="24"/>
                <w:szCs w:val="20"/>
                <w:highlight w:val="none"/>
              </w:rPr>
              <w:t>引自《芜湖市和信塑胶制品有限公司年产5万套塑料制品项目环境影响</w:t>
            </w:r>
            <w:r>
              <w:rPr>
                <w:rFonts w:hint="eastAsia" w:ascii="Times New Roman" w:hAnsi="Times New Roman" w:eastAsia="宋体" w:cs="Times New Roman"/>
                <w:color w:val="auto"/>
                <w:sz w:val="24"/>
                <w:szCs w:val="20"/>
                <w:highlight w:val="none"/>
                <w:lang w:val="en-US" w:eastAsia="zh-CN"/>
              </w:rPr>
              <w:t>报告表</w:t>
            </w:r>
            <w:r>
              <w:rPr>
                <w:rFonts w:hint="default" w:ascii="Times New Roman" w:hAnsi="Times New Roman" w:eastAsia="宋体" w:cs="Times New Roman"/>
                <w:color w:val="auto"/>
                <w:sz w:val="24"/>
                <w:szCs w:val="20"/>
                <w:highlight w:val="none"/>
              </w:rPr>
              <w:t>》</w:t>
            </w:r>
            <w:r>
              <w:rPr>
                <w:rFonts w:hint="eastAsia" w:ascii="Times New Roman" w:hAnsi="Times New Roman" w:eastAsia="宋体" w:cs="Times New Roman"/>
                <w:color w:val="auto"/>
                <w:sz w:val="24"/>
                <w:szCs w:val="20"/>
                <w:highlight w:val="none"/>
                <w:lang w:val="en-US" w:eastAsia="zh-CN"/>
              </w:rPr>
              <w:t>中监测数据</w:t>
            </w:r>
            <w:r>
              <w:rPr>
                <w:rFonts w:hint="default" w:ascii="Times New Roman" w:hAnsi="Times New Roman" w:eastAsia="宋体" w:cs="Times New Roman"/>
                <w:color w:val="auto"/>
                <w:sz w:val="24"/>
                <w:szCs w:val="20"/>
                <w:highlight w:val="none"/>
                <w:lang w:eastAsia="zh-CN"/>
              </w:rPr>
              <w:t>。</w:t>
            </w:r>
          </w:p>
          <w:p>
            <w:pPr>
              <w:pStyle w:val="10"/>
              <w:spacing w:line="440" w:lineRule="exact"/>
              <w:ind w:firstLine="480"/>
              <w:rPr>
                <w:rFonts w:hint="eastAsia" w:ascii="Times New Roman" w:hAnsi="Times New Roman" w:eastAsia="宋体"/>
                <w:b w:val="0"/>
                <w:color w:val="auto"/>
                <w:sz w:val="24"/>
              </w:rPr>
            </w:pPr>
            <w:r>
              <w:rPr>
                <w:rFonts w:hint="eastAsia" w:ascii="Times New Roman" w:hAnsi="Times New Roman" w:eastAsia="宋体"/>
                <w:b w:val="0"/>
                <w:color w:val="auto"/>
                <w:sz w:val="24"/>
              </w:rPr>
              <w:t>监测时间为</w:t>
            </w:r>
            <w:r>
              <w:rPr>
                <w:rFonts w:hint="eastAsia" w:ascii="Times New Roman" w:hAnsi="Times New Roman" w:eastAsia="宋体"/>
                <w:b w:val="0"/>
                <w:color w:val="auto"/>
                <w:sz w:val="24"/>
                <w:highlight w:val="none"/>
              </w:rPr>
              <w:t>201</w:t>
            </w:r>
            <w:r>
              <w:rPr>
                <w:rFonts w:hint="eastAsia" w:ascii="Times New Roman" w:hAnsi="Times New Roman" w:eastAsia="宋体"/>
                <w:b w:val="0"/>
                <w:color w:val="auto"/>
                <w:sz w:val="24"/>
                <w:highlight w:val="none"/>
                <w:lang w:val="en-US" w:eastAsia="zh-CN"/>
              </w:rPr>
              <w:t>8</w:t>
            </w:r>
            <w:r>
              <w:rPr>
                <w:rFonts w:hint="eastAsia" w:ascii="Times New Roman" w:hAnsi="Times New Roman" w:eastAsia="宋体"/>
                <w:b w:val="0"/>
                <w:color w:val="auto"/>
                <w:sz w:val="24"/>
                <w:highlight w:val="none"/>
              </w:rPr>
              <w:t>年</w:t>
            </w:r>
            <w:r>
              <w:rPr>
                <w:rFonts w:hint="eastAsia" w:ascii="Times New Roman" w:hAnsi="Times New Roman" w:eastAsia="宋体"/>
                <w:b w:val="0"/>
                <w:color w:val="auto"/>
                <w:sz w:val="24"/>
                <w:highlight w:val="none"/>
                <w:lang w:val="en-US" w:eastAsia="zh-CN"/>
              </w:rPr>
              <w:t>3</w:t>
            </w:r>
            <w:r>
              <w:rPr>
                <w:rFonts w:hint="eastAsia" w:ascii="Times New Roman" w:hAnsi="Times New Roman" w:eastAsia="宋体"/>
                <w:b w:val="0"/>
                <w:color w:val="auto"/>
                <w:sz w:val="24"/>
                <w:highlight w:val="none"/>
              </w:rPr>
              <w:t>月</w:t>
            </w:r>
            <w:r>
              <w:rPr>
                <w:rFonts w:hint="eastAsia" w:ascii="Times New Roman" w:hAnsi="Times New Roman" w:eastAsia="宋体"/>
                <w:b w:val="0"/>
                <w:color w:val="auto"/>
                <w:sz w:val="24"/>
                <w:highlight w:val="none"/>
                <w:lang w:val="en-US" w:eastAsia="zh-CN"/>
              </w:rPr>
              <w:t>25</w:t>
            </w:r>
            <w:r>
              <w:rPr>
                <w:rFonts w:hint="eastAsia" w:ascii="Times New Roman" w:hAnsi="Times New Roman" w:eastAsia="宋体"/>
                <w:b w:val="0"/>
                <w:color w:val="auto"/>
                <w:sz w:val="24"/>
                <w:highlight w:val="none"/>
              </w:rPr>
              <w:t>日~2</w:t>
            </w:r>
            <w:r>
              <w:rPr>
                <w:rFonts w:hint="eastAsia" w:ascii="Times New Roman" w:hAnsi="Times New Roman" w:eastAsia="宋体"/>
                <w:b w:val="0"/>
                <w:color w:val="auto"/>
                <w:sz w:val="24"/>
                <w:highlight w:val="none"/>
                <w:lang w:val="en-US" w:eastAsia="zh-CN"/>
              </w:rPr>
              <w:t>6</w:t>
            </w:r>
            <w:r>
              <w:rPr>
                <w:rFonts w:hint="eastAsia" w:ascii="Times New Roman" w:hAnsi="Times New Roman" w:eastAsia="宋体"/>
                <w:b w:val="0"/>
                <w:color w:val="auto"/>
                <w:sz w:val="24"/>
                <w:highlight w:val="none"/>
              </w:rPr>
              <w:t>日，</w:t>
            </w:r>
            <w:r>
              <w:rPr>
                <w:rFonts w:hint="eastAsia" w:ascii="Times New Roman" w:hAnsi="Times New Roman" w:eastAsia="宋体"/>
                <w:b w:val="0"/>
                <w:color w:val="auto"/>
                <w:sz w:val="24"/>
              </w:rPr>
              <w:t>对芜湖市滨江污水处理厂排污口上游500m、排污口下游500m、排污口下游1500m 处的水质进行的现状监测。地表水环境质量现状监测断面布点情况</w:t>
            </w:r>
            <w:r>
              <w:rPr>
                <w:rFonts w:hint="eastAsia" w:ascii="Times New Roman" w:hAnsi="Times New Roman" w:eastAsia="宋体"/>
                <w:b w:val="0"/>
                <w:color w:val="auto"/>
                <w:sz w:val="24"/>
                <w:lang w:val="en-US" w:eastAsia="zh-CN"/>
              </w:rPr>
              <w:t>及</w:t>
            </w:r>
            <w:r>
              <w:rPr>
                <w:rFonts w:hint="eastAsia" w:ascii="Times New Roman" w:hAnsi="Times New Roman" w:eastAsia="宋体"/>
                <w:b w:val="0"/>
                <w:color w:val="auto"/>
                <w:sz w:val="24"/>
              </w:rPr>
              <w:t>监测结果见</w:t>
            </w:r>
            <w:r>
              <w:rPr>
                <w:rFonts w:hint="eastAsia" w:ascii="Times New Roman" w:hAnsi="Times New Roman" w:eastAsia="宋体"/>
                <w:b w:val="0"/>
                <w:color w:val="auto"/>
                <w:sz w:val="24"/>
                <w:lang w:val="en-US" w:eastAsia="zh-CN"/>
              </w:rPr>
              <w:t>下表</w:t>
            </w:r>
            <w:r>
              <w:rPr>
                <w:rFonts w:hint="eastAsia" w:ascii="Times New Roman" w:hAnsi="Times New Roman" w:eastAsia="宋体"/>
                <w:b w:val="0"/>
                <w:color w:val="auto"/>
                <w:sz w:val="24"/>
              </w:rPr>
              <w:t xml:space="preserve">。  </w:t>
            </w:r>
          </w:p>
          <w:p>
            <w:pPr>
              <w:pStyle w:val="10"/>
              <w:spacing w:line="440" w:lineRule="exact"/>
              <w:ind w:firstLine="723" w:firstLineChars="300"/>
              <w:jc w:val="center"/>
              <w:rPr>
                <w:rFonts w:hint="eastAsia" w:ascii="Times New Roman" w:hAnsi="Times New Roman" w:eastAsia="宋体"/>
                <w:b/>
                <w:bCs/>
                <w:color w:val="auto"/>
                <w:sz w:val="24"/>
              </w:rPr>
            </w:pPr>
            <w:r>
              <w:rPr>
                <w:rFonts w:hint="eastAsia" w:ascii="Times New Roman" w:hAnsi="Times New Roman" w:eastAsia="宋体"/>
                <w:b/>
                <w:bCs/>
                <w:color w:val="auto"/>
                <w:sz w:val="24"/>
              </w:rPr>
              <w:t>表</w:t>
            </w:r>
            <w:r>
              <w:rPr>
                <w:rFonts w:hint="eastAsia" w:ascii="Times New Roman" w:hAnsi="Times New Roman" w:eastAsia="宋体"/>
                <w:b/>
                <w:bCs/>
                <w:color w:val="auto"/>
                <w:sz w:val="24"/>
                <w:lang w:val="en-US" w:eastAsia="zh-CN"/>
              </w:rPr>
              <w:t>3-3</w:t>
            </w:r>
            <w:r>
              <w:rPr>
                <w:rFonts w:hint="eastAsia" w:ascii="Times New Roman" w:hAnsi="Times New Roman" w:eastAsia="宋体"/>
                <w:b/>
                <w:bCs/>
                <w:color w:val="auto"/>
                <w:sz w:val="24"/>
              </w:rPr>
              <w:t xml:space="preserve"> 水质监测断面布设一览表</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4"/>
              <w:gridCol w:w="943"/>
              <w:gridCol w:w="5352"/>
              <w:gridCol w:w="1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4" w:type="dxa"/>
                  <w:noWrap w:val="0"/>
                  <w:vAlign w:val="center"/>
                </w:tcPr>
                <w:p>
                  <w:pPr>
                    <w:pStyle w:val="10"/>
                    <w:spacing w:line="340" w:lineRule="exact"/>
                    <w:ind w:firstLine="0" w:firstLineChars="0"/>
                    <w:jc w:val="center"/>
                    <w:rPr>
                      <w:rFonts w:hint="eastAsia" w:ascii="Times New Roman" w:hAnsi="Times New Roman" w:eastAsia="宋体"/>
                      <w:b w:val="0"/>
                      <w:color w:val="auto"/>
                      <w:sz w:val="21"/>
                      <w:szCs w:val="21"/>
                    </w:rPr>
                  </w:pPr>
                  <w:r>
                    <w:rPr>
                      <w:rFonts w:hint="eastAsia" w:ascii="Times New Roman" w:hAnsi="Times New Roman" w:eastAsia="宋体"/>
                      <w:b w:val="0"/>
                      <w:color w:val="auto"/>
                      <w:sz w:val="21"/>
                      <w:szCs w:val="21"/>
                    </w:rPr>
                    <w:t>编号</w:t>
                  </w:r>
                </w:p>
              </w:tc>
              <w:tc>
                <w:tcPr>
                  <w:tcW w:w="6295" w:type="dxa"/>
                  <w:gridSpan w:val="2"/>
                  <w:noWrap w:val="0"/>
                  <w:vAlign w:val="center"/>
                </w:tcPr>
                <w:p>
                  <w:pPr>
                    <w:pStyle w:val="10"/>
                    <w:spacing w:line="340" w:lineRule="exact"/>
                    <w:ind w:firstLine="0" w:firstLineChars="0"/>
                    <w:jc w:val="center"/>
                    <w:rPr>
                      <w:rFonts w:hint="eastAsia" w:ascii="Times New Roman" w:hAnsi="Times New Roman" w:eastAsia="宋体"/>
                      <w:b w:val="0"/>
                      <w:color w:val="auto"/>
                      <w:sz w:val="21"/>
                      <w:szCs w:val="21"/>
                    </w:rPr>
                  </w:pPr>
                  <w:r>
                    <w:rPr>
                      <w:rFonts w:hint="eastAsia" w:ascii="Times New Roman" w:hAnsi="Times New Roman" w:eastAsia="宋体"/>
                      <w:b w:val="0"/>
                      <w:color w:val="auto"/>
                      <w:sz w:val="21"/>
                      <w:szCs w:val="21"/>
                    </w:rPr>
                    <w:t>断面位置</w:t>
                  </w:r>
                </w:p>
              </w:tc>
              <w:tc>
                <w:tcPr>
                  <w:tcW w:w="1595" w:type="dxa"/>
                  <w:noWrap w:val="0"/>
                  <w:vAlign w:val="center"/>
                </w:tcPr>
                <w:p>
                  <w:pPr>
                    <w:pStyle w:val="10"/>
                    <w:spacing w:line="340" w:lineRule="exact"/>
                    <w:ind w:firstLine="0" w:firstLineChars="0"/>
                    <w:jc w:val="center"/>
                    <w:rPr>
                      <w:rFonts w:hint="eastAsia" w:ascii="Times New Roman" w:hAnsi="Times New Roman" w:eastAsia="宋体"/>
                      <w:b w:val="0"/>
                      <w:color w:val="auto"/>
                      <w:sz w:val="21"/>
                      <w:szCs w:val="21"/>
                    </w:rPr>
                  </w:pPr>
                  <w:r>
                    <w:rPr>
                      <w:rFonts w:hint="eastAsia" w:ascii="Times New Roman" w:hAnsi="Times New Roman" w:eastAsia="宋体"/>
                      <w:b w:val="0"/>
                      <w:color w:val="auto"/>
                      <w:sz w:val="21"/>
                      <w:szCs w:val="21"/>
                    </w:rPr>
                    <w:t>断面功能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4" w:type="dxa"/>
                  <w:noWrap w:val="0"/>
                  <w:vAlign w:val="center"/>
                </w:tcPr>
                <w:p>
                  <w:pPr>
                    <w:pStyle w:val="10"/>
                    <w:spacing w:line="340" w:lineRule="exact"/>
                    <w:ind w:firstLine="0" w:firstLineChars="0"/>
                    <w:jc w:val="center"/>
                    <w:rPr>
                      <w:rFonts w:hint="eastAsia" w:ascii="Times New Roman" w:hAnsi="Times New Roman" w:eastAsia="宋体"/>
                      <w:b w:val="0"/>
                      <w:color w:val="auto"/>
                      <w:sz w:val="21"/>
                      <w:szCs w:val="21"/>
                    </w:rPr>
                  </w:pPr>
                  <w:r>
                    <w:rPr>
                      <w:rFonts w:ascii="Times New Roman" w:hAnsi="Times New Roman" w:eastAsia="宋体"/>
                      <w:b w:val="0"/>
                      <w:color w:val="auto"/>
                      <w:sz w:val="21"/>
                      <w:szCs w:val="21"/>
                    </w:rPr>
                    <w:t>1</w:t>
                  </w:r>
                  <w:r>
                    <w:rPr>
                      <w:rFonts w:hint="eastAsia" w:ascii="Times New Roman" w:hAnsi="Times New Roman" w:eastAsia="宋体"/>
                      <w:b w:val="0"/>
                      <w:color w:val="auto"/>
                      <w:sz w:val="21"/>
                      <w:szCs w:val="21"/>
                    </w:rPr>
                    <w:t>＃</w:t>
                  </w:r>
                </w:p>
              </w:tc>
              <w:tc>
                <w:tcPr>
                  <w:tcW w:w="943" w:type="dxa"/>
                  <w:vMerge w:val="restart"/>
                  <w:noWrap w:val="0"/>
                  <w:vAlign w:val="center"/>
                </w:tcPr>
                <w:p>
                  <w:pPr>
                    <w:pStyle w:val="10"/>
                    <w:spacing w:line="340" w:lineRule="exact"/>
                    <w:ind w:firstLine="0" w:firstLineChars="0"/>
                    <w:jc w:val="center"/>
                    <w:rPr>
                      <w:rFonts w:hint="eastAsia" w:ascii="Times New Roman" w:hAnsi="Times New Roman" w:eastAsia="宋体"/>
                      <w:b w:val="0"/>
                      <w:color w:val="auto"/>
                      <w:sz w:val="21"/>
                      <w:szCs w:val="21"/>
                    </w:rPr>
                  </w:pPr>
                  <w:r>
                    <w:rPr>
                      <w:rFonts w:hint="eastAsia" w:ascii="Times New Roman" w:hAnsi="Times New Roman" w:eastAsia="宋体"/>
                      <w:b w:val="0"/>
                      <w:color w:val="auto"/>
                      <w:sz w:val="21"/>
                      <w:szCs w:val="21"/>
                    </w:rPr>
                    <w:t>长江</w:t>
                  </w:r>
                </w:p>
              </w:tc>
              <w:tc>
                <w:tcPr>
                  <w:tcW w:w="5352" w:type="dxa"/>
                  <w:noWrap w:val="0"/>
                  <w:vAlign w:val="center"/>
                </w:tcPr>
                <w:p>
                  <w:pPr>
                    <w:pStyle w:val="10"/>
                    <w:spacing w:line="340" w:lineRule="exact"/>
                    <w:ind w:firstLine="0" w:firstLineChars="0"/>
                    <w:jc w:val="center"/>
                    <w:rPr>
                      <w:rFonts w:hint="eastAsia" w:ascii="Times New Roman" w:hAnsi="Times New Roman" w:eastAsia="宋体"/>
                      <w:b w:val="0"/>
                      <w:color w:val="auto"/>
                      <w:sz w:val="21"/>
                      <w:szCs w:val="21"/>
                    </w:rPr>
                  </w:pPr>
                  <w:r>
                    <w:rPr>
                      <w:rFonts w:hint="eastAsia" w:ascii="Times New Roman" w:hAnsi="Times New Roman" w:eastAsia="宋体"/>
                      <w:b w:val="0"/>
                      <w:color w:val="auto"/>
                      <w:sz w:val="21"/>
                      <w:szCs w:val="21"/>
                    </w:rPr>
                    <w:t>滨江污水处理厂排水口上游</w:t>
                  </w:r>
                  <w:r>
                    <w:rPr>
                      <w:rFonts w:ascii="Times New Roman" w:hAnsi="Times New Roman" w:eastAsia="宋体"/>
                      <w:b w:val="0"/>
                      <w:color w:val="auto"/>
                      <w:sz w:val="21"/>
                      <w:szCs w:val="21"/>
                    </w:rPr>
                    <w:t>500m</w:t>
                  </w:r>
                </w:p>
              </w:tc>
              <w:tc>
                <w:tcPr>
                  <w:tcW w:w="1595" w:type="dxa"/>
                  <w:noWrap w:val="0"/>
                  <w:vAlign w:val="center"/>
                </w:tcPr>
                <w:p>
                  <w:pPr>
                    <w:pStyle w:val="10"/>
                    <w:spacing w:line="340" w:lineRule="exact"/>
                    <w:ind w:firstLine="0" w:firstLineChars="0"/>
                    <w:jc w:val="center"/>
                    <w:rPr>
                      <w:rFonts w:hint="eastAsia" w:ascii="Times New Roman" w:hAnsi="Times New Roman" w:eastAsia="宋体"/>
                      <w:b w:val="0"/>
                      <w:color w:val="auto"/>
                      <w:sz w:val="21"/>
                      <w:szCs w:val="21"/>
                    </w:rPr>
                  </w:pPr>
                  <w:r>
                    <w:rPr>
                      <w:rFonts w:hint="eastAsia" w:ascii="Times New Roman" w:hAnsi="Times New Roman" w:eastAsia="宋体"/>
                      <w:b w:val="0"/>
                      <w:color w:val="auto"/>
                      <w:sz w:val="21"/>
                      <w:szCs w:val="21"/>
                    </w:rPr>
                    <w:t>参照断面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4" w:type="dxa"/>
                  <w:noWrap w:val="0"/>
                  <w:vAlign w:val="center"/>
                </w:tcPr>
                <w:p>
                  <w:pPr>
                    <w:pStyle w:val="10"/>
                    <w:spacing w:line="340" w:lineRule="exact"/>
                    <w:ind w:firstLine="0" w:firstLineChars="0"/>
                    <w:jc w:val="center"/>
                    <w:rPr>
                      <w:rFonts w:hint="eastAsia" w:ascii="Times New Roman" w:hAnsi="Times New Roman" w:eastAsia="宋体"/>
                      <w:b w:val="0"/>
                      <w:color w:val="auto"/>
                      <w:sz w:val="21"/>
                      <w:szCs w:val="21"/>
                    </w:rPr>
                  </w:pPr>
                  <w:r>
                    <w:rPr>
                      <w:rFonts w:ascii="Times New Roman" w:hAnsi="Times New Roman" w:eastAsia="宋体"/>
                      <w:b w:val="0"/>
                      <w:color w:val="auto"/>
                      <w:sz w:val="21"/>
                      <w:szCs w:val="21"/>
                    </w:rPr>
                    <w:t>2</w:t>
                  </w:r>
                  <w:r>
                    <w:rPr>
                      <w:rFonts w:hint="eastAsia" w:ascii="Times New Roman" w:hAnsi="Times New Roman" w:eastAsia="宋体"/>
                      <w:b w:val="0"/>
                      <w:color w:val="auto"/>
                      <w:sz w:val="21"/>
                      <w:szCs w:val="21"/>
                    </w:rPr>
                    <w:t>＃</w:t>
                  </w:r>
                </w:p>
              </w:tc>
              <w:tc>
                <w:tcPr>
                  <w:tcW w:w="943" w:type="dxa"/>
                  <w:vMerge w:val="continue"/>
                  <w:noWrap w:val="0"/>
                  <w:vAlign w:val="center"/>
                </w:tcPr>
                <w:p>
                  <w:pPr>
                    <w:pStyle w:val="10"/>
                    <w:spacing w:line="340" w:lineRule="exact"/>
                    <w:ind w:firstLine="0" w:firstLineChars="0"/>
                    <w:jc w:val="center"/>
                    <w:rPr>
                      <w:rFonts w:hint="eastAsia" w:ascii="Times New Roman" w:hAnsi="Times New Roman" w:eastAsia="宋体"/>
                      <w:b w:val="0"/>
                      <w:color w:val="auto"/>
                      <w:sz w:val="21"/>
                      <w:szCs w:val="21"/>
                    </w:rPr>
                  </w:pPr>
                </w:p>
              </w:tc>
              <w:tc>
                <w:tcPr>
                  <w:tcW w:w="5352" w:type="dxa"/>
                  <w:noWrap w:val="0"/>
                  <w:vAlign w:val="center"/>
                </w:tcPr>
                <w:p>
                  <w:pPr>
                    <w:pStyle w:val="10"/>
                    <w:spacing w:line="340" w:lineRule="exact"/>
                    <w:ind w:firstLine="0" w:firstLineChars="0"/>
                    <w:jc w:val="center"/>
                    <w:rPr>
                      <w:rFonts w:hint="eastAsia" w:ascii="Times New Roman" w:hAnsi="Times New Roman" w:eastAsia="宋体"/>
                      <w:b w:val="0"/>
                      <w:color w:val="auto"/>
                      <w:sz w:val="21"/>
                      <w:szCs w:val="21"/>
                    </w:rPr>
                  </w:pPr>
                  <w:r>
                    <w:rPr>
                      <w:rFonts w:hint="eastAsia" w:ascii="Times New Roman" w:hAnsi="Times New Roman" w:eastAsia="宋体"/>
                      <w:b w:val="0"/>
                      <w:color w:val="auto"/>
                      <w:sz w:val="21"/>
                      <w:szCs w:val="21"/>
                    </w:rPr>
                    <w:t>滨江污水处理厂排水口下游</w:t>
                  </w:r>
                  <w:r>
                    <w:rPr>
                      <w:rFonts w:ascii="Times New Roman" w:hAnsi="Times New Roman" w:eastAsia="宋体"/>
                      <w:b w:val="0"/>
                      <w:color w:val="auto"/>
                      <w:sz w:val="21"/>
                      <w:szCs w:val="21"/>
                    </w:rPr>
                    <w:t>500m</w:t>
                  </w:r>
                </w:p>
              </w:tc>
              <w:tc>
                <w:tcPr>
                  <w:tcW w:w="1595" w:type="dxa"/>
                  <w:noWrap w:val="0"/>
                  <w:vAlign w:val="center"/>
                </w:tcPr>
                <w:p>
                  <w:pPr>
                    <w:pStyle w:val="10"/>
                    <w:spacing w:line="340" w:lineRule="exact"/>
                    <w:ind w:firstLine="0" w:firstLineChars="0"/>
                    <w:jc w:val="center"/>
                    <w:rPr>
                      <w:rFonts w:hint="eastAsia" w:ascii="Times New Roman" w:hAnsi="Times New Roman" w:eastAsia="宋体"/>
                      <w:b w:val="0"/>
                      <w:color w:val="auto"/>
                      <w:sz w:val="21"/>
                      <w:szCs w:val="21"/>
                    </w:rPr>
                  </w:pPr>
                  <w:r>
                    <w:rPr>
                      <w:rFonts w:hint="eastAsia" w:ascii="Times New Roman" w:hAnsi="Times New Roman" w:eastAsia="宋体"/>
                      <w:b w:val="0"/>
                      <w:color w:val="auto"/>
                      <w:sz w:val="21"/>
                      <w:szCs w:val="21"/>
                    </w:rPr>
                    <w:t>控制断面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44" w:type="dxa"/>
                  <w:noWrap w:val="0"/>
                  <w:vAlign w:val="center"/>
                </w:tcPr>
                <w:p>
                  <w:pPr>
                    <w:pStyle w:val="10"/>
                    <w:spacing w:line="340" w:lineRule="exact"/>
                    <w:ind w:firstLine="0" w:firstLineChars="0"/>
                    <w:jc w:val="center"/>
                    <w:rPr>
                      <w:rFonts w:hint="eastAsia" w:ascii="Times New Roman" w:hAnsi="Times New Roman" w:eastAsia="宋体"/>
                      <w:b w:val="0"/>
                      <w:color w:val="auto"/>
                      <w:sz w:val="21"/>
                      <w:szCs w:val="21"/>
                    </w:rPr>
                  </w:pPr>
                  <w:r>
                    <w:rPr>
                      <w:rFonts w:ascii="Times New Roman" w:hAnsi="Times New Roman" w:eastAsia="宋体"/>
                      <w:b w:val="0"/>
                      <w:color w:val="auto"/>
                      <w:sz w:val="21"/>
                      <w:szCs w:val="21"/>
                    </w:rPr>
                    <w:t>3</w:t>
                  </w:r>
                  <w:r>
                    <w:rPr>
                      <w:rFonts w:hint="eastAsia" w:ascii="Times New Roman" w:hAnsi="Times New Roman" w:eastAsia="宋体"/>
                      <w:b w:val="0"/>
                      <w:color w:val="auto"/>
                      <w:sz w:val="21"/>
                      <w:szCs w:val="21"/>
                    </w:rPr>
                    <w:t>＃</w:t>
                  </w:r>
                </w:p>
              </w:tc>
              <w:tc>
                <w:tcPr>
                  <w:tcW w:w="943" w:type="dxa"/>
                  <w:vMerge w:val="continue"/>
                  <w:noWrap w:val="0"/>
                  <w:vAlign w:val="center"/>
                </w:tcPr>
                <w:p>
                  <w:pPr>
                    <w:pStyle w:val="10"/>
                    <w:spacing w:line="340" w:lineRule="exact"/>
                    <w:ind w:firstLine="0" w:firstLineChars="0"/>
                    <w:jc w:val="center"/>
                    <w:rPr>
                      <w:rFonts w:hint="eastAsia" w:ascii="Times New Roman" w:hAnsi="Times New Roman" w:eastAsia="宋体"/>
                      <w:b w:val="0"/>
                      <w:color w:val="auto"/>
                      <w:sz w:val="21"/>
                      <w:szCs w:val="21"/>
                    </w:rPr>
                  </w:pPr>
                </w:p>
              </w:tc>
              <w:tc>
                <w:tcPr>
                  <w:tcW w:w="5352" w:type="dxa"/>
                  <w:noWrap w:val="0"/>
                  <w:vAlign w:val="center"/>
                </w:tcPr>
                <w:p>
                  <w:pPr>
                    <w:pStyle w:val="10"/>
                    <w:spacing w:line="340" w:lineRule="exact"/>
                    <w:ind w:firstLine="0" w:firstLineChars="0"/>
                    <w:jc w:val="center"/>
                    <w:rPr>
                      <w:rFonts w:hint="eastAsia" w:ascii="Times New Roman" w:hAnsi="Times New Roman" w:eastAsia="宋体"/>
                      <w:b w:val="0"/>
                      <w:color w:val="auto"/>
                      <w:sz w:val="21"/>
                      <w:szCs w:val="21"/>
                    </w:rPr>
                  </w:pPr>
                  <w:r>
                    <w:rPr>
                      <w:rFonts w:hint="eastAsia" w:ascii="Times New Roman" w:hAnsi="Times New Roman" w:eastAsia="宋体"/>
                      <w:b w:val="0"/>
                      <w:color w:val="auto"/>
                      <w:sz w:val="21"/>
                      <w:szCs w:val="21"/>
                    </w:rPr>
                    <w:t>滨江污水处理厂排水口下游15</w:t>
                  </w:r>
                  <w:r>
                    <w:rPr>
                      <w:rFonts w:ascii="Times New Roman" w:hAnsi="Times New Roman" w:eastAsia="宋体"/>
                      <w:b w:val="0"/>
                      <w:color w:val="auto"/>
                      <w:sz w:val="21"/>
                      <w:szCs w:val="21"/>
                    </w:rPr>
                    <w:t>00m</w:t>
                  </w:r>
                </w:p>
              </w:tc>
              <w:tc>
                <w:tcPr>
                  <w:tcW w:w="1595" w:type="dxa"/>
                  <w:noWrap w:val="0"/>
                  <w:vAlign w:val="center"/>
                </w:tcPr>
                <w:p>
                  <w:pPr>
                    <w:pStyle w:val="10"/>
                    <w:spacing w:line="340" w:lineRule="exact"/>
                    <w:ind w:firstLine="0" w:firstLineChars="0"/>
                    <w:jc w:val="center"/>
                    <w:rPr>
                      <w:rFonts w:hint="eastAsia" w:ascii="Times New Roman" w:hAnsi="Times New Roman" w:eastAsia="宋体"/>
                      <w:b w:val="0"/>
                      <w:color w:val="auto"/>
                      <w:sz w:val="21"/>
                      <w:szCs w:val="21"/>
                    </w:rPr>
                  </w:pPr>
                  <w:r>
                    <w:rPr>
                      <w:rFonts w:hint="eastAsia" w:ascii="Times New Roman" w:hAnsi="Times New Roman" w:eastAsia="宋体"/>
                      <w:b w:val="0"/>
                      <w:color w:val="auto"/>
                      <w:sz w:val="21"/>
                      <w:szCs w:val="21"/>
                    </w:rPr>
                    <w:t>消减断面</w:t>
                  </w:r>
                </w:p>
              </w:tc>
            </w:tr>
          </w:tbl>
          <w:p>
            <w:pPr>
              <w:pStyle w:val="10"/>
              <w:spacing w:line="440" w:lineRule="exact"/>
              <w:ind w:firstLine="0" w:firstLineChars="0"/>
              <w:jc w:val="center"/>
              <w:rPr>
                <w:rFonts w:hint="eastAsia" w:ascii="Times New Roman" w:hAnsi="Times New Roman" w:eastAsia="宋体"/>
                <w:b/>
                <w:bCs/>
                <w:color w:val="auto"/>
                <w:sz w:val="24"/>
              </w:rPr>
            </w:pPr>
            <w:r>
              <w:rPr>
                <w:rFonts w:hint="eastAsia" w:ascii="Times New Roman" w:hAnsi="Times New Roman" w:eastAsia="宋体"/>
                <w:b/>
                <w:bCs/>
                <w:color w:val="auto"/>
                <w:sz w:val="24"/>
              </w:rPr>
              <w:t>表</w:t>
            </w:r>
            <w:r>
              <w:rPr>
                <w:rFonts w:hint="eastAsia" w:ascii="Times New Roman" w:hAnsi="Times New Roman" w:eastAsia="宋体"/>
                <w:b/>
                <w:bCs/>
                <w:color w:val="auto"/>
                <w:sz w:val="24"/>
                <w:lang w:val="en-US" w:eastAsia="zh-CN"/>
              </w:rPr>
              <w:t>3</w:t>
            </w:r>
            <w:r>
              <w:rPr>
                <w:rFonts w:hint="eastAsia" w:ascii="Times New Roman" w:hAnsi="Times New Roman" w:eastAsia="宋体"/>
                <w:b/>
                <w:bCs/>
                <w:color w:val="auto"/>
                <w:sz w:val="24"/>
                <w:lang w:val="en-US" w:eastAsia="zh-CN"/>
              </w:rPr>
              <w:t>-4</w:t>
            </w:r>
            <w:r>
              <w:rPr>
                <w:rFonts w:hint="eastAsia" w:ascii="Times New Roman" w:hAnsi="Times New Roman" w:eastAsia="宋体"/>
                <w:b/>
                <w:bCs/>
                <w:color w:val="auto"/>
                <w:sz w:val="24"/>
              </w:rPr>
              <w:t xml:space="preserve"> 长江水质现状监测结果表 </w:t>
            </w:r>
            <w:r>
              <w:rPr>
                <w:rFonts w:hint="eastAsia" w:ascii="Times New Roman" w:hAnsi="Times New Roman" w:eastAsia="宋体"/>
                <w:b/>
                <w:bCs/>
                <w:color w:val="auto"/>
                <w:sz w:val="24"/>
                <w:lang w:val="en-US" w:eastAsia="zh-CN"/>
              </w:rPr>
              <w:t xml:space="preserve"> </w:t>
            </w:r>
            <w:r>
              <w:rPr>
                <w:rFonts w:hint="eastAsia" w:ascii="Times New Roman" w:hAnsi="Times New Roman" w:eastAsia="宋体"/>
                <w:b/>
                <w:bCs/>
                <w:color w:val="auto"/>
                <w:sz w:val="24"/>
              </w:rPr>
              <w:t>单位</w:t>
            </w:r>
            <w:r>
              <w:rPr>
                <w:rFonts w:ascii="Times New Roman" w:hAnsi="Times New Roman" w:eastAsia="宋体"/>
                <w:b/>
                <w:bCs/>
                <w:color w:val="auto"/>
                <w:sz w:val="24"/>
              </w:rPr>
              <w:t>mg</w:t>
            </w:r>
            <w:r>
              <w:rPr>
                <w:rFonts w:hint="eastAsia" w:ascii="Times New Roman" w:hAnsi="Times New Roman" w:eastAsia="宋体"/>
                <w:b/>
                <w:bCs/>
                <w:color w:val="auto"/>
                <w:sz w:val="24"/>
              </w:rPr>
              <w:t>/</w:t>
            </w:r>
            <w:r>
              <w:rPr>
                <w:rFonts w:ascii="Times New Roman" w:hAnsi="Times New Roman" w:eastAsia="宋体"/>
                <w:b/>
                <w:bCs/>
                <w:color w:val="auto"/>
                <w:sz w:val="24"/>
              </w:rPr>
              <w:t>L</w:t>
            </w:r>
            <w:r>
              <w:rPr>
                <w:rFonts w:hint="eastAsia" w:ascii="Times New Roman" w:hAnsi="Times New Roman" w:eastAsia="宋体"/>
                <w:b/>
                <w:bCs/>
                <w:color w:val="auto"/>
                <w:sz w:val="24"/>
              </w:rPr>
              <w:t>（</w:t>
            </w:r>
            <w:r>
              <w:rPr>
                <w:rFonts w:ascii="Times New Roman" w:hAnsi="Times New Roman" w:eastAsia="宋体"/>
                <w:b/>
                <w:bCs/>
                <w:color w:val="auto"/>
                <w:sz w:val="24"/>
              </w:rPr>
              <w:t>pH</w:t>
            </w:r>
            <w:r>
              <w:rPr>
                <w:rFonts w:hint="eastAsia" w:ascii="Times New Roman" w:hAnsi="Times New Roman" w:eastAsia="宋体"/>
                <w:b/>
                <w:bCs/>
                <w:color w:val="auto"/>
                <w:sz w:val="24"/>
              </w:rPr>
              <w:t xml:space="preserve"> 除外）</w:t>
            </w:r>
          </w:p>
          <w:tbl>
            <w:tblPr>
              <w:tblStyle w:val="2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09"/>
              <w:gridCol w:w="2298"/>
              <w:gridCol w:w="1423"/>
              <w:gridCol w:w="1449"/>
              <w:gridCol w:w="12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9" w:type="dxa"/>
                  <w:vMerge w:val="restart"/>
                  <w:noWrap w:val="0"/>
                  <w:vAlign w:val="center"/>
                </w:tcPr>
                <w:p>
                  <w:pPr>
                    <w:tabs>
                      <w:tab w:val="left" w:pos="1755"/>
                    </w:tabs>
                    <w:snapToGrid w:val="0"/>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eastAsia="zh-CN"/>
                    </w:rPr>
                    <w:t>监测</w:t>
                  </w:r>
                </w:p>
                <w:p>
                  <w:pPr>
                    <w:tabs>
                      <w:tab w:val="left" w:pos="1755"/>
                    </w:tabs>
                    <w:snapToGrid w:val="0"/>
                    <w:jc w:val="center"/>
                    <w:rPr>
                      <w:rFonts w:hint="eastAsia" w:ascii="Times New Roman" w:hAnsi="Times New Roman" w:eastAsia="宋体"/>
                      <w:b/>
                      <w:color w:val="auto"/>
                      <w:sz w:val="24"/>
                      <w:vertAlign w:val="baseline"/>
                    </w:rPr>
                  </w:pPr>
                  <w:r>
                    <w:rPr>
                      <w:rFonts w:hint="eastAsia" w:ascii="Times New Roman" w:hAnsi="Times New Roman" w:eastAsia="宋体" w:cs="Times New Roman"/>
                      <w:color w:val="auto"/>
                      <w:szCs w:val="21"/>
                      <w:lang w:eastAsia="zh-CN"/>
                    </w:rPr>
                    <w:t>时间</w:t>
                  </w:r>
                </w:p>
              </w:tc>
              <w:tc>
                <w:tcPr>
                  <w:tcW w:w="2298" w:type="dxa"/>
                  <w:vMerge w:val="restart"/>
                  <w:noWrap w:val="0"/>
                  <w:vAlign w:val="center"/>
                </w:tcPr>
                <w:p>
                  <w:pPr>
                    <w:jc w:val="center"/>
                    <w:rPr>
                      <w:rFonts w:hint="eastAsia" w:ascii="Times New Roman" w:hAnsi="Times New Roman" w:eastAsia="宋体"/>
                      <w:b/>
                      <w:color w:val="auto"/>
                      <w:sz w:val="24"/>
                      <w:vertAlign w:val="baseline"/>
                    </w:rPr>
                  </w:pPr>
                  <w:r>
                    <w:rPr>
                      <w:rFonts w:hint="default" w:ascii="Times New Roman" w:hAnsi="Times New Roman" w:eastAsia="宋体" w:cs="Times New Roman"/>
                      <w:color w:val="auto"/>
                      <w:szCs w:val="21"/>
                    </w:rPr>
                    <w:t>监测因子</w:t>
                  </w:r>
                </w:p>
              </w:tc>
              <w:tc>
                <w:tcPr>
                  <w:tcW w:w="4127" w:type="dxa"/>
                  <w:gridSpan w:val="3"/>
                  <w:noWrap w:val="0"/>
                  <w:vAlign w:val="center"/>
                </w:tcPr>
                <w:p>
                  <w:pPr>
                    <w:jc w:val="center"/>
                    <w:rPr>
                      <w:rFonts w:hint="eastAsia" w:ascii="Times New Roman" w:hAnsi="Times New Roman" w:eastAsia="宋体"/>
                      <w:b/>
                      <w:color w:val="auto"/>
                      <w:sz w:val="24"/>
                      <w:vertAlign w:val="baseline"/>
                    </w:rPr>
                  </w:pPr>
                  <w:r>
                    <w:rPr>
                      <w:rFonts w:hint="default" w:ascii="Times New Roman" w:hAnsi="Times New Roman" w:eastAsia="宋体" w:cs="Times New Roman"/>
                      <w:color w:val="auto"/>
                      <w:szCs w:val="21"/>
                    </w:rPr>
                    <w:t>监测点位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9" w:type="dxa"/>
                  <w:vMerge w:val="continue"/>
                  <w:noWrap w:val="0"/>
                  <w:vAlign w:val="center"/>
                </w:tcPr>
                <w:p>
                  <w:pPr>
                    <w:tabs>
                      <w:tab w:val="left" w:pos="1755"/>
                    </w:tabs>
                    <w:snapToGrid w:val="0"/>
                    <w:jc w:val="center"/>
                    <w:rPr>
                      <w:rFonts w:hint="eastAsia" w:ascii="Times New Roman" w:hAnsi="Times New Roman" w:eastAsia="宋体"/>
                      <w:b/>
                      <w:color w:val="auto"/>
                      <w:sz w:val="24"/>
                      <w:vertAlign w:val="baseline"/>
                    </w:rPr>
                  </w:pPr>
                </w:p>
              </w:tc>
              <w:tc>
                <w:tcPr>
                  <w:tcW w:w="2298" w:type="dxa"/>
                  <w:vMerge w:val="continue"/>
                  <w:noWrap w:val="0"/>
                  <w:vAlign w:val="center"/>
                </w:tcPr>
                <w:p>
                  <w:pPr>
                    <w:jc w:val="center"/>
                    <w:rPr>
                      <w:rFonts w:hint="eastAsia" w:ascii="Times New Roman" w:hAnsi="Times New Roman" w:eastAsia="宋体"/>
                      <w:b/>
                      <w:color w:val="auto"/>
                      <w:sz w:val="24"/>
                      <w:vertAlign w:val="baseline"/>
                    </w:rPr>
                  </w:pPr>
                </w:p>
              </w:tc>
              <w:tc>
                <w:tcPr>
                  <w:tcW w:w="1423" w:type="dxa"/>
                  <w:noWrap w:val="0"/>
                  <w:vAlign w:val="center"/>
                </w:tcPr>
                <w:p>
                  <w:pPr>
                    <w:jc w:val="center"/>
                    <w:rPr>
                      <w:rFonts w:hint="eastAsia" w:ascii="Times New Roman" w:hAnsi="Times New Roman" w:eastAsia="宋体"/>
                      <w:b/>
                      <w:color w:val="auto"/>
                      <w:sz w:val="24"/>
                      <w:vertAlign w:val="baseline"/>
                    </w:rPr>
                  </w:pPr>
                  <w:r>
                    <w:rPr>
                      <w:rFonts w:hint="eastAsia" w:ascii="Times New Roman" w:hAnsi="Times New Roman" w:eastAsia="宋体" w:cs="Times New Roman"/>
                      <w:color w:val="auto"/>
                      <w:szCs w:val="21"/>
                      <w:lang w:val="en-US" w:eastAsia="zh-CN"/>
                    </w:rPr>
                    <w:t>1#</w:t>
                  </w:r>
                </w:p>
              </w:tc>
              <w:tc>
                <w:tcPr>
                  <w:tcW w:w="1449" w:type="dxa"/>
                  <w:noWrap w:val="0"/>
                  <w:vAlign w:val="center"/>
                </w:tcPr>
                <w:p>
                  <w:pPr>
                    <w:jc w:val="center"/>
                    <w:rPr>
                      <w:rFonts w:ascii="Times New Roman" w:hAnsi="Times New Roman" w:eastAsia="宋体"/>
                      <w:color w:val="auto"/>
                    </w:rPr>
                  </w:pPr>
                  <w:r>
                    <w:rPr>
                      <w:rFonts w:hint="eastAsia" w:ascii="Times New Roman" w:hAnsi="Times New Roman" w:eastAsia="宋体" w:cs="Times New Roman"/>
                      <w:color w:val="auto"/>
                      <w:szCs w:val="21"/>
                      <w:lang w:val="en-US" w:eastAsia="zh-CN"/>
                    </w:rPr>
                    <w:t>2#</w:t>
                  </w:r>
                </w:p>
              </w:tc>
              <w:tc>
                <w:tcPr>
                  <w:tcW w:w="1255" w:type="dxa"/>
                  <w:noWrap w:val="0"/>
                  <w:vAlign w:val="center"/>
                </w:tcPr>
                <w:p>
                  <w:pPr>
                    <w:jc w:val="center"/>
                    <w:rPr>
                      <w:rFonts w:ascii="Times New Roman" w:hAnsi="Times New Roman" w:eastAsia="宋体"/>
                      <w:color w:val="auto"/>
                    </w:rPr>
                  </w:pPr>
                  <w:r>
                    <w:rPr>
                      <w:rFonts w:hint="eastAsia" w:ascii="Times New Roman" w:hAnsi="Times New Roman" w:eastAsia="宋体" w:cs="Times New Roman"/>
                      <w:color w:val="auto"/>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9" w:type="dxa"/>
                  <w:vMerge w:val="restart"/>
                  <w:noWrap w:val="0"/>
                  <w:vAlign w:val="center"/>
                </w:tcPr>
                <w:p>
                  <w:pPr>
                    <w:jc w:val="center"/>
                    <w:rPr>
                      <w:rFonts w:hint="eastAsia" w:ascii="Times New Roman" w:hAnsi="Times New Roman" w:eastAsia="宋体"/>
                      <w:b/>
                      <w:color w:val="auto"/>
                      <w:sz w:val="24"/>
                      <w:vertAlign w:val="baseline"/>
                    </w:rPr>
                  </w:pPr>
                  <w:r>
                    <w:rPr>
                      <w:rFonts w:hint="eastAsia" w:ascii="Times New Roman" w:hAnsi="Times New Roman" w:eastAsia="宋体" w:cs="Times New Roman"/>
                      <w:color w:val="auto"/>
                      <w:szCs w:val="21"/>
                      <w:lang w:val="en-US" w:eastAsia="zh-CN"/>
                    </w:rPr>
                    <w:t>3月25日</w:t>
                  </w:r>
                </w:p>
              </w:tc>
              <w:tc>
                <w:tcPr>
                  <w:tcW w:w="2298" w:type="dxa"/>
                  <w:noWrap w:val="0"/>
                  <w:vAlign w:val="center"/>
                </w:tcPr>
                <w:p>
                  <w:pPr>
                    <w:jc w:val="center"/>
                    <w:rPr>
                      <w:rFonts w:hint="eastAsia" w:ascii="Times New Roman" w:hAnsi="Times New Roman" w:eastAsia="宋体"/>
                      <w:b/>
                      <w:color w:val="auto"/>
                      <w:sz w:val="24"/>
                      <w:vertAlign w:val="baseline"/>
                    </w:rPr>
                  </w:pPr>
                  <w:r>
                    <w:rPr>
                      <w:rFonts w:hint="default" w:ascii="Times New Roman" w:hAnsi="Times New Roman" w:eastAsia="宋体" w:cs="Times New Roman"/>
                      <w:color w:val="auto"/>
                      <w:sz w:val="21"/>
                      <w:szCs w:val="21"/>
                    </w:rPr>
                    <w:t>pH</w:t>
                  </w:r>
                </w:p>
              </w:tc>
              <w:tc>
                <w:tcPr>
                  <w:tcW w:w="1423" w:type="dxa"/>
                  <w:noWrap w:val="0"/>
                  <w:vAlign w:val="center"/>
                </w:tcPr>
                <w:p>
                  <w:pPr>
                    <w:jc w:val="center"/>
                    <w:rPr>
                      <w:rFonts w:hint="eastAsia" w:ascii="Times New Roman" w:hAnsi="Times New Roman" w:eastAsia="宋体"/>
                      <w:b/>
                      <w:color w:val="auto"/>
                      <w:sz w:val="24"/>
                      <w:vertAlign w:val="baseline"/>
                    </w:rPr>
                  </w:pPr>
                  <w:r>
                    <w:rPr>
                      <w:rFonts w:hint="eastAsia" w:ascii="Times New Roman" w:hAnsi="Times New Roman" w:eastAsia="宋体" w:cs="Times New Roman"/>
                      <w:color w:val="auto"/>
                      <w:szCs w:val="21"/>
                      <w:lang w:val="en-US" w:eastAsia="zh-CN"/>
                    </w:rPr>
                    <w:t>7.63</w:t>
                  </w:r>
                </w:p>
              </w:tc>
              <w:tc>
                <w:tcPr>
                  <w:tcW w:w="1449" w:type="dxa"/>
                  <w:noWrap w:val="0"/>
                  <w:vAlign w:val="center"/>
                </w:tcPr>
                <w:p>
                  <w:pPr>
                    <w:jc w:val="center"/>
                    <w:rPr>
                      <w:rFonts w:ascii="Times New Roman" w:hAnsi="Times New Roman" w:eastAsia="宋体"/>
                      <w:color w:val="auto"/>
                    </w:rPr>
                  </w:pPr>
                  <w:r>
                    <w:rPr>
                      <w:rFonts w:hint="eastAsia" w:ascii="Times New Roman" w:hAnsi="Times New Roman" w:eastAsia="宋体" w:cs="Times New Roman"/>
                      <w:color w:val="auto"/>
                      <w:szCs w:val="21"/>
                      <w:lang w:val="en-US" w:eastAsia="zh-CN"/>
                    </w:rPr>
                    <w:t>7.67</w:t>
                  </w:r>
                </w:p>
              </w:tc>
              <w:tc>
                <w:tcPr>
                  <w:tcW w:w="1255" w:type="dxa"/>
                  <w:noWrap w:val="0"/>
                  <w:vAlign w:val="center"/>
                </w:tcPr>
                <w:p>
                  <w:pPr>
                    <w:jc w:val="center"/>
                    <w:rPr>
                      <w:rFonts w:ascii="Times New Roman" w:hAnsi="Times New Roman" w:eastAsia="宋体"/>
                      <w:color w:val="auto"/>
                    </w:rPr>
                  </w:pPr>
                  <w:r>
                    <w:rPr>
                      <w:rFonts w:hint="eastAsia" w:ascii="Times New Roman" w:hAnsi="Times New Roman" w:eastAsia="宋体" w:cs="Times New Roman"/>
                      <w:color w:val="auto"/>
                      <w:szCs w:val="21"/>
                      <w:lang w:val="en-US" w:eastAsia="zh-CN"/>
                    </w:rPr>
                    <w:t>7.75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9" w:type="dxa"/>
                  <w:vMerge w:val="continue"/>
                  <w:noWrap w:val="0"/>
                  <w:vAlign w:val="center"/>
                </w:tcPr>
                <w:p>
                  <w:pPr>
                    <w:jc w:val="center"/>
                    <w:rPr>
                      <w:rFonts w:hint="eastAsia" w:ascii="Times New Roman" w:hAnsi="Times New Roman" w:eastAsia="宋体"/>
                      <w:b/>
                      <w:color w:val="auto"/>
                      <w:sz w:val="24"/>
                      <w:vertAlign w:val="baseline"/>
                    </w:rPr>
                  </w:pPr>
                </w:p>
              </w:tc>
              <w:tc>
                <w:tcPr>
                  <w:tcW w:w="2298" w:type="dxa"/>
                  <w:noWrap w:val="0"/>
                  <w:vAlign w:val="center"/>
                </w:tcPr>
                <w:p>
                  <w:pPr>
                    <w:jc w:val="center"/>
                    <w:rPr>
                      <w:rFonts w:hint="eastAsia" w:ascii="Times New Roman" w:hAnsi="Times New Roman" w:eastAsia="宋体"/>
                      <w:b/>
                      <w:color w:val="auto"/>
                      <w:sz w:val="24"/>
                      <w:vertAlign w:val="baseline"/>
                    </w:rPr>
                  </w:pPr>
                  <w:r>
                    <w:rPr>
                      <w:rFonts w:hint="default" w:ascii="Times New Roman" w:hAnsi="Times New Roman" w:eastAsia="宋体" w:cs="Times New Roman"/>
                      <w:color w:val="auto"/>
                      <w:sz w:val="21"/>
                      <w:szCs w:val="21"/>
                    </w:rPr>
                    <w:t>COD</w:t>
                  </w:r>
                  <w:r>
                    <w:rPr>
                      <w:rFonts w:hint="default" w:ascii="Times New Roman" w:hAnsi="Times New Roman" w:eastAsia="宋体" w:cs="Times New Roman"/>
                      <w:color w:val="auto"/>
                      <w:sz w:val="21"/>
                      <w:szCs w:val="21"/>
                      <w:vertAlign w:val="subscript"/>
                    </w:rPr>
                    <w:t>Cr</w:t>
                  </w:r>
                </w:p>
              </w:tc>
              <w:tc>
                <w:tcPr>
                  <w:tcW w:w="1423" w:type="dxa"/>
                  <w:noWrap w:val="0"/>
                  <w:vAlign w:val="center"/>
                </w:tcPr>
                <w:p>
                  <w:pPr>
                    <w:jc w:val="center"/>
                    <w:rPr>
                      <w:rFonts w:hint="eastAsia" w:ascii="Times New Roman" w:hAnsi="Times New Roman" w:eastAsia="宋体"/>
                      <w:b/>
                      <w:color w:val="auto"/>
                      <w:sz w:val="24"/>
                      <w:vertAlign w:val="baseline"/>
                    </w:rPr>
                  </w:pPr>
                  <w:r>
                    <w:rPr>
                      <w:rFonts w:hint="eastAsia" w:ascii="Times New Roman" w:hAnsi="Times New Roman" w:eastAsia="宋体" w:cs="Times New Roman"/>
                      <w:color w:val="auto"/>
                      <w:szCs w:val="21"/>
                      <w:lang w:val="en-US" w:eastAsia="zh-CN"/>
                    </w:rPr>
                    <w:t>17</w:t>
                  </w:r>
                </w:p>
              </w:tc>
              <w:tc>
                <w:tcPr>
                  <w:tcW w:w="1449" w:type="dxa"/>
                  <w:noWrap w:val="0"/>
                  <w:vAlign w:val="center"/>
                </w:tcPr>
                <w:p>
                  <w:pPr>
                    <w:jc w:val="center"/>
                    <w:rPr>
                      <w:rFonts w:ascii="Times New Roman" w:hAnsi="Times New Roman" w:eastAsia="宋体"/>
                      <w:color w:val="auto"/>
                    </w:rPr>
                  </w:pPr>
                  <w:r>
                    <w:rPr>
                      <w:rFonts w:hint="eastAsia" w:ascii="Times New Roman" w:hAnsi="Times New Roman" w:eastAsia="宋体" w:cs="Times New Roman"/>
                      <w:color w:val="auto"/>
                      <w:szCs w:val="21"/>
                      <w:lang w:val="en-US" w:eastAsia="zh-CN"/>
                    </w:rPr>
                    <w:t>18</w:t>
                  </w:r>
                </w:p>
              </w:tc>
              <w:tc>
                <w:tcPr>
                  <w:tcW w:w="1255" w:type="dxa"/>
                  <w:noWrap w:val="0"/>
                  <w:vAlign w:val="center"/>
                </w:tcPr>
                <w:p>
                  <w:pPr>
                    <w:jc w:val="center"/>
                    <w:rPr>
                      <w:rFonts w:ascii="Times New Roman" w:hAnsi="Times New Roman" w:eastAsia="宋体"/>
                      <w:color w:val="auto"/>
                    </w:rPr>
                  </w:pPr>
                  <w:r>
                    <w:rPr>
                      <w:rFonts w:hint="eastAsia" w:ascii="Times New Roman" w:hAnsi="Times New Roman" w:eastAsia="宋体" w:cs="Times New Roman"/>
                      <w:color w:val="auto"/>
                      <w:szCs w:val="21"/>
                      <w:lang w:val="en-US" w:eastAsia="zh-CN"/>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9" w:type="dxa"/>
                  <w:vMerge w:val="continue"/>
                  <w:noWrap w:val="0"/>
                  <w:vAlign w:val="center"/>
                </w:tcPr>
                <w:p>
                  <w:pPr>
                    <w:jc w:val="center"/>
                    <w:rPr>
                      <w:rFonts w:hint="eastAsia" w:ascii="Times New Roman" w:hAnsi="Times New Roman" w:eastAsia="宋体"/>
                      <w:b/>
                      <w:color w:val="auto"/>
                      <w:sz w:val="24"/>
                      <w:vertAlign w:val="baseline"/>
                    </w:rPr>
                  </w:pPr>
                </w:p>
              </w:tc>
              <w:tc>
                <w:tcPr>
                  <w:tcW w:w="2298" w:type="dxa"/>
                  <w:noWrap w:val="0"/>
                  <w:vAlign w:val="center"/>
                </w:tcPr>
                <w:p>
                  <w:pPr>
                    <w:jc w:val="center"/>
                    <w:rPr>
                      <w:rFonts w:hint="eastAsia" w:ascii="Times New Roman" w:hAnsi="Times New Roman" w:eastAsia="宋体"/>
                      <w:b/>
                      <w:color w:val="auto"/>
                      <w:sz w:val="24"/>
                      <w:vertAlign w:val="baseline"/>
                    </w:rPr>
                  </w:pPr>
                  <w:r>
                    <w:rPr>
                      <w:rFonts w:hint="default" w:ascii="Times New Roman" w:hAnsi="Times New Roman" w:eastAsia="宋体" w:cs="Times New Roman"/>
                      <w:color w:val="auto"/>
                      <w:sz w:val="21"/>
                      <w:szCs w:val="21"/>
                    </w:rPr>
                    <w:t>BOD</w:t>
                  </w:r>
                  <w:r>
                    <w:rPr>
                      <w:rFonts w:hint="default" w:ascii="Times New Roman" w:hAnsi="Times New Roman" w:eastAsia="宋体" w:cs="Times New Roman"/>
                      <w:color w:val="auto"/>
                      <w:sz w:val="21"/>
                      <w:szCs w:val="21"/>
                      <w:vertAlign w:val="subscript"/>
                    </w:rPr>
                    <w:t>5</w:t>
                  </w:r>
                </w:p>
              </w:tc>
              <w:tc>
                <w:tcPr>
                  <w:tcW w:w="1423" w:type="dxa"/>
                  <w:noWrap w:val="0"/>
                  <w:vAlign w:val="center"/>
                </w:tcPr>
                <w:p>
                  <w:pPr>
                    <w:jc w:val="center"/>
                    <w:rPr>
                      <w:rFonts w:hint="eastAsia" w:ascii="Times New Roman" w:hAnsi="Times New Roman" w:eastAsia="宋体"/>
                      <w:b/>
                      <w:color w:val="auto"/>
                      <w:sz w:val="24"/>
                      <w:vertAlign w:val="baseline"/>
                    </w:rPr>
                  </w:pPr>
                  <w:r>
                    <w:rPr>
                      <w:rFonts w:hint="eastAsia" w:ascii="Times New Roman" w:hAnsi="Times New Roman" w:eastAsia="宋体" w:cs="Times New Roman"/>
                      <w:color w:val="auto"/>
                      <w:szCs w:val="21"/>
                      <w:lang w:val="en-US" w:eastAsia="zh-CN"/>
                    </w:rPr>
                    <w:t>3.8</w:t>
                  </w:r>
                </w:p>
              </w:tc>
              <w:tc>
                <w:tcPr>
                  <w:tcW w:w="1449" w:type="dxa"/>
                  <w:noWrap w:val="0"/>
                  <w:vAlign w:val="center"/>
                </w:tcPr>
                <w:p>
                  <w:pPr>
                    <w:jc w:val="center"/>
                    <w:rPr>
                      <w:rFonts w:ascii="Times New Roman" w:hAnsi="Times New Roman" w:eastAsia="宋体"/>
                      <w:color w:val="auto"/>
                    </w:rPr>
                  </w:pPr>
                  <w:r>
                    <w:rPr>
                      <w:rFonts w:hint="eastAsia" w:ascii="Times New Roman" w:hAnsi="Times New Roman" w:eastAsia="宋体" w:cs="Times New Roman"/>
                      <w:color w:val="auto"/>
                      <w:szCs w:val="21"/>
                      <w:lang w:val="en-US" w:eastAsia="zh-CN"/>
                    </w:rPr>
                    <w:t>3.8</w:t>
                  </w:r>
                </w:p>
              </w:tc>
              <w:tc>
                <w:tcPr>
                  <w:tcW w:w="1255" w:type="dxa"/>
                  <w:noWrap w:val="0"/>
                  <w:vAlign w:val="center"/>
                </w:tcPr>
                <w:p>
                  <w:pPr>
                    <w:jc w:val="center"/>
                    <w:rPr>
                      <w:rFonts w:ascii="Times New Roman" w:hAnsi="Times New Roman" w:eastAsia="宋体"/>
                      <w:color w:val="auto"/>
                    </w:rPr>
                  </w:pPr>
                  <w:r>
                    <w:rPr>
                      <w:rFonts w:hint="eastAsia" w:ascii="Times New Roman" w:hAnsi="Times New Roman" w:eastAsia="宋体" w:cs="Times New Roman"/>
                      <w:color w:val="auto"/>
                      <w:szCs w:val="21"/>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9" w:type="dxa"/>
                  <w:vMerge w:val="continue"/>
                  <w:noWrap w:val="0"/>
                  <w:vAlign w:val="center"/>
                </w:tcPr>
                <w:p>
                  <w:pPr>
                    <w:jc w:val="center"/>
                    <w:rPr>
                      <w:rFonts w:hint="eastAsia" w:ascii="Times New Roman" w:hAnsi="Times New Roman" w:eastAsia="宋体"/>
                      <w:b/>
                      <w:color w:val="auto"/>
                      <w:sz w:val="24"/>
                      <w:vertAlign w:val="baseline"/>
                    </w:rPr>
                  </w:pPr>
                </w:p>
              </w:tc>
              <w:tc>
                <w:tcPr>
                  <w:tcW w:w="2298" w:type="dxa"/>
                  <w:noWrap w:val="0"/>
                  <w:vAlign w:val="center"/>
                </w:tcPr>
                <w:p>
                  <w:pPr>
                    <w:jc w:val="center"/>
                    <w:rPr>
                      <w:rFonts w:hint="eastAsia" w:ascii="Times New Roman" w:hAnsi="Times New Roman" w:eastAsia="宋体"/>
                      <w:b/>
                      <w:color w:val="auto"/>
                      <w:sz w:val="24"/>
                      <w:vertAlign w:val="baseline"/>
                    </w:rPr>
                  </w:pPr>
                  <w:r>
                    <w:rPr>
                      <w:rFonts w:hint="default" w:ascii="Times New Roman" w:hAnsi="Times New Roman" w:eastAsia="宋体" w:cs="Times New Roman"/>
                      <w:color w:val="auto"/>
                      <w:sz w:val="21"/>
                      <w:szCs w:val="21"/>
                    </w:rPr>
                    <w:t>NH</w:t>
                  </w:r>
                  <w:r>
                    <w:rPr>
                      <w:rFonts w:hint="default" w:ascii="Times New Roman" w:hAnsi="Times New Roman" w:eastAsia="宋体" w:cs="Times New Roman"/>
                      <w:color w:val="auto"/>
                      <w:sz w:val="21"/>
                      <w:szCs w:val="21"/>
                      <w:vertAlign w:val="subscript"/>
                    </w:rPr>
                    <w:t>3</w:t>
                  </w:r>
                  <w:r>
                    <w:rPr>
                      <w:rFonts w:hint="default" w:ascii="Times New Roman" w:hAnsi="Times New Roman" w:eastAsia="宋体" w:cs="Times New Roman"/>
                      <w:color w:val="auto"/>
                      <w:sz w:val="21"/>
                      <w:szCs w:val="21"/>
                    </w:rPr>
                    <w:t>-N</w:t>
                  </w:r>
                </w:p>
              </w:tc>
              <w:tc>
                <w:tcPr>
                  <w:tcW w:w="1423" w:type="dxa"/>
                  <w:noWrap w:val="0"/>
                  <w:vAlign w:val="center"/>
                </w:tcPr>
                <w:p>
                  <w:pPr>
                    <w:jc w:val="center"/>
                    <w:rPr>
                      <w:rFonts w:hint="eastAsia" w:ascii="Times New Roman" w:hAnsi="Times New Roman" w:eastAsia="宋体"/>
                      <w:b/>
                      <w:color w:val="auto"/>
                      <w:sz w:val="24"/>
                      <w:vertAlign w:val="baseline"/>
                    </w:rPr>
                  </w:pPr>
                  <w:r>
                    <w:rPr>
                      <w:rFonts w:hint="eastAsia" w:ascii="Times New Roman" w:hAnsi="Times New Roman" w:eastAsia="宋体" w:cs="Times New Roman"/>
                      <w:color w:val="auto"/>
                      <w:szCs w:val="21"/>
                      <w:lang w:val="en-US" w:eastAsia="zh-CN"/>
                    </w:rPr>
                    <w:t>0.371</w:t>
                  </w:r>
                </w:p>
              </w:tc>
              <w:tc>
                <w:tcPr>
                  <w:tcW w:w="1449" w:type="dxa"/>
                  <w:noWrap w:val="0"/>
                  <w:vAlign w:val="center"/>
                </w:tcPr>
                <w:p>
                  <w:pPr>
                    <w:jc w:val="center"/>
                    <w:rPr>
                      <w:rFonts w:ascii="Times New Roman" w:hAnsi="Times New Roman" w:eastAsia="宋体"/>
                      <w:color w:val="auto"/>
                    </w:rPr>
                  </w:pPr>
                  <w:r>
                    <w:rPr>
                      <w:rFonts w:hint="eastAsia" w:ascii="Times New Roman" w:hAnsi="Times New Roman" w:eastAsia="宋体" w:cs="Times New Roman"/>
                      <w:color w:val="auto"/>
                      <w:szCs w:val="21"/>
                      <w:lang w:val="en-US" w:eastAsia="zh-CN"/>
                    </w:rPr>
                    <w:t>0.433</w:t>
                  </w:r>
                </w:p>
              </w:tc>
              <w:tc>
                <w:tcPr>
                  <w:tcW w:w="1255" w:type="dxa"/>
                  <w:noWrap w:val="0"/>
                  <w:vAlign w:val="center"/>
                </w:tcPr>
                <w:p>
                  <w:pPr>
                    <w:jc w:val="center"/>
                    <w:rPr>
                      <w:rFonts w:ascii="Times New Roman" w:hAnsi="Times New Roman" w:eastAsia="宋体"/>
                      <w:color w:val="auto"/>
                    </w:rPr>
                  </w:pPr>
                  <w:r>
                    <w:rPr>
                      <w:rFonts w:hint="eastAsia" w:ascii="Times New Roman" w:hAnsi="Times New Roman" w:eastAsia="宋体" w:cs="Times New Roman"/>
                      <w:color w:val="auto"/>
                      <w:szCs w:val="21"/>
                      <w:lang w:val="en-US" w:eastAsia="zh-CN"/>
                    </w:rPr>
                    <w:t>0.418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9" w:type="dxa"/>
                  <w:vMerge w:val="continue"/>
                  <w:noWrap w:val="0"/>
                  <w:vAlign w:val="center"/>
                </w:tcPr>
                <w:p>
                  <w:pPr>
                    <w:jc w:val="center"/>
                    <w:rPr>
                      <w:rFonts w:hint="eastAsia" w:ascii="Times New Roman" w:hAnsi="Times New Roman" w:eastAsia="宋体"/>
                      <w:b/>
                      <w:color w:val="auto"/>
                      <w:sz w:val="24"/>
                      <w:vertAlign w:val="baseline"/>
                    </w:rPr>
                  </w:pPr>
                </w:p>
              </w:tc>
              <w:tc>
                <w:tcPr>
                  <w:tcW w:w="2298" w:type="dxa"/>
                  <w:noWrap w:val="0"/>
                  <w:vAlign w:val="center"/>
                </w:tcPr>
                <w:p>
                  <w:pPr>
                    <w:jc w:val="center"/>
                    <w:rPr>
                      <w:rFonts w:hint="eastAsia" w:ascii="Times New Roman" w:hAnsi="Times New Roman" w:eastAsia="宋体"/>
                      <w:b/>
                      <w:color w:val="auto"/>
                      <w:sz w:val="24"/>
                      <w:vertAlign w:val="baseline"/>
                    </w:rPr>
                  </w:pPr>
                  <w:r>
                    <w:rPr>
                      <w:rFonts w:hint="default" w:ascii="Times New Roman" w:hAnsi="Times New Roman" w:eastAsia="宋体" w:cs="Times New Roman"/>
                      <w:color w:val="auto"/>
                      <w:sz w:val="21"/>
                      <w:szCs w:val="21"/>
                      <w:lang w:eastAsia="zh-CN"/>
                    </w:rPr>
                    <w:t>石油类</w:t>
                  </w:r>
                </w:p>
              </w:tc>
              <w:tc>
                <w:tcPr>
                  <w:tcW w:w="1423" w:type="dxa"/>
                  <w:noWrap w:val="0"/>
                  <w:vAlign w:val="center"/>
                </w:tcPr>
                <w:p>
                  <w:pPr>
                    <w:jc w:val="center"/>
                    <w:rPr>
                      <w:rFonts w:hint="eastAsia" w:ascii="Times New Roman" w:hAnsi="Times New Roman" w:eastAsia="宋体"/>
                      <w:b/>
                      <w:color w:val="auto"/>
                      <w:sz w:val="24"/>
                      <w:vertAlign w:val="baseline"/>
                    </w:rPr>
                  </w:pPr>
                  <w:r>
                    <w:rPr>
                      <w:rFonts w:hint="eastAsia" w:ascii="Times New Roman" w:hAnsi="Times New Roman" w:eastAsia="宋体" w:cs="Times New Roman"/>
                      <w:color w:val="auto"/>
                      <w:sz w:val="21"/>
                      <w:szCs w:val="21"/>
                      <w:lang w:val="en-US" w:eastAsia="zh-CN"/>
                    </w:rPr>
                    <w:t>0.01L</w:t>
                  </w:r>
                </w:p>
              </w:tc>
              <w:tc>
                <w:tcPr>
                  <w:tcW w:w="1449" w:type="dxa"/>
                  <w:noWrap w:val="0"/>
                  <w:vAlign w:val="center"/>
                </w:tcPr>
                <w:p>
                  <w:pPr>
                    <w:jc w:val="center"/>
                    <w:rPr>
                      <w:rFonts w:ascii="Times New Roman" w:hAnsi="Times New Roman" w:eastAsia="宋体"/>
                      <w:color w:val="auto"/>
                    </w:rPr>
                  </w:pPr>
                  <w:r>
                    <w:rPr>
                      <w:rFonts w:hint="eastAsia" w:ascii="Times New Roman" w:hAnsi="Times New Roman" w:eastAsia="宋体" w:cs="Times New Roman"/>
                      <w:color w:val="auto"/>
                      <w:sz w:val="21"/>
                      <w:szCs w:val="21"/>
                      <w:lang w:val="en-US" w:eastAsia="zh-CN"/>
                    </w:rPr>
                    <w:t>0.01L</w:t>
                  </w:r>
                </w:p>
              </w:tc>
              <w:tc>
                <w:tcPr>
                  <w:tcW w:w="1255" w:type="dxa"/>
                  <w:noWrap w:val="0"/>
                  <w:vAlign w:val="center"/>
                </w:tcPr>
                <w:p>
                  <w:pPr>
                    <w:jc w:val="center"/>
                    <w:rPr>
                      <w:rFonts w:ascii="Times New Roman" w:hAnsi="Times New Roman" w:eastAsia="宋体"/>
                      <w:color w:val="auto"/>
                    </w:rPr>
                  </w:pPr>
                  <w:r>
                    <w:rPr>
                      <w:rFonts w:hint="eastAsia" w:ascii="Times New Roman" w:hAnsi="Times New Roman" w:eastAsia="宋体" w:cs="Times New Roman"/>
                      <w:color w:val="auto"/>
                      <w:sz w:val="21"/>
                      <w:szCs w:val="21"/>
                      <w:lang w:val="en-US" w:eastAsia="zh-CN"/>
                    </w:rPr>
                    <w:t>0.01L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9" w:type="dxa"/>
                  <w:vMerge w:val="continue"/>
                  <w:noWrap w:val="0"/>
                  <w:vAlign w:val="center"/>
                </w:tcPr>
                <w:p>
                  <w:pPr>
                    <w:jc w:val="center"/>
                    <w:rPr>
                      <w:rFonts w:hint="eastAsia" w:ascii="Times New Roman" w:hAnsi="Times New Roman" w:eastAsia="宋体"/>
                      <w:b/>
                      <w:color w:val="auto"/>
                      <w:sz w:val="24"/>
                      <w:vertAlign w:val="baseline"/>
                    </w:rPr>
                  </w:pPr>
                </w:p>
              </w:tc>
              <w:tc>
                <w:tcPr>
                  <w:tcW w:w="2298" w:type="dxa"/>
                  <w:noWrap w:val="0"/>
                  <w:vAlign w:val="center"/>
                </w:tcPr>
                <w:p>
                  <w:pPr>
                    <w:jc w:val="center"/>
                    <w:rPr>
                      <w:rFonts w:hint="eastAsia" w:ascii="Times New Roman" w:hAnsi="Times New Roman" w:eastAsia="宋体"/>
                      <w:b/>
                      <w:color w:val="auto"/>
                      <w:sz w:val="24"/>
                      <w:vertAlign w:val="baseline"/>
                    </w:rPr>
                  </w:pPr>
                  <w:r>
                    <w:rPr>
                      <w:rFonts w:hint="eastAsia" w:ascii="Times New Roman" w:hAnsi="Times New Roman" w:eastAsia="宋体" w:cs="Times New Roman"/>
                      <w:color w:val="auto"/>
                      <w:sz w:val="21"/>
                      <w:szCs w:val="21"/>
                      <w:lang w:val="en-US" w:eastAsia="zh-CN"/>
                    </w:rPr>
                    <w:t>DO</w:t>
                  </w:r>
                </w:p>
              </w:tc>
              <w:tc>
                <w:tcPr>
                  <w:tcW w:w="1423" w:type="dxa"/>
                  <w:noWrap w:val="0"/>
                  <w:vAlign w:val="center"/>
                </w:tcPr>
                <w:p>
                  <w:pPr>
                    <w:jc w:val="center"/>
                    <w:rPr>
                      <w:rFonts w:hint="eastAsia" w:ascii="Times New Roman" w:hAnsi="Times New Roman" w:eastAsia="宋体"/>
                      <w:b/>
                      <w:color w:val="auto"/>
                      <w:sz w:val="24"/>
                      <w:vertAlign w:val="baseline"/>
                    </w:rPr>
                  </w:pPr>
                  <w:r>
                    <w:rPr>
                      <w:rFonts w:hint="eastAsia" w:ascii="Times New Roman" w:hAnsi="Times New Roman" w:eastAsia="宋体" w:cs="Times New Roman"/>
                      <w:color w:val="auto"/>
                      <w:sz w:val="21"/>
                      <w:szCs w:val="21"/>
                      <w:lang w:val="en-US" w:eastAsia="zh-CN"/>
                    </w:rPr>
                    <w:t>5.2</w:t>
                  </w:r>
                </w:p>
              </w:tc>
              <w:tc>
                <w:tcPr>
                  <w:tcW w:w="1449" w:type="dxa"/>
                  <w:noWrap w:val="0"/>
                  <w:vAlign w:val="center"/>
                </w:tcPr>
                <w:p>
                  <w:pPr>
                    <w:jc w:val="center"/>
                    <w:rPr>
                      <w:rFonts w:ascii="Times New Roman" w:hAnsi="Times New Roman" w:eastAsia="宋体"/>
                      <w:color w:val="auto"/>
                    </w:rPr>
                  </w:pPr>
                  <w:r>
                    <w:rPr>
                      <w:rFonts w:hint="eastAsia" w:ascii="Times New Roman" w:hAnsi="Times New Roman" w:eastAsia="宋体" w:cs="Times New Roman"/>
                      <w:color w:val="auto"/>
                      <w:sz w:val="21"/>
                      <w:szCs w:val="21"/>
                      <w:lang w:val="en-US" w:eastAsia="zh-CN"/>
                    </w:rPr>
                    <w:t>5.8</w:t>
                  </w:r>
                </w:p>
              </w:tc>
              <w:tc>
                <w:tcPr>
                  <w:tcW w:w="1255" w:type="dxa"/>
                  <w:noWrap w:val="0"/>
                  <w:vAlign w:val="center"/>
                </w:tcPr>
                <w:p>
                  <w:pPr>
                    <w:jc w:val="center"/>
                    <w:rPr>
                      <w:rFonts w:ascii="Times New Roman" w:hAnsi="Times New Roman" w:eastAsia="宋体"/>
                      <w:color w:val="auto"/>
                    </w:rPr>
                  </w:pPr>
                  <w:r>
                    <w:rPr>
                      <w:rFonts w:hint="eastAsia" w:ascii="Times New Roman" w:hAnsi="Times New Roman" w:eastAsia="宋体" w:cs="Times New Roman"/>
                      <w:color w:val="auto"/>
                      <w:sz w:val="21"/>
                      <w:szCs w:val="21"/>
                      <w:lang w:val="en-US" w:eastAsia="zh-CN"/>
                    </w:rPr>
                    <w:t>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9" w:type="dxa"/>
                  <w:vMerge w:val="restart"/>
                  <w:noWrap w:val="0"/>
                  <w:vAlign w:val="center"/>
                </w:tcPr>
                <w:p>
                  <w:pPr>
                    <w:jc w:val="center"/>
                    <w:rPr>
                      <w:rFonts w:hint="eastAsia" w:ascii="Times New Roman" w:hAnsi="Times New Roman" w:eastAsia="宋体"/>
                      <w:b/>
                      <w:color w:val="auto"/>
                      <w:sz w:val="24"/>
                      <w:vertAlign w:val="baseline"/>
                      <w:lang w:eastAsia="zh-CN"/>
                    </w:rPr>
                  </w:pPr>
                  <w:r>
                    <w:rPr>
                      <w:rFonts w:hint="eastAsia" w:ascii="Times New Roman" w:hAnsi="Times New Roman" w:eastAsia="宋体" w:cs="Times New Roman"/>
                      <w:color w:val="auto"/>
                      <w:sz w:val="21"/>
                      <w:szCs w:val="21"/>
                      <w:lang w:val="en-US" w:eastAsia="zh-CN"/>
                    </w:rPr>
                    <w:t>3月26日</w:t>
                  </w:r>
                </w:p>
              </w:tc>
              <w:tc>
                <w:tcPr>
                  <w:tcW w:w="2298" w:type="dxa"/>
                  <w:noWrap w:val="0"/>
                  <w:vAlign w:val="center"/>
                </w:tcPr>
                <w:p>
                  <w:pPr>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pH</w:t>
                  </w:r>
                </w:p>
              </w:tc>
              <w:tc>
                <w:tcPr>
                  <w:tcW w:w="1423" w:type="dxa"/>
                  <w:noWrap w:val="0"/>
                  <w:vAlign w:val="center"/>
                </w:tcPr>
                <w:p>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7.65</w:t>
                  </w:r>
                </w:p>
              </w:tc>
              <w:tc>
                <w:tcPr>
                  <w:tcW w:w="1449" w:type="dxa"/>
                  <w:noWrap w:val="0"/>
                  <w:vAlign w:val="center"/>
                </w:tcPr>
                <w:p>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7.73</w:t>
                  </w:r>
                </w:p>
              </w:tc>
              <w:tc>
                <w:tcPr>
                  <w:tcW w:w="1255" w:type="dxa"/>
                  <w:noWrap w:val="0"/>
                  <w:vAlign w:val="center"/>
                </w:tcPr>
                <w:p>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9" w:type="dxa"/>
                  <w:vMerge w:val="continue"/>
                  <w:noWrap w:val="0"/>
                  <w:vAlign w:val="center"/>
                </w:tcPr>
                <w:p>
                  <w:pPr>
                    <w:jc w:val="center"/>
                    <w:rPr>
                      <w:rFonts w:hint="eastAsia" w:ascii="Times New Roman" w:hAnsi="Times New Roman" w:eastAsia="宋体"/>
                      <w:b/>
                      <w:color w:val="auto"/>
                      <w:sz w:val="24"/>
                      <w:vertAlign w:val="baseline"/>
                    </w:rPr>
                  </w:pPr>
                </w:p>
              </w:tc>
              <w:tc>
                <w:tcPr>
                  <w:tcW w:w="2298" w:type="dxa"/>
                  <w:noWrap w:val="0"/>
                  <w:vAlign w:val="center"/>
                </w:tcPr>
                <w:p>
                  <w:pPr>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COD</w:t>
                  </w:r>
                  <w:r>
                    <w:rPr>
                      <w:rFonts w:hint="default" w:ascii="Times New Roman" w:hAnsi="Times New Roman" w:eastAsia="宋体" w:cs="Times New Roman"/>
                      <w:color w:val="auto"/>
                      <w:sz w:val="21"/>
                      <w:szCs w:val="21"/>
                      <w:vertAlign w:val="subscript"/>
                    </w:rPr>
                    <w:t>Cr</w:t>
                  </w:r>
                </w:p>
              </w:tc>
              <w:tc>
                <w:tcPr>
                  <w:tcW w:w="1423" w:type="dxa"/>
                  <w:noWrap w:val="0"/>
                  <w:vAlign w:val="center"/>
                </w:tcPr>
                <w:p>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w:t>
                  </w:r>
                </w:p>
              </w:tc>
              <w:tc>
                <w:tcPr>
                  <w:tcW w:w="1449" w:type="dxa"/>
                  <w:noWrap w:val="0"/>
                  <w:vAlign w:val="center"/>
                </w:tcPr>
                <w:p>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19</w:t>
                  </w:r>
                </w:p>
              </w:tc>
              <w:tc>
                <w:tcPr>
                  <w:tcW w:w="1255" w:type="dxa"/>
                  <w:noWrap w:val="0"/>
                  <w:vAlign w:val="center"/>
                </w:tcPr>
                <w:p>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9" w:type="dxa"/>
                  <w:vMerge w:val="continue"/>
                  <w:noWrap w:val="0"/>
                  <w:vAlign w:val="center"/>
                </w:tcPr>
                <w:p>
                  <w:pPr>
                    <w:jc w:val="center"/>
                    <w:rPr>
                      <w:rFonts w:hint="eastAsia" w:ascii="Times New Roman" w:hAnsi="Times New Roman" w:eastAsia="宋体"/>
                      <w:b/>
                      <w:color w:val="auto"/>
                      <w:sz w:val="24"/>
                      <w:vertAlign w:val="baseline"/>
                    </w:rPr>
                  </w:pPr>
                </w:p>
              </w:tc>
              <w:tc>
                <w:tcPr>
                  <w:tcW w:w="2298" w:type="dxa"/>
                  <w:noWrap w:val="0"/>
                  <w:vAlign w:val="center"/>
                </w:tcPr>
                <w:p>
                  <w:pPr>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BOD</w:t>
                  </w:r>
                  <w:r>
                    <w:rPr>
                      <w:rFonts w:hint="default" w:ascii="Times New Roman" w:hAnsi="Times New Roman" w:eastAsia="宋体" w:cs="Times New Roman"/>
                      <w:color w:val="auto"/>
                      <w:sz w:val="21"/>
                      <w:szCs w:val="21"/>
                      <w:vertAlign w:val="subscript"/>
                    </w:rPr>
                    <w:t>5</w:t>
                  </w:r>
                </w:p>
              </w:tc>
              <w:tc>
                <w:tcPr>
                  <w:tcW w:w="1423" w:type="dxa"/>
                  <w:noWrap w:val="0"/>
                  <w:vAlign w:val="center"/>
                </w:tcPr>
                <w:p>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4.1</w:t>
                  </w:r>
                </w:p>
              </w:tc>
              <w:tc>
                <w:tcPr>
                  <w:tcW w:w="1449" w:type="dxa"/>
                  <w:noWrap w:val="0"/>
                  <w:vAlign w:val="center"/>
                </w:tcPr>
                <w:p>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4.3</w:t>
                  </w:r>
                </w:p>
              </w:tc>
              <w:tc>
                <w:tcPr>
                  <w:tcW w:w="1255" w:type="dxa"/>
                  <w:noWrap w:val="0"/>
                  <w:vAlign w:val="center"/>
                </w:tcPr>
                <w:p>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9" w:type="dxa"/>
                  <w:vMerge w:val="continue"/>
                  <w:noWrap w:val="0"/>
                  <w:vAlign w:val="center"/>
                </w:tcPr>
                <w:p>
                  <w:pPr>
                    <w:jc w:val="center"/>
                    <w:rPr>
                      <w:rFonts w:hint="eastAsia" w:ascii="Times New Roman" w:hAnsi="Times New Roman" w:eastAsia="宋体"/>
                      <w:b/>
                      <w:color w:val="auto"/>
                      <w:sz w:val="24"/>
                      <w:vertAlign w:val="baseline"/>
                    </w:rPr>
                  </w:pPr>
                </w:p>
              </w:tc>
              <w:tc>
                <w:tcPr>
                  <w:tcW w:w="2298" w:type="dxa"/>
                  <w:noWrap w:val="0"/>
                  <w:vAlign w:val="center"/>
                </w:tcPr>
                <w:p>
                  <w:pPr>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NH</w:t>
                  </w:r>
                  <w:r>
                    <w:rPr>
                      <w:rFonts w:hint="default" w:ascii="Times New Roman" w:hAnsi="Times New Roman" w:eastAsia="宋体" w:cs="Times New Roman"/>
                      <w:color w:val="auto"/>
                      <w:sz w:val="21"/>
                      <w:szCs w:val="21"/>
                      <w:vertAlign w:val="subscript"/>
                    </w:rPr>
                    <w:t>3</w:t>
                  </w:r>
                  <w:r>
                    <w:rPr>
                      <w:rFonts w:hint="default" w:ascii="Times New Roman" w:hAnsi="Times New Roman" w:eastAsia="宋体" w:cs="Times New Roman"/>
                      <w:color w:val="auto"/>
                      <w:sz w:val="21"/>
                      <w:szCs w:val="21"/>
                    </w:rPr>
                    <w:t>-N</w:t>
                  </w:r>
                </w:p>
              </w:tc>
              <w:tc>
                <w:tcPr>
                  <w:tcW w:w="1423" w:type="dxa"/>
                  <w:noWrap w:val="0"/>
                  <w:vAlign w:val="center"/>
                </w:tcPr>
                <w:p>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0.409</w:t>
                  </w:r>
                </w:p>
              </w:tc>
              <w:tc>
                <w:tcPr>
                  <w:tcW w:w="1449" w:type="dxa"/>
                  <w:noWrap w:val="0"/>
                  <w:vAlign w:val="center"/>
                </w:tcPr>
                <w:p>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0.447</w:t>
                  </w:r>
                </w:p>
              </w:tc>
              <w:tc>
                <w:tcPr>
                  <w:tcW w:w="1255" w:type="dxa"/>
                  <w:noWrap w:val="0"/>
                  <w:vAlign w:val="center"/>
                </w:tcPr>
                <w:p>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0.432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9" w:type="dxa"/>
                  <w:vMerge w:val="continue"/>
                  <w:noWrap w:val="0"/>
                  <w:vAlign w:val="center"/>
                </w:tcPr>
                <w:p>
                  <w:pPr>
                    <w:jc w:val="center"/>
                    <w:rPr>
                      <w:rFonts w:hint="eastAsia" w:ascii="Times New Roman" w:hAnsi="Times New Roman" w:eastAsia="宋体"/>
                      <w:b/>
                      <w:color w:val="auto"/>
                      <w:sz w:val="24"/>
                      <w:vertAlign w:val="baseline"/>
                    </w:rPr>
                  </w:pPr>
                </w:p>
              </w:tc>
              <w:tc>
                <w:tcPr>
                  <w:tcW w:w="2298" w:type="dxa"/>
                  <w:noWrap w:val="0"/>
                  <w:vAlign w:val="center"/>
                </w:tcPr>
                <w:p>
                  <w:pPr>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eastAsia="zh-CN"/>
                    </w:rPr>
                    <w:t>石油类</w:t>
                  </w:r>
                </w:p>
              </w:tc>
              <w:tc>
                <w:tcPr>
                  <w:tcW w:w="1423" w:type="dxa"/>
                  <w:noWrap w:val="0"/>
                  <w:vAlign w:val="center"/>
                </w:tcPr>
                <w:p>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0.01L</w:t>
                  </w:r>
                </w:p>
              </w:tc>
              <w:tc>
                <w:tcPr>
                  <w:tcW w:w="1449" w:type="dxa"/>
                  <w:noWrap w:val="0"/>
                  <w:vAlign w:val="center"/>
                </w:tcPr>
                <w:p>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0.01L</w:t>
                  </w:r>
                </w:p>
              </w:tc>
              <w:tc>
                <w:tcPr>
                  <w:tcW w:w="1255" w:type="dxa"/>
                  <w:noWrap w:val="0"/>
                  <w:vAlign w:val="center"/>
                </w:tcPr>
                <w:p>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0.01L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09" w:type="dxa"/>
                  <w:vMerge w:val="continue"/>
                  <w:noWrap w:val="0"/>
                  <w:vAlign w:val="center"/>
                </w:tcPr>
                <w:p>
                  <w:pPr>
                    <w:jc w:val="center"/>
                    <w:rPr>
                      <w:rFonts w:hint="eastAsia" w:ascii="Times New Roman" w:hAnsi="Times New Roman" w:eastAsia="宋体"/>
                      <w:b/>
                      <w:color w:val="auto"/>
                      <w:sz w:val="24"/>
                      <w:vertAlign w:val="baseline"/>
                      <w:lang w:val="en-US"/>
                    </w:rPr>
                  </w:pPr>
                </w:p>
              </w:tc>
              <w:tc>
                <w:tcPr>
                  <w:tcW w:w="2298" w:type="dxa"/>
                  <w:noWrap w:val="0"/>
                  <w:vAlign w:val="center"/>
                </w:tcPr>
                <w:p>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DO</w:t>
                  </w:r>
                </w:p>
              </w:tc>
              <w:tc>
                <w:tcPr>
                  <w:tcW w:w="1423" w:type="dxa"/>
                  <w:noWrap w:val="0"/>
                  <w:vAlign w:val="center"/>
                </w:tcPr>
                <w:p>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5.7</w:t>
                  </w:r>
                </w:p>
              </w:tc>
              <w:tc>
                <w:tcPr>
                  <w:tcW w:w="1449" w:type="dxa"/>
                  <w:noWrap w:val="0"/>
                  <w:vAlign w:val="center"/>
                </w:tcPr>
                <w:p>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5.3</w:t>
                  </w:r>
                </w:p>
              </w:tc>
              <w:tc>
                <w:tcPr>
                  <w:tcW w:w="1255" w:type="dxa"/>
                  <w:noWrap w:val="0"/>
                  <w:vAlign w:val="center"/>
                </w:tcPr>
                <w:p>
                  <w:pPr>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5.5</w:t>
                  </w:r>
                </w:p>
              </w:tc>
            </w:tr>
          </w:tbl>
          <w:p>
            <w:pPr>
              <w:pStyle w:val="10"/>
              <w:spacing w:line="440" w:lineRule="exact"/>
              <w:ind w:firstLine="480"/>
              <w:rPr>
                <w:rFonts w:ascii="Times New Roman" w:hAnsi="Times New Roman" w:eastAsia="宋体"/>
                <w:b w:val="0"/>
                <w:color w:val="auto"/>
                <w:sz w:val="24"/>
              </w:rPr>
            </w:pPr>
            <w:r>
              <w:rPr>
                <w:rFonts w:hint="eastAsia" w:ascii="Times New Roman" w:hAnsi="Times New Roman" w:eastAsia="宋体"/>
                <w:b w:val="0"/>
                <w:color w:val="auto"/>
                <w:sz w:val="24"/>
              </w:rPr>
              <w:t>由以上结果分析表明，长江各监测断面水质中可以达到《地表水环境质量标准》（</w:t>
            </w:r>
            <w:r>
              <w:rPr>
                <w:rFonts w:ascii="Times New Roman" w:hAnsi="Times New Roman" w:eastAsia="宋体"/>
                <w:b w:val="0"/>
                <w:color w:val="auto"/>
                <w:sz w:val="24"/>
              </w:rPr>
              <w:t>GB3838</w:t>
            </w:r>
            <w:r>
              <w:rPr>
                <w:rFonts w:hint="eastAsia" w:ascii="Times New Roman" w:hAnsi="Times New Roman" w:eastAsia="宋体"/>
                <w:b w:val="0"/>
                <w:color w:val="auto"/>
                <w:sz w:val="24"/>
              </w:rPr>
              <w:t>-</w:t>
            </w:r>
            <w:r>
              <w:rPr>
                <w:rFonts w:ascii="Times New Roman" w:hAnsi="Times New Roman" w:eastAsia="宋体"/>
                <w:b w:val="0"/>
                <w:color w:val="auto"/>
                <w:sz w:val="24"/>
              </w:rPr>
              <w:t>2002</w:t>
            </w:r>
            <w:r>
              <w:rPr>
                <w:rFonts w:hint="eastAsia" w:ascii="Times New Roman" w:hAnsi="Times New Roman" w:eastAsia="宋体"/>
                <w:b w:val="0"/>
                <w:color w:val="auto"/>
                <w:sz w:val="24"/>
              </w:rPr>
              <w:t>）中的Ⅲ类水质标准，地表水质量较好。</w:t>
            </w:r>
          </w:p>
          <w:p>
            <w:pPr>
              <w:spacing w:line="360" w:lineRule="auto"/>
              <w:ind w:firstLine="482" w:firstLineChars="200"/>
              <w:rPr>
                <w:rFonts w:ascii="Times New Roman" w:hAnsi="Times New Roman" w:eastAsia="宋体"/>
                <w:b/>
                <w:color w:val="auto"/>
                <w:sz w:val="24"/>
              </w:rPr>
            </w:pPr>
            <w:r>
              <w:rPr>
                <w:rFonts w:ascii="Times New Roman" w:hAnsi="Times New Roman" w:eastAsia="宋体"/>
                <w:b/>
                <w:color w:val="auto"/>
                <w:sz w:val="24"/>
              </w:rPr>
              <w:t>3、声环境质量状况</w:t>
            </w:r>
          </w:p>
          <w:bookmarkEnd w:id="0"/>
          <w:p>
            <w:pPr>
              <w:pStyle w:val="2"/>
              <w:spacing w:line="360" w:lineRule="auto"/>
              <w:jc w:val="left"/>
              <w:rPr>
                <w:rFonts w:hint="eastAsia" w:ascii="Times New Roman" w:hAnsi="Times New Roman" w:eastAsia="宋体" w:cs="Times New Roman"/>
                <w:b w:val="0"/>
                <w:bCs w:val="0"/>
                <w:color w:val="auto"/>
                <w:kern w:val="2"/>
              </w:rPr>
            </w:pPr>
            <w:r>
              <w:rPr>
                <w:rFonts w:hint="eastAsia" w:ascii="Times New Roman" w:hAnsi="Times New Roman" w:eastAsia="宋体" w:cs="Times New Roman"/>
                <w:b w:val="0"/>
                <w:bCs w:val="0"/>
                <w:color w:val="auto"/>
                <w:kern w:val="2"/>
              </w:rPr>
              <w:t>（一）噪声声源构成状况</w:t>
            </w:r>
          </w:p>
          <w:p>
            <w:pPr>
              <w:pStyle w:val="2"/>
              <w:spacing w:line="360" w:lineRule="auto"/>
              <w:ind w:firstLine="480" w:firstLineChars="200"/>
              <w:jc w:val="left"/>
              <w:rPr>
                <w:rFonts w:hint="eastAsia" w:ascii="Times New Roman" w:hAnsi="Times New Roman" w:eastAsia="宋体" w:cs="Times New Roman"/>
                <w:b w:val="0"/>
                <w:bCs w:val="0"/>
                <w:color w:val="auto"/>
                <w:kern w:val="2"/>
              </w:rPr>
            </w:pPr>
            <w:r>
              <w:rPr>
                <w:rFonts w:hint="eastAsia" w:ascii="Times New Roman" w:hAnsi="Times New Roman" w:eastAsia="宋体" w:cs="Times New Roman"/>
                <w:b w:val="0"/>
                <w:bCs w:val="0"/>
                <w:color w:val="auto"/>
                <w:kern w:val="2"/>
              </w:rPr>
              <w:t>在影响城市声环境的各类噪声源中，生活噪声源占61.50%，工业噪声源占27.00%，交通噪声源占11.50%。从声源强度及声源构成两个方面综合分析，生活噪声源为主要噪声源，但生活噪声源强相对较弱，对区域整体声环境质量影响较小，交通和工业噪声平均声级较高。</w:t>
            </w:r>
          </w:p>
          <w:p>
            <w:pPr>
              <w:pStyle w:val="2"/>
              <w:spacing w:line="360" w:lineRule="auto"/>
              <w:ind w:firstLine="480" w:firstLineChars="200"/>
              <w:jc w:val="left"/>
              <w:rPr>
                <w:rFonts w:hint="eastAsia" w:ascii="Times New Roman" w:hAnsi="Times New Roman" w:eastAsia="宋体" w:cs="Times New Roman"/>
                <w:b w:val="0"/>
                <w:bCs w:val="0"/>
                <w:color w:val="auto"/>
                <w:kern w:val="2"/>
              </w:rPr>
            </w:pPr>
            <w:r>
              <w:rPr>
                <w:rFonts w:hint="eastAsia" w:ascii="Times New Roman" w:hAnsi="Times New Roman" w:eastAsia="宋体" w:cs="Times New Roman"/>
                <w:b w:val="0"/>
                <w:bCs w:val="0"/>
                <w:color w:val="auto"/>
                <w:kern w:val="2"/>
              </w:rPr>
              <w:t>2019年，道路交通噪声昼间监测结果显示：全市城区道路交通干线的噪声大部分分布在60-70dB(A)之间，暴露在这一区间的路段长度为231.73km，占被测道路总长的88.95%，暴露在小于60dB(A)区间的路段长度为2.3km，，占被测量总路长的0.88%，超过标准70dB(A)的干线长度为26.51km，占干线总长度的10.17%。</w:t>
            </w:r>
          </w:p>
          <w:p>
            <w:pPr>
              <w:pStyle w:val="2"/>
              <w:spacing w:line="360" w:lineRule="auto"/>
              <w:jc w:val="left"/>
              <w:rPr>
                <w:rFonts w:hint="eastAsia" w:ascii="Times New Roman" w:hAnsi="Times New Roman" w:eastAsia="宋体" w:cs="Times New Roman"/>
                <w:b w:val="0"/>
                <w:bCs w:val="0"/>
                <w:color w:val="auto"/>
                <w:kern w:val="2"/>
              </w:rPr>
            </w:pPr>
            <w:r>
              <w:rPr>
                <w:rFonts w:hint="eastAsia" w:ascii="Times New Roman" w:hAnsi="Times New Roman" w:eastAsia="宋体" w:cs="Times New Roman"/>
                <w:b w:val="0"/>
                <w:bCs w:val="0"/>
                <w:color w:val="auto"/>
                <w:kern w:val="2"/>
              </w:rPr>
              <w:t>（二）功能区声环境噪声</w:t>
            </w:r>
          </w:p>
          <w:p>
            <w:pPr>
              <w:pStyle w:val="2"/>
              <w:spacing w:line="360" w:lineRule="auto"/>
              <w:ind w:firstLine="480" w:firstLineChars="200"/>
              <w:jc w:val="left"/>
              <w:rPr>
                <w:rFonts w:ascii="Times New Roman" w:hAnsi="Times New Roman" w:eastAsia="宋体" w:cs="Times New Roman"/>
                <w:b w:val="0"/>
                <w:bCs w:val="0"/>
                <w:color w:val="auto"/>
                <w:kern w:val="2"/>
              </w:rPr>
            </w:pPr>
            <w:r>
              <w:rPr>
                <w:rFonts w:hint="eastAsia" w:ascii="Times New Roman" w:hAnsi="Times New Roman" w:eastAsia="宋体" w:cs="Times New Roman"/>
                <w:b w:val="0"/>
                <w:bCs w:val="0"/>
                <w:color w:val="auto"/>
                <w:kern w:val="2"/>
              </w:rPr>
              <w:t>2019年共设监测点10个，其中：1类标准适用区设监测点1个，2类标准适用区设监测点5个，3类标准适用区设监测点2个，4类标准适用区设监测点2个，各监测点每季度监测一次，全年监测四次，功能区噪声等效声级达标率97.5%。</w:t>
            </w:r>
          </w:p>
          <w:p>
            <w:pPr>
              <w:keepNext w:val="0"/>
              <w:keepLines w:val="0"/>
              <w:suppressLineNumbers w:val="0"/>
              <w:spacing w:before="0" w:beforeAutospacing="0" w:after="0" w:afterAutospacing="0" w:line="500" w:lineRule="exact"/>
              <w:ind w:left="0" w:right="0" w:firstLine="475" w:firstLineChars="198"/>
              <w:rPr>
                <w:rFonts w:hint="default" w:ascii="Times New Roman" w:hAnsi="Times New Roman" w:eastAsia="宋体"/>
                <w:color w:val="auto"/>
                <w:sz w:val="24"/>
              </w:rPr>
            </w:pPr>
            <w:r>
              <w:rPr>
                <w:rFonts w:hint="eastAsia" w:ascii="Times New Roman" w:hAnsi="Times New Roman" w:eastAsia="宋体"/>
                <w:color w:val="auto"/>
                <w:sz w:val="24"/>
                <w:szCs w:val="24"/>
                <w:lang w:val="en-US" w:eastAsia="zh-CN"/>
              </w:rPr>
              <w:t xml:space="preserve"> </w:t>
            </w:r>
            <w:r>
              <w:rPr>
                <w:rFonts w:hint="default" w:ascii="Times New Roman" w:hAnsi="Times New Roman" w:eastAsia="宋体"/>
                <w:color w:val="auto"/>
                <w:sz w:val="24"/>
              </w:rPr>
              <w:t>本</w:t>
            </w:r>
            <w:r>
              <w:rPr>
                <w:rFonts w:hint="eastAsia" w:ascii="Times New Roman" w:hAnsi="Times New Roman" w:eastAsia="宋体"/>
                <w:color w:val="auto"/>
                <w:sz w:val="24"/>
                <w:lang w:eastAsia="zh-CN"/>
              </w:rPr>
              <w:t>项目</w:t>
            </w:r>
            <w:r>
              <w:rPr>
                <w:rFonts w:hint="default" w:ascii="Times New Roman" w:hAnsi="Times New Roman" w:eastAsia="宋体"/>
                <w:color w:val="auto"/>
                <w:sz w:val="24"/>
              </w:rPr>
              <w:t>评价</w:t>
            </w:r>
            <w:r>
              <w:rPr>
                <w:rFonts w:hint="eastAsia" w:ascii="Times New Roman" w:hAnsi="Times New Roman" w:eastAsia="宋体"/>
                <w:color w:val="auto"/>
                <w:sz w:val="24"/>
                <w:lang w:val="en-US" w:eastAsia="zh-CN"/>
              </w:rPr>
              <w:t>根据</w:t>
            </w:r>
            <w:r>
              <w:rPr>
                <w:rFonts w:hint="eastAsia" w:ascii="Times New Roman" w:hAnsi="Times New Roman" w:eastAsia="宋体"/>
                <w:color w:val="auto"/>
                <w:sz w:val="24"/>
              </w:rPr>
              <w:t>安徽威正测试技术有限公司</w:t>
            </w:r>
            <w:r>
              <w:rPr>
                <w:rFonts w:hint="default" w:ascii="Times New Roman" w:hAnsi="Times New Roman" w:eastAsia="宋体"/>
                <w:color w:val="auto"/>
                <w:sz w:val="24"/>
              </w:rPr>
              <w:t>对项目区声环境质量进行现状监测，</w:t>
            </w:r>
            <w:r>
              <w:rPr>
                <w:rFonts w:hint="eastAsia" w:ascii="Times New Roman" w:hAnsi="Times New Roman" w:eastAsia="宋体"/>
                <w:color w:val="auto"/>
                <w:sz w:val="24"/>
              </w:rPr>
              <w:t>安徽威正测试技术有限公司</w:t>
            </w:r>
            <w:r>
              <w:rPr>
                <w:rFonts w:hint="default" w:ascii="Times New Roman" w:hAnsi="Times New Roman" w:eastAsia="宋体"/>
                <w:color w:val="auto"/>
                <w:sz w:val="24"/>
              </w:rPr>
              <w:t>于</w:t>
            </w:r>
            <w:r>
              <w:rPr>
                <w:rFonts w:hint="eastAsia" w:ascii="Times New Roman" w:hAnsi="Times New Roman" w:eastAsia="宋体"/>
                <w:color w:val="auto"/>
                <w:sz w:val="24"/>
              </w:rPr>
              <w:t>20</w:t>
            </w:r>
            <w:r>
              <w:rPr>
                <w:rFonts w:hint="eastAsia" w:ascii="Times New Roman" w:hAnsi="Times New Roman" w:eastAsia="宋体"/>
                <w:color w:val="auto"/>
                <w:sz w:val="24"/>
                <w:lang w:val="en-US" w:eastAsia="zh-CN"/>
              </w:rPr>
              <w:t>20</w:t>
            </w:r>
            <w:r>
              <w:rPr>
                <w:rFonts w:hint="eastAsia" w:ascii="Times New Roman" w:hAnsi="Times New Roman" w:eastAsia="宋体"/>
                <w:color w:val="auto"/>
                <w:sz w:val="24"/>
              </w:rPr>
              <w:t>-</w:t>
            </w:r>
            <w:r>
              <w:rPr>
                <w:rFonts w:hint="eastAsia" w:ascii="Times New Roman" w:hAnsi="Times New Roman" w:eastAsia="宋体"/>
                <w:color w:val="auto"/>
                <w:sz w:val="24"/>
                <w:lang w:val="en-US" w:eastAsia="zh-CN"/>
              </w:rPr>
              <w:t>10</w:t>
            </w:r>
            <w:r>
              <w:rPr>
                <w:rFonts w:hint="eastAsia" w:ascii="Times New Roman" w:hAnsi="Times New Roman" w:eastAsia="宋体"/>
                <w:color w:val="auto"/>
                <w:sz w:val="24"/>
              </w:rPr>
              <w:t>-</w:t>
            </w:r>
            <w:r>
              <w:rPr>
                <w:rFonts w:hint="eastAsia" w:ascii="Times New Roman" w:hAnsi="Times New Roman" w:eastAsia="宋体"/>
                <w:color w:val="auto"/>
                <w:sz w:val="24"/>
                <w:lang w:val="en-US" w:eastAsia="zh-CN"/>
              </w:rPr>
              <w:t>17</w:t>
            </w:r>
            <w:r>
              <w:rPr>
                <w:rFonts w:hint="eastAsia" w:ascii="Times New Roman" w:hAnsi="Times New Roman" w:eastAsia="宋体"/>
                <w:color w:val="auto"/>
                <w:sz w:val="24"/>
              </w:rPr>
              <w:t>~20</w:t>
            </w:r>
            <w:r>
              <w:rPr>
                <w:rFonts w:hint="eastAsia" w:ascii="Times New Roman" w:hAnsi="Times New Roman" w:eastAsia="宋体"/>
                <w:color w:val="auto"/>
                <w:sz w:val="24"/>
                <w:lang w:val="en-US" w:eastAsia="zh-CN"/>
              </w:rPr>
              <w:t>20</w:t>
            </w:r>
            <w:r>
              <w:rPr>
                <w:rFonts w:hint="eastAsia" w:ascii="Times New Roman" w:hAnsi="Times New Roman" w:eastAsia="宋体"/>
                <w:color w:val="auto"/>
                <w:sz w:val="24"/>
              </w:rPr>
              <w:t>-</w:t>
            </w:r>
            <w:r>
              <w:rPr>
                <w:rFonts w:hint="eastAsia" w:ascii="Times New Roman" w:hAnsi="Times New Roman" w:eastAsia="宋体"/>
                <w:color w:val="auto"/>
                <w:sz w:val="24"/>
                <w:lang w:val="en-US" w:eastAsia="zh-CN"/>
              </w:rPr>
              <w:t>10</w:t>
            </w:r>
            <w:r>
              <w:rPr>
                <w:rFonts w:hint="eastAsia" w:ascii="Times New Roman" w:hAnsi="Times New Roman" w:eastAsia="宋体"/>
                <w:color w:val="auto"/>
                <w:sz w:val="24"/>
              </w:rPr>
              <w:t>-</w:t>
            </w:r>
            <w:r>
              <w:rPr>
                <w:rFonts w:hint="eastAsia" w:ascii="Times New Roman" w:hAnsi="Times New Roman" w:eastAsia="宋体"/>
                <w:color w:val="auto"/>
                <w:sz w:val="24"/>
                <w:lang w:val="en-US" w:eastAsia="zh-CN"/>
              </w:rPr>
              <w:t>18</w:t>
            </w:r>
            <w:r>
              <w:rPr>
                <w:rFonts w:hint="default" w:ascii="Times New Roman" w:hAnsi="Times New Roman" w:eastAsia="宋体"/>
                <w:color w:val="auto"/>
                <w:sz w:val="24"/>
              </w:rPr>
              <w:t>对项目区声环境质量进行现场监测。监测报告详见附件。</w:t>
            </w:r>
          </w:p>
          <w:p>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olor w:val="auto"/>
                <w:sz w:val="24"/>
              </w:rPr>
            </w:pPr>
            <w:r>
              <w:rPr>
                <w:rFonts w:hint="eastAsia" w:ascii="Times New Roman" w:hAnsi="Times New Roman" w:eastAsia="宋体"/>
                <w:color w:val="auto"/>
                <w:sz w:val="24"/>
              </w:rPr>
              <w:t>1、</w:t>
            </w:r>
            <w:r>
              <w:rPr>
                <w:rFonts w:hint="default" w:ascii="Times New Roman" w:hAnsi="Times New Roman" w:eastAsia="宋体"/>
                <w:color w:val="auto"/>
                <w:sz w:val="24"/>
              </w:rPr>
              <w:t>现状调查</w:t>
            </w:r>
          </w:p>
          <w:p>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olor w:val="auto"/>
                <w:sz w:val="24"/>
              </w:rPr>
            </w:pPr>
            <w:r>
              <w:rPr>
                <w:rFonts w:hint="default" w:ascii="Times New Roman" w:hAnsi="Times New Roman" w:eastAsia="宋体"/>
                <w:color w:val="auto"/>
                <w:sz w:val="24"/>
              </w:rPr>
              <w:t>（1）监测布点</w:t>
            </w:r>
          </w:p>
          <w:p>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color w:val="auto"/>
                <w:sz w:val="24"/>
              </w:rPr>
            </w:pPr>
            <w:r>
              <w:rPr>
                <w:rFonts w:hint="default" w:ascii="Times New Roman" w:hAnsi="Times New Roman" w:eastAsia="宋体"/>
                <w:color w:val="auto"/>
                <w:sz w:val="24"/>
              </w:rPr>
              <w:t>分别在厂界四周布置4个点，统计连续等效A声级。</w:t>
            </w:r>
          </w:p>
          <w:p>
            <w:pPr>
              <w:keepNext w:val="0"/>
              <w:keepLines w:val="0"/>
              <w:suppressLineNumbers w:val="0"/>
              <w:spacing w:before="0" w:beforeAutospacing="0" w:after="0" w:afterAutospacing="0" w:line="500" w:lineRule="exact"/>
              <w:ind w:left="0" w:right="0" w:firstLine="475" w:firstLineChars="198"/>
              <w:rPr>
                <w:rFonts w:hint="default" w:ascii="Times New Roman" w:hAnsi="Times New Roman" w:eastAsia="宋体"/>
                <w:color w:val="auto"/>
                <w:sz w:val="24"/>
              </w:rPr>
            </w:pPr>
            <w:r>
              <w:rPr>
                <w:rFonts w:hint="default" w:ascii="Times New Roman" w:hAnsi="Times New Roman" w:eastAsia="宋体"/>
                <w:color w:val="auto"/>
                <w:sz w:val="24"/>
              </w:rPr>
              <w:t>（2）监测时间和频率</w:t>
            </w:r>
          </w:p>
          <w:p>
            <w:pPr>
              <w:keepNext w:val="0"/>
              <w:keepLines w:val="0"/>
              <w:suppressLineNumbers w:val="0"/>
              <w:tabs>
                <w:tab w:val="left" w:pos="5910"/>
              </w:tabs>
              <w:spacing w:before="0" w:beforeAutospacing="0" w:after="0" w:afterAutospacing="0" w:line="500" w:lineRule="exact"/>
              <w:ind w:left="0" w:right="0" w:firstLine="570"/>
              <w:rPr>
                <w:rFonts w:hint="default" w:ascii="Times New Roman" w:hAnsi="Times New Roman" w:eastAsia="宋体"/>
                <w:color w:val="auto"/>
                <w:sz w:val="24"/>
              </w:rPr>
            </w:pPr>
            <w:r>
              <w:rPr>
                <w:rFonts w:hint="eastAsia" w:ascii="Times New Roman" w:hAnsi="Times New Roman" w:eastAsia="宋体"/>
                <w:color w:val="auto"/>
                <w:sz w:val="24"/>
              </w:rPr>
              <w:t>20</w:t>
            </w:r>
            <w:r>
              <w:rPr>
                <w:rFonts w:hint="eastAsia" w:ascii="Times New Roman" w:hAnsi="Times New Roman" w:eastAsia="宋体"/>
                <w:color w:val="auto"/>
                <w:sz w:val="24"/>
                <w:lang w:val="en-US" w:eastAsia="zh-CN"/>
              </w:rPr>
              <w:t>20</w:t>
            </w:r>
            <w:r>
              <w:rPr>
                <w:rFonts w:hint="eastAsia" w:ascii="Times New Roman" w:hAnsi="Times New Roman" w:eastAsia="宋体"/>
                <w:color w:val="auto"/>
                <w:sz w:val="24"/>
              </w:rPr>
              <w:t>-</w:t>
            </w:r>
            <w:r>
              <w:rPr>
                <w:rFonts w:hint="eastAsia" w:ascii="Times New Roman" w:hAnsi="Times New Roman" w:eastAsia="宋体"/>
                <w:color w:val="auto"/>
                <w:sz w:val="24"/>
                <w:lang w:val="en-US" w:eastAsia="zh-CN"/>
              </w:rPr>
              <w:t>10</w:t>
            </w:r>
            <w:r>
              <w:rPr>
                <w:rFonts w:hint="eastAsia" w:ascii="Times New Roman" w:hAnsi="Times New Roman" w:eastAsia="宋体"/>
                <w:color w:val="auto"/>
                <w:sz w:val="24"/>
              </w:rPr>
              <w:t>-</w:t>
            </w:r>
            <w:r>
              <w:rPr>
                <w:rFonts w:hint="eastAsia" w:ascii="Times New Roman" w:hAnsi="Times New Roman" w:eastAsia="宋体"/>
                <w:color w:val="auto"/>
                <w:sz w:val="24"/>
                <w:lang w:val="en-US" w:eastAsia="zh-CN"/>
              </w:rPr>
              <w:t>17</w:t>
            </w:r>
            <w:r>
              <w:rPr>
                <w:rFonts w:hint="eastAsia" w:ascii="Times New Roman" w:hAnsi="Times New Roman" w:eastAsia="宋体"/>
                <w:color w:val="auto"/>
                <w:sz w:val="24"/>
              </w:rPr>
              <w:t>~20</w:t>
            </w:r>
            <w:r>
              <w:rPr>
                <w:rFonts w:hint="eastAsia" w:ascii="Times New Roman" w:hAnsi="Times New Roman" w:eastAsia="宋体"/>
                <w:color w:val="auto"/>
                <w:sz w:val="24"/>
                <w:lang w:val="en-US" w:eastAsia="zh-CN"/>
              </w:rPr>
              <w:t>20</w:t>
            </w:r>
            <w:r>
              <w:rPr>
                <w:rFonts w:hint="eastAsia" w:ascii="Times New Roman" w:hAnsi="Times New Roman" w:eastAsia="宋体"/>
                <w:color w:val="auto"/>
                <w:sz w:val="24"/>
              </w:rPr>
              <w:t>-</w:t>
            </w:r>
            <w:r>
              <w:rPr>
                <w:rFonts w:hint="eastAsia" w:ascii="Times New Roman" w:hAnsi="Times New Roman" w:eastAsia="宋体"/>
                <w:color w:val="auto"/>
                <w:sz w:val="24"/>
                <w:lang w:val="en-US" w:eastAsia="zh-CN"/>
              </w:rPr>
              <w:t>10</w:t>
            </w:r>
            <w:r>
              <w:rPr>
                <w:rFonts w:hint="eastAsia" w:ascii="Times New Roman" w:hAnsi="Times New Roman" w:eastAsia="宋体"/>
                <w:color w:val="auto"/>
                <w:sz w:val="24"/>
              </w:rPr>
              <w:t>-</w:t>
            </w:r>
            <w:r>
              <w:rPr>
                <w:rFonts w:hint="eastAsia" w:ascii="Times New Roman" w:hAnsi="Times New Roman" w:eastAsia="宋体"/>
                <w:color w:val="auto"/>
                <w:sz w:val="24"/>
                <w:lang w:val="en-US" w:eastAsia="zh-CN"/>
              </w:rPr>
              <w:t>18</w:t>
            </w:r>
            <w:r>
              <w:rPr>
                <w:rFonts w:hint="default" w:ascii="Times New Roman" w:hAnsi="Times New Roman" w:eastAsia="宋体"/>
                <w:color w:val="auto"/>
                <w:sz w:val="24"/>
              </w:rPr>
              <w:t>，</w:t>
            </w:r>
            <w:r>
              <w:rPr>
                <w:rFonts w:hint="eastAsia" w:ascii="Times New Roman" w:hAnsi="Times New Roman" w:eastAsia="宋体"/>
                <w:color w:val="auto"/>
                <w:sz w:val="24"/>
              </w:rPr>
              <w:t>安徽威正测试技术有限公司</w:t>
            </w:r>
            <w:r>
              <w:rPr>
                <w:rFonts w:hint="default" w:ascii="Times New Roman" w:hAnsi="Times New Roman" w:eastAsia="宋体"/>
                <w:color w:val="auto"/>
                <w:sz w:val="24"/>
              </w:rPr>
              <w:t>对项目区域环境噪声进行了监测，监测分昼间和夜间进行，每个测点在规定时间昼间和夜间各测一次，统计连续等效A声级。</w:t>
            </w:r>
          </w:p>
          <w:p>
            <w:pPr>
              <w:keepNext w:val="0"/>
              <w:keepLines w:val="0"/>
              <w:suppressLineNumbers w:val="0"/>
              <w:spacing w:before="0" w:beforeAutospacing="0" w:after="0" w:afterAutospacing="0" w:line="500" w:lineRule="exact"/>
              <w:ind w:left="0" w:right="0" w:firstLine="475" w:firstLineChars="198"/>
              <w:rPr>
                <w:rFonts w:hint="default" w:ascii="Times New Roman" w:hAnsi="Times New Roman" w:eastAsia="宋体"/>
                <w:color w:val="auto"/>
                <w:sz w:val="24"/>
              </w:rPr>
            </w:pPr>
            <w:r>
              <w:rPr>
                <w:rFonts w:hint="default" w:ascii="Times New Roman" w:hAnsi="Times New Roman" w:eastAsia="宋体"/>
                <w:color w:val="auto"/>
                <w:sz w:val="24"/>
              </w:rPr>
              <w:t>（3）监测方法</w:t>
            </w:r>
          </w:p>
          <w:p>
            <w:pPr>
              <w:keepNext w:val="0"/>
              <w:keepLines w:val="0"/>
              <w:suppressLineNumbers w:val="0"/>
              <w:spacing w:before="0" w:beforeAutospacing="0" w:after="0" w:afterAutospacing="0" w:line="500" w:lineRule="exact"/>
              <w:ind w:left="0" w:right="0" w:firstLine="570"/>
              <w:rPr>
                <w:rFonts w:hint="default" w:ascii="Times New Roman" w:hAnsi="Times New Roman" w:eastAsia="宋体"/>
                <w:color w:val="auto"/>
                <w:sz w:val="24"/>
              </w:rPr>
            </w:pPr>
            <w:r>
              <w:rPr>
                <w:rFonts w:hint="default" w:ascii="Times New Roman" w:hAnsi="Times New Roman" w:eastAsia="宋体"/>
                <w:color w:val="auto"/>
                <w:sz w:val="24"/>
              </w:rPr>
              <w:t xml:space="preserve">监测方法按《声环境质量标准》（GB3096-2008）中的相关要求进行。 </w:t>
            </w:r>
          </w:p>
          <w:p>
            <w:pPr>
              <w:keepNext w:val="0"/>
              <w:keepLines w:val="0"/>
              <w:suppressLineNumbers w:val="0"/>
              <w:spacing w:before="0" w:beforeAutospacing="0" w:after="0" w:afterAutospacing="0" w:line="500" w:lineRule="exact"/>
              <w:ind w:left="0" w:right="0" w:firstLine="570"/>
              <w:rPr>
                <w:rFonts w:hint="default" w:ascii="Times New Roman" w:hAnsi="Times New Roman" w:eastAsia="宋体"/>
                <w:color w:val="auto"/>
                <w:sz w:val="24"/>
              </w:rPr>
            </w:pPr>
            <w:r>
              <w:rPr>
                <w:rFonts w:hint="default" w:ascii="Times New Roman" w:hAnsi="Times New Roman" w:eastAsia="宋体"/>
                <w:color w:val="auto"/>
                <w:sz w:val="24"/>
              </w:rPr>
              <w:t>（4）监测结果</w:t>
            </w:r>
          </w:p>
          <w:p>
            <w:pPr>
              <w:keepNext w:val="0"/>
              <w:keepLines w:val="0"/>
              <w:suppressLineNumbers w:val="0"/>
              <w:spacing w:before="0" w:beforeAutospacing="0" w:after="0" w:afterAutospacing="0" w:line="500" w:lineRule="exact"/>
              <w:ind w:left="0" w:right="0" w:firstLine="480" w:firstLineChars="200"/>
              <w:rPr>
                <w:rFonts w:hint="default" w:ascii="Times New Roman" w:hAnsi="Times New Roman" w:eastAsia="宋体"/>
                <w:bCs/>
                <w:color w:val="auto"/>
                <w:sz w:val="24"/>
              </w:rPr>
            </w:pPr>
            <w:r>
              <w:rPr>
                <w:rFonts w:hint="default" w:ascii="Times New Roman" w:hAnsi="Times New Roman" w:eastAsia="宋体"/>
                <w:bCs/>
                <w:color w:val="auto"/>
                <w:sz w:val="24"/>
              </w:rPr>
              <w:t>噪声监测结果见</w:t>
            </w:r>
            <w:r>
              <w:rPr>
                <w:rFonts w:hint="eastAsia" w:ascii="Times New Roman" w:hAnsi="Times New Roman" w:eastAsia="宋体"/>
                <w:bCs/>
                <w:color w:val="auto"/>
                <w:sz w:val="24"/>
                <w:lang w:eastAsia="zh-CN"/>
              </w:rPr>
              <w:t>下表</w:t>
            </w:r>
            <w:r>
              <w:rPr>
                <w:rFonts w:hint="default" w:ascii="Times New Roman" w:hAnsi="Times New Roman" w:eastAsia="宋体"/>
                <w:bCs/>
                <w:color w:val="auto"/>
                <w:sz w:val="24"/>
              </w:rPr>
              <w:t>：</w:t>
            </w:r>
          </w:p>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b/>
                <w:color w:val="auto"/>
                <w:sz w:val="24"/>
                <w:szCs w:val="24"/>
              </w:rPr>
            </w:pPr>
            <w:r>
              <w:rPr>
                <w:rFonts w:hint="default" w:ascii="Times New Roman" w:hAnsi="Times New Roman" w:eastAsia="宋体"/>
                <w:b/>
                <w:color w:val="auto"/>
                <w:sz w:val="24"/>
                <w:szCs w:val="24"/>
              </w:rPr>
              <w:t>表</w:t>
            </w:r>
            <w:r>
              <w:rPr>
                <w:rFonts w:hint="eastAsia" w:ascii="Times New Roman" w:hAnsi="Times New Roman" w:eastAsia="宋体"/>
                <w:b/>
                <w:color w:val="auto"/>
                <w:sz w:val="24"/>
                <w:szCs w:val="24"/>
                <w:lang w:val="en-US" w:eastAsia="zh-CN"/>
              </w:rPr>
              <w:t>3-5</w:t>
            </w:r>
            <w:r>
              <w:rPr>
                <w:rFonts w:hint="default" w:ascii="Times New Roman" w:hAnsi="Times New Roman" w:eastAsia="宋体"/>
                <w:b/>
                <w:color w:val="auto"/>
                <w:sz w:val="24"/>
                <w:szCs w:val="24"/>
              </w:rPr>
              <w:t xml:space="preserve">  建设项目厂界噪声监测结果</w:t>
            </w:r>
          </w:p>
          <w:tbl>
            <w:tblPr>
              <w:tblStyle w:val="22"/>
              <w:tblW w:w="0" w:type="auto"/>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autofit"/>
              <w:tblCellMar>
                <w:top w:w="0" w:type="dxa"/>
                <w:left w:w="108" w:type="dxa"/>
                <w:bottom w:w="0" w:type="dxa"/>
                <w:right w:w="108" w:type="dxa"/>
              </w:tblCellMar>
            </w:tblPr>
            <w:tblGrid>
              <w:gridCol w:w="487"/>
              <w:gridCol w:w="1712"/>
              <w:gridCol w:w="1712"/>
              <w:gridCol w:w="1593"/>
              <w:gridCol w:w="1573"/>
              <w:gridCol w:w="1500"/>
            </w:tblGrid>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60" w:hRule="atLeast"/>
                <w:jc w:val="center"/>
              </w:trPr>
              <w:tc>
                <w:tcPr>
                  <w:tcW w:w="487"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b/>
                      <w:bCs/>
                      <w:color w:val="auto"/>
                      <w:sz w:val="21"/>
                      <w:szCs w:val="21"/>
                    </w:rPr>
                  </w:pPr>
                  <w:r>
                    <w:rPr>
                      <w:rFonts w:hint="default" w:ascii="Times New Roman" w:hAnsi="Times New Roman" w:eastAsia="宋体"/>
                      <w:b/>
                      <w:color w:val="auto"/>
                      <w:sz w:val="21"/>
                      <w:szCs w:val="21"/>
                    </w:rPr>
                    <w:t>序号</w:t>
                  </w:r>
                </w:p>
              </w:tc>
              <w:tc>
                <w:tcPr>
                  <w:tcW w:w="1712" w:type="dxa"/>
                  <w:vMerge w:val="restar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b/>
                      <w:bCs w:val="0"/>
                      <w:color w:val="auto"/>
                      <w:sz w:val="21"/>
                      <w:szCs w:val="21"/>
                    </w:rPr>
                  </w:pPr>
                  <w:r>
                    <w:rPr>
                      <w:rFonts w:hint="default" w:ascii="Times New Roman" w:hAnsi="Times New Roman" w:eastAsia="宋体"/>
                      <w:b/>
                      <w:bCs w:val="0"/>
                      <w:color w:val="auto"/>
                      <w:sz w:val="21"/>
                      <w:szCs w:val="21"/>
                    </w:rPr>
                    <w:t>方位</w:t>
                  </w:r>
                </w:p>
              </w:tc>
              <w:tc>
                <w:tcPr>
                  <w:tcW w:w="3305" w:type="dxa"/>
                  <w:gridSpan w:val="2"/>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b/>
                      <w:bCs w:val="0"/>
                      <w:color w:val="auto"/>
                      <w:sz w:val="21"/>
                      <w:szCs w:val="21"/>
                      <w:lang w:val="en-US" w:eastAsia="zh-CN"/>
                    </w:rPr>
                  </w:pPr>
                  <w:r>
                    <w:rPr>
                      <w:rFonts w:hint="eastAsia" w:ascii="Times New Roman" w:hAnsi="Times New Roman" w:eastAsia="宋体"/>
                      <w:b/>
                      <w:bCs w:val="0"/>
                      <w:color w:val="auto"/>
                      <w:sz w:val="21"/>
                      <w:szCs w:val="21"/>
                    </w:rPr>
                    <w:t>20</w:t>
                  </w:r>
                  <w:r>
                    <w:rPr>
                      <w:rFonts w:hint="eastAsia" w:ascii="Times New Roman" w:hAnsi="Times New Roman" w:eastAsia="宋体"/>
                      <w:b/>
                      <w:bCs w:val="0"/>
                      <w:color w:val="auto"/>
                      <w:sz w:val="21"/>
                      <w:szCs w:val="21"/>
                      <w:lang w:val="en-US" w:eastAsia="zh-CN"/>
                    </w:rPr>
                    <w:t>20</w:t>
                  </w:r>
                  <w:r>
                    <w:rPr>
                      <w:rFonts w:hint="eastAsia" w:ascii="Times New Roman" w:hAnsi="Times New Roman" w:eastAsia="宋体"/>
                      <w:b/>
                      <w:bCs w:val="0"/>
                      <w:color w:val="auto"/>
                      <w:sz w:val="21"/>
                      <w:szCs w:val="21"/>
                    </w:rPr>
                    <w:t>-</w:t>
                  </w:r>
                  <w:r>
                    <w:rPr>
                      <w:rFonts w:hint="eastAsia" w:ascii="Times New Roman" w:hAnsi="Times New Roman" w:eastAsia="宋体"/>
                      <w:b/>
                      <w:bCs w:val="0"/>
                      <w:color w:val="auto"/>
                      <w:sz w:val="21"/>
                      <w:szCs w:val="21"/>
                      <w:lang w:val="en-US" w:eastAsia="zh-CN"/>
                    </w:rPr>
                    <w:t>10</w:t>
                  </w:r>
                  <w:r>
                    <w:rPr>
                      <w:rFonts w:hint="eastAsia" w:ascii="Times New Roman" w:hAnsi="Times New Roman" w:eastAsia="宋体"/>
                      <w:b/>
                      <w:bCs w:val="0"/>
                      <w:color w:val="auto"/>
                      <w:sz w:val="21"/>
                      <w:szCs w:val="21"/>
                    </w:rPr>
                    <w:t>-</w:t>
                  </w:r>
                  <w:r>
                    <w:rPr>
                      <w:rFonts w:hint="eastAsia" w:ascii="Times New Roman" w:hAnsi="Times New Roman" w:eastAsia="宋体"/>
                      <w:b/>
                      <w:bCs w:val="0"/>
                      <w:color w:val="auto"/>
                      <w:sz w:val="21"/>
                      <w:szCs w:val="21"/>
                      <w:lang w:val="en-US" w:eastAsia="zh-CN"/>
                    </w:rPr>
                    <w:t>17</w:t>
                  </w:r>
                </w:p>
              </w:tc>
              <w:tc>
                <w:tcPr>
                  <w:tcW w:w="3073" w:type="dxa"/>
                  <w:gridSpan w:val="2"/>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b/>
                      <w:bCs w:val="0"/>
                      <w:color w:val="auto"/>
                      <w:sz w:val="21"/>
                      <w:szCs w:val="21"/>
                      <w:lang w:val="en-US" w:eastAsia="zh-CN"/>
                    </w:rPr>
                  </w:pPr>
                  <w:r>
                    <w:rPr>
                      <w:rFonts w:hint="eastAsia" w:ascii="Times New Roman" w:hAnsi="Times New Roman" w:eastAsia="宋体"/>
                      <w:b/>
                      <w:bCs w:val="0"/>
                      <w:color w:val="auto"/>
                      <w:sz w:val="21"/>
                      <w:szCs w:val="21"/>
                    </w:rPr>
                    <w:t>20</w:t>
                  </w:r>
                  <w:r>
                    <w:rPr>
                      <w:rFonts w:hint="eastAsia" w:ascii="Times New Roman" w:hAnsi="Times New Roman" w:eastAsia="宋体"/>
                      <w:b/>
                      <w:bCs w:val="0"/>
                      <w:color w:val="auto"/>
                      <w:sz w:val="21"/>
                      <w:szCs w:val="21"/>
                      <w:lang w:val="en-US" w:eastAsia="zh-CN"/>
                    </w:rPr>
                    <w:t>20</w:t>
                  </w:r>
                  <w:r>
                    <w:rPr>
                      <w:rFonts w:hint="eastAsia" w:ascii="Times New Roman" w:hAnsi="Times New Roman" w:eastAsia="宋体"/>
                      <w:b/>
                      <w:bCs w:val="0"/>
                      <w:color w:val="auto"/>
                      <w:sz w:val="21"/>
                      <w:szCs w:val="21"/>
                    </w:rPr>
                    <w:t>-</w:t>
                  </w:r>
                  <w:r>
                    <w:rPr>
                      <w:rFonts w:hint="eastAsia" w:ascii="Times New Roman" w:hAnsi="Times New Roman" w:eastAsia="宋体"/>
                      <w:b/>
                      <w:bCs w:val="0"/>
                      <w:color w:val="auto"/>
                      <w:sz w:val="21"/>
                      <w:szCs w:val="21"/>
                      <w:lang w:val="en-US" w:eastAsia="zh-CN"/>
                    </w:rPr>
                    <w:t>10</w:t>
                  </w:r>
                  <w:r>
                    <w:rPr>
                      <w:rFonts w:hint="eastAsia" w:ascii="Times New Roman" w:hAnsi="Times New Roman" w:eastAsia="宋体"/>
                      <w:b/>
                      <w:bCs w:val="0"/>
                      <w:color w:val="auto"/>
                      <w:sz w:val="21"/>
                      <w:szCs w:val="21"/>
                    </w:rPr>
                    <w:t>-</w:t>
                  </w:r>
                  <w:r>
                    <w:rPr>
                      <w:rFonts w:hint="eastAsia" w:ascii="Times New Roman" w:hAnsi="Times New Roman" w:eastAsia="宋体"/>
                      <w:b/>
                      <w:bCs w:val="0"/>
                      <w:color w:val="auto"/>
                      <w:sz w:val="21"/>
                      <w:szCs w:val="21"/>
                      <w:lang w:val="en-US" w:eastAsia="zh-CN"/>
                    </w:rPr>
                    <w:t>18</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PrEx>
              <w:trPr>
                <w:trHeight w:val="283" w:hRule="atLeast"/>
                <w:jc w:val="center"/>
              </w:trPr>
              <w:tc>
                <w:tcPr>
                  <w:tcW w:w="487" w:type="dxa"/>
                  <w:vMerge w:val="continue"/>
                  <w:noWrap w:val="0"/>
                  <w:vAlign w:val="center"/>
                </w:tcPr>
                <w:p>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color w:val="auto"/>
                      <w:sz w:val="21"/>
                      <w:szCs w:val="21"/>
                    </w:rPr>
                  </w:pPr>
                </w:p>
              </w:tc>
              <w:tc>
                <w:tcPr>
                  <w:tcW w:w="1712" w:type="dxa"/>
                  <w:vMerge w:val="continue"/>
                  <w:noWrap w:val="0"/>
                  <w:vAlign w:val="center"/>
                </w:tcPr>
                <w:p>
                  <w:pPr>
                    <w:keepNext w:val="0"/>
                    <w:keepLines w:val="0"/>
                    <w:widowControl/>
                    <w:suppressLineNumbers w:val="0"/>
                    <w:spacing w:before="0" w:beforeAutospacing="0" w:after="0" w:afterAutospacing="0" w:line="240" w:lineRule="exact"/>
                    <w:ind w:left="0" w:right="0"/>
                    <w:jc w:val="center"/>
                    <w:rPr>
                      <w:rFonts w:hint="default" w:ascii="Times New Roman" w:hAnsi="Times New Roman" w:eastAsia="宋体"/>
                      <w:b/>
                      <w:bCs w:val="0"/>
                      <w:color w:val="auto"/>
                      <w:sz w:val="21"/>
                      <w:szCs w:val="21"/>
                    </w:rPr>
                  </w:pPr>
                </w:p>
              </w:tc>
              <w:tc>
                <w:tcPr>
                  <w:tcW w:w="171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b/>
                      <w:bCs w:val="0"/>
                      <w:color w:val="auto"/>
                      <w:sz w:val="21"/>
                      <w:szCs w:val="21"/>
                    </w:rPr>
                  </w:pPr>
                  <w:r>
                    <w:rPr>
                      <w:rFonts w:hint="default" w:ascii="Times New Roman" w:hAnsi="Times New Roman" w:eastAsia="宋体"/>
                      <w:b/>
                      <w:bCs w:val="0"/>
                      <w:color w:val="auto"/>
                      <w:sz w:val="21"/>
                      <w:szCs w:val="21"/>
                    </w:rPr>
                    <w:t>昼间Leq</w:t>
                  </w:r>
                </w:p>
              </w:tc>
              <w:tc>
                <w:tcPr>
                  <w:tcW w:w="1593"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b/>
                      <w:bCs w:val="0"/>
                      <w:color w:val="auto"/>
                      <w:sz w:val="21"/>
                      <w:szCs w:val="21"/>
                    </w:rPr>
                  </w:pPr>
                  <w:r>
                    <w:rPr>
                      <w:rFonts w:hint="default" w:ascii="Times New Roman" w:hAnsi="Times New Roman" w:eastAsia="宋体"/>
                      <w:b/>
                      <w:bCs w:val="0"/>
                      <w:color w:val="auto"/>
                      <w:sz w:val="21"/>
                      <w:szCs w:val="21"/>
                    </w:rPr>
                    <w:t>夜间Leq</w:t>
                  </w:r>
                </w:p>
              </w:tc>
              <w:tc>
                <w:tcPr>
                  <w:tcW w:w="1573"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b/>
                      <w:bCs w:val="0"/>
                      <w:color w:val="auto"/>
                      <w:sz w:val="21"/>
                      <w:szCs w:val="21"/>
                    </w:rPr>
                  </w:pPr>
                  <w:r>
                    <w:rPr>
                      <w:rFonts w:hint="default" w:ascii="Times New Roman" w:hAnsi="Times New Roman" w:eastAsia="宋体"/>
                      <w:b/>
                      <w:bCs w:val="0"/>
                      <w:color w:val="auto"/>
                      <w:sz w:val="21"/>
                      <w:szCs w:val="21"/>
                    </w:rPr>
                    <w:t>昼间Leq</w:t>
                  </w:r>
                </w:p>
              </w:tc>
              <w:tc>
                <w:tcPr>
                  <w:tcW w:w="1500"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b/>
                      <w:bCs w:val="0"/>
                      <w:color w:val="auto"/>
                      <w:sz w:val="21"/>
                      <w:szCs w:val="21"/>
                    </w:rPr>
                  </w:pPr>
                  <w:r>
                    <w:rPr>
                      <w:rFonts w:hint="default" w:ascii="Times New Roman" w:hAnsi="Times New Roman" w:eastAsia="宋体"/>
                      <w:b/>
                      <w:bCs w:val="0"/>
                      <w:color w:val="auto"/>
                      <w:sz w:val="21"/>
                      <w:szCs w:val="21"/>
                    </w:rPr>
                    <w:t>夜间Leq</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3" w:hRule="atLeast"/>
                <w:jc w:val="center"/>
              </w:trPr>
              <w:tc>
                <w:tcPr>
                  <w:tcW w:w="487"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bCs/>
                      <w:color w:val="auto"/>
                      <w:sz w:val="21"/>
                      <w:szCs w:val="21"/>
                    </w:rPr>
                  </w:pPr>
                  <w:r>
                    <w:rPr>
                      <w:rFonts w:hint="default" w:ascii="Times New Roman" w:hAnsi="Times New Roman" w:eastAsia="宋体"/>
                      <w:bCs/>
                      <w:color w:val="auto"/>
                      <w:sz w:val="21"/>
                      <w:szCs w:val="21"/>
                    </w:rPr>
                    <w:t>1#</w:t>
                  </w:r>
                </w:p>
              </w:tc>
              <w:tc>
                <w:tcPr>
                  <w:tcW w:w="1712"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bCs/>
                      <w:color w:val="auto"/>
                      <w:sz w:val="21"/>
                      <w:szCs w:val="21"/>
                    </w:rPr>
                  </w:pPr>
                  <w:r>
                    <w:rPr>
                      <w:rFonts w:hint="default" w:ascii="Times New Roman" w:hAnsi="Times New Roman" w:eastAsia="宋体"/>
                      <w:bCs/>
                      <w:color w:val="auto"/>
                      <w:sz w:val="21"/>
                      <w:szCs w:val="21"/>
                    </w:rPr>
                    <w:t>项目东侧边界</w:t>
                  </w:r>
                </w:p>
              </w:tc>
              <w:tc>
                <w:tcPr>
                  <w:tcW w:w="171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54.3</w:t>
                  </w:r>
                </w:p>
              </w:tc>
              <w:tc>
                <w:tcPr>
                  <w:tcW w:w="1593"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44.0</w:t>
                  </w:r>
                </w:p>
              </w:tc>
              <w:tc>
                <w:tcPr>
                  <w:tcW w:w="1573"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lang w:val="en-US" w:eastAsia="zh-CN" w:bidi="ar"/>
                    </w:rPr>
                  </w:pPr>
                  <w:r>
                    <w:rPr>
                      <w:rFonts w:hint="eastAsia" w:ascii="Times New Roman" w:hAnsi="Times New Roman" w:eastAsia="宋体"/>
                      <w:color w:val="auto"/>
                      <w:sz w:val="21"/>
                      <w:szCs w:val="21"/>
                      <w:lang w:val="en-US" w:eastAsia="zh-CN"/>
                    </w:rPr>
                    <w:t>5</w:t>
                  </w:r>
                  <w:r>
                    <w:rPr>
                      <w:rFonts w:hint="eastAsia" w:ascii="Times New Roman" w:hAnsi="Times New Roman" w:eastAsia="宋体"/>
                      <w:color w:val="auto"/>
                      <w:sz w:val="21"/>
                      <w:szCs w:val="21"/>
                      <w:lang w:val="en-US" w:eastAsia="zh-CN"/>
                    </w:rPr>
                    <w:t>4.5</w:t>
                  </w:r>
                </w:p>
              </w:tc>
              <w:tc>
                <w:tcPr>
                  <w:tcW w:w="1500"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lang w:val="en-US" w:eastAsia="zh-CN" w:bidi="ar"/>
                    </w:rPr>
                  </w:pPr>
                  <w:r>
                    <w:rPr>
                      <w:rFonts w:hint="eastAsia" w:ascii="Times New Roman" w:hAnsi="Times New Roman" w:eastAsia="宋体"/>
                      <w:color w:val="auto"/>
                      <w:sz w:val="21"/>
                      <w:szCs w:val="21"/>
                      <w:lang w:val="en-US" w:eastAsia="zh-CN"/>
                    </w:rPr>
                    <w:t>44.2</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3" w:hRule="atLeast"/>
                <w:jc w:val="center"/>
              </w:trPr>
              <w:tc>
                <w:tcPr>
                  <w:tcW w:w="487"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bCs/>
                      <w:color w:val="auto"/>
                      <w:sz w:val="21"/>
                      <w:szCs w:val="21"/>
                    </w:rPr>
                  </w:pPr>
                  <w:r>
                    <w:rPr>
                      <w:rFonts w:hint="default" w:ascii="Times New Roman" w:hAnsi="Times New Roman" w:eastAsia="宋体"/>
                      <w:bCs/>
                      <w:color w:val="auto"/>
                      <w:sz w:val="21"/>
                      <w:szCs w:val="21"/>
                    </w:rPr>
                    <w:t>2#</w:t>
                  </w:r>
                </w:p>
              </w:tc>
              <w:tc>
                <w:tcPr>
                  <w:tcW w:w="1712"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bCs/>
                      <w:color w:val="auto"/>
                      <w:sz w:val="21"/>
                      <w:szCs w:val="21"/>
                    </w:rPr>
                  </w:pPr>
                  <w:r>
                    <w:rPr>
                      <w:rFonts w:hint="default" w:ascii="Times New Roman" w:hAnsi="Times New Roman" w:eastAsia="宋体"/>
                      <w:bCs/>
                      <w:color w:val="auto"/>
                      <w:sz w:val="21"/>
                      <w:szCs w:val="21"/>
                    </w:rPr>
                    <w:t>项目南侧边界</w:t>
                  </w:r>
                </w:p>
              </w:tc>
              <w:tc>
                <w:tcPr>
                  <w:tcW w:w="171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54.8</w:t>
                  </w:r>
                </w:p>
              </w:tc>
              <w:tc>
                <w:tcPr>
                  <w:tcW w:w="1593"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44.4</w:t>
                  </w:r>
                </w:p>
              </w:tc>
              <w:tc>
                <w:tcPr>
                  <w:tcW w:w="1573"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55.</w:t>
                  </w:r>
                  <w:r>
                    <w:rPr>
                      <w:rFonts w:hint="eastAsia" w:ascii="Times New Roman" w:hAnsi="Times New Roman" w:eastAsia="宋体"/>
                      <w:color w:val="auto"/>
                      <w:sz w:val="21"/>
                      <w:szCs w:val="21"/>
                      <w:lang w:val="en-US" w:eastAsia="zh-CN"/>
                    </w:rPr>
                    <w:t>0</w:t>
                  </w:r>
                </w:p>
              </w:tc>
              <w:tc>
                <w:tcPr>
                  <w:tcW w:w="1500"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44.5</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83" w:hRule="atLeast"/>
                <w:jc w:val="center"/>
              </w:trPr>
              <w:tc>
                <w:tcPr>
                  <w:tcW w:w="487"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bCs/>
                      <w:color w:val="auto"/>
                      <w:sz w:val="21"/>
                      <w:szCs w:val="21"/>
                    </w:rPr>
                  </w:pPr>
                  <w:r>
                    <w:rPr>
                      <w:rFonts w:hint="default" w:ascii="Times New Roman" w:hAnsi="Times New Roman" w:eastAsia="宋体"/>
                      <w:bCs/>
                      <w:color w:val="auto"/>
                      <w:sz w:val="21"/>
                      <w:szCs w:val="21"/>
                    </w:rPr>
                    <w:t>3#</w:t>
                  </w:r>
                </w:p>
              </w:tc>
              <w:tc>
                <w:tcPr>
                  <w:tcW w:w="1712"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bCs/>
                      <w:color w:val="auto"/>
                      <w:sz w:val="21"/>
                      <w:szCs w:val="21"/>
                    </w:rPr>
                  </w:pPr>
                  <w:r>
                    <w:rPr>
                      <w:rFonts w:hint="default" w:ascii="Times New Roman" w:hAnsi="Times New Roman" w:eastAsia="宋体"/>
                      <w:bCs/>
                      <w:color w:val="auto"/>
                      <w:sz w:val="21"/>
                      <w:szCs w:val="21"/>
                    </w:rPr>
                    <w:t>项目西侧边界</w:t>
                  </w:r>
                </w:p>
              </w:tc>
              <w:tc>
                <w:tcPr>
                  <w:tcW w:w="171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55.0</w:t>
                  </w:r>
                </w:p>
              </w:tc>
              <w:tc>
                <w:tcPr>
                  <w:tcW w:w="1593"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44.2</w:t>
                  </w:r>
                </w:p>
              </w:tc>
              <w:tc>
                <w:tcPr>
                  <w:tcW w:w="1573"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55.</w:t>
                  </w:r>
                  <w:r>
                    <w:rPr>
                      <w:rFonts w:hint="eastAsia" w:ascii="Times New Roman" w:hAnsi="Times New Roman" w:eastAsia="宋体"/>
                      <w:color w:val="auto"/>
                      <w:sz w:val="21"/>
                      <w:szCs w:val="21"/>
                      <w:lang w:val="en-US" w:eastAsia="zh-CN"/>
                    </w:rPr>
                    <w:t>3</w:t>
                  </w:r>
                </w:p>
              </w:tc>
              <w:tc>
                <w:tcPr>
                  <w:tcW w:w="1500"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44.3</w:t>
                  </w:r>
                </w:p>
              </w:tc>
            </w:tr>
            <w:tr>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108" w:type="dxa"/>
                  <w:bottom w:w="0" w:type="dxa"/>
                  <w:right w:w="108" w:type="dxa"/>
                </w:tblCellMar>
              </w:tblPrEx>
              <w:trPr>
                <w:trHeight w:val="298" w:hRule="atLeast"/>
                <w:jc w:val="center"/>
              </w:trPr>
              <w:tc>
                <w:tcPr>
                  <w:tcW w:w="487"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bCs/>
                      <w:color w:val="auto"/>
                      <w:sz w:val="21"/>
                      <w:szCs w:val="21"/>
                    </w:rPr>
                  </w:pPr>
                  <w:r>
                    <w:rPr>
                      <w:rFonts w:hint="default" w:ascii="Times New Roman" w:hAnsi="Times New Roman" w:eastAsia="宋体"/>
                      <w:bCs/>
                      <w:color w:val="auto"/>
                      <w:sz w:val="21"/>
                      <w:szCs w:val="21"/>
                    </w:rPr>
                    <w:t>4#</w:t>
                  </w:r>
                </w:p>
              </w:tc>
              <w:tc>
                <w:tcPr>
                  <w:tcW w:w="1712" w:type="dxa"/>
                  <w:noWrap w:val="0"/>
                  <w:vAlign w:val="center"/>
                </w:tcPr>
                <w:p>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bCs/>
                      <w:color w:val="auto"/>
                      <w:sz w:val="21"/>
                      <w:szCs w:val="21"/>
                    </w:rPr>
                  </w:pPr>
                  <w:r>
                    <w:rPr>
                      <w:rFonts w:hint="default" w:ascii="Times New Roman" w:hAnsi="Times New Roman" w:eastAsia="宋体"/>
                      <w:bCs/>
                      <w:color w:val="auto"/>
                      <w:sz w:val="21"/>
                      <w:szCs w:val="21"/>
                    </w:rPr>
                    <w:t>项目北侧边界</w:t>
                  </w:r>
                </w:p>
              </w:tc>
              <w:tc>
                <w:tcPr>
                  <w:tcW w:w="1712"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54.</w:t>
                  </w:r>
                  <w:r>
                    <w:rPr>
                      <w:rFonts w:hint="eastAsia" w:ascii="Times New Roman" w:hAnsi="Times New Roman" w:eastAsia="宋体"/>
                      <w:color w:val="auto"/>
                      <w:sz w:val="21"/>
                      <w:szCs w:val="21"/>
                      <w:lang w:val="en-US" w:eastAsia="zh-CN"/>
                    </w:rPr>
                    <w:t>6</w:t>
                  </w:r>
                </w:p>
              </w:tc>
              <w:tc>
                <w:tcPr>
                  <w:tcW w:w="1593"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4</w:t>
                  </w:r>
                  <w:r>
                    <w:rPr>
                      <w:rFonts w:hint="eastAsia" w:ascii="Times New Roman" w:hAnsi="Times New Roman" w:eastAsia="宋体"/>
                      <w:color w:val="auto"/>
                      <w:sz w:val="21"/>
                      <w:szCs w:val="21"/>
                      <w:lang w:val="en-US" w:eastAsia="zh-CN"/>
                    </w:rPr>
                    <w:t>3.8</w:t>
                  </w:r>
                </w:p>
              </w:tc>
              <w:tc>
                <w:tcPr>
                  <w:tcW w:w="1573"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54.8</w:t>
                  </w:r>
                </w:p>
              </w:tc>
              <w:tc>
                <w:tcPr>
                  <w:tcW w:w="1500" w:type="dxa"/>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43.9</w:t>
                  </w:r>
                </w:p>
              </w:tc>
            </w:tr>
          </w:tbl>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olor w:val="auto"/>
                <w:sz w:val="24"/>
              </w:rPr>
            </w:pPr>
            <w:r>
              <w:rPr>
                <w:rFonts w:hint="eastAsia" w:ascii="Times New Roman" w:hAnsi="Times New Roman" w:eastAsia="宋体"/>
                <w:color w:val="auto"/>
                <w:sz w:val="24"/>
              </w:rPr>
              <w:t>2、</w:t>
            </w:r>
            <w:r>
              <w:rPr>
                <w:rFonts w:hint="default" w:ascii="Times New Roman" w:hAnsi="Times New Roman" w:eastAsia="宋体"/>
                <w:color w:val="auto"/>
                <w:sz w:val="24"/>
              </w:rPr>
              <w:t>噪声质量现状评价</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olor w:val="auto"/>
                <w:sz w:val="24"/>
              </w:rPr>
            </w:pPr>
            <w:r>
              <w:rPr>
                <w:rFonts w:hint="eastAsia" w:ascii="Times New Roman" w:hAnsi="Times New Roman" w:eastAsia="宋体"/>
                <w:color w:val="auto"/>
                <w:sz w:val="24"/>
              </w:rPr>
              <w:t>（1）</w:t>
            </w:r>
            <w:r>
              <w:rPr>
                <w:rFonts w:hint="default" w:ascii="Times New Roman" w:hAnsi="Times New Roman" w:eastAsia="宋体"/>
                <w:color w:val="auto"/>
                <w:sz w:val="24"/>
              </w:rPr>
              <w:t>评价标准</w:t>
            </w:r>
          </w:p>
          <w:p>
            <w:pPr>
              <w:keepNext w:val="0"/>
              <w:keepLines w:val="0"/>
              <w:suppressLineNumbers w:val="0"/>
              <w:spacing w:before="0" w:beforeAutospacing="0" w:after="0" w:afterAutospacing="0" w:line="360" w:lineRule="auto"/>
              <w:ind w:left="0" w:right="0"/>
              <w:rPr>
                <w:rFonts w:hint="default" w:ascii="Times New Roman" w:hAnsi="Times New Roman" w:eastAsia="宋体"/>
                <w:color w:val="auto"/>
                <w:sz w:val="24"/>
                <w:szCs w:val="24"/>
              </w:rPr>
            </w:pPr>
            <w:r>
              <w:rPr>
                <w:rFonts w:hint="default" w:ascii="Times New Roman" w:hAnsi="Times New Roman" w:eastAsia="宋体"/>
                <w:color w:val="auto"/>
                <w:sz w:val="24"/>
                <w:szCs w:val="24"/>
              </w:rPr>
              <w:t xml:space="preserve">    项目区域噪声执行《声环境质量标准》（GB3096－2008）中3类区标准，即昼间：65dB(A)，夜间：55dB(A)。</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olor w:val="auto"/>
                <w:sz w:val="24"/>
                <w:szCs w:val="24"/>
              </w:rPr>
            </w:pPr>
            <w:r>
              <w:rPr>
                <w:rFonts w:hint="eastAsia" w:ascii="Times New Roman" w:hAnsi="Times New Roman" w:eastAsia="宋体"/>
                <w:color w:val="auto"/>
                <w:sz w:val="24"/>
                <w:szCs w:val="24"/>
              </w:rPr>
              <w:t>（2）</w:t>
            </w:r>
            <w:r>
              <w:rPr>
                <w:rFonts w:hint="default" w:ascii="Times New Roman" w:hAnsi="Times New Roman" w:eastAsia="宋体"/>
                <w:color w:val="auto"/>
                <w:sz w:val="24"/>
                <w:szCs w:val="24"/>
              </w:rPr>
              <w:t>评价方法</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olor w:val="auto"/>
                <w:sz w:val="24"/>
                <w:szCs w:val="24"/>
              </w:rPr>
            </w:pPr>
            <w:r>
              <w:rPr>
                <w:rFonts w:hint="default" w:ascii="Times New Roman" w:hAnsi="Times New Roman" w:eastAsia="宋体"/>
                <w:color w:val="auto"/>
                <w:sz w:val="24"/>
                <w:szCs w:val="24"/>
              </w:rPr>
              <w:t>评价方法采用比标法，即将各监测点昼间、夜间等效连续A声级监测结果与评价标准对照比较。</w:t>
            </w:r>
          </w:p>
          <w:p>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olor w:val="auto"/>
                <w:sz w:val="24"/>
                <w:szCs w:val="24"/>
              </w:rPr>
            </w:pPr>
            <w:r>
              <w:rPr>
                <w:rFonts w:hint="eastAsia" w:ascii="Times New Roman" w:hAnsi="Times New Roman" w:eastAsia="宋体"/>
                <w:color w:val="auto"/>
                <w:sz w:val="24"/>
                <w:szCs w:val="24"/>
              </w:rPr>
              <w:t>（3）</w:t>
            </w:r>
            <w:r>
              <w:rPr>
                <w:rFonts w:hint="default" w:ascii="Times New Roman" w:hAnsi="Times New Roman" w:eastAsia="宋体"/>
                <w:color w:val="auto"/>
                <w:sz w:val="24"/>
                <w:szCs w:val="24"/>
              </w:rPr>
              <w:t>评价结果</w:t>
            </w:r>
          </w:p>
          <w:p>
            <w:pPr>
              <w:pStyle w:val="2"/>
              <w:spacing w:line="360" w:lineRule="auto"/>
              <w:jc w:val="left"/>
              <w:rPr>
                <w:rFonts w:ascii="Times New Roman" w:hAnsi="Times New Roman" w:eastAsia="宋体" w:cs="Times New Roman"/>
                <w:b w:val="0"/>
                <w:bCs w:val="0"/>
                <w:color w:val="auto"/>
                <w:kern w:val="2"/>
              </w:rPr>
            </w:pPr>
            <w:r>
              <w:rPr>
                <w:rFonts w:hint="default" w:ascii="Times New Roman" w:hAnsi="Times New Roman" w:eastAsia="宋体"/>
                <w:color w:val="auto"/>
                <w:sz w:val="24"/>
                <w:szCs w:val="24"/>
              </w:rPr>
              <w:t>噪声现状监测结果表明，本项目环境噪声监测值能满足《声环境质量标准》（GB3096-2008）中3类区标准要求，表明区域声环境现状良好。</w:t>
            </w:r>
          </w:p>
          <w:p>
            <w:pPr>
              <w:pStyle w:val="2"/>
              <w:spacing w:line="360" w:lineRule="auto"/>
              <w:jc w:val="both"/>
              <w:rPr>
                <w:rFonts w:ascii="Times New Roman" w:hAnsi="Times New Roman" w:eastAsia="宋体"/>
                <w:b/>
                <w:color w:val="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256" w:hRule="atLeast"/>
          <w:jc w:val="center"/>
        </w:trPr>
        <w:tc>
          <w:tcPr>
            <w:tcW w:w="9286" w:type="dxa"/>
            <w:tcBorders>
              <w:top w:val="single" w:color="auto" w:sz="4" w:space="0"/>
              <w:left w:val="single" w:color="auto" w:sz="4" w:space="0"/>
              <w:bottom w:val="single" w:color="auto" w:sz="4" w:space="0"/>
              <w:right w:val="single" w:color="auto" w:sz="4" w:space="0"/>
            </w:tcBorders>
          </w:tcPr>
          <w:p>
            <w:pPr>
              <w:spacing w:line="360" w:lineRule="auto"/>
              <w:rPr>
                <w:rFonts w:ascii="Times New Roman" w:hAnsi="Times New Roman" w:eastAsia="宋体"/>
                <w:b/>
                <w:bCs/>
                <w:color w:val="auto"/>
                <w:sz w:val="28"/>
              </w:rPr>
            </w:pPr>
            <w:r>
              <w:rPr>
                <w:rFonts w:ascii="Times New Roman" w:hAnsi="Times New Roman" w:eastAsia="宋体"/>
                <w:b/>
                <w:bCs/>
                <w:color w:val="auto"/>
                <w:sz w:val="28"/>
              </w:rPr>
              <w:t>主要环境保护目标（列出名单及保护级别）：</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rPr>
              <w:t>本项目位于</w:t>
            </w:r>
            <w:r>
              <w:rPr>
                <w:rFonts w:hint="eastAsia" w:ascii="Times New Roman" w:hAnsi="Times New Roman" w:eastAsia="宋体"/>
                <w:color w:val="auto"/>
                <w:sz w:val="24"/>
                <w:szCs w:val="24"/>
              </w:rPr>
              <w:t>芜湖市三山区春洲路2号芜湖新兴铸管有限责任公司厂区</w:t>
            </w:r>
            <w:r>
              <w:rPr>
                <w:rFonts w:hint="eastAsia" w:ascii="Times New Roman" w:hAnsi="Times New Roman" w:eastAsia="宋体"/>
                <w:color w:val="auto"/>
                <w:sz w:val="24"/>
                <w:szCs w:val="24"/>
                <w:lang w:val="en-US" w:eastAsia="zh-CN"/>
              </w:rPr>
              <w:t>内</w:t>
            </w:r>
            <w:r>
              <w:rPr>
                <w:rFonts w:ascii="Times New Roman" w:hAnsi="Times New Roman" w:eastAsia="宋体"/>
                <w:color w:val="auto"/>
                <w:sz w:val="24"/>
              </w:rPr>
              <w:t>，根据现场踏勘结果，项目评价范围内无自然保护区、风景名胜区、饮用水源保护区和文物古迹等需要特殊保护的环境敏感对象。保护目标为总体上不因本项目的实施而改变区域环境现有功能，具体环境保护目标如下</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（1）区域地表水体长江以《地表水环境质量标准》（GB3838-2002）III类保护。</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（2）保护项目区域所在地环境空气质量达到《环境空气质量标准》（GB3095-2012）中的二级标准；</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（3）保护项目区周围环境噪声满足《声环境质量标准》（GB3096-2008）中3类功能区标准。</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其主要环境保护目标详见下表。</w:t>
            </w:r>
          </w:p>
          <w:p>
            <w:pPr>
              <w:spacing w:line="360" w:lineRule="auto"/>
              <w:jc w:val="center"/>
              <w:rPr>
                <w:rFonts w:ascii="Times New Roman" w:hAnsi="Times New Roman" w:eastAsia="宋体"/>
                <w:b/>
                <w:color w:val="auto"/>
                <w:szCs w:val="21"/>
              </w:rPr>
            </w:pPr>
            <w:r>
              <w:rPr>
                <w:rFonts w:ascii="Times New Roman" w:hAnsi="Times New Roman" w:eastAsia="宋体"/>
                <w:b/>
                <w:color w:val="auto"/>
                <w:sz w:val="24"/>
                <w:szCs w:val="24"/>
                <w:lang w:bidi="en-US"/>
              </w:rPr>
              <w:t>表3-</w:t>
            </w:r>
            <w:r>
              <w:rPr>
                <w:rFonts w:hint="eastAsia" w:ascii="Times New Roman" w:hAnsi="Times New Roman" w:eastAsia="宋体"/>
                <w:b/>
                <w:color w:val="auto"/>
                <w:sz w:val="24"/>
                <w:szCs w:val="24"/>
                <w:lang w:val="en-US" w:eastAsia="zh-CN" w:bidi="en-US"/>
              </w:rPr>
              <w:t>6</w:t>
            </w:r>
            <w:r>
              <w:rPr>
                <w:rFonts w:ascii="Times New Roman" w:hAnsi="Times New Roman" w:eastAsia="宋体"/>
                <w:b/>
                <w:color w:val="auto"/>
                <w:sz w:val="24"/>
                <w:szCs w:val="24"/>
                <w:lang w:bidi="en-US"/>
              </w:rPr>
              <w:t xml:space="preserve">  本项目环境空气保护目标一览表</w:t>
            </w:r>
          </w:p>
          <w:tbl>
            <w:tblPr>
              <w:tblStyle w:val="22"/>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1521"/>
              <w:gridCol w:w="1424"/>
              <w:gridCol w:w="795"/>
              <w:gridCol w:w="1194"/>
              <w:gridCol w:w="1287"/>
              <w:gridCol w:w="824"/>
              <w:gridCol w:w="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jc w:val="center"/>
              </w:trPr>
              <w:tc>
                <w:tcPr>
                  <w:tcW w:w="861" w:type="dxa"/>
                  <w:vMerge w:val="restart"/>
                  <w:vAlign w:val="center"/>
                </w:tcPr>
                <w:p>
                  <w:pPr>
                    <w:spacing w:line="240" w:lineRule="atLeast"/>
                    <w:jc w:val="center"/>
                    <w:rPr>
                      <w:rFonts w:ascii="Times New Roman" w:hAnsi="Times New Roman" w:eastAsia="宋体"/>
                      <w:color w:val="auto"/>
                      <w:sz w:val="21"/>
                      <w:szCs w:val="21"/>
                    </w:rPr>
                  </w:pPr>
                  <w:r>
                    <w:rPr>
                      <w:rFonts w:ascii="Times New Roman" w:hAnsi="Times New Roman" w:eastAsia="宋体"/>
                      <w:color w:val="auto"/>
                      <w:sz w:val="21"/>
                      <w:szCs w:val="21"/>
                    </w:rPr>
                    <w:t>名称</w:t>
                  </w:r>
                </w:p>
              </w:tc>
              <w:tc>
                <w:tcPr>
                  <w:tcW w:w="2945" w:type="dxa"/>
                  <w:gridSpan w:val="2"/>
                  <w:vAlign w:val="center"/>
                </w:tcPr>
                <w:p>
                  <w:pPr>
                    <w:spacing w:line="240" w:lineRule="atLeast"/>
                    <w:jc w:val="center"/>
                    <w:rPr>
                      <w:rFonts w:ascii="Times New Roman" w:hAnsi="Times New Roman" w:eastAsia="宋体"/>
                      <w:color w:val="auto"/>
                      <w:sz w:val="21"/>
                      <w:szCs w:val="21"/>
                    </w:rPr>
                  </w:pPr>
                  <w:r>
                    <w:rPr>
                      <w:rFonts w:ascii="Times New Roman" w:hAnsi="Times New Roman" w:eastAsia="宋体"/>
                      <w:color w:val="auto"/>
                      <w:sz w:val="21"/>
                      <w:szCs w:val="21"/>
                    </w:rPr>
                    <w:t>坐标/m</w:t>
                  </w:r>
                </w:p>
              </w:tc>
              <w:tc>
                <w:tcPr>
                  <w:tcW w:w="795" w:type="dxa"/>
                  <w:vMerge w:val="restart"/>
                  <w:vAlign w:val="center"/>
                </w:tcPr>
                <w:p>
                  <w:pPr>
                    <w:spacing w:line="240" w:lineRule="atLeast"/>
                    <w:jc w:val="center"/>
                    <w:rPr>
                      <w:rFonts w:ascii="Times New Roman" w:hAnsi="Times New Roman" w:eastAsia="宋体"/>
                      <w:color w:val="auto"/>
                      <w:sz w:val="21"/>
                      <w:szCs w:val="21"/>
                    </w:rPr>
                  </w:pPr>
                  <w:r>
                    <w:rPr>
                      <w:rFonts w:ascii="Times New Roman" w:hAnsi="Times New Roman" w:eastAsia="宋体"/>
                      <w:color w:val="auto"/>
                      <w:sz w:val="21"/>
                      <w:szCs w:val="21"/>
                    </w:rPr>
                    <w:t>保护对象</w:t>
                  </w:r>
                </w:p>
              </w:tc>
              <w:tc>
                <w:tcPr>
                  <w:tcW w:w="1194" w:type="dxa"/>
                  <w:vMerge w:val="restart"/>
                  <w:vAlign w:val="center"/>
                </w:tcPr>
                <w:p>
                  <w:pPr>
                    <w:spacing w:line="240" w:lineRule="atLeast"/>
                    <w:jc w:val="center"/>
                    <w:rPr>
                      <w:rFonts w:ascii="Times New Roman" w:hAnsi="Times New Roman" w:eastAsia="宋体"/>
                      <w:color w:val="auto"/>
                      <w:sz w:val="21"/>
                      <w:szCs w:val="21"/>
                    </w:rPr>
                  </w:pPr>
                  <w:r>
                    <w:rPr>
                      <w:rFonts w:ascii="Times New Roman" w:hAnsi="Times New Roman" w:eastAsia="宋体"/>
                      <w:color w:val="auto"/>
                      <w:sz w:val="21"/>
                      <w:szCs w:val="21"/>
                    </w:rPr>
                    <w:t>保护内容</w:t>
                  </w:r>
                </w:p>
              </w:tc>
              <w:tc>
                <w:tcPr>
                  <w:tcW w:w="1287" w:type="dxa"/>
                  <w:vMerge w:val="restart"/>
                  <w:vAlign w:val="center"/>
                </w:tcPr>
                <w:p>
                  <w:pPr>
                    <w:spacing w:line="240" w:lineRule="atLeast"/>
                    <w:jc w:val="center"/>
                    <w:rPr>
                      <w:rFonts w:ascii="Times New Roman" w:hAnsi="Times New Roman" w:eastAsia="宋体"/>
                      <w:color w:val="auto"/>
                      <w:sz w:val="21"/>
                      <w:szCs w:val="21"/>
                    </w:rPr>
                  </w:pPr>
                  <w:r>
                    <w:rPr>
                      <w:rFonts w:ascii="Times New Roman" w:hAnsi="Times New Roman" w:eastAsia="宋体"/>
                      <w:color w:val="auto"/>
                      <w:sz w:val="21"/>
                      <w:szCs w:val="21"/>
                    </w:rPr>
                    <w:t>环境功能区</w:t>
                  </w:r>
                </w:p>
              </w:tc>
              <w:tc>
                <w:tcPr>
                  <w:tcW w:w="824" w:type="dxa"/>
                  <w:vMerge w:val="restart"/>
                  <w:vAlign w:val="center"/>
                </w:tcPr>
                <w:p>
                  <w:pPr>
                    <w:spacing w:line="240" w:lineRule="atLeast"/>
                    <w:jc w:val="center"/>
                    <w:rPr>
                      <w:rFonts w:ascii="Times New Roman" w:hAnsi="Times New Roman" w:eastAsia="宋体"/>
                      <w:color w:val="auto"/>
                      <w:sz w:val="21"/>
                      <w:szCs w:val="21"/>
                    </w:rPr>
                  </w:pPr>
                  <w:r>
                    <w:rPr>
                      <w:rFonts w:ascii="Times New Roman" w:hAnsi="Times New Roman" w:eastAsia="宋体"/>
                      <w:color w:val="auto"/>
                      <w:sz w:val="21"/>
                      <w:szCs w:val="21"/>
                    </w:rPr>
                    <w:t>相对厂址位置</w:t>
                  </w:r>
                </w:p>
              </w:tc>
              <w:tc>
                <w:tcPr>
                  <w:tcW w:w="938" w:type="dxa"/>
                  <w:vMerge w:val="restart"/>
                  <w:vAlign w:val="center"/>
                </w:tcPr>
                <w:p>
                  <w:pPr>
                    <w:spacing w:line="240" w:lineRule="atLeast"/>
                    <w:jc w:val="center"/>
                    <w:rPr>
                      <w:rFonts w:ascii="Times New Roman" w:hAnsi="Times New Roman" w:eastAsia="宋体"/>
                      <w:color w:val="auto"/>
                      <w:sz w:val="21"/>
                      <w:szCs w:val="21"/>
                    </w:rPr>
                  </w:pPr>
                  <w:r>
                    <w:rPr>
                      <w:rFonts w:ascii="Times New Roman" w:hAnsi="Times New Roman" w:eastAsia="宋体"/>
                      <w:color w:val="auto"/>
                      <w:sz w:val="21"/>
                      <w:szCs w:val="21"/>
                    </w:rPr>
                    <w:t>相对厂界距离/m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861" w:type="dxa"/>
                  <w:vMerge w:val="continue"/>
                  <w:vAlign w:val="center"/>
                </w:tcPr>
                <w:p>
                  <w:pPr>
                    <w:spacing w:line="240" w:lineRule="atLeast"/>
                    <w:jc w:val="center"/>
                    <w:rPr>
                      <w:rFonts w:ascii="Times New Roman" w:hAnsi="Times New Roman" w:eastAsia="宋体"/>
                      <w:color w:val="auto"/>
                      <w:sz w:val="21"/>
                      <w:szCs w:val="21"/>
                    </w:rPr>
                  </w:pPr>
                </w:p>
              </w:tc>
              <w:tc>
                <w:tcPr>
                  <w:tcW w:w="1521" w:type="dxa"/>
                  <w:vAlign w:val="center"/>
                </w:tcPr>
                <w:p>
                  <w:pPr>
                    <w:spacing w:line="240" w:lineRule="atLeast"/>
                    <w:jc w:val="center"/>
                    <w:rPr>
                      <w:rFonts w:ascii="Times New Roman" w:hAnsi="Times New Roman" w:eastAsia="宋体"/>
                      <w:color w:val="auto"/>
                      <w:sz w:val="21"/>
                      <w:szCs w:val="21"/>
                    </w:rPr>
                  </w:pPr>
                  <w:r>
                    <w:rPr>
                      <w:rFonts w:ascii="Times New Roman" w:hAnsi="Times New Roman" w:eastAsia="宋体"/>
                      <w:color w:val="auto"/>
                      <w:sz w:val="21"/>
                      <w:szCs w:val="21"/>
                    </w:rPr>
                    <w:t>X</w:t>
                  </w:r>
                </w:p>
              </w:tc>
              <w:tc>
                <w:tcPr>
                  <w:tcW w:w="1424" w:type="dxa"/>
                  <w:vAlign w:val="center"/>
                </w:tcPr>
                <w:p>
                  <w:pPr>
                    <w:spacing w:line="240" w:lineRule="atLeast"/>
                    <w:jc w:val="center"/>
                    <w:rPr>
                      <w:rFonts w:ascii="Times New Roman" w:hAnsi="Times New Roman" w:eastAsia="宋体"/>
                      <w:color w:val="auto"/>
                      <w:sz w:val="21"/>
                      <w:szCs w:val="21"/>
                    </w:rPr>
                  </w:pPr>
                  <w:r>
                    <w:rPr>
                      <w:rFonts w:ascii="Times New Roman" w:hAnsi="Times New Roman" w:eastAsia="宋体"/>
                      <w:color w:val="auto"/>
                      <w:sz w:val="21"/>
                      <w:szCs w:val="21"/>
                    </w:rPr>
                    <w:t>Y</w:t>
                  </w:r>
                </w:p>
              </w:tc>
              <w:tc>
                <w:tcPr>
                  <w:tcW w:w="795" w:type="dxa"/>
                  <w:vMerge w:val="continue"/>
                  <w:vAlign w:val="center"/>
                </w:tcPr>
                <w:p>
                  <w:pPr>
                    <w:spacing w:line="240" w:lineRule="atLeast"/>
                    <w:jc w:val="center"/>
                    <w:rPr>
                      <w:rFonts w:ascii="Times New Roman" w:hAnsi="Times New Roman" w:eastAsia="宋体"/>
                      <w:color w:val="auto"/>
                      <w:sz w:val="21"/>
                      <w:szCs w:val="21"/>
                    </w:rPr>
                  </w:pPr>
                </w:p>
              </w:tc>
              <w:tc>
                <w:tcPr>
                  <w:tcW w:w="1194" w:type="dxa"/>
                  <w:vMerge w:val="continue"/>
                  <w:vAlign w:val="center"/>
                </w:tcPr>
                <w:p>
                  <w:pPr>
                    <w:spacing w:line="240" w:lineRule="atLeast"/>
                    <w:jc w:val="center"/>
                    <w:rPr>
                      <w:rFonts w:ascii="Times New Roman" w:hAnsi="Times New Roman" w:eastAsia="宋体"/>
                      <w:color w:val="auto"/>
                      <w:sz w:val="21"/>
                      <w:szCs w:val="21"/>
                    </w:rPr>
                  </w:pPr>
                </w:p>
              </w:tc>
              <w:tc>
                <w:tcPr>
                  <w:tcW w:w="1287" w:type="dxa"/>
                  <w:vMerge w:val="continue"/>
                  <w:vAlign w:val="center"/>
                </w:tcPr>
                <w:p>
                  <w:pPr>
                    <w:spacing w:line="240" w:lineRule="atLeast"/>
                    <w:jc w:val="center"/>
                    <w:rPr>
                      <w:rFonts w:ascii="Times New Roman" w:hAnsi="Times New Roman" w:eastAsia="宋体"/>
                      <w:color w:val="auto"/>
                      <w:sz w:val="21"/>
                      <w:szCs w:val="21"/>
                    </w:rPr>
                  </w:pPr>
                </w:p>
              </w:tc>
              <w:tc>
                <w:tcPr>
                  <w:tcW w:w="824" w:type="dxa"/>
                  <w:vMerge w:val="continue"/>
                  <w:vAlign w:val="center"/>
                </w:tcPr>
                <w:p>
                  <w:pPr>
                    <w:spacing w:line="240" w:lineRule="atLeast"/>
                    <w:jc w:val="center"/>
                    <w:rPr>
                      <w:rFonts w:ascii="Times New Roman" w:hAnsi="Times New Roman" w:eastAsia="宋体"/>
                      <w:color w:val="auto"/>
                      <w:sz w:val="21"/>
                      <w:szCs w:val="21"/>
                    </w:rPr>
                  </w:pPr>
                </w:p>
              </w:tc>
              <w:tc>
                <w:tcPr>
                  <w:tcW w:w="938" w:type="dxa"/>
                  <w:vMerge w:val="continue"/>
                  <w:vAlign w:val="center"/>
                </w:tcPr>
                <w:p>
                  <w:pPr>
                    <w:spacing w:line="240" w:lineRule="atLeast"/>
                    <w:jc w:val="center"/>
                    <w:rPr>
                      <w:rFonts w:ascii="Times New Roman" w:hAnsi="Times New Roman" w:eastAsia="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861" w:type="dxa"/>
                  <w:vAlign w:val="center"/>
                </w:tcPr>
                <w:p>
                  <w:pPr>
                    <w:pStyle w:val="31"/>
                    <w:autoSpaceDE w:val="0"/>
                    <w:autoSpaceDN w:val="0"/>
                    <w:spacing w:line="240" w:lineRule="atLeast"/>
                    <w:jc w:val="center"/>
                    <w:rPr>
                      <w:rFonts w:hint="default" w:ascii="Times New Roman" w:hAnsi="Times New Roman" w:eastAsia="宋体"/>
                      <w:color w:val="auto"/>
                      <w:kern w:val="2"/>
                      <w:sz w:val="21"/>
                      <w:szCs w:val="21"/>
                      <w:lang w:val="en-US" w:eastAsia="zh-CN"/>
                    </w:rPr>
                  </w:pPr>
                  <w:r>
                    <w:rPr>
                      <w:rFonts w:hint="eastAsia" w:ascii="Times New Roman" w:hAnsi="Times New Roman" w:eastAsia="宋体"/>
                      <w:color w:val="auto"/>
                      <w:kern w:val="2"/>
                      <w:sz w:val="21"/>
                      <w:szCs w:val="21"/>
                      <w:lang w:val="en-US" w:eastAsia="zh-CN"/>
                    </w:rPr>
                    <w:t>华电小区</w:t>
                  </w:r>
                </w:p>
              </w:tc>
              <w:tc>
                <w:tcPr>
                  <w:tcW w:w="1521" w:type="dxa"/>
                  <w:vAlign w:val="center"/>
                </w:tcPr>
                <w:p>
                  <w:pPr>
                    <w:spacing w:line="240" w:lineRule="atLeast"/>
                    <w:jc w:val="center"/>
                    <w:rPr>
                      <w:rFonts w:ascii="Times New Roman" w:hAnsi="Times New Roman" w:eastAsia="宋体"/>
                      <w:color w:val="auto"/>
                      <w:sz w:val="21"/>
                      <w:szCs w:val="21"/>
                    </w:rPr>
                  </w:pPr>
                  <w:r>
                    <w:rPr>
                      <w:rFonts w:hint="eastAsia" w:ascii="Times New Roman" w:hAnsi="Times New Roman" w:eastAsia="宋体"/>
                      <w:color w:val="auto"/>
                      <w:sz w:val="21"/>
                      <w:szCs w:val="21"/>
                    </w:rPr>
                    <w:t>118.168149</w:t>
                  </w:r>
                </w:p>
              </w:tc>
              <w:tc>
                <w:tcPr>
                  <w:tcW w:w="1424" w:type="dxa"/>
                  <w:vAlign w:val="center"/>
                </w:tcPr>
                <w:p>
                  <w:pPr>
                    <w:spacing w:line="240" w:lineRule="atLeast"/>
                    <w:jc w:val="center"/>
                    <w:rPr>
                      <w:rFonts w:ascii="Times New Roman" w:hAnsi="Times New Roman" w:eastAsia="宋体"/>
                      <w:color w:val="auto"/>
                      <w:sz w:val="21"/>
                      <w:szCs w:val="21"/>
                    </w:rPr>
                  </w:pPr>
                  <w:r>
                    <w:rPr>
                      <w:rFonts w:hint="eastAsia" w:ascii="Times New Roman" w:hAnsi="Times New Roman" w:eastAsia="宋体"/>
                      <w:color w:val="auto"/>
                      <w:sz w:val="21"/>
                      <w:szCs w:val="21"/>
                    </w:rPr>
                    <w:t>31.232320</w:t>
                  </w:r>
                </w:p>
              </w:tc>
              <w:tc>
                <w:tcPr>
                  <w:tcW w:w="795" w:type="dxa"/>
                  <w:vAlign w:val="center"/>
                </w:tcPr>
                <w:p>
                  <w:pPr>
                    <w:spacing w:line="360" w:lineRule="exact"/>
                    <w:jc w:val="center"/>
                    <w:rPr>
                      <w:rFonts w:ascii="Times New Roman" w:hAnsi="Times New Roman" w:eastAsia="宋体"/>
                      <w:color w:val="auto"/>
                      <w:sz w:val="21"/>
                      <w:szCs w:val="21"/>
                    </w:rPr>
                  </w:pPr>
                  <w:r>
                    <w:rPr>
                      <w:rFonts w:ascii="Times New Roman" w:hAnsi="Times New Roman" w:eastAsia="宋体"/>
                      <w:color w:val="auto"/>
                      <w:sz w:val="21"/>
                      <w:szCs w:val="21"/>
                    </w:rPr>
                    <w:t>居民</w:t>
                  </w:r>
                </w:p>
              </w:tc>
              <w:tc>
                <w:tcPr>
                  <w:tcW w:w="1194" w:type="dxa"/>
                  <w:vAlign w:val="center"/>
                </w:tcPr>
                <w:p>
                  <w:pPr>
                    <w:autoSpaceDE w:val="0"/>
                    <w:autoSpaceDN w:val="0"/>
                    <w:spacing w:line="240" w:lineRule="atLeast"/>
                    <w:jc w:val="center"/>
                    <w:rPr>
                      <w:rFonts w:ascii="Times New Roman" w:hAnsi="Times New Roman" w:eastAsia="宋体"/>
                      <w:color w:val="auto"/>
                      <w:kern w:val="2"/>
                      <w:sz w:val="21"/>
                      <w:szCs w:val="21"/>
                    </w:rPr>
                  </w:pPr>
                  <w:r>
                    <w:rPr>
                      <w:rFonts w:hint="eastAsia" w:ascii="Times New Roman" w:hAnsi="Times New Roman" w:eastAsia="宋体"/>
                      <w:color w:val="auto"/>
                    </w:rPr>
                    <w:t>区域大气环境</w:t>
                  </w:r>
                </w:p>
              </w:tc>
              <w:tc>
                <w:tcPr>
                  <w:tcW w:w="1287" w:type="dxa"/>
                  <w:vAlign w:val="center"/>
                </w:tcPr>
                <w:p>
                  <w:pPr>
                    <w:spacing w:line="240" w:lineRule="atLeast"/>
                    <w:jc w:val="center"/>
                    <w:rPr>
                      <w:rFonts w:ascii="Times New Roman" w:hAnsi="Times New Roman" w:eastAsia="宋体"/>
                      <w:color w:val="auto"/>
                      <w:sz w:val="21"/>
                      <w:szCs w:val="21"/>
                    </w:rPr>
                  </w:pPr>
                  <w:r>
                    <w:rPr>
                      <w:rFonts w:ascii="Times New Roman" w:hAnsi="Times New Roman" w:eastAsia="宋体"/>
                      <w:color w:val="auto"/>
                      <w:sz w:val="21"/>
                      <w:szCs w:val="21"/>
                    </w:rPr>
                    <w:t>《环境空气质量标准》（GB3095－2012）中二级标准要求</w:t>
                  </w:r>
                </w:p>
              </w:tc>
              <w:tc>
                <w:tcPr>
                  <w:tcW w:w="824" w:type="dxa"/>
                  <w:vAlign w:val="center"/>
                </w:tcPr>
                <w:p>
                  <w:pPr>
                    <w:pStyle w:val="31"/>
                    <w:autoSpaceDE w:val="0"/>
                    <w:autoSpaceDN w:val="0"/>
                    <w:spacing w:line="240" w:lineRule="atLeast"/>
                    <w:jc w:val="center"/>
                    <w:rPr>
                      <w:rFonts w:ascii="Times New Roman" w:hAnsi="Times New Roman" w:eastAsia="宋体"/>
                      <w:color w:val="auto"/>
                      <w:kern w:val="2"/>
                      <w:sz w:val="21"/>
                      <w:szCs w:val="21"/>
                    </w:rPr>
                  </w:pPr>
                  <w:r>
                    <w:rPr>
                      <w:rFonts w:hint="eastAsia" w:ascii="Times New Roman" w:hAnsi="Times New Roman" w:eastAsia="宋体"/>
                      <w:color w:val="auto"/>
                      <w:kern w:val="2"/>
                      <w:sz w:val="21"/>
                      <w:szCs w:val="21"/>
                      <w:lang w:eastAsia="zh-CN"/>
                    </w:rPr>
                    <w:t>NE</w:t>
                  </w:r>
                </w:p>
              </w:tc>
              <w:tc>
                <w:tcPr>
                  <w:tcW w:w="938" w:type="dxa"/>
                  <w:vAlign w:val="center"/>
                </w:tcPr>
                <w:p>
                  <w:pPr>
                    <w:pStyle w:val="31"/>
                    <w:autoSpaceDE w:val="0"/>
                    <w:autoSpaceDN w:val="0"/>
                    <w:spacing w:line="240" w:lineRule="atLeast"/>
                    <w:jc w:val="center"/>
                    <w:rPr>
                      <w:rFonts w:hint="default" w:ascii="Times New Roman" w:hAnsi="Times New Roman" w:eastAsia="宋体"/>
                      <w:color w:val="auto"/>
                      <w:kern w:val="2"/>
                      <w:sz w:val="21"/>
                      <w:szCs w:val="21"/>
                      <w:lang w:val="en-US" w:eastAsia="zh-CN"/>
                    </w:rPr>
                  </w:pPr>
                  <w:r>
                    <w:rPr>
                      <w:rFonts w:hint="eastAsia" w:ascii="Times New Roman" w:hAnsi="Times New Roman" w:eastAsia="宋体"/>
                      <w:color w:val="auto"/>
                      <w:kern w:val="2"/>
                      <w:sz w:val="21"/>
                      <w:szCs w:val="21"/>
                      <w:lang w:val="en-US" w:eastAsia="zh-CN"/>
                    </w:rPr>
                    <w:t>629</w:t>
                  </w:r>
                </w:p>
              </w:tc>
            </w:tr>
          </w:tbl>
          <w:p>
            <w:pPr>
              <w:spacing w:line="360" w:lineRule="auto"/>
              <w:jc w:val="center"/>
              <w:rPr>
                <w:rFonts w:ascii="Times New Roman" w:hAnsi="Times New Roman" w:eastAsia="宋体"/>
                <w:b/>
                <w:color w:val="auto"/>
                <w:szCs w:val="21"/>
              </w:rPr>
            </w:pPr>
            <w:r>
              <w:rPr>
                <w:rFonts w:ascii="Times New Roman" w:hAnsi="Times New Roman" w:eastAsia="宋体"/>
                <w:b/>
                <w:color w:val="auto"/>
                <w:sz w:val="24"/>
              </w:rPr>
              <w:t>表3-</w:t>
            </w:r>
            <w:r>
              <w:rPr>
                <w:rFonts w:hint="eastAsia" w:ascii="Times New Roman" w:hAnsi="Times New Roman" w:eastAsia="宋体"/>
                <w:b/>
                <w:color w:val="auto"/>
                <w:sz w:val="24"/>
                <w:lang w:val="en-US" w:eastAsia="zh-CN"/>
              </w:rPr>
              <w:t>7</w:t>
            </w:r>
            <w:r>
              <w:rPr>
                <w:rFonts w:ascii="Times New Roman" w:hAnsi="Times New Roman" w:eastAsia="宋体"/>
                <w:b/>
                <w:color w:val="auto"/>
                <w:sz w:val="24"/>
              </w:rPr>
              <w:t xml:space="preserve"> </w:t>
            </w:r>
            <w:r>
              <w:rPr>
                <w:rFonts w:ascii="Times New Roman" w:hAnsi="Times New Roman" w:eastAsia="宋体"/>
                <w:b/>
                <w:color w:val="auto"/>
                <w:sz w:val="24"/>
                <w:szCs w:val="24"/>
                <w:lang w:bidi="en-US"/>
              </w:rPr>
              <w:t>本项目</w:t>
            </w:r>
            <w:r>
              <w:rPr>
                <w:rFonts w:ascii="Times New Roman" w:hAnsi="Times New Roman" w:eastAsia="宋体"/>
                <w:b/>
                <w:color w:val="auto"/>
                <w:sz w:val="24"/>
              </w:rPr>
              <w:t>地表水环境和声环境保护目标一览表</w:t>
            </w:r>
          </w:p>
          <w:tbl>
            <w:tblPr>
              <w:tblStyle w:val="22"/>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6"/>
              <w:gridCol w:w="1475"/>
              <w:gridCol w:w="1113"/>
              <w:gridCol w:w="1570"/>
              <w:gridCol w:w="1590"/>
              <w:gridCol w:w="2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836" w:type="dxa"/>
                  <w:vAlign w:val="center"/>
                </w:tcPr>
                <w:p>
                  <w:pPr>
                    <w:spacing w:line="240" w:lineRule="atLeast"/>
                    <w:jc w:val="center"/>
                    <w:rPr>
                      <w:rFonts w:ascii="Times New Roman" w:hAnsi="Times New Roman" w:eastAsia="宋体"/>
                      <w:color w:val="auto"/>
                      <w:szCs w:val="21"/>
                    </w:rPr>
                  </w:pPr>
                  <w:r>
                    <w:rPr>
                      <w:rFonts w:ascii="Times New Roman" w:hAnsi="Times New Roman" w:eastAsia="宋体"/>
                      <w:color w:val="auto"/>
                      <w:szCs w:val="21"/>
                    </w:rPr>
                    <w:t>环境</w:t>
                  </w:r>
                </w:p>
                <w:p>
                  <w:pPr>
                    <w:spacing w:line="240" w:lineRule="atLeast"/>
                    <w:jc w:val="center"/>
                    <w:rPr>
                      <w:rFonts w:ascii="Times New Roman" w:hAnsi="Times New Roman" w:eastAsia="宋体"/>
                      <w:color w:val="auto"/>
                      <w:szCs w:val="21"/>
                    </w:rPr>
                  </w:pPr>
                  <w:r>
                    <w:rPr>
                      <w:rFonts w:ascii="Times New Roman" w:hAnsi="Times New Roman" w:eastAsia="宋体"/>
                      <w:color w:val="auto"/>
                      <w:szCs w:val="21"/>
                    </w:rPr>
                    <w:t>要素</w:t>
                  </w:r>
                </w:p>
              </w:tc>
              <w:tc>
                <w:tcPr>
                  <w:tcW w:w="1475" w:type="dxa"/>
                  <w:vAlign w:val="center"/>
                </w:tcPr>
                <w:p>
                  <w:pPr>
                    <w:spacing w:line="240" w:lineRule="atLeast"/>
                    <w:jc w:val="center"/>
                    <w:rPr>
                      <w:rFonts w:ascii="Times New Roman" w:hAnsi="Times New Roman" w:eastAsia="宋体"/>
                      <w:color w:val="auto"/>
                      <w:szCs w:val="21"/>
                    </w:rPr>
                  </w:pPr>
                  <w:r>
                    <w:rPr>
                      <w:rFonts w:ascii="Times New Roman" w:hAnsi="Times New Roman" w:eastAsia="宋体"/>
                      <w:color w:val="auto"/>
                      <w:szCs w:val="21"/>
                    </w:rPr>
                    <w:t>名称</w:t>
                  </w:r>
                </w:p>
              </w:tc>
              <w:tc>
                <w:tcPr>
                  <w:tcW w:w="1113" w:type="dxa"/>
                  <w:vAlign w:val="center"/>
                </w:tcPr>
                <w:p>
                  <w:pPr>
                    <w:spacing w:line="240" w:lineRule="atLeast"/>
                    <w:jc w:val="center"/>
                    <w:rPr>
                      <w:rFonts w:ascii="Times New Roman" w:hAnsi="Times New Roman" w:eastAsia="宋体"/>
                      <w:color w:val="auto"/>
                      <w:szCs w:val="21"/>
                    </w:rPr>
                  </w:pPr>
                  <w:r>
                    <w:rPr>
                      <w:rFonts w:ascii="Times New Roman" w:hAnsi="Times New Roman" w:eastAsia="宋体"/>
                      <w:color w:val="auto"/>
                      <w:szCs w:val="21"/>
                    </w:rPr>
                    <w:t>相对项</w:t>
                  </w:r>
                </w:p>
                <w:p>
                  <w:pPr>
                    <w:spacing w:line="240" w:lineRule="atLeast"/>
                    <w:jc w:val="center"/>
                    <w:rPr>
                      <w:rFonts w:ascii="Times New Roman" w:hAnsi="Times New Roman" w:eastAsia="宋体"/>
                      <w:color w:val="auto"/>
                      <w:szCs w:val="21"/>
                    </w:rPr>
                  </w:pPr>
                  <w:r>
                    <w:rPr>
                      <w:rFonts w:ascii="Times New Roman" w:hAnsi="Times New Roman" w:eastAsia="宋体"/>
                      <w:color w:val="auto"/>
                      <w:szCs w:val="21"/>
                    </w:rPr>
                    <w:t>目方位</w:t>
                  </w:r>
                </w:p>
              </w:tc>
              <w:tc>
                <w:tcPr>
                  <w:tcW w:w="1570" w:type="dxa"/>
                  <w:vAlign w:val="center"/>
                </w:tcPr>
                <w:p>
                  <w:pPr>
                    <w:spacing w:line="240" w:lineRule="atLeast"/>
                    <w:jc w:val="center"/>
                    <w:rPr>
                      <w:rFonts w:ascii="Times New Roman" w:hAnsi="Times New Roman" w:eastAsia="宋体"/>
                      <w:color w:val="auto"/>
                      <w:szCs w:val="21"/>
                    </w:rPr>
                  </w:pPr>
                  <w:r>
                    <w:rPr>
                      <w:rFonts w:ascii="Times New Roman" w:hAnsi="Times New Roman" w:eastAsia="宋体"/>
                      <w:color w:val="auto"/>
                      <w:szCs w:val="21"/>
                    </w:rPr>
                    <w:t>与项目厂界最近距离m</w:t>
                  </w:r>
                </w:p>
              </w:tc>
              <w:tc>
                <w:tcPr>
                  <w:tcW w:w="1590" w:type="dxa"/>
                  <w:vAlign w:val="center"/>
                </w:tcPr>
                <w:p>
                  <w:pPr>
                    <w:spacing w:line="240" w:lineRule="atLeast"/>
                    <w:jc w:val="center"/>
                    <w:rPr>
                      <w:rFonts w:ascii="Times New Roman" w:hAnsi="Times New Roman" w:eastAsia="宋体"/>
                      <w:color w:val="auto"/>
                      <w:szCs w:val="21"/>
                    </w:rPr>
                  </w:pPr>
                  <w:r>
                    <w:rPr>
                      <w:rFonts w:ascii="Times New Roman" w:hAnsi="Times New Roman" w:eastAsia="宋体"/>
                      <w:color w:val="auto"/>
                      <w:szCs w:val="21"/>
                    </w:rPr>
                    <w:t>规模</w:t>
                  </w:r>
                </w:p>
              </w:tc>
              <w:tc>
                <w:tcPr>
                  <w:tcW w:w="2260" w:type="dxa"/>
                  <w:vAlign w:val="center"/>
                </w:tcPr>
                <w:p>
                  <w:pPr>
                    <w:spacing w:line="240" w:lineRule="atLeast"/>
                    <w:jc w:val="center"/>
                    <w:rPr>
                      <w:rFonts w:ascii="Times New Roman" w:hAnsi="Times New Roman" w:eastAsia="宋体"/>
                      <w:color w:val="auto"/>
                      <w:szCs w:val="21"/>
                    </w:rPr>
                  </w:pPr>
                  <w:r>
                    <w:rPr>
                      <w:rFonts w:ascii="Times New Roman" w:hAnsi="Times New Roman" w:eastAsia="宋体"/>
                      <w:color w:val="auto"/>
                      <w:szCs w:val="21"/>
                    </w:rPr>
                    <w:t>环境保护级别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836" w:type="dxa"/>
                  <w:vAlign w:val="center"/>
                </w:tcPr>
                <w:p>
                  <w:pPr>
                    <w:spacing w:line="240" w:lineRule="atLeast"/>
                    <w:jc w:val="center"/>
                    <w:rPr>
                      <w:rFonts w:ascii="Times New Roman" w:hAnsi="Times New Roman" w:eastAsia="宋体"/>
                      <w:color w:val="auto"/>
                      <w:szCs w:val="21"/>
                    </w:rPr>
                  </w:pPr>
                  <w:r>
                    <w:rPr>
                      <w:rFonts w:ascii="Times New Roman" w:hAnsi="Times New Roman" w:eastAsia="宋体"/>
                      <w:color w:val="auto"/>
                      <w:szCs w:val="21"/>
                    </w:rPr>
                    <w:t>水环境</w:t>
                  </w:r>
                </w:p>
              </w:tc>
              <w:tc>
                <w:tcPr>
                  <w:tcW w:w="1475" w:type="dxa"/>
                  <w:vAlign w:val="center"/>
                </w:tcPr>
                <w:p>
                  <w:pPr>
                    <w:pStyle w:val="31"/>
                    <w:autoSpaceDE w:val="0"/>
                    <w:autoSpaceDN w:val="0"/>
                    <w:spacing w:line="240" w:lineRule="atLeast"/>
                    <w:jc w:val="center"/>
                    <w:rPr>
                      <w:rFonts w:ascii="Times New Roman" w:hAnsi="Times New Roman" w:eastAsia="宋体"/>
                      <w:color w:val="auto"/>
                      <w:kern w:val="2"/>
                      <w:szCs w:val="21"/>
                    </w:rPr>
                  </w:pPr>
                  <w:r>
                    <w:rPr>
                      <w:rFonts w:ascii="Times New Roman" w:hAnsi="Times New Roman" w:eastAsia="宋体"/>
                      <w:color w:val="auto"/>
                      <w:kern w:val="2"/>
                      <w:sz w:val="21"/>
                      <w:szCs w:val="21"/>
                      <w:lang w:eastAsia="zh-CN"/>
                    </w:rPr>
                    <w:t>长江（评价河段）</w:t>
                  </w:r>
                </w:p>
              </w:tc>
              <w:tc>
                <w:tcPr>
                  <w:tcW w:w="1113" w:type="dxa"/>
                  <w:vAlign w:val="center"/>
                </w:tcPr>
                <w:p>
                  <w:pPr>
                    <w:pStyle w:val="31"/>
                    <w:autoSpaceDE w:val="0"/>
                    <w:autoSpaceDN w:val="0"/>
                    <w:spacing w:line="240" w:lineRule="atLeast"/>
                    <w:jc w:val="center"/>
                    <w:rPr>
                      <w:rFonts w:ascii="Times New Roman" w:hAnsi="Times New Roman" w:eastAsia="宋体"/>
                      <w:color w:val="auto"/>
                      <w:kern w:val="2"/>
                      <w:szCs w:val="21"/>
                    </w:rPr>
                  </w:pPr>
                  <w:r>
                    <w:rPr>
                      <w:rFonts w:ascii="Times New Roman" w:hAnsi="Times New Roman" w:eastAsia="宋体"/>
                      <w:color w:val="auto"/>
                      <w:kern w:val="2"/>
                      <w:sz w:val="21"/>
                      <w:szCs w:val="21"/>
                      <w:lang w:eastAsia="zh-CN"/>
                    </w:rPr>
                    <w:t>NW</w:t>
                  </w:r>
                </w:p>
              </w:tc>
              <w:tc>
                <w:tcPr>
                  <w:tcW w:w="1570" w:type="dxa"/>
                  <w:vAlign w:val="center"/>
                </w:tcPr>
                <w:p>
                  <w:pPr>
                    <w:pStyle w:val="31"/>
                    <w:autoSpaceDE w:val="0"/>
                    <w:autoSpaceDN w:val="0"/>
                    <w:spacing w:line="240" w:lineRule="atLeast"/>
                    <w:jc w:val="center"/>
                    <w:rPr>
                      <w:rFonts w:ascii="Times New Roman" w:hAnsi="Times New Roman" w:eastAsia="宋体"/>
                      <w:color w:val="auto"/>
                      <w:kern w:val="2"/>
                      <w:szCs w:val="21"/>
                    </w:rPr>
                  </w:pPr>
                  <w:r>
                    <w:rPr>
                      <w:rFonts w:hint="eastAsia" w:ascii="Times New Roman" w:hAnsi="Times New Roman" w:eastAsia="宋体"/>
                      <w:color w:val="auto"/>
                      <w:kern w:val="2"/>
                      <w:sz w:val="21"/>
                      <w:szCs w:val="21"/>
                      <w:lang w:val="en-US" w:eastAsia="zh-CN"/>
                    </w:rPr>
                    <w:t>15</w:t>
                  </w:r>
                  <w:r>
                    <w:rPr>
                      <w:rFonts w:hint="eastAsia" w:ascii="Times New Roman" w:hAnsi="Times New Roman" w:eastAsia="宋体"/>
                      <w:color w:val="auto"/>
                      <w:kern w:val="2"/>
                      <w:sz w:val="21"/>
                      <w:szCs w:val="21"/>
                      <w:lang w:eastAsia="zh-CN"/>
                    </w:rPr>
                    <w:t>00</w:t>
                  </w:r>
                </w:p>
              </w:tc>
              <w:tc>
                <w:tcPr>
                  <w:tcW w:w="1590" w:type="dxa"/>
                  <w:vAlign w:val="center"/>
                </w:tcPr>
                <w:p>
                  <w:pPr>
                    <w:pStyle w:val="31"/>
                    <w:autoSpaceDE w:val="0"/>
                    <w:autoSpaceDN w:val="0"/>
                    <w:spacing w:line="240" w:lineRule="atLeast"/>
                    <w:jc w:val="center"/>
                    <w:rPr>
                      <w:rFonts w:ascii="Times New Roman" w:hAnsi="Times New Roman" w:eastAsia="宋体"/>
                      <w:color w:val="auto"/>
                      <w:kern w:val="2"/>
                    </w:rPr>
                  </w:pPr>
                  <w:r>
                    <w:rPr>
                      <w:rFonts w:ascii="Times New Roman" w:hAnsi="Times New Roman" w:eastAsia="宋体"/>
                      <w:color w:val="auto"/>
                      <w:kern w:val="2"/>
                      <w:sz w:val="21"/>
                      <w:szCs w:val="21"/>
                      <w:lang w:eastAsia="zh-CN"/>
                    </w:rPr>
                    <w:t>大型河流</w:t>
                  </w:r>
                </w:p>
              </w:tc>
              <w:tc>
                <w:tcPr>
                  <w:tcW w:w="2260" w:type="dxa"/>
                  <w:vAlign w:val="center"/>
                </w:tcPr>
                <w:p>
                  <w:pPr>
                    <w:spacing w:line="240" w:lineRule="atLeast"/>
                    <w:jc w:val="center"/>
                    <w:rPr>
                      <w:rFonts w:ascii="Times New Roman" w:hAnsi="Times New Roman" w:eastAsia="宋体"/>
                      <w:color w:val="auto"/>
                      <w:szCs w:val="21"/>
                    </w:rPr>
                  </w:pPr>
                  <w:r>
                    <w:rPr>
                      <w:rFonts w:ascii="Times New Roman" w:hAnsi="Times New Roman" w:eastAsia="宋体"/>
                      <w:color w:val="auto"/>
                      <w:szCs w:val="21"/>
                    </w:rPr>
                    <w:t>《地表水环境质量标准》（GB3838-2002）中Ⅲ类标准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36" w:type="dxa"/>
                  <w:vAlign w:val="center"/>
                </w:tcPr>
                <w:p>
                  <w:pPr>
                    <w:spacing w:line="240" w:lineRule="atLeast"/>
                    <w:jc w:val="center"/>
                    <w:rPr>
                      <w:rFonts w:ascii="Times New Roman" w:hAnsi="Times New Roman" w:eastAsia="宋体"/>
                      <w:color w:val="auto"/>
                      <w:szCs w:val="21"/>
                    </w:rPr>
                  </w:pPr>
                  <w:r>
                    <w:rPr>
                      <w:rFonts w:ascii="Times New Roman" w:hAnsi="Times New Roman" w:eastAsia="宋体"/>
                      <w:color w:val="auto"/>
                      <w:szCs w:val="21"/>
                    </w:rPr>
                    <w:t>声环境</w:t>
                  </w:r>
                </w:p>
              </w:tc>
              <w:tc>
                <w:tcPr>
                  <w:tcW w:w="1475" w:type="dxa"/>
                  <w:vAlign w:val="center"/>
                </w:tcPr>
                <w:p>
                  <w:pPr>
                    <w:pStyle w:val="31"/>
                    <w:autoSpaceDE w:val="0"/>
                    <w:autoSpaceDN w:val="0"/>
                    <w:spacing w:line="240" w:lineRule="atLeast"/>
                    <w:jc w:val="center"/>
                    <w:rPr>
                      <w:rFonts w:ascii="Times New Roman" w:hAnsi="Times New Roman" w:eastAsia="宋体"/>
                      <w:color w:val="auto"/>
                      <w:kern w:val="2"/>
                      <w:szCs w:val="21"/>
                    </w:rPr>
                  </w:pPr>
                  <w:r>
                    <w:rPr>
                      <w:rFonts w:ascii="Times New Roman" w:hAnsi="Times New Roman" w:eastAsia="宋体"/>
                      <w:color w:val="auto"/>
                      <w:kern w:val="2"/>
                      <w:sz w:val="21"/>
                      <w:szCs w:val="21"/>
                      <w:lang w:eastAsia="zh-CN"/>
                    </w:rPr>
                    <w:t>厂界四周</w:t>
                  </w:r>
                </w:p>
              </w:tc>
              <w:tc>
                <w:tcPr>
                  <w:tcW w:w="1113" w:type="dxa"/>
                  <w:vAlign w:val="center"/>
                </w:tcPr>
                <w:p>
                  <w:pPr>
                    <w:pStyle w:val="31"/>
                    <w:autoSpaceDE w:val="0"/>
                    <w:autoSpaceDN w:val="0"/>
                    <w:spacing w:line="240" w:lineRule="atLeast"/>
                    <w:jc w:val="center"/>
                    <w:rPr>
                      <w:rFonts w:ascii="Times New Roman" w:hAnsi="Times New Roman" w:eastAsia="宋体"/>
                      <w:color w:val="auto"/>
                      <w:kern w:val="2"/>
                      <w:szCs w:val="21"/>
                    </w:rPr>
                  </w:pPr>
                  <w:r>
                    <w:rPr>
                      <w:rFonts w:ascii="Times New Roman" w:hAnsi="Times New Roman" w:eastAsia="宋体"/>
                      <w:color w:val="auto"/>
                      <w:kern w:val="2"/>
                      <w:sz w:val="21"/>
                      <w:szCs w:val="21"/>
                      <w:lang w:eastAsia="zh-CN"/>
                    </w:rPr>
                    <w:t>/</w:t>
                  </w:r>
                </w:p>
              </w:tc>
              <w:tc>
                <w:tcPr>
                  <w:tcW w:w="1570" w:type="dxa"/>
                  <w:vAlign w:val="center"/>
                </w:tcPr>
                <w:p>
                  <w:pPr>
                    <w:pStyle w:val="31"/>
                    <w:autoSpaceDE w:val="0"/>
                    <w:autoSpaceDN w:val="0"/>
                    <w:spacing w:line="240" w:lineRule="atLeast"/>
                    <w:jc w:val="center"/>
                    <w:rPr>
                      <w:rFonts w:ascii="Times New Roman" w:hAnsi="Times New Roman" w:eastAsia="宋体"/>
                      <w:color w:val="auto"/>
                      <w:kern w:val="2"/>
                      <w:szCs w:val="21"/>
                    </w:rPr>
                  </w:pPr>
                  <w:r>
                    <w:rPr>
                      <w:rFonts w:ascii="Times New Roman" w:hAnsi="Times New Roman" w:eastAsia="宋体"/>
                      <w:color w:val="auto"/>
                      <w:kern w:val="2"/>
                      <w:sz w:val="21"/>
                      <w:szCs w:val="21"/>
                      <w:lang w:eastAsia="zh-CN"/>
                    </w:rPr>
                    <w:t>/</w:t>
                  </w:r>
                </w:p>
              </w:tc>
              <w:tc>
                <w:tcPr>
                  <w:tcW w:w="1590" w:type="dxa"/>
                  <w:vAlign w:val="center"/>
                </w:tcPr>
                <w:p>
                  <w:pPr>
                    <w:pStyle w:val="31"/>
                    <w:autoSpaceDE w:val="0"/>
                    <w:autoSpaceDN w:val="0"/>
                    <w:spacing w:line="240" w:lineRule="atLeast"/>
                    <w:jc w:val="center"/>
                    <w:rPr>
                      <w:rFonts w:ascii="Times New Roman" w:hAnsi="Times New Roman" w:eastAsia="宋体"/>
                      <w:color w:val="auto"/>
                      <w:kern w:val="2"/>
                      <w:szCs w:val="21"/>
                    </w:rPr>
                  </w:pPr>
                  <w:r>
                    <w:rPr>
                      <w:rFonts w:ascii="Times New Roman" w:hAnsi="Times New Roman" w:eastAsia="宋体"/>
                      <w:color w:val="auto"/>
                      <w:kern w:val="2"/>
                      <w:sz w:val="21"/>
                      <w:szCs w:val="21"/>
                      <w:lang w:eastAsia="zh-CN"/>
                    </w:rPr>
                    <w:t>/</w:t>
                  </w:r>
                </w:p>
              </w:tc>
              <w:tc>
                <w:tcPr>
                  <w:tcW w:w="2260" w:type="dxa"/>
                  <w:vAlign w:val="center"/>
                </w:tcPr>
                <w:p>
                  <w:pPr>
                    <w:spacing w:line="240" w:lineRule="atLeast"/>
                    <w:jc w:val="center"/>
                    <w:rPr>
                      <w:rFonts w:ascii="Times New Roman" w:hAnsi="Times New Roman" w:eastAsia="宋体"/>
                      <w:color w:val="auto"/>
                      <w:szCs w:val="21"/>
                    </w:rPr>
                  </w:pPr>
                  <w:r>
                    <w:rPr>
                      <w:rFonts w:ascii="Times New Roman" w:hAnsi="Times New Roman" w:eastAsia="宋体"/>
                      <w:color w:val="auto"/>
                      <w:szCs w:val="21"/>
                    </w:rPr>
                    <w:t>《声环境质量标准》（3096-2008）中3类区标准要求</w:t>
                  </w:r>
                </w:p>
              </w:tc>
            </w:tr>
          </w:tbl>
          <w:p>
            <w:pPr>
              <w:rPr>
                <w:rFonts w:ascii="Times New Roman" w:hAnsi="Times New Roman" w:eastAsia="宋体"/>
                <w:color w:val="auto"/>
              </w:rPr>
            </w:pPr>
          </w:p>
          <w:p>
            <w:pPr>
              <w:jc w:val="left"/>
              <w:rPr>
                <w:rFonts w:ascii="Times New Roman" w:hAnsi="Times New Roman" w:eastAsia="宋体"/>
                <w:color w:val="auto"/>
              </w:rPr>
            </w:pPr>
          </w:p>
          <w:p>
            <w:pPr>
              <w:pStyle w:val="2"/>
              <w:rPr>
                <w:rFonts w:ascii="Times New Roman" w:hAnsi="Times New Roman" w:eastAsia="宋体"/>
                <w:color w:val="auto"/>
              </w:rPr>
            </w:pPr>
          </w:p>
          <w:p>
            <w:pPr>
              <w:pStyle w:val="2"/>
              <w:rPr>
                <w:rFonts w:ascii="Times New Roman" w:hAnsi="Times New Roman" w:eastAsia="宋体"/>
                <w:color w:val="auto"/>
              </w:rPr>
            </w:pPr>
          </w:p>
          <w:p>
            <w:pPr>
              <w:pStyle w:val="2"/>
              <w:rPr>
                <w:rFonts w:ascii="Times New Roman" w:hAnsi="Times New Roman" w:eastAsia="宋体"/>
                <w:color w:val="auto"/>
              </w:rPr>
            </w:pPr>
          </w:p>
          <w:p>
            <w:pPr>
              <w:spacing w:line="360" w:lineRule="auto"/>
              <w:rPr>
                <w:rFonts w:ascii="Times New Roman" w:hAnsi="Times New Roman" w:eastAsia="宋体"/>
                <w:b/>
                <w:bCs/>
                <w:color w:val="auto"/>
                <w:sz w:val="24"/>
                <w:szCs w:val="24"/>
              </w:rPr>
            </w:pPr>
          </w:p>
        </w:tc>
      </w:tr>
    </w:tbl>
    <w:p>
      <w:pPr>
        <w:pStyle w:val="3"/>
        <w:rPr>
          <w:rFonts w:ascii="Times New Roman" w:hAnsi="Times New Roman" w:eastAsia="宋体"/>
          <w:color w:val="auto"/>
        </w:rPr>
      </w:pPr>
      <w:r>
        <w:rPr>
          <w:rFonts w:ascii="Times New Roman" w:hAnsi="Times New Roman" w:eastAsia="宋体"/>
          <w:color w:val="auto"/>
        </w:rPr>
        <w:t>评价适用标准</w:t>
      </w:r>
    </w:p>
    <w:tbl>
      <w:tblPr>
        <w:tblStyle w:val="22"/>
        <w:tblW w:w="9003" w:type="dxa"/>
        <w:jc w:val="center"/>
        <w:tblBorders>
          <w:top w:val="single" w:color="auto" w:sz="6"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456"/>
        <w:gridCol w:w="8577"/>
      </w:tblGrid>
      <w:tr>
        <w:tblPrEx>
          <w:tblBorders>
            <w:top w:val="single" w:color="auto" w:sz="6"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815" w:hRule="atLeast"/>
          <w:jc w:val="center"/>
        </w:trPr>
        <w:tc>
          <w:tcPr>
            <w:tcW w:w="504" w:type="dxa"/>
            <w:vAlign w:val="center"/>
          </w:tcPr>
          <w:p>
            <w:pPr>
              <w:spacing w:line="360" w:lineRule="auto"/>
              <w:jc w:val="center"/>
              <w:rPr>
                <w:rFonts w:ascii="Times New Roman" w:hAnsi="Times New Roman" w:eastAsia="宋体"/>
                <w:color w:val="auto"/>
                <w:sz w:val="24"/>
                <w:szCs w:val="24"/>
              </w:rPr>
            </w:pPr>
            <w:r>
              <w:rPr>
                <w:rFonts w:ascii="Times New Roman" w:hAnsi="Times New Roman" w:eastAsia="宋体"/>
                <w:color w:val="auto"/>
                <w:sz w:val="24"/>
                <w:szCs w:val="24"/>
              </w:rPr>
              <w:t>环</w:t>
            </w:r>
          </w:p>
          <w:p>
            <w:pPr>
              <w:spacing w:line="360" w:lineRule="auto"/>
              <w:jc w:val="center"/>
              <w:rPr>
                <w:rFonts w:ascii="Times New Roman" w:hAnsi="Times New Roman" w:eastAsia="宋体"/>
                <w:color w:val="auto"/>
                <w:sz w:val="24"/>
                <w:szCs w:val="24"/>
              </w:rPr>
            </w:pPr>
            <w:r>
              <w:rPr>
                <w:rFonts w:ascii="Times New Roman" w:hAnsi="Times New Roman" w:eastAsia="宋体"/>
                <w:color w:val="auto"/>
                <w:sz w:val="24"/>
                <w:szCs w:val="24"/>
              </w:rPr>
              <w:t>境</w:t>
            </w:r>
          </w:p>
          <w:p>
            <w:pPr>
              <w:spacing w:line="360" w:lineRule="auto"/>
              <w:jc w:val="center"/>
              <w:rPr>
                <w:rFonts w:ascii="Times New Roman" w:hAnsi="Times New Roman" w:eastAsia="宋体"/>
                <w:color w:val="auto"/>
                <w:sz w:val="24"/>
                <w:szCs w:val="24"/>
              </w:rPr>
            </w:pPr>
            <w:r>
              <w:rPr>
                <w:rFonts w:ascii="Times New Roman" w:hAnsi="Times New Roman" w:eastAsia="宋体"/>
                <w:color w:val="auto"/>
                <w:sz w:val="24"/>
                <w:szCs w:val="24"/>
              </w:rPr>
              <w:t>质</w:t>
            </w:r>
          </w:p>
          <w:p>
            <w:pPr>
              <w:spacing w:line="360" w:lineRule="auto"/>
              <w:jc w:val="center"/>
              <w:rPr>
                <w:rFonts w:ascii="Times New Roman" w:hAnsi="Times New Roman" w:eastAsia="宋体"/>
                <w:color w:val="auto"/>
                <w:sz w:val="24"/>
                <w:szCs w:val="24"/>
              </w:rPr>
            </w:pPr>
            <w:r>
              <w:rPr>
                <w:rFonts w:ascii="Times New Roman" w:hAnsi="Times New Roman" w:eastAsia="宋体"/>
                <w:color w:val="auto"/>
                <w:sz w:val="24"/>
                <w:szCs w:val="24"/>
              </w:rPr>
              <w:t>量</w:t>
            </w:r>
          </w:p>
          <w:p>
            <w:pPr>
              <w:spacing w:line="360" w:lineRule="auto"/>
              <w:jc w:val="center"/>
              <w:rPr>
                <w:rFonts w:ascii="Times New Roman" w:hAnsi="Times New Roman" w:eastAsia="宋体"/>
                <w:color w:val="auto"/>
                <w:sz w:val="24"/>
                <w:szCs w:val="24"/>
              </w:rPr>
            </w:pPr>
            <w:r>
              <w:rPr>
                <w:rFonts w:ascii="Times New Roman" w:hAnsi="Times New Roman" w:eastAsia="宋体"/>
                <w:color w:val="auto"/>
                <w:sz w:val="24"/>
                <w:szCs w:val="24"/>
              </w:rPr>
              <w:t>标</w:t>
            </w:r>
          </w:p>
          <w:p>
            <w:pPr>
              <w:spacing w:line="360" w:lineRule="auto"/>
              <w:jc w:val="center"/>
              <w:rPr>
                <w:rFonts w:ascii="Times New Roman" w:hAnsi="Times New Roman" w:eastAsia="宋体"/>
                <w:color w:val="auto"/>
                <w:sz w:val="28"/>
                <w:highlight w:val="yellow"/>
              </w:rPr>
            </w:pPr>
            <w:r>
              <w:rPr>
                <w:rFonts w:ascii="Times New Roman" w:hAnsi="Times New Roman" w:eastAsia="宋体"/>
                <w:color w:val="auto"/>
                <w:sz w:val="24"/>
                <w:szCs w:val="24"/>
              </w:rPr>
              <w:t>准</w:t>
            </w:r>
          </w:p>
        </w:tc>
        <w:tc>
          <w:tcPr>
            <w:tcW w:w="8499" w:type="dxa"/>
          </w:tcPr>
          <w:p>
            <w:pPr>
              <w:spacing w:line="48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1、环境空气</w:t>
            </w:r>
          </w:p>
          <w:p>
            <w:pPr>
              <w:spacing w:line="480" w:lineRule="exact"/>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项目所在地环境空气功能区划类别为二类区，拟建项目周围环境空气常规因子执行《环境空气质量标准》（GB3095-2012）中的二级标准。其标准值详见下表。</w:t>
            </w:r>
          </w:p>
          <w:p>
            <w:pPr>
              <w:adjustRightInd w:val="0"/>
              <w:snapToGrid w:val="0"/>
              <w:spacing w:line="360" w:lineRule="auto"/>
              <w:jc w:val="center"/>
              <w:rPr>
                <w:rFonts w:ascii="Times New Roman" w:hAnsi="Times New Roman" w:eastAsia="宋体"/>
                <w:b/>
                <w:color w:val="auto"/>
                <w:sz w:val="24"/>
                <w:szCs w:val="24"/>
              </w:rPr>
            </w:pPr>
            <w:r>
              <w:rPr>
                <w:rFonts w:ascii="Times New Roman" w:hAnsi="Times New Roman" w:eastAsia="宋体"/>
                <w:b/>
                <w:color w:val="auto"/>
                <w:sz w:val="24"/>
                <w:szCs w:val="24"/>
              </w:rPr>
              <w:t>表4-1  环境空气质量标准</w:t>
            </w:r>
          </w:p>
          <w:tbl>
            <w:tblPr>
              <w:tblStyle w:val="23"/>
              <w:tblW w:w="83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1"/>
              <w:gridCol w:w="2015"/>
              <w:gridCol w:w="1783"/>
              <w:gridCol w:w="31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41"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b w:val="0"/>
                      <w:bCs w:val="0"/>
                      <w:color w:val="auto"/>
                      <w:lang w:val="en-US" w:eastAsia="zh-CN"/>
                    </w:rPr>
                  </w:pPr>
                  <w:r>
                    <w:rPr>
                      <w:rFonts w:hint="default" w:ascii="Times New Roman" w:hAnsi="Times New Roman" w:eastAsia="宋体"/>
                      <w:b w:val="0"/>
                      <w:bCs w:val="0"/>
                      <w:color w:val="auto"/>
                      <w:lang w:val="en-US" w:eastAsia="zh-CN"/>
                    </w:rPr>
                    <w:t>污染物名称</w:t>
                  </w:r>
                </w:p>
              </w:tc>
              <w:tc>
                <w:tcPr>
                  <w:tcW w:w="2015"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b w:val="0"/>
                      <w:bCs w:val="0"/>
                      <w:color w:val="auto"/>
                      <w:lang w:val="en-US" w:eastAsia="zh-CN"/>
                    </w:rPr>
                  </w:pPr>
                  <w:r>
                    <w:rPr>
                      <w:rFonts w:hint="default" w:ascii="Times New Roman" w:hAnsi="Times New Roman" w:eastAsia="宋体"/>
                      <w:b w:val="0"/>
                      <w:bCs w:val="0"/>
                      <w:color w:val="auto"/>
                      <w:lang w:val="en-US" w:eastAsia="zh-CN"/>
                    </w:rPr>
                    <w:t>取值时间</w:t>
                  </w:r>
                </w:p>
              </w:tc>
              <w:tc>
                <w:tcPr>
                  <w:tcW w:w="1783"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b w:val="0"/>
                      <w:bCs w:val="0"/>
                      <w:color w:val="auto"/>
                      <w:lang w:val="en-US" w:eastAsia="zh-CN"/>
                    </w:rPr>
                  </w:pPr>
                  <w:r>
                    <w:rPr>
                      <w:rFonts w:hint="default" w:ascii="Times New Roman" w:hAnsi="Times New Roman" w:eastAsia="宋体"/>
                      <w:b w:val="0"/>
                      <w:bCs w:val="0"/>
                      <w:color w:val="auto"/>
                      <w:lang w:val="en-US" w:eastAsia="zh-CN"/>
                    </w:rPr>
                    <w:t>浓度限值</w:t>
                  </w:r>
                </w:p>
              </w:tc>
              <w:tc>
                <w:tcPr>
                  <w:tcW w:w="3112"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b w:val="0"/>
                      <w:bCs w:val="0"/>
                      <w:color w:val="auto"/>
                      <w:lang w:val="en-US" w:eastAsia="zh-CN"/>
                    </w:rPr>
                  </w:pPr>
                  <w:r>
                    <w:rPr>
                      <w:rFonts w:hint="default" w:ascii="Times New Roman" w:hAnsi="Times New Roman" w:eastAsia="宋体"/>
                      <w:b w:val="0"/>
                      <w:bCs w:val="0"/>
                      <w:color w:val="auto"/>
                      <w:lang w:val="en-US" w:eastAsia="zh-CN"/>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41" w:type="dxa"/>
                  <w:vMerge w:val="restart"/>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SO</w:t>
                  </w:r>
                  <w:r>
                    <w:rPr>
                      <w:rFonts w:hint="default" w:ascii="Times New Roman" w:hAnsi="Times New Roman" w:eastAsia="宋体"/>
                      <w:color w:val="auto"/>
                      <w:vertAlign w:val="subscript"/>
                      <w:lang w:val="en-US" w:eastAsia="zh-CN"/>
                    </w:rPr>
                    <w:t>2</w:t>
                  </w:r>
                </w:p>
              </w:tc>
              <w:tc>
                <w:tcPr>
                  <w:tcW w:w="2015"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年平均</w:t>
                  </w:r>
                </w:p>
              </w:tc>
              <w:tc>
                <w:tcPr>
                  <w:tcW w:w="1783"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60</w:t>
                  </w:r>
                </w:p>
              </w:tc>
              <w:tc>
                <w:tcPr>
                  <w:tcW w:w="3112" w:type="dxa"/>
                  <w:vMerge w:val="restart"/>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《环境空气质量标准》（GB3095-2012）中二级标准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41" w:type="dxa"/>
                  <w:vMerge w:val="continue"/>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p>
              </w:tc>
              <w:tc>
                <w:tcPr>
                  <w:tcW w:w="2015"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24小时平均</w:t>
                  </w:r>
                </w:p>
              </w:tc>
              <w:tc>
                <w:tcPr>
                  <w:tcW w:w="1783"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150</w:t>
                  </w:r>
                </w:p>
              </w:tc>
              <w:tc>
                <w:tcPr>
                  <w:tcW w:w="3112" w:type="dxa"/>
                  <w:vMerge w:val="continue"/>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41" w:type="dxa"/>
                  <w:vMerge w:val="continue"/>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p>
              </w:tc>
              <w:tc>
                <w:tcPr>
                  <w:tcW w:w="2015"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1小时平均</w:t>
                  </w:r>
                </w:p>
              </w:tc>
              <w:tc>
                <w:tcPr>
                  <w:tcW w:w="1783"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500</w:t>
                  </w:r>
                </w:p>
              </w:tc>
              <w:tc>
                <w:tcPr>
                  <w:tcW w:w="3112" w:type="dxa"/>
                  <w:vMerge w:val="continue"/>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41" w:type="dxa"/>
                  <w:vMerge w:val="restart"/>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NO</w:t>
                  </w:r>
                  <w:r>
                    <w:rPr>
                      <w:rFonts w:hint="default" w:ascii="Times New Roman" w:hAnsi="Times New Roman" w:eastAsia="宋体"/>
                      <w:color w:val="auto"/>
                      <w:vertAlign w:val="subscript"/>
                      <w:lang w:val="en-US" w:eastAsia="zh-CN"/>
                    </w:rPr>
                    <w:t>2</w:t>
                  </w:r>
                </w:p>
              </w:tc>
              <w:tc>
                <w:tcPr>
                  <w:tcW w:w="2015"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年平均</w:t>
                  </w:r>
                </w:p>
              </w:tc>
              <w:tc>
                <w:tcPr>
                  <w:tcW w:w="1783"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40</w:t>
                  </w:r>
                </w:p>
              </w:tc>
              <w:tc>
                <w:tcPr>
                  <w:tcW w:w="3112" w:type="dxa"/>
                  <w:vMerge w:val="continue"/>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41" w:type="dxa"/>
                  <w:vMerge w:val="continue"/>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p>
              </w:tc>
              <w:tc>
                <w:tcPr>
                  <w:tcW w:w="2015"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24小时平均</w:t>
                  </w:r>
                </w:p>
              </w:tc>
              <w:tc>
                <w:tcPr>
                  <w:tcW w:w="1783"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80</w:t>
                  </w:r>
                </w:p>
              </w:tc>
              <w:tc>
                <w:tcPr>
                  <w:tcW w:w="3112" w:type="dxa"/>
                  <w:vMerge w:val="continue"/>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41" w:type="dxa"/>
                  <w:vMerge w:val="continue"/>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p>
              </w:tc>
              <w:tc>
                <w:tcPr>
                  <w:tcW w:w="2015"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1小时平均</w:t>
                  </w:r>
                </w:p>
              </w:tc>
              <w:tc>
                <w:tcPr>
                  <w:tcW w:w="1783"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200</w:t>
                  </w:r>
                </w:p>
              </w:tc>
              <w:tc>
                <w:tcPr>
                  <w:tcW w:w="3112" w:type="dxa"/>
                  <w:vMerge w:val="continue"/>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41" w:type="dxa"/>
                  <w:vMerge w:val="restart"/>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PM</w:t>
                  </w:r>
                  <w:r>
                    <w:rPr>
                      <w:rFonts w:hint="default" w:ascii="Times New Roman" w:hAnsi="Times New Roman" w:eastAsia="宋体"/>
                      <w:color w:val="auto"/>
                      <w:vertAlign w:val="subscript"/>
                      <w:lang w:val="en-US" w:eastAsia="zh-CN"/>
                    </w:rPr>
                    <w:t>10</w:t>
                  </w:r>
                </w:p>
              </w:tc>
              <w:tc>
                <w:tcPr>
                  <w:tcW w:w="2015"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年平均</w:t>
                  </w:r>
                </w:p>
              </w:tc>
              <w:tc>
                <w:tcPr>
                  <w:tcW w:w="1783"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70</w:t>
                  </w:r>
                </w:p>
              </w:tc>
              <w:tc>
                <w:tcPr>
                  <w:tcW w:w="3112" w:type="dxa"/>
                  <w:vMerge w:val="continue"/>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41" w:type="dxa"/>
                  <w:vMerge w:val="continue"/>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p>
              </w:tc>
              <w:tc>
                <w:tcPr>
                  <w:tcW w:w="2015"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24小时平均</w:t>
                  </w:r>
                </w:p>
              </w:tc>
              <w:tc>
                <w:tcPr>
                  <w:tcW w:w="1783"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150</w:t>
                  </w:r>
                </w:p>
              </w:tc>
              <w:tc>
                <w:tcPr>
                  <w:tcW w:w="3112" w:type="dxa"/>
                  <w:vMerge w:val="continue"/>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41" w:type="dxa"/>
                  <w:vMerge w:val="restart"/>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PM</w:t>
                  </w:r>
                  <w:r>
                    <w:rPr>
                      <w:rFonts w:hint="eastAsia" w:ascii="Times New Roman" w:hAnsi="Times New Roman" w:eastAsia="宋体"/>
                      <w:color w:val="auto"/>
                      <w:vertAlign w:val="subscript"/>
                      <w:lang w:val="en-US" w:eastAsia="zh-CN"/>
                    </w:rPr>
                    <w:t>2.5</w:t>
                  </w:r>
                </w:p>
              </w:tc>
              <w:tc>
                <w:tcPr>
                  <w:tcW w:w="2015"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年平均</w:t>
                  </w:r>
                </w:p>
              </w:tc>
              <w:tc>
                <w:tcPr>
                  <w:tcW w:w="1783"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35</w:t>
                  </w:r>
                </w:p>
              </w:tc>
              <w:tc>
                <w:tcPr>
                  <w:tcW w:w="3112" w:type="dxa"/>
                  <w:vMerge w:val="continue"/>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41" w:type="dxa"/>
                  <w:vMerge w:val="continue"/>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p>
              </w:tc>
              <w:tc>
                <w:tcPr>
                  <w:tcW w:w="2015"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24小时平均</w:t>
                  </w:r>
                </w:p>
              </w:tc>
              <w:tc>
                <w:tcPr>
                  <w:tcW w:w="1783"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75</w:t>
                  </w:r>
                </w:p>
              </w:tc>
              <w:tc>
                <w:tcPr>
                  <w:tcW w:w="3112" w:type="dxa"/>
                  <w:vMerge w:val="continue"/>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41" w:type="dxa"/>
                  <w:vMerge w:val="restart"/>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CO</w:t>
                  </w:r>
                </w:p>
              </w:tc>
              <w:tc>
                <w:tcPr>
                  <w:tcW w:w="2015"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24小时平均</w:t>
                  </w:r>
                </w:p>
              </w:tc>
              <w:tc>
                <w:tcPr>
                  <w:tcW w:w="1783"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10000</w:t>
                  </w:r>
                </w:p>
              </w:tc>
              <w:tc>
                <w:tcPr>
                  <w:tcW w:w="3112" w:type="dxa"/>
                  <w:vMerge w:val="continue"/>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41" w:type="dxa"/>
                  <w:vMerge w:val="continue"/>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p>
              </w:tc>
              <w:tc>
                <w:tcPr>
                  <w:tcW w:w="2015"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rPr>
                    <w:t>1小时平均</w:t>
                  </w:r>
                </w:p>
              </w:tc>
              <w:tc>
                <w:tcPr>
                  <w:tcW w:w="1783"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4000</w:t>
                  </w:r>
                </w:p>
              </w:tc>
              <w:tc>
                <w:tcPr>
                  <w:tcW w:w="3112" w:type="dxa"/>
                  <w:vMerge w:val="continue"/>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41" w:type="dxa"/>
                  <w:vMerge w:val="restart"/>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O</w:t>
                  </w:r>
                  <w:r>
                    <w:rPr>
                      <w:rFonts w:hint="eastAsia" w:ascii="Times New Roman" w:hAnsi="Times New Roman" w:eastAsia="宋体"/>
                      <w:color w:val="auto"/>
                      <w:vertAlign w:val="subscript"/>
                      <w:lang w:val="en-US" w:eastAsia="zh-CN"/>
                    </w:rPr>
                    <w:t>3</w:t>
                  </w:r>
                </w:p>
              </w:tc>
              <w:tc>
                <w:tcPr>
                  <w:tcW w:w="2015"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eastAsia="zh-CN"/>
                    </w:rPr>
                    <w:t>日最大</w:t>
                  </w:r>
                  <w:r>
                    <w:rPr>
                      <w:rFonts w:hint="default" w:ascii="Times New Roman" w:hAnsi="Times New Roman" w:eastAsia="宋体"/>
                      <w:color w:val="auto"/>
                      <w:lang w:val="en-US" w:eastAsia="zh-CN"/>
                    </w:rPr>
                    <w:t>8小时平均</w:t>
                  </w:r>
                </w:p>
              </w:tc>
              <w:tc>
                <w:tcPr>
                  <w:tcW w:w="1783"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160</w:t>
                  </w:r>
                </w:p>
              </w:tc>
              <w:tc>
                <w:tcPr>
                  <w:tcW w:w="3112" w:type="dxa"/>
                  <w:vMerge w:val="continue"/>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41" w:type="dxa"/>
                  <w:vMerge w:val="continue"/>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p>
              </w:tc>
              <w:tc>
                <w:tcPr>
                  <w:tcW w:w="2015"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rPr>
                    <w:t>1小时平均</w:t>
                  </w:r>
                </w:p>
              </w:tc>
              <w:tc>
                <w:tcPr>
                  <w:tcW w:w="1783" w:type="dxa"/>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default" w:ascii="Times New Roman" w:hAnsi="Times New Roman" w:eastAsia="宋体"/>
                      <w:color w:val="auto"/>
                      <w:lang w:val="en-US" w:eastAsia="zh-CN"/>
                    </w:rPr>
                    <w:t>200</w:t>
                  </w:r>
                </w:p>
              </w:tc>
              <w:tc>
                <w:tcPr>
                  <w:tcW w:w="3112" w:type="dxa"/>
                  <w:vMerge w:val="continue"/>
                  <w:tcBorders>
                    <w:tl2br w:val="nil"/>
                    <w:tr2bl w:val="nil"/>
                  </w:tcBorders>
                  <w:noWrap w:val="0"/>
                  <w:vAlign w:val="center"/>
                </w:tcPr>
                <w:p>
                  <w:pPr>
                    <w:pStyle w:val="30"/>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441" w:type="dxa"/>
                  <w:tcBorders>
                    <w:tl2br w:val="nil"/>
                    <w:tr2bl w:val="nil"/>
                  </w:tcBorders>
                  <w:noWrap w:val="0"/>
                  <w:vAlign w:val="center"/>
                </w:tcPr>
                <w:p>
                  <w:pPr>
                    <w:pStyle w:val="45"/>
                    <w:spacing w:line="340" w:lineRule="exact"/>
                    <w:rPr>
                      <w:rFonts w:hint="default" w:ascii="Times New Roman" w:hAnsi="Times New Roman" w:eastAsia="宋体"/>
                      <w:color w:val="auto"/>
                      <w:lang w:val="en-US" w:eastAsia="zh-CN"/>
                    </w:rPr>
                  </w:pPr>
                  <w:r>
                    <w:rPr>
                      <w:rFonts w:ascii="Times New Roman" w:hAnsi="Times New Roman" w:eastAsia="宋体"/>
                      <w:color w:val="auto"/>
                    </w:rPr>
                    <w:t>非甲烷总烃</w:t>
                  </w:r>
                </w:p>
              </w:tc>
              <w:tc>
                <w:tcPr>
                  <w:tcW w:w="2015" w:type="dxa"/>
                  <w:tcBorders>
                    <w:tl2br w:val="nil"/>
                    <w:tr2bl w:val="nil"/>
                  </w:tcBorders>
                  <w:noWrap w:val="0"/>
                  <w:vAlign w:val="center"/>
                </w:tcPr>
                <w:p>
                  <w:pPr>
                    <w:pStyle w:val="45"/>
                    <w:spacing w:line="340" w:lineRule="exact"/>
                    <w:rPr>
                      <w:rFonts w:hint="default" w:ascii="Times New Roman" w:hAnsi="Times New Roman" w:eastAsia="宋体"/>
                      <w:color w:val="auto"/>
                    </w:rPr>
                  </w:pPr>
                  <w:r>
                    <w:rPr>
                      <w:rFonts w:hint="eastAsia" w:ascii="Times New Roman" w:hAnsi="Times New Roman" w:eastAsia="宋体"/>
                      <w:color w:val="auto"/>
                      <w:lang w:val="en-US" w:eastAsia="zh-CN"/>
                    </w:rPr>
                    <w:t>短期值</w:t>
                  </w:r>
                </w:p>
              </w:tc>
              <w:tc>
                <w:tcPr>
                  <w:tcW w:w="1783" w:type="dxa"/>
                  <w:tcBorders>
                    <w:tl2br w:val="nil"/>
                    <w:tr2bl w:val="nil"/>
                  </w:tcBorders>
                  <w:noWrap w:val="0"/>
                  <w:vAlign w:val="center"/>
                </w:tcPr>
                <w:p>
                  <w:pPr>
                    <w:pStyle w:val="45"/>
                    <w:spacing w:line="340" w:lineRule="exact"/>
                    <w:rPr>
                      <w:rFonts w:hint="default" w:ascii="Times New Roman" w:hAnsi="Times New Roman" w:eastAsia="宋体"/>
                      <w:color w:val="auto"/>
                      <w:lang w:val="en-US" w:eastAsia="zh-CN"/>
                    </w:rPr>
                  </w:pPr>
                  <w:r>
                    <w:rPr>
                      <w:rFonts w:hint="eastAsia" w:ascii="Times New Roman" w:hAnsi="Times New Roman" w:eastAsia="宋体"/>
                      <w:color w:val="auto"/>
                    </w:rPr>
                    <w:t>2000</w:t>
                  </w:r>
                </w:p>
              </w:tc>
              <w:tc>
                <w:tcPr>
                  <w:tcW w:w="3112" w:type="dxa"/>
                  <w:tcBorders>
                    <w:tl2br w:val="nil"/>
                    <w:tr2bl w:val="nil"/>
                  </w:tcBorders>
                  <w:noWrap w:val="0"/>
                  <w:vAlign w:val="center"/>
                </w:tcPr>
                <w:p>
                  <w:pPr>
                    <w:pStyle w:val="46"/>
                    <w:spacing w:before="120" w:after="120" w:line="340" w:lineRule="exact"/>
                    <w:rPr>
                      <w:rFonts w:hint="default" w:ascii="Times New Roman" w:hAnsi="Times New Roman" w:eastAsia="宋体"/>
                      <w:color w:val="auto"/>
                      <w:lang w:val="en-US" w:eastAsia="zh-CN"/>
                    </w:rPr>
                  </w:pPr>
                  <w:r>
                    <w:rPr>
                      <w:rFonts w:hint="eastAsia" w:ascii="Times New Roman" w:hAnsi="Times New Roman" w:eastAsia="宋体"/>
                      <w:color w:val="auto"/>
                      <w:lang w:eastAsia="zh-CN"/>
                    </w:rPr>
                    <w:t>《</w:t>
                  </w:r>
                  <w:r>
                    <w:rPr>
                      <w:rFonts w:hint="eastAsia" w:ascii="Times New Roman" w:hAnsi="Times New Roman" w:eastAsia="宋体"/>
                      <w:color w:val="auto"/>
                      <w:lang w:val="en-US" w:eastAsia="zh-CN"/>
                    </w:rPr>
                    <w:t>大气污染物综合排放标准详解</w:t>
                  </w:r>
                  <w:r>
                    <w:rPr>
                      <w:rFonts w:hint="eastAsia" w:ascii="Times New Roman" w:hAnsi="Times New Roman" w:eastAsia="宋体"/>
                      <w:color w:val="auto"/>
                      <w:lang w:eastAsia="zh-CN"/>
                    </w:rPr>
                    <w:t>》</w:t>
                  </w:r>
                </w:p>
              </w:tc>
            </w:tr>
          </w:tbl>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2、地表水</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根据区域地表水环境功能区划，项目所在区域地表水长江执行国家《地表水环境质量标准》（GB3838-2002）中Ⅲ类水域标准，标准值如下表：</w:t>
            </w:r>
          </w:p>
          <w:p>
            <w:pPr>
              <w:spacing w:line="360" w:lineRule="auto"/>
              <w:jc w:val="center"/>
              <w:rPr>
                <w:rFonts w:ascii="Times New Roman" w:hAnsi="Times New Roman" w:eastAsia="宋体"/>
                <w:b/>
                <w:bCs/>
                <w:color w:val="auto"/>
                <w:sz w:val="24"/>
                <w:szCs w:val="24"/>
              </w:rPr>
            </w:pPr>
            <w:bookmarkStart w:id="1" w:name="_Hlk507534725"/>
            <w:r>
              <w:rPr>
                <w:rFonts w:ascii="Times New Roman" w:hAnsi="Times New Roman" w:eastAsia="宋体"/>
                <w:b/>
                <w:bCs/>
                <w:color w:val="auto"/>
                <w:sz w:val="24"/>
                <w:szCs w:val="24"/>
              </w:rPr>
              <w:t>表4-2地表水环境质量标准   单位：mg/L，pH除外</w:t>
            </w:r>
          </w:p>
          <w:tbl>
            <w:tblPr>
              <w:tblStyle w:val="22"/>
              <w:tblW w:w="8277"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0" w:type="dxa"/>
                <w:left w:w="108" w:type="dxa"/>
                <w:bottom w:w="0" w:type="dxa"/>
                <w:right w:w="108" w:type="dxa"/>
              </w:tblCellMar>
            </w:tblPr>
            <w:tblGrid>
              <w:gridCol w:w="2433"/>
              <w:gridCol w:w="2293"/>
              <w:gridCol w:w="355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451" w:hRule="atLeast"/>
                <w:jc w:val="center"/>
              </w:trPr>
              <w:tc>
                <w:tcPr>
                  <w:tcW w:w="2433" w:type="dxa"/>
                  <w:vAlign w:val="center"/>
                </w:tcPr>
                <w:p>
                  <w:pPr>
                    <w:spacing w:line="240" w:lineRule="atLeast"/>
                    <w:jc w:val="center"/>
                    <w:rPr>
                      <w:rFonts w:ascii="Times New Roman" w:hAnsi="Times New Roman" w:eastAsia="宋体"/>
                      <w:color w:val="auto"/>
                    </w:rPr>
                  </w:pPr>
                  <w:r>
                    <w:rPr>
                      <w:rFonts w:ascii="Times New Roman" w:hAnsi="Times New Roman" w:eastAsia="宋体"/>
                      <w:color w:val="auto"/>
                    </w:rPr>
                    <w:t>指  标</w:t>
                  </w:r>
                </w:p>
              </w:tc>
              <w:tc>
                <w:tcPr>
                  <w:tcW w:w="2293" w:type="dxa"/>
                  <w:tcBorders>
                    <w:right w:val="single" w:color="auto" w:sz="4" w:space="0"/>
                  </w:tcBorders>
                  <w:vAlign w:val="center"/>
                </w:tcPr>
                <w:p>
                  <w:pPr>
                    <w:spacing w:line="240" w:lineRule="atLeast"/>
                    <w:jc w:val="center"/>
                    <w:rPr>
                      <w:rFonts w:ascii="Times New Roman" w:hAnsi="Times New Roman" w:eastAsia="宋体"/>
                      <w:color w:val="auto"/>
                    </w:rPr>
                  </w:pPr>
                  <w:r>
                    <w:rPr>
                      <w:rFonts w:ascii="Times New Roman" w:hAnsi="Times New Roman" w:eastAsia="宋体"/>
                      <w:color w:val="auto"/>
                    </w:rPr>
                    <w:t>Ⅲ类标准值</w:t>
                  </w:r>
                </w:p>
              </w:tc>
              <w:tc>
                <w:tcPr>
                  <w:tcW w:w="3551" w:type="dxa"/>
                  <w:vAlign w:val="center"/>
                </w:tcPr>
                <w:p>
                  <w:pPr>
                    <w:spacing w:line="360" w:lineRule="auto"/>
                    <w:jc w:val="center"/>
                    <w:rPr>
                      <w:rFonts w:ascii="Times New Roman" w:hAnsi="Times New Roman" w:eastAsia="宋体"/>
                      <w:color w:val="auto"/>
                    </w:rPr>
                  </w:pPr>
                  <w:r>
                    <w:rPr>
                      <w:rFonts w:ascii="Times New Roman" w:hAnsi="Times New Roman" w:eastAsia="宋体"/>
                      <w:color w:val="auto"/>
                    </w:rPr>
                    <w:t>依  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6" w:hRule="exact"/>
                <w:jc w:val="center"/>
              </w:trPr>
              <w:tc>
                <w:tcPr>
                  <w:tcW w:w="2433" w:type="dxa"/>
                  <w:vAlign w:val="center"/>
                </w:tcPr>
                <w:p>
                  <w:pPr>
                    <w:spacing w:line="240" w:lineRule="atLeast"/>
                    <w:jc w:val="center"/>
                    <w:rPr>
                      <w:rFonts w:ascii="Times New Roman" w:hAnsi="Times New Roman" w:eastAsia="宋体"/>
                      <w:color w:val="auto"/>
                    </w:rPr>
                  </w:pPr>
                  <w:r>
                    <w:rPr>
                      <w:rFonts w:ascii="Times New Roman" w:hAnsi="Times New Roman" w:eastAsia="宋体"/>
                      <w:color w:val="auto"/>
                    </w:rPr>
                    <w:t>pH</w:t>
                  </w:r>
                </w:p>
              </w:tc>
              <w:tc>
                <w:tcPr>
                  <w:tcW w:w="2293" w:type="dxa"/>
                  <w:tcBorders>
                    <w:right w:val="single" w:color="auto" w:sz="4" w:space="0"/>
                  </w:tcBorders>
                  <w:vAlign w:val="center"/>
                </w:tcPr>
                <w:p>
                  <w:pPr>
                    <w:spacing w:line="240" w:lineRule="atLeast"/>
                    <w:jc w:val="center"/>
                    <w:rPr>
                      <w:rFonts w:ascii="Times New Roman" w:hAnsi="Times New Roman" w:eastAsia="宋体"/>
                      <w:color w:val="auto"/>
                    </w:rPr>
                  </w:pPr>
                  <w:r>
                    <w:rPr>
                      <w:rFonts w:ascii="Times New Roman" w:hAnsi="Times New Roman" w:eastAsia="宋体"/>
                      <w:color w:val="auto"/>
                    </w:rPr>
                    <w:t>6～9</w:t>
                  </w:r>
                </w:p>
              </w:tc>
              <w:tc>
                <w:tcPr>
                  <w:tcW w:w="3551" w:type="dxa"/>
                  <w:vMerge w:val="restart"/>
                  <w:vAlign w:val="center"/>
                </w:tcPr>
                <w:p>
                  <w:pPr>
                    <w:spacing w:line="240" w:lineRule="atLeast"/>
                    <w:jc w:val="center"/>
                    <w:rPr>
                      <w:rFonts w:ascii="Times New Roman" w:hAnsi="Times New Roman" w:eastAsia="宋体"/>
                      <w:color w:val="auto"/>
                    </w:rPr>
                  </w:pPr>
                  <w:r>
                    <w:rPr>
                      <w:rFonts w:ascii="Times New Roman" w:hAnsi="Times New Roman" w:eastAsia="宋体"/>
                      <w:color w:val="auto"/>
                    </w:rPr>
                    <w:t>《地表水环境质量标准》（GB3838-2002）中的Ⅲ类水域标准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6" w:hRule="exact"/>
                <w:jc w:val="center"/>
              </w:trPr>
              <w:tc>
                <w:tcPr>
                  <w:tcW w:w="2433" w:type="dxa"/>
                  <w:vAlign w:val="center"/>
                </w:tcPr>
                <w:p>
                  <w:pPr>
                    <w:spacing w:line="240" w:lineRule="atLeast"/>
                    <w:jc w:val="center"/>
                    <w:rPr>
                      <w:rFonts w:ascii="Times New Roman" w:hAnsi="Times New Roman" w:eastAsia="宋体"/>
                      <w:color w:val="auto"/>
                    </w:rPr>
                  </w:pPr>
                  <w:r>
                    <w:rPr>
                      <w:rFonts w:ascii="Times New Roman" w:hAnsi="Times New Roman" w:eastAsia="宋体"/>
                      <w:color w:val="auto"/>
                    </w:rPr>
                    <w:t>CODcr</w:t>
                  </w:r>
                </w:p>
              </w:tc>
              <w:tc>
                <w:tcPr>
                  <w:tcW w:w="2293" w:type="dxa"/>
                  <w:tcBorders>
                    <w:right w:val="single" w:color="auto" w:sz="4" w:space="0"/>
                  </w:tcBorders>
                  <w:vAlign w:val="center"/>
                </w:tcPr>
                <w:p>
                  <w:pPr>
                    <w:spacing w:line="240" w:lineRule="atLeast"/>
                    <w:jc w:val="center"/>
                    <w:rPr>
                      <w:rFonts w:ascii="Times New Roman" w:hAnsi="Times New Roman" w:eastAsia="宋体"/>
                      <w:color w:val="auto"/>
                    </w:rPr>
                  </w:pPr>
                  <w:r>
                    <w:rPr>
                      <w:rFonts w:ascii="Times New Roman" w:hAnsi="Times New Roman" w:eastAsia="宋体"/>
                      <w:color w:val="auto"/>
                    </w:rPr>
                    <w:t>≤20</w:t>
                  </w:r>
                </w:p>
              </w:tc>
              <w:tc>
                <w:tcPr>
                  <w:tcW w:w="3551" w:type="dxa"/>
                  <w:vMerge w:val="continue"/>
                  <w:vAlign w:val="center"/>
                </w:tcPr>
                <w:p>
                  <w:pPr>
                    <w:spacing w:line="360" w:lineRule="auto"/>
                    <w:rPr>
                      <w:rFonts w:ascii="Times New Roman" w:hAnsi="Times New Roman" w:eastAsia="宋体"/>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6" w:hRule="exact"/>
                <w:jc w:val="center"/>
              </w:trPr>
              <w:tc>
                <w:tcPr>
                  <w:tcW w:w="2433" w:type="dxa"/>
                  <w:vAlign w:val="center"/>
                </w:tcPr>
                <w:p>
                  <w:pPr>
                    <w:spacing w:line="240" w:lineRule="atLeast"/>
                    <w:jc w:val="center"/>
                    <w:rPr>
                      <w:rFonts w:ascii="Times New Roman" w:hAnsi="Times New Roman" w:eastAsia="宋体"/>
                      <w:color w:val="auto"/>
                    </w:rPr>
                  </w:pPr>
                  <w:r>
                    <w:rPr>
                      <w:rFonts w:ascii="Times New Roman" w:hAnsi="Times New Roman" w:eastAsia="宋体"/>
                      <w:color w:val="auto"/>
                    </w:rPr>
                    <w:t>氨氮</w:t>
                  </w:r>
                </w:p>
              </w:tc>
              <w:tc>
                <w:tcPr>
                  <w:tcW w:w="2293" w:type="dxa"/>
                  <w:tcBorders>
                    <w:right w:val="single" w:color="auto" w:sz="4" w:space="0"/>
                  </w:tcBorders>
                  <w:vAlign w:val="center"/>
                </w:tcPr>
                <w:p>
                  <w:pPr>
                    <w:spacing w:line="240" w:lineRule="atLeast"/>
                    <w:jc w:val="center"/>
                    <w:rPr>
                      <w:rFonts w:ascii="Times New Roman" w:hAnsi="Times New Roman" w:eastAsia="宋体"/>
                      <w:color w:val="auto"/>
                    </w:rPr>
                  </w:pPr>
                  <w:r>
                    <w:rPr>
                      <w:rFonts w:ascii="Times New Roman" w:hAnsi="Times New Roman" w:eastAsia="宋体"/>
                      <w:color w:val="auto"/>
                    </w:rPr>
                    <w:t>≤1.0</w:t>
                  </w:r>
                </w:p>
              </w:tc>
              <w:tc>
                <w:tcPr>
                  <w:tcW w:w="3551" w:type="dxa"/>
                  <w:vMerge w:val="continue"/>
                  <w:vAlign w:val="center"/>
                </w:tcPr>
                <w:p>
                  <w:pPr>
                    <w:spacing w:line="360" w:lineRule="auto"/>
                    <w:rPr>
                      <w:rFonts w:ascii="Times New Roman" w:hAnsi="Times New Roman" w:eastAsia="宋体"/>
                      <w:color w:val="auto"/>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6" w:hRule="exact"/>
                <w:jc w:val="center"/>
              </w:trPr>
              <w:tc>
                <w:tcPr>
                  <w:tcW w:w="2433" w:type="dxa"/>
                  <w:vAlign w:val="center"/>
                </w:tcPr>
                <w:p>
                  <w:pPr>
                    <w:spacing w:line="240" w:lineRule="atLeast"/>
                    <w:jc w:val="center"/>
                    <w:rPr>
                      <w:rFonts w:ascii="Times New Roman" w:hAnsi="Times New Roman" w:eastAsia="宋体"/>
                      <w:color w:val="auto"/>
                    </w:rPr>
                  </w:pPr>
                  <w:r>
                    <w:rPr>
                      <w:rFonts w:ascii="Times New Roman" w:hAnsi="Times New Roman" w:eastAsia="宋体"/>
                      <w:color w:val="auto"/>
                    </w:rPr>
                    <w:t>BOD</w:t>
                  </w:r>
                  <w:r>
                    <w:rPr>
                      <w:rFonts w:ascii="Times New Roman" w:hAnsi="Times New Roman" w:eastAsia="宋体"/>
                      <w:color w:val="auto"/>
                      <w:vertAlign w:val="subscript"/>
                    </w:rPr>
                    <w:t>5</w:t>
                  </w:r>
                </w:p>
              </w:tc>
              <w:tc>
                <w:tcPr>
                  <w:tcW w:w="2293" w:type="dxa"/>
                  <w:tcBorders>
                    <w:right w:val="single" w:color="auto" w:sz="4" w:space="0"/>
                  </w:tcBorders>
                  <w:vAlign w:val="center"/>
                </w:tcPr>
                <w:p>
                  <w:pPr>
                    <w:spacing w:line="240" w:lineRule="atLeast"/>
                    <w:jc w:val="center"/>
                    <w:rPr>
                      <w:rFonts w:ascii="Times New Roman" w:hAnsi="Times New Roman" w:eastAsia="宋体"/>
                      <w:color w:val="auto"/>
                    </w:rPr>
                  </w:pPr>
                  <w:r>
                    <w:rPr>
                      <w:rFonts w:ascii="Times New Roman" w:hAnsi="Times New Roman" w:eastAsia="宋体"/>
                      <w:color w:val="auto"/>
                    </w:rPr>
                    <w:t>≤4.0</w:t>
                  </w:r>
                </w:p>
              </w:tc>
              <w:tc>
                <w:tcPr>
                  <w:tcW w:w="3551" w:type="dxa"/>
                  <w:vMerge w:val="continue"/>
                  <w:vAlign w:val="center"/>
                </w:tcPr>
                <w:p>
                  <w:pPr>
                    <w:spacing w:line="360" w:lineRule="auto"/>
                    <w:rPr>
                      <w:rFonts w:ascii="Times New Roman" w:hAnsi="Times New Roman" w:eastAsia="宋体"/>
                      <w:color w:val="auto"/>
                    </w:rPr>
                  </w:pPr>
                </w:p>
              </w:tc>
            </w:tr>
          </w:tbl>
          <w:p>
            <w:pPr>
              <w:spacing w:line="360" w:lineRule="auto"/>
              <w:ind w:firstLine="480" w:firstLineChars="200"/>
              <w:rPr>
                <w:rFonts w:ascii="Times New Roman" w:hAnsi="Times New Roman" w:eastAsia="宋体"/>
                <w:color w:val="auto"/>
                <w:sz w:val="24"/>
                <w:szCs w:val="24"/>
              </w:rPr>
            </w:pPr>
          </w:p>
          <w:p>
            <w:pPr>
              <w:spacing w:line="360" w:lineRule="auto"/>
              <w:ind w:firstLine="480" w:firstLineChars="200"/>
              <w:rPr>
                <w:rFonts w:ascii="Times New Roman" w:hAnsi="Times New Roman" w:eastAsia="宋体"/>
                <w:color w:val="auto"/>
                <w:sz w:val="24"/>
                <w:szCs w:val="24"/>
              </w:rPr>
            </w:pP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3、声环境</w:t>
            </w:r>
          </w:p>
          <w:bookmarkEnd w:id="1"/>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根据区域声环境功能区划，项目区所在声环境执行</w:t>
            </w:r>
            <w:bookmarkStart w:id="2" w:name="OLE_LINK3"/>
            <w:bookmarkStart w:id="3" w:name="OLE_LINK1"/>
            <w:r>
              <w:rPr>
                <w:rFonts w:ascii="Times New Roman" w:hAnsi="Times New Roman" w:eastAsia="宋体"/>
                <w:color w:val="auto"/>
                <w:sz w:val="24"/>
                <w:szCs w:val="24"/>
              </w:rPr>
              <w:t>《声环境质量标准》（GB3096-2008）中3类区标准</w:t>
            </w:r>
            <w:bookmarkEnd w:id="2"/>
            <w:bookmarkEnd w:id="3"/>
            <w:r>
              <w:rPr>
                <w:rFonts w:ascii="Times New Roman" w:hAnsi="Times New Roman" w:eastAsia="宋体"/>
                <w:color w:val="auto"/>
                <w:sz w:val="24"/>
                <w:szCs w:val="24"/>
              </w:rPr>
              <w:t>。</w:t>
            </w:r>
          </w:p>
          <w:p>
            <w:pPr>
              <w:spacing w:line="360" w:lineRule="auto"/>
              <w:jc w:val="center"/>
              <w:rPr>
                <w:rFonts w:ascii="Times New Roman" w:hAnsi="Times New Roman" w:eastAsia="宋体"/>
                <w:b/>
                <w:bCs/>
                <w:color w:val="auto"/>
                <w:sz w:val="24"/>
                <w:szCs w:val="24"/>
              </w:rPr>
            </w:pPr>
            <w:r>
              <w:rPr>
                <w:rFonts w:ascii="Times New Roman" w:hAnsi="Times New Roman" w:eastAsia="宋体"/>
                <w:b/>
                <w:bCs/>
                <w:color w:val="auto"/>
                <w:sz w:val="24"/>
                <w:szCs w:val="24"/>
              </w:rPr>
              <w:t>表4-3  声环境质量标准    单位：dB（A）</w:t>
            </w:r>
          </w:p>
          <w:tbl>
            <w:tblPr>
              <w:tblStyle w:val="22"/>
              <w:tblW w:w="82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5"/>
              <w:gridCol w:w="1316"/>
              <w:gridCol w:w="1452"/>
              <w:gridCol w:w="3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35" w:type="dxa"/>
                  <w:vMerge w:val="restart"/>
                  <w:vAlign w:val="center"/>
                </w:tcPr>
                <w:p>
                  <w:pPr>
                    <w:adjustRightInd w:val="0"/>
                    <w:snapToGrid w:val="0"/>
                    <w:jc w:val="center"/>
                    <w:rPr>
                      <w:rFonts w:ascii="Times New Roman" w:hAnsi="Times New Roman" w:eastAsia="宋体"/>
                      <w:color w:val="auto"/>
                    </w:rPr>
                  </w:pPr>
                  <w:r>
                    <w:rPr>
                      <w:rFonts w:ascii="Times New Roman" w:hAnsi="Times New Roman" w:eastAsia="宋体"/>
                      <w:color w:val="auto"/>
                    </w:rPr>
                    <w:t>标准级（类）别</w:t>
                  </w:r>
                </w:p>
              </w:tc>
              <w:tc>
                <w:tcPr>
                  <w:tcW w:w="2768" w:type="dxa"/>
                  <w:gridSpan w:val="2"/>
                  <w:vAlign w:val="center"/>
                </w:tcPr>
                <w:p>
                  <w:pPr>
                    <w:adjustRightInd w:val="0"/>
                    <w:snapToGrid w:val="0"/>
                    <w:ind w:firstLine="128"/>
                    <w:jc w:val="center"/>
                    <w:rPr>
                      <w:rFonts w:ascii="Times New Roman" w:hAnsi="Times New Roman" w:eastAsia="宋体"/>
                      <w:color w:val="auto"/>
                    </w:rPr>
                  </w:pPr>
                  <w:r>
                    <w:rPr>
                      <w:rFonts w:ascii="Times New Roman" w:hAnsi="Times New Roman" w:eastAsia="宋体"/>
                      <w:color w:val="auto"/>
                    </w:rPr>
                    <w:t>标准限值</w:t>
                  </w:r>
                </w:p>
              </w:tc>
              <w:tc>
                <w:tcPr>
                  <w:tcW w:w="3770" w:type="dxa"/>
                  <w:vMerge w:val="restart"/>
                  <w:vAlign w:val="center"/>
                </w:tcPr>
                <w:p>
                  <w:pPr>
                    <w:adjustRightInd w:val="0"/>
                    <w:snapToGrid w:val="0"/>
                    <w:jc w:val="center"/>
                    <w:rPr>
                      <w:rFonts w:ascii="Times New Roman" w:hAnsi="Times New Roman" w:eastAsia="宋体"/>
                      <w:color w:val="auto"/>
                    </w:rPr>
                  </w:pPr>
                  <w:r>
                    <w:rPr>
                      <w:rFonts w:ascii="Times New Roman" w:hAnsi="Times New Roman" w:eastAsia="宋体"/>
                      <w:color w:val="auto"/>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35" w:type="dxa"/>
                  <w:vMerge w:val="continue"/>
                  <w:vAlign w:val="center"/>
                </w:tcPr>
                <w:p>
                  <w:pPr>
                    <w:adjustRightInd w:val="0"/>
                    <w:snapToGrid w:val="0"/>
                    <w:jc w:val="center"/>
                    <w:rPr>
                      <w:rFonts w:ascii="Times New Roman" w:hAnsi="Times New Roman" w:eastAsia="宋体"/>
                      <w:color w:val="auto"/>
                    </w:rPr>
                  </w:pPr>
                </w:p>
              </w:tc>
              <w:tc>
                <w:tcPr>
                  <w:tcW w:w="1316" w:type="dxa"/>
                  <w:vAlign w:val="center"/>
                </w:tcPr>
                <w:p>
                  <w:pPr>
                    <w:adjustRightInd w:val="0"/>
                    <w:snapToGrid w:val="0"/>
                    <w:ind w:firstLine="128"/>
                    <w:jc w:val="center"/>
                    <w:rPr>
                      <w:rFonts w:ascii="Times New Roman" w:hAnsi="Times New Roman" w:eastAsia="宋体"/>
                      <w:color w:val="auto"/>
                    </w:rPr>
                  </w:pPr>
                  <w:r>
                    <w:rPr>
                      <w:rFonts w:ascii="Times New Roman" w:hAnsi="Times New Roman" w:eastAsia="宋体"/>
                      <w:color w:val="auto"/>
                    </w:rPr>
                    <w:t>昼间</w:t>
                  </w:r>
                </w:p>
              </w:tc>
              <w:tc>
                <w:tcPr>
                  <w:tcW w:w="1452" w:type="dxa"/>
                  <w:vAlign w:val="center"/>
                </w:tcPr>
                <w:p>
                  <w:pPr>
                    <w:adjustRightInd w:val="0"/>
                    <w:snapToGrid w:val="0"/>
                    <w:ind w:firstLine="128"/>
                    <w:jc w:val="center"/>
                    <w:rPr>
                      <w:rFonts w:ascii="Times New Roman" w:hAnsi="Times New Roman" w:eastAsia="宋体"/>
                      <w:color w:val="auto"/>
                    </w:rPr>
                  </w:pPr>
                  <w:r>
                    <w:rPr>
                      <w:rFonts w:ascii="Times New Roman" w:hAnsi="Times New Roman" w:eastAsia="宋体"/>
                      <w:color w:val="auto"/>
                    </w:rPr>
                    <w:t>夜间</w:t>
                  </w:r>
                </w:p>
              </w:tc>
              <w:tc>
                <w:tcPr>
                  <w:tcW w:w="3770" w:type="dxa"/>
                  <w:vMerge w:val="continue"/>
                  <w:vAlign w:val="center"/>
                </w:tcPr>
                <w:p>
                  <w:pPr>
                    <w:jc w:val="center"/>
                    <w:rPr>
                      <w:rFonts w:ascii="Times New Roman" w:hAnsi="Times New Roman" w:eastAsia="宋体"/>
                      <w:color w:va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735" w:type="dxa"/>
                  <w:vAlign w:val="center"/>
                </w:tcPr>
                <w:p>
                  <w:pPr>
                    <w:adjustRightInd w:val="0"/>
                    <w:snapToGrid w:val="0"/>
                    <w:jc w:val="center"/>
                    <w:rPr>
                      <w:rFonts w:ascii="Times New Roman" w:hAnsi="Times New Roman" w:eastAsia="宋体"/>
                      <w:color w:val="auto"/>
                    </w:rPr>
                  </w:pPr>
                  <w:r>
                    <w:rPr>
                      <w:rFonts w:ascii="Times New Roman" w:hAnsi="Times New Roman" w:eastAsia="宋体"/>
                      <w:color w:val="auto"/>
                    </w:rPr>
                    <w:t>3类区</w:t>
                  </w:r>
                </w:p>
              </w:tc>
              <w:tc>
                <w:tcPr>
                  <w:tcW w:w="1316" w:type="dxa"/>
                  <w:vAlign w:val="center"/>
                </w:tcPr>
                <w:p>
                  <w:pPr>
                    <w:adjustRightInd w:val="0"/>
                    <w:snapToGrid w:val="0"/>
                    <w:jc w:val="center"/>
                    <w:rPr>
                      <w:rFonts w:ascii="Times New Roman" w:hAnsi="Times New Roman" w:eastAsia="宋体"/>
                      <w:color w:val="auto"/>
                    </w:rPr>
                  </w:pPr>
                  <w:r>
                    <w:rPr>
                      <w:rFonts w:ascii="Times New Roman" w:hAnsi="Times New Roman" w:eastAsia="宋体"/>
                      <w:color w:val="auto"/>
                    </w:rPr>
                    <w:t>65</w:t>
                  </w:r>
                </w:p>
              </w:tc>
              <w:tc>
                <w:tcPr>
                  <w:tcW w:w="1452" w:type="dxa"/>
                  <w:vAlign w:val="center"/>
                </w:tcPr>
                <w:p>
                  <w:pPr>
                    <w:adjustRightInd w:val="0"/>
                    <w:snapToGrid w:val="0"/>
                    <w:jc w:val="center"/>
                    <w:rPr>
                      <w:rFonts w:ascii="Times New Roman" w:hAnsi="Times New Roman" w:eastAsia="宋体"/>
                      <w:color w:val="auto"/>
                    </w:rPr>
                  </w:pPr>
                  <w:r>
                    <w:rPr>
                      <w:rFonts w:ascii="Times New Roman" w:hAnsi="Times New Roman" w:eastAsia="宋体"/>
                      <w:color w:val="auto"/>
                    </w:rPr>
                    <w:t>55</w:t>
                  </w:r>
                </w:p>
              </w:tc>
              <w:tc>
                <w:tcPr>
                  <w:tcW w:w="3770" w:type="dxa"/>
                  <w:vAlign w:val="center"/>
                </w:tcPr>
                <w:p>
                  <w:pPr>
                    <w:adjustRightInd w:val="0"/>
                    <w:snapToGrid w:val="0"/>
                    <w:jc w:val="center"/>
                    <w:rPr>
                      <w:rFonts w:ascii="Times New Roman" w:hAnsi="Times New Roman" w:eastAsia="宋体"/>
                      <w:color w:val="auto"/>
                    </w:rPr>
                  </w:pPr>
                  <w:r>
                    <w:rPr>
                      <w:rFonts w:ascii="Times New Roman" w:hAnsi="Times New Roman" w:eastAsia="宋体"/>
                      <w:color w:val="auto"/>
                    </w:rPr>
                    <w:t>《声环境质量标准》（GB3096-2008）</w:t>
                  </w:r>
                </w:p>
              </w:tc>
            </w:tr>
          </w:tbl>
          <w:p>
            <w:pPr>
              <w:rPr>
                <w:rFonts w:ascii="Times New Roman" w:hAnsi="Times New Roman" w:eastAsia="宋体"/>
                <w:color w:val="auto"/>
              </w:rPr>
            </w:pPr>
          </w:p>
          <w:p>
            <w:pPr>
              <w:pStyle w:val="18"/>
              <w:spacing w:line="360" w:lineRule="auto"/>
              <w:ind w:leftChars="0" w:firstLine="0" w:firstLineChars="0"/>
              <w:rPr>
                <w:rFonts w:ascii="Times New Roman" w:hAnsi="Times New Roman" w:eastAsia="宋体"/>
                <w:color w:val="auto"/>
              </w:rPr>
            </w:pPr>
          </w:p>
          <w:p>
            <w:pPr>
              <w:spacing w:line="360" w:lineRule="auto"/>
              <w:rPr>
                <w:rFonts w:ascii="Times New Roman" w:hAnsi="Times New Roman" w:eastAsia="宋体"/>
                <w:color w:val="auto"/>
              </w:rPr>
            </w:pPr>
          </w:p>
          <w:p>
            <w:pPr>
              <w:pStyle w:val="18"/>
              <w:spacing w:line="360" w:lineRule="auto"/>
              <w:ind w:leftChars="0" w:firstLine="0" w:firstLineChars="0"/>
              <w:rPr>
                <w:rFonts w:ascii="Times New Roman" w:hAnsi="Times New Roman" w:eastAsia="宋体"/>
                <w:color w:val="auto"/>
              </w:rPr>
            </w:pPr>
          </w:p>
          <w:p>
            <w:pPr>
              <w:spacing w:line="360" w:lineRule="auto"/>
              <w:rPr>
                <w:rFonts w:ascii="Times New Roman" w:hAnsi="Times New Roman" w:eastAsia="宋体"/>
                <w:color w:val="auto"/>
              </w:rPr>
            </w:pPr>
          </w:p>
          <w:p>
            <w:pPr>
              <w:pStyle w:val="18"/>
              <w:spacing w:line="360" w:lineRule="auto"/>
              <w:ind w:leftChars="0" w:firstLine="0" w:firstLineChars="0"/>
              <w:rPr>
                <w:rFonts w:ascii="Times New Roman" w:hAnsi="Times New Roman" w:eastAsia="宋体"/>
                <w:color w:val="auto"/>
              </w:rPr>
            </w:pPr>
          </w:p>
          <w:p>
            <w:pPr>
              <w:spacing w:line="360" w:lineRule="auto"/>
              <w:rPr>
                <w:rFonts w:ascii="Times New Roman" w:hAnsi="Times New Roman" w:eastAsia="宋体"/>
                <w:color w:val="auto"/>
              </w:rPr>
            </w:pPr>
          </w:p>
          <w:p>
            <w:pPr>
              <w:pStyle w:val="18"/>
              <w:spacing w:line="360" w:lineRule="auto"/>
              <w:ind w:leftChars="0" w:firstLine="0" w:firstLineChars="0"/>
              <w:rPr>
                <w:rFonts w:ascii="Times New Roman" w:hAnsi="Times New Roman" w:eastAsia="宋体"/>
                <w:color w:val="auto"/>
              </w:rPr>
            </w:pPr>
          </w:p>
          <w:p>
            <w:pPr>
              <w:spacing w:line="360" w:lineRule="auto"/>
              <w:rPr>
                <w:rFonts w:ascii="Times New Roman" w:hAnsi="Times New Roman" w:eastAsia="宋体"/>
                <w:color w:val="auto"/>
              </w:rPr>
            </w:pPr>
          </w:p>
          <w:p>
            <w:pPr>
              <w:pStyle w:val="18"/>
              <w:spacing w:line="360" w:lineRule="auto"/>
              <w:ind w:leftChars="0" w:firstLine="0" w:firstLineChars="0"/>
              <w:rPr>
                <w:rFonts w:ascii="Times New Roman" w:hAnsi="Times New Roman" w:eastAsia="宋体"/>
                <w:color w:val="auto"/>
              </w:rPr>
            </w:pPr>
          </w:p>
          <w:p>
            <w:pPr>
              <w:spacing w:line="360" w:lineRule="auto"/>
              <w:rPr>
                <w:rFonts w:ascii="Times New Roman" w:hAnsi="Times New Roman" w:eastAsia="宋体"/>
                <w:color w:val="auto"/>
              </w:rPr>
            </w:pPr>
          </w:p>
          <w:p>
            <w:pPr>
              <w:pStyle w:val="18"/>
              <w:spacing w:line="360" w:lineRule="auto"/>
              <w:ind w:leftChars="0" w:firstLine="0" w:firstLineChars="0"/>
              <w:rPr>
                <w:rFonts w:ascii="Times New Roman" w:hAnsi="Times New Roman" w:eastAsia="宋体"/>
                <w:color w:val="auto"/>
              </w:rPr>
            </w:pPr>
          </w:p>
          <w:p>
            <w:pPr>
              <w:spacing w:line="360" w:lineRule="auto"/>
              <w:rPr>
                <w:rFonts w:ascii="Times New Roman" w:hAnsi="Times New Roman" w:eastAsia="宋体"/>
                <w:color w:val="auto"/>
              </w:rPr>
            </w:pPr>
          </w:p>
          <w:p>
            <w:pPr>
              <w:pStyle w:val="18"/>
              <w:spacing w:line="360" w:lineRule="auto"/>
              <w:ind w:leftChars="0" w:firstLine="0" w:firstLineChars="0"/>
              <w:rPr>
                <w:rFonts w:ascii="Times New Roman" w:hAnsi="Times New Roman" w:eastAsia="宋体"/>
                <w:color w:val="auto"/>
              </w:rPr>
            </w:pPr>
          </w:p>
          <w:p>
            <w:pPr>
              <w:spacing w:line="360" w:lineRule="auto"/>
              <w:rPr>
                <w:rFonts w:ascii="Times New Roman" w:hAnsi="Times New Roman" w:eastAsia="宋体"/>
                <w:color w:val="auto"/>
              </w:rPr>
            </w:pPr>
          </w:p>
          <w:p>
            <w:pPr>
              <w:pStyle w:val="18"/>
              <w:spacing w:line="360" w:lineRule="auto"/>
              <w:ind w:leftChars="0" w:firstLine="0" w:firstLineChars="0"/>
              <w:rPr>
                <w:rFonts w:ascii="Times New Roman" w:hAnsi="Times New Roman" w:eastAsia="宋体"/>
                <w:color w:val="auto"/>
              </w:rPr>
            </w:pPr>
          </w:p>
          <w:p>
            <w:pPr>
              <w:pStyle w:val="21"/>
              <w:spacing w:after="0" w:line="360" w:lineRule="auto"/>
              <w:ind w:firstLine="0" w:firstLineChars="0"/>
              <w:rPr>
                <w:rFonts w:ascii="Times New Roman" w:hAnsi="Times New Roman" w:eastAsia="宋体"/>
                <w:color w:val="auto"/>
                <w:sz w:val="18"/>
                <w:szCs w:val="18"/>
                <w:highlight w:val="yellow"/>
              </w:rPr>
            </w:pPr>
          </w:p>
          <w:p>
            <w:pPr>
              <w:pStyle w:val="21"/>
              <w:spacing w:after="0" w:line="360" w:lineRule="auto"/>
              <w:ind w:firstLine="0" w:firstLineChars="0"/>
              <w:rPr>
                <w:rFonts w:ascii="Times New Roman" w:hAnsi="Times New Roman" w:eastAsia="宋体"/>
                <w:color w:val="auto"/>
                <w:sz w:val="18"/>
                <w:szCs w:val="18"/>
                <w:highlight w:val="yellow"/>
              </w:rPr>
            </w:pPr>
          </w:p>
          <w:p>
            <w:pPr>
              <w:pStyle w:val="21"/>
              <w:spacing w:after="0" w:line="360" w:lineRule="auto"/>
              <w:ind w:firstLine="0" w:firstLineChars="0"/>
              <w:rPr>
                <w:rFonts w:ascii="Times New Roman" w:hAnsi="Times New Roman" w:eastAsia="宋体"/>
                <w:color w:val="auto"/>
                <w:sz w:val="18"/>
                <w:szCs w:val="18"/>
                <w:highlight w:val="yellow"/>
              </w:rPr>
            </w:pPr>
          </w:p>
          <w:p>
            <w:pPr>
              <w:pStyle w:val="21"/>
              <w:spacing w:after="0" w:line="360" w:lineRule="auto"/>
              <w:ind w:firstLine="0" w:firstLineChars="0"/>
              <w:rPr>
                <w:rFonts w:ascii="Times New Roman" w:hAnsi="Times New Roman" w:eastAsia="宋体"/>
                <w:color w:val="auto"/>
                <w:sz w:val="18"/>
                <w:szCs w:val="18"/>
                <w:highlight w:val="yellow"/>
              </w:rPr>
            </w:pPr>
          </w:p>
          <w:p>
            <w:pPr>
              <w:pStyle w:val="21"/>
              <w:ind w:firstLine="0" w:firstLineChars="0"/>
              <w:rPr>
                <w:rFonts w:ascii="Times New Roman" w:hAnsi="Times New Roman" w:eastAsia="宋体"/>
                <w:color w:val="auto"/>
                <w:sz w:val="18"/>
                <w:szCs w:val="18"/>
                <w:highlight w:val="yellow"/>
              </w:rPr>
            </w:pPr>
          </w:p>
        </w:tc>
      </w:tr>
      <w:tr>
        <w:tblPrEx>
          <w:tblBorders>
            <w:top w:val="single" w:color="auto" w:sz="6"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3813" w:hRule="atLeast"/>
          <w:jc w:val="center"/>
        </w:trPr>
        <w:tc>
          <w:tcPr>
            <w:tcW w:w="504" w:type="dxa"/>
            <w:vAlign w:val="center"/>
          </w:tcPr>
          <w:p>
            <w:pPr>
              <w:spacing w:line="360" w:lineRule="auto"/>
              <w:jc w:val="center"/>
              <w:rPr>
                <w:rFonts w:ascii="Times New Roman" w:hAnsi="Times New Roman" w:eastAsia="宋体"/>
                <w:color w:val="auto"/>
                <w:sz w:val="24"/>
                <w:szCs w:val="24"/>
              </w:rPr>
            </w:pPr>
            <w:r>
              <w:rPr>
                <w:rFonts w:ascii="Times New Roman" w:hAnsi="Times New Roman" w:eastAsia="宋体"/>
                <w:color w:val="auto"/>
                <w:sz w:val="24"/>
                <w:szCs w:val="24"/>
              </w:rPr>
              <w:t>污</w:t>
            </w:r>
          </w:p>
          <w:p>
            <w:pPr>
              <w:spacing w:line="360" w:lineRule="auto"/>
              <w:jc w:val="center"/>
              <w:rPr>
                <w:rFonts w:ascii="Times New Roman" w:hAnsi="Times New Roman" w:eastAsia="宋体"/>
                <w:color w:val="auto"/>
                <w:sz w:val="24"/>
                <w:szCs w:val="24"/>
              </w:rPr>
            </w:pPr>
            <w:r>
              <w:rPr>
                <w:rFonts w:ascii="Times New Roman" w:hAnsi="Times New Roman" w:eastAsia="宋体"/>
                <w:color w:val="auto"/>
                <w:sz w:val="24"/>
                <w:szCs w:val="24"/>
              </w:rPr>
              <w:t>染</w:t>
            </w:r>
          </w:p>
          <w:p>
            <w:pPr>
              <w:spacing w:line="360" w:lineRule="auto"/>
              <w:jc w:val="center"/>
              <w:rPr>
                <w:rFonts w:ascii="Times New Roman" w:hAnsi="Times New Roman" w:eastAsia="宋体"/>
                <w:color w:val="auto"/>
                <w:sz w:val="24"/>
                <w:szCs w:val="24"/>
              </w:rPr>
            </w:pPr>
            <w:r>
              <w:rPr>
                <w:rFonts w:ascii="Times New Roman" w:hAnsi="Times New Roman" w:eastAsia="宋体"/>
                <w:color w:val="auto"/>
                <w:sz w:val="24"/>
                <w:szCs w:val="24"/>
              </w:rPr>
              <w:t>物</w:t>
            </w:r>
          </w:p>
          <w:p>
            <w:pPr>
              <w:spacing w:line="360" w:lineRule="auto"/>
              <w:jc w:val="center"/>
              <w:rPr>
                <w:rFonts w:ascii="Times New Roman" w:hAnsi="Times New Roman" w:eastAsia="宋体"/>
                <w:color w:val="auto"/>
                <w:sz w:val="24"/>
                <w:szCs w:val="24"/>
              </w:rPr>
            </w:pPr>
            <w:r>
              <w:rPr>
                <w:rFonts w:ascii="Times New Roman" w:hAnsi="Times New Roman" w:eastAsia="宋体"/>
                <w:color w:val="auto"/>
                <w:sz w:val="24"/>
                <w:szCs w:val="24"/>
              </w:rPr>
              <w:t>排</w:t>
            </w:r>
          </w:p>
          <w:p>
            <w:pPr>
              <w:spacing w:line="360" w:lineRule="auto"/>
              <w:jc w:val="center"/>
              <w:rPr>
                <w:rFonts w:ascii="Times New Roman" w:hAnsi="Times New Roman" w:eastAsia="宋体"/>
                <w:color w:val="auto"/>
                <w:sz w:val="24"/>
                <w:szCs w:val="24"/>
              </w:rPr>
            </w:pPr>
            <w:r>
              <w:rPr>
                <w:rFonts w:ascii="Times New Roman" w:hAnsi="Times New Roman" w:eastAsia="宋体"/>
                <w:color w:val="auto"/>
                <w:sz w:val="24"/>
                <w:szCs w:val="24"/>
              </w:rPr>
              <w:t>放</w:t>
            </w:r>
          </w:p>
          <w:p>
            <w:pPr>
              <w:spacing w:line="360" w:lineRule="auto"/>
              <w:jc w:val="center"/>
              <w:rPr>
                <w:rFonts w:ascii="Times New Roman" w:hAnsi="Times New Roman" w:eastAsia="宋体"/>
                <w:color w:val="auto"/>
                <w:sz w:val="24"/>
                <w:szCs w:val="24"/>
              </w:rPr>
            </w:pPr>
            <w:r>
              <w:rPr>
                <w:rFonts w:ascii="Times New Roman" w:hAnsi="Times New Roman" w:eastAsia="宋体"/>
                <w:color w:val="auto"/>
                <w:sz w:val="24"/>
                <w:szCs w:val="24"/>
              </w:rPr>
              <w:t>标</w:t>
            </w:r>
          </w:p>
          <w:p>
            <w:pPr>
              <w:spacing w:line="360" w:lineRule="auto"/>
              <w:jc w:val="center"/>
              <w:rPr>
                <w:rFonts w:ascii="Times New Roman" w:hAnsi="Times New Roman" w:eastAsia="宋体"/>
                <w:color w:val="auto"/>
                <w:sz w:val="28"/>
                <w:highlight w:val="yellow"/>
              </w:rPr>
            </w:pPr>
            <w:r>
              <w:rPr>
                <w:rFonts w:ascii="Times New Roman" w:hAnsi="Times New Roman" w:eastAsia="宋体"/>
                <w:color w:val="auto"/>
                <w:sz w:val="24"/>
                <w:szCs w:val="24"/>
              </w:rPr>
              <w:t>准</w:t>
            </w:r>
          </w:p>
        </w:tc>
        <w:tc>
          <w:tcPr>
            <w:tcW w:w="8499" w:type="dxa"/>
          </w:tcPr>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1、废气</w:t>
            </w:r>
          </w:p>
          <w:p>
            <w:pPr>
              <w:spacing w:line="360" w:lineRule="auto"/>
              <w:ind w:firstLine="480" w:firstLineChars="200"/>
              <w:rPr>
                <w:rFonts w:ascii="Times New Roman" w:hAnsi="Times New Roman" w:eastAsia="宋体"/>
                <w:color w:val="000000"/>
                <w:sz w:val="24"/>
                <w:szCs w:val="24"/>
              </w:rPr>
            </w:pPr>
            <w:r>
              <w:rPr>
                <w:rFonts w:hint="eastAsia" w:ascii="Times New Roman" w:hAnsi="Times New Roman" w:eastAsia="宋体"/>
                <w:color w:val="000000"/>
                <w:sz w:val="24"/>
                <w:szCs w:val="24"/>
                <w:lang w:val="en-US" w:eastAsia="zh-CN"/>
              </w:rPr>
              <w:t>三磨、喷锌</w:t>
            </w:r>
            <w:r>
              <w:rPr>
                <w:rFonts w:ascii="Times New Roman" w:hAnsi="Times New Roman" w:eastAsia="宋体"/>
                <w:color w:val="000000"/>
                <w:sz w:val="24"/>
                <w:szCs w:val="24"/>
              </w:rPr>
              <w:t>排放的颗粒物执行</w:t>
            </w:r>
            <w:r>
              <w:rPr>
                <w:rFonts w:hint="eastAsia" w:ascii="Times New Roman" w:hAnsi="Times New Roman" w:eastAsia="宋体" w:cs="Times New Roman"/>
                <w:color w:val="auto"/>
                <w:sz w:val="24"/>
                <w:lang w:val="en-US" w:eastAsia="zh-CN"/>
              </w:rPr>
              <w:t>上海市《大气污染物综合排放标准》（DB31/933—2015）表1中的大气污染物项目排放限值</w:t>
            </w:r>
            <w:r>
              <w:rPr>
                <w:rFonts w:ascii="Times New Roman" w:hAnsi="Times New Roman" w:eastAsia="宋体"/>
                <w:color w:val="000000"/>
                <w:sz w:val="24"/>
                <w:szCs w:val="24"/>
              </w:rPr>
              <w:t>。</w:t>
            </w:r>
          </w:p>
          <w:p>
            <w:pPr>
              <w:spacing w:line="360" w:lineRule="auto"/>
              <w:jc w:val="center"/>
              <w:rPr>
                <w:rFonts w:ascii="Times New Roman" w:hAnsi="Times New Roman" w:eastAsia="宋体"/>
                <w:b/>
                <w:bCs/>
                <w:color w:val="000000"/>
                <w:sz w:val="24"/>
                <w:szCs w:val="24"/>
              </w:rPr>
            </w:pPr>
            <w:r>
              <w:rPr>
                <w:rFonts w:ascii="Times New Roman" w:hAnsi="Times New Roman" w:eastAsia="宋体"/>
                <w:b/>
                <w:bCs/>
                <w:color w:val="000000"/>
                <w:sz w:val="24"/>
                <w:szCs w:val="24"/>
              </w:rPr>
              <w:t>表</w:t>
            </w:r>
            <w:r>
              <w:rPr>
                <w:rFonts w:hint="eastAsia" w:ascii="Times New Roman" w:hAnsi="Times New Roman" w:eastAsia="宋体"/>
                <w:b/>
                <w:bCs/>
                <w:color w:val="000000"/>
                <w:sz w:val="24"/>
                <w:szCs w:val="24"/>
                <w:lang w:val="en-US" w:eastAsia="zh-CN"/>
              </w:rPr>
              <w:t>4-4</w:t>
            </w:r>
            <w:r>
              <w:rPr>
                <w:rFonts w:ascii="Times New Roman" w:hAnsi="Times New Roman" w:eastAsia="宋体"/>
                <w:b/>
                <w:bCs/>
                <w:color w:val="000000"/>
                <w:sz w:val="24"/>
                <w:szCs w:val="24"/>
              </w:rPr>
              <w:t xml:space="preserve"> 大气污染物综合排放标准</w:t>
            </w:r>
          </w:p>
          <w:tbl>
            <w:tblPr>
              <w:tblStyle w:val="22"/>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1"/>
              <w:gridCol w:w="1088"/>
              <w:gridCol w:w="2369"/>
              <w:gridCol w:w="2055"/>
              <w:gridCol w:w="2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4" w:hRule="atLeast"/>
              </w:trPr>
              <w:tc>
                <w:tcPr>
                  <w:tcW w:w="468"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污染物</w:t>
                  </w:r>
                </w:p>
              </w:tc>
              <w:tc>
                <w:tcPr>
                  <w:tcW w:w="651"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适用范围</w:t>
                  </w:r>
                </w:p>
              </w:tc>
              <w:tc>
                <w:tcPr>
                  <w:tcW w:w="1418"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最该允许排放浓度（mg/m</w:t>
                  </w:r>
                  <w:r>
                    <w:rPr>
                      <w:rFonts w:hint="eastAsia" w:ascii="Times New Roman" w:hAnsi="Times New Roman" w:eastAsia="宋体" w:cs="Times New Roman"/>
                      <w:color w:val="auto"/>
                      <w:szCs w:val="21"/>
                      <w:vertAlign w:val="superscript"/>
                      <w:lang w:val="en-US" w:eastAsia="zh-CN"/>
                    </w:rPr>
                    <w:t>3</w:t>
                  </w:r>
                  <w:r>
                    <w:rPr>
                      <w:rFonts w:hint="eastAsia" w:ascii="Times New Roman" w:hAnsi="Times New Roman" w:eastAsia="宋体" w:cs="Times New Roman"/>
                      <w:color w:val="auto"/>
                      <w:szCs w:val="21"/>
                      <w:lang w:val="en-US" w:eastAsia="zh-CN"/>
                    </w:rPr>
                    <w:t>）</w:t>
                  </w:r>
                </w:p>
              </w:tc>
              <w:tc>
                <w:tcPr>
                  <w:tcW w:w="1230"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最高允许排放速率(kg/h）</w:t>
                  </w:r>
                </w:p>
              </w:tc>
              <w:tc>
                <w:tcPr>
                  <w:tcW w:w="123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厂界大气污染物监控点浓度限值（mg/m</w:t>
                  </w:r>
                  <w:r>
                    <w:rPr>
                      <w:rFonts w:hint="eastAsia" w:ascii="Times New Roman" w:hAnsi="Times New Roman" w:eastAsia="宋体" w:cs="Times New Roman"/>
                      <w:color w:val="auto"/>
                      <w:szCs w:val="21"/>
                      <w:vertAlign w:val="superscript"/>
                      <w:lang w:val="en-US" w:eastAsia="zh-CN"/>
                    </w:rPr>
                    <w:t>3</w:t>
                  </w:r>
                  <w:r>
                    <w:rPr>
                      <w:rFonts w:hint="eastAsia" w:ascii="Times New Roman" w:hAnsi="Times New Roman" w:eastAsia="宋体" w:cs="Times New Roman"/>
                      <w:color w:val="auto"/>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68"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lang w:eastAsia="zh-CN"/>
                    </w:rPr>
                  </w:pPr>
                  <w:r>
                    <w:rPr>
                      <w:rFonts w:hint="eastAsia" w:ascii="Times New Roman" w:hAnsi="Times New Roman" w:eastAsia="宋体" w:cs="Times New Roman"/>
                      <w:color w:val="auto"/>
                      <w:szCs w:val="21"/>
                      <w:lang w:val="en-US" w:eastAsia="zh-CN"/>
                    </w:rPr>
                    <w:t>颗粒物</w:t>
                  </w:r>
                </w:p>
              </w:tc>
              <w:tc>
                <w:tcPr>
                  <w:tcW w:w="651" w:type="pct"/>
                  <w:noWrap w:val="0"/>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其他颗粒物</w:t>
                  </w:r>
                </w:p>
              </w:tc>
              <w:tc>
                <w:tcPr>
                  <w:tcW w:w="1418"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30</w:t>
                  </w:r>
                </w:p>
              </w:tc>
              <w:tc>
                <w:tcPr>
                  <w:tcW w:w="123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1.5</w:t>
                  </w:r>
                </w:p>
              </w:tc>
              <w:tc>
                <w:tcPr>
                  <w:tcW w:w="1230" w:type="pct"/>
                  <w:noWrap w:val="0"/>
                  <w:vAlign w:val="center"/>
                </w:tcPr>
                <w:p>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0.5</w:t>
                  </w:r>
                </w:p>
              </w:tc>
            </w:tr>
          </w:tbl>
          <w:p>
            <w:pPr>
              <w:pStyle w:val="43"/>
              <w:spacing w:line="360" w:lineRule="auto"/>
              <w:ind w:firstLine="480" w:firstLineChars="200"/>
              <w:jc w:val="both"/>
              <w:rPr>
                <w:rFonts w:ascii="Times New Roman" w:hAnsi="Times New Roman" w:eastAsia="宋体"/>
                <w:color w:val="000000"/>
                <w:spacing w:val="0"/>
                <w:kern w:val="2"/>
                <w:sz w:val="24"/>
                <w:szCs w:val="24"/>
              </w:rPr>
            </w:pPr>
            <w:r>
              <w:rPr>
                <w:rFonts w:hint="eastAsia" w:ascii="Times New Roman" w:hAnsi="Times New Roman" w:eastAsia="宋体"/>
                <w:color w:val="000000"/>
                <w:spacing w:val="0"/>
                <w:kern w:val="2"/>
                <w:sz w:val="24"/>
                <w:szCs w:val="24"/>
                <w:lang w:val="en-US" w:eastAsia="zh-CN"/>
              </w:rPr>
              <w:t>喷漆</w:t>
            </w:r>
            <w:r>
              <w:rPr>
                <w:rFonts w:ascii="Times New Roman" w:hAnsi="Times New Roman" w:eastAsia="宋体"/>
                <w:color w:val="000000"/>
                <w:spacing w:val="0"/>
                <w:kern w:val="2"/>
                <w:sz w:val="24"/>
                <w:szCs w:val="24"/>
              </w:rPr>
              <w:t>有组织排放的</w:t>
            </w:r>
            <w:r>
              <w:rPr>
                <w:rFonts w:hint="eastAsia" w:ascii="Times New Roman" w:hAnsi="Times New Roman" w:eastAsia="宋体"/>
                <w:color w:val="000000"/>
                <w:spacing w:val="0"/>
                <w:kern w:val="2"/>
                <w:sz w:val="24"/>
                <w:szCs w:val="24"/>
              </w:rPr>
              <w:t>非甲烷总烃</w:t>
            </w:r>
            <w:r>
              <w:rPr>
                <w:rFonts w:ascii="Times New Roman" w:hAnsi="Times New Roman" w:eastAsia="宋体"/>
                <w:color w:val="000000"/>
                <w:spacing w:val="0"/>
                <w:kern w:val="2"/>
                <w:sz w:val="24"/>
                <w:szCs w:val="24"/>
              </w:rPr>
              <w:t>执行</w:t>
            </w:r>
            <w:r>
              <w:rPr>
                <w:rFonts w:hint="eastAsia" w:ascii="Times New Roman" w:hAnsi="Times New Roman" w:eastAsia="宋体"/>
                <w:color w:val="000000"/>
                <w:spacing w:val="0"/>
                <w:kern w:val="2"/>
                <w:sz w:val="24"/>
                <w:szCs w:val="24"/>
              </w:rPr>
              <w:t>河北</w:t>
            </w:r>
            <w:r>
              <w:rPr>
                <w:rFonts w:hint="eastAsia" w:ascii="Times New Roman" w:hAnsi="Times New Roman" w:eastAsia="宋体"/>
                <w:color w:val="000000"/>
                <w:spacing w:val="0"/>
                <w:kern w:val="2"/>
                <w:sz w:val="24"/>
                <w:szCs w:val="24"/>
                <w:lang w:val="en-US" w:eastAsia="zh-CN"/>
              </w:rPr>
              <w:t>省</w:t>
            </w:r>
            <w:r>
              <w:rPr>
                <w:rFonts w:ascii="Times New Roman" w:hAnsi="Times New Roman" w:eastAsia="宋体"/>
                <w:color w:val="000000"/>
                <w:spacing w:val="0"/>
                <w:kern w:val="2"/>
                <w:sz w:val="24"/>
                <w:szCs w:val="24"/>
              </w:rPr>
              <w:t>《工业企业挥发性有机物排放控制标准》（DB1</w:t>
            </w:r>
            <w:r>
              <w:rPr>
                <w:rFonts w:hint="eastAsia" w:ascii="Times New Roman" w:hAnsi="Times New Roman" w:eastAsia="宋体"/>
                <w:color w:val="000000"/>
                <w:spacing w:val="0"/>
                <w:kern w:val="2"/>
                <w:sz w:val="24"/>
                <w:szCs w:val="24"/>
              </w:rPr>
              <w:t>3</w:t>
            </w:r>
            <w:r>
              <w:rPr>
                <w:rFonts w:ascii="Times New Roman" w:hAnsi="Times New Roman" w:eastAsia="宋体"/>
                <w:color w:val="000000"/>
                <w:spacing w:val="0"/>
                <w:kern w:val="2"/>
                <w:sz w:val="24"/>
                <w:szCs w:val="24"/>
              </w:rPr>
              <w:t>/</w:t>
            </w:r>
            <w:r>
              <w:rPr>
                <w:rFonts w:hint="eastAsia" w:ascii="Times New Roman" w:hAnsi="Times New Roman" w:eastAsia="宋体"/>
                <w:color w:val="000000"/>
                <w:spacing w:val="0"/>
                <w:kern w:val="2"/>
                <w:sz w:val="24"/>
                <w:szCs w:val="24"/>
              </w:rPr>
              <w:t>2322</w:t>
            </w:r>
            <w:r>
              <w:rPr>
                <w:rFonts w:ascii="Times New Roman" w:hAnsi="Times New Roman" w:eastAsia="宋体"/>
                <w:color w:val="000000"/>
                <w:spacing w:val="0"/>
                <w:kern w:val="2"/>
                <w:sz w:val="24"/>
                <w:szCs w:val="24"/>
              </w:rPr>
              <w:t>-201</w:t>
            </w:r>
            <w:r>
              <w:rPr>
                <w:rFonts w:hint="eastAsia" w:ascii="Times New Roman" w:hAnsi="Times New Roman" w:eastAsia="宋体"/>
                <w:color w:val="000000"/>
                <w:spacing w:val="0"/>
                <w:kern w:val="2"/>
                <w:sz w:val="24"/>
                <w:szCs w:val="24"/>
              </w:rPr>
              <w:t>6</w:t>
            </w:r>
            <w:r>
              <w:rPr>
                <w:rFonts w:ascii="Times New Roman" w:hAnsi="Times New Roman" w:eastAsia="宋体"/>
                <w:color w:val="000000"/>
                <w:spacing w:val="0"/>
                <w:kern w:val="2"/>
                <w:sz w:val="24"/>
                <w:szCs w:val="24"/>
              </w:rPr>
              <w:t>）</w:t>
            </w:r>
            <w:r>
              <w:rPr>
                <w:rFonts w:hint="eastAsia" w:ascii="Times New Roman" w:hAnsi="Times New Roman" w:eastAsia="宋体"/>
                <w:color w:val="000000"/>
                <w:spacing w:val="0"/>
                <w:kern w:val="2"/>
                <w:sz w:val="24"/>
                <w:szCs w:val="24"/>
                <w:lang w:val="en-US" w:eastAsia="zh-CN"/>
              </w:rPr>
              <w:t>其他行业</w:t>
            </w:r>
            <w:r>
              <w:rPr>
                <w:rFonts w:ascii="Times New Roman" w:hAnsi="Times New Roman" w:eastAsia="宋体"/>
                <w:color w:val="000000"/>
                <w:spacing w:val="0"/>
                <w:kern w:val="2"/>
                <w:sz w:val="24"/>
                <w:szCs w:val="24"/>
              </w:rPr>
              <w:t>中的排放限值。</w:t>
            </w:r>
          </w:p>
          <w:p>
            <w:pPr>
              <w:pStyle w:val="43"/>
              <w:spacing w:line="360" w:lineRule="auto"/>
              <w:ind w:firstLine="474"/>
              <w:rPr>
                <w:rFonts w:ascii="Times New Roman" w:hAnsi="Times New Roman" w:eastAsia="宋体"/>
                <w:b/>
                <w:bCs/>
                <w:color w:val="000000"/>
                <w:spacing w:val="0"/>
                <w:kern w:val="2"/>
                <w:sz w:val="24"/>
                <w:szCs w:val="24"/>
              </w:rPr>
            </w:pPr>
            <w:r>
              <w:rPr>
                <w:rFonts w:ascii="Times New Roman" w:hAnsi="Times New Roman" w:eastAsia="宋体"/>
                <w:b/>
                <w:bCs/>
                <w:color w:val="000000"/>
                <w:spacing w:val="0"/>
                <w:kern w:val="2"/>
                <w:sz w:val="24"/>
                <w:szCs w:val="24"/>
              </w:rPr>
              <w:t>表</w:t>
            </w:r>
            <w:r>
              <w:rPr>
                <w:rFonts w:hint="eastAsia" w:ascii="Times New Roman" w:hAnsi="Times New Roman" w:eastAsia="宋体"/>
                <w:b/>
                <w:bCs/>
                <w:color w:val="000000"/>
                <w:spacing w:val="0"/>
                <w:kern w:val="2"/>
                <w:sz w:val="24"/>
                <w:szCs w:val="24"/>
                <w:lang w:val="en-US" w:eastAsia="zh-CN"/>
              </w:rPr>
              <w:t>4-5</w:t>
            </w:r>
            <w:r>
              <w:rPr>
                <w:rFonts w:ascii="Times New Roman" w:hAnsi="Times New Roman" w:eastAsia="宋体"/>
                <w:b/>
                <w:bCs/>
                <w:color w:val="000000"/>
                <w:spacing w:val="0"/>
                <w:kern w:val="2"/>
                <w:sz w:val="24"/>
                <w:szCs w:val="24"/>
              </w:rPr>
              <w:t xml:space="preserve">   工业企业挥发性有机物排放控制标准</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9"/>
              <w:gridCol w:w="2068"/>
              <w:gridCol w:w="1482"/>
              <w:gridCol w:w="3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569" w:type="dxa"/>
                  <w:vMerge w:val="restart"/>
                  <w:noWrap w:val="0"/>
                  <w:vAlign w:val="center"/>
                </w:tcPr>
                <w:p>
                  <w:pPr>
                    <w:pStyle w:val="47"/>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污染物</w:t>
                  </w:r>
                </w:p>
                <w:p>
                  <w:pPr>
                    <w:pStyle w:val="47"/>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名称</w:t>
                  </w:r>
                </w:p>
              </w:tc>
              <w:tc>
                <w:tcPr>
                  <w:tcW w:w="2068" w:type="dxa"/>
                  <w:vMerge w:val="restart"/>
                  <w:noWrap w:val="0"/>
                  <w:vAlign w:val="center"/>
                </w:tcPr>
                <w:p>
                  <w:pPr>
                    <w:pStyle w:val="47"/>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最高允许排放浓度 （mg/m³）</w:t>
                  </w:r>
                </w:p>
              </w:tc>
              <w:tc>
                <w:tcPr>
                  <w:tcW w:w="1482" w:type="dxa"/>
                  <w:vMerge w:val="restart"/>
                  <w:noWrap w:val="0"/>
                  <w:tcMar>
                    <w:left w:w="0" w:type="dxa"/>
                    <w:right w:w="0" w:type="dxa"/>
                  </w:tcMar>
                  <w:vAlign w:val="center"/>
                </w:tcPr>
                <w:p>
                  <w:pPr>
                    <w:pStyle w:val="47"/>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排气筒</w:t>
                  </w:r>
                </w:p>
                <w:p>
                  <w:pPr>
                    <w:pStyle w:val="47"/>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高度</w:t>
                  </w:r>
                </w:p>
                <w:p>
                  <w:pPr>
                    <w:pStyle w:val="47"/>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（m）</w:t>
                  </w:r>
                </w:p>
              </w:tc>
              <w:tc>
                <w:tcPr>
                  <w:tcW w:w="3158" w:type="dxa"/>
                  <w:vMerge w:val="restart"/>
                  <w:noWrap w:val="0"/>
                  <w:vAlign w:val="center"/>
                </w:tcPr>
                <w:p>
                  <w:pPr>
                    <w:pStyle w:val="47"/>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依  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569" w:type="dxa"/>
                  <w:vMerge w:val="continue"/>
                  <w:noWrap w:val="0"/>
                  <w:vAlign w:val="center"/>
                </w:tcPr>
                <w:p>
                  <w:pPr>
                    <w:pStyle w:val="47"/>
                    <w:adjustRightInd w:val="0"/>
                    <w:snapToGrid w:val="0"/>
                    <w:spacing w:after="0" w:line="240" w:lineRule="atLeast"/>
                    <w:ind w:firstLine="0" w:firstLineChars="0"/>
                    <w:jc w:val="center"/>
                    <w:rPr>
                      <w:rFonts w:ascii="Times New Roman" w:hAnsi="Times New Roman" w:eastAsia="宋体"/>
                      <w:bCs/>
                      <w:color w:val="000000"/>
                      <w:szCs w:val="21"/>
                    </w:rPr>
                  </w:pPr>
                </w:p>
              </w:tc>
              <w:tc>
                <w:tcPr>
                  <w:tcW w:w="2068" w:type="dxa"/>
                  <w:vMerge w:val="continue"/>
                  <w:noWrap w:val="0"/>
                  <w:vAlign w:val="center"/>
                </w:tcPr>
                <w:p>
                  <w:pPr>
                    <w:pStyle w:val="47"/>
                    <w:adjustRightInd w:val="0"/>
                    <w:snapToGrid w:val="0"/>
                    <w:spacing w:after="0" w:line="240" w:lineRule="atLeast"/>
                    <w:ind w:firstLine="0" w:firstLineChars="0"/>
                    <w:jc w:val="center"/>
                    <w:rPr>
                      <w:rFonts w:ascii="Times New Roman" w:hAnsi="Times New Roman" w:eastAsia="宋体"/>
                      <w:bCs/>
                      <w:color w:val="000000"/>
                      <w:szCs w:val="21"/>
                    </w:rPr>
                  </w:pPr>
                </w:p>
              </w:tc>
              <w:tc>
                <w:tcPr>
                  <w:tcW w:w="1482" w:type="dxa"/>
                  <w:vMerge w:val="continue"/>
                  <w:noWrap w:val="0"/>
                  <w:tcMar>
                    <w:left w:w="0" w:type="dxa"/>
                    <w:right w:w="0" w:type="dxa"/>
                  </w:tcMar>
                  <w:vAlign w:val="center"/>
                </w:tcPr>
                <w:p>
                  <w:pPr>
                    <w:pStyle w:val="47"/>
                    <w:adjustRightInd w:val="0"/>
                    <w:snapToGrid w:val="0"/>
                    <w:spacing w:after="0" w:line="240" w:lineRule="atLeast"/>
                    <w:ind w:firstLine="0" w:firstLineChars="0"/>
                    <w:jc w:val="center"/>
                    <w:rPr>
                      <w:rFonts w:ascii="Times New Roman" w:hAnsi="Times New Roman" w:eastAsia="宋体"/>
                      <w:bCs/>
                      <w:color w:val="000000"/>
                      <w:szCs w:val="21"/>
                    </w:rPr>
                  </w:pPr>
                </w:p>
              </w:tc>
              <w:tc>
                <w:tcPr>
                  <w:tcW w:w="3158" w:type="dxa"/>
                  <w:vMerge w:val="continue"/>
                  <w:noWrap w:val="0"/>
                  <w:vAlign w:val="center"/>
                </w:tcPr>
                <w:p>
                  <w:pPr>
                    <w:pStyle w:val="47"/>
                    <w:adjustRightInd w:val="0"/>
                    <w:snapToGrid w:val="0"/>
                    <w:spacing w:after="0" w:line="240" w:lineRule="atLeast"/>
                    <w:ind w:firstLine="0" w:firstLineChars="0"/>
                    <w:jc w:val="center"/>
                    <w:rPr>
                      <w:rFonts w:ascii="Times New Roman" w:hAnsi="Times New Roman" w:eastAsia="宋体"/>
                      <w:bCs/>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569" w:type="dxa"/>
                  <w:noWrap w:val="0"/>
                  <w:vAlign w:val="center"/>
                </w:tcPr>
                <w:p>
                  <w:pPr>
                    <w:pStyle w:val="47"/>
                    <w:adjustRightInd w:val="0"/>
                    <w:snapToGrid w:val="0"/>
                    <w:spacing w:after="0" w:line="240" w:lineRule="atLeast"/>
                    <w:ind w:firstLine="0" w:firstLineChars="0"/>
                    <w:jc w:val="center"/>
                    <w:rPr>
                      <w:rFonts w:ascii="Times New Roman" w:hAnsi="Times New Roman" w:eastAsia="宋体"/>
                      <w:bCs/>
                      <w:color w:val="000000"/>
                      <w:szCs w:val="21"/>
                    </w:rPr>
                  </w:pPr>
                  <w:r>
                    <w:rPr>
                      <w:rFonts w:hint="eastAsia" w:ascii="Times New Roman" w:hAnsi="Times New Roman" w:eastAsia="宋体"/>
                      <w:bCs/>
                      <w:color w:val="000000"/>
                      <w:szCs w:val="21"/>
                    </w:rPr>
                    <w:t>非甲烷总烃</w:t>
                  </w:r>
                </w:p>
              </w:tc>
              <w:tc>
                <w:tcPr>
                  <w:tcW w:w="2068" w:type="dxa"/>
                  <w:noWrap w:val="0"/>
                  <w:vAlign w:val="center"/>
                </w:tcPr>
                <w:p>
                  <w:pPr>
                    <w:pStyle w:val="47"/>
                    <w:adjustRightInd w:val="0"/>
                    <w:snapToGrid w:val="0"/>
                    <w:spacing w:after="0" w:line="240" w:lineRule="atLeast"/>
                    <w:ind w:firstLine="0" w:firstLineChars="0"/>
                    <w:jc w:val="center"/>
                    <w:rPr>
                      <w:rFonts w:hint="default" w:ascii="Times New Roman" w:hAnsi="Times New Roman" w:eastAsia="宋体"/>
                      <w:bCs/>
                      <w:color w:val="000000"/>
                      <w:szCs w:val="21"/>
                      <w:lang w:val="en-US" w:eastAsia="zh-CN"/>
                    </w:rPr>
                  </w:pPr>
                  <w:r>
                    <w:rPr>
                      <w:rFonts w:hint="eastAsia" w:ascii="Times New Roman" w:hAnsi="Times New Roman" w:eastAsia="宋体"/>
                      <w:bCs/>
                      <w:color w:val="000000"/>
                      <w:szCs w:val="21"/>
                      <w:lang w:val="en-US" w:eastAsia="zh-CN"/>
                    </w:rPr>
                    <w:t>60</w:t>
                  </w:r>
                </w:p>
              </w:tc>
              <w:tc>
                <w:tcPr>
                  <w:tcW w:w="1482" w:type="dxa"/>
                  <w:noWrap w:val="0"/>
                  <w:vAlign w:val="center"/>
                </w:tcPr>
                <w:p>
                  <w:pPr>
                    <w:pStyle w:val="47"/>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15</w:t>
                  </w:r>
                </w:p>
              </w:tc>
              <w:tc>
                <w:tcPr>
                  <w:tcW w:w="3158" w:type="dxa"/>
                  <w:noWrap w:val="0"/>
                  <w:vAlign w:val="center"/>
                </w:tcPr>
                <w:p>
                  <w:pPr>
                    <w:pStyle w:val="47"/>
                    <w:adjustRightInd w:val="0"/>
                    <w:snapToGrid w:val="0"/>
                    <w:spacing w:after="0" w:line="240" w:lineRule="atLeast"/>
                    <w:ind w:firstLine="0" w:firstLineChars="0"/>
                    <w:jc w:val="center"/>
                    <w:rPr>
                      <w:rFonts w:hint="default" w:ascii="Times New Roman" w:hAnsi="Times New Roman" w:eastAsia="宋体"/>
                      <w:bCs/>
                      <w:color w:val="000000"/>
                      <w:szCs w:val="21"/>
                      <w:lang w:val="en-US"/>
                    </w:rPr>
                  </w:pPr>
                  <w:r>
                    <w:rPr>
                      <w:rFonts w:hint="eastAsia" w:ascii="Times New Roman" w:hAnsi="Times New Roman" w:eastAsia="宋体"/>
                      <w:bCs/>
                      <w:color w:val="000000"/>
                      <w:szCs w:val="21"/>
                      <w:lang w:val="en-US" w:eastAsia="zh-CN"/>
                    </w:rPr>
                    <w:t>表面涂装业</w:t>
                  </w:r>
                </w:p>
              </w:tc>
            </w:tr>
          </w:tbl>
          <w:p>
            <w:pPr>
              <w:spacing w:line="360" w:lineRule="auto"/>
              <w:ind w:firstLine="480" w:firstLineChars="200"/>
              <w:rPr>
                <w:rFonts w:ascii="Times New Roman" w:hAnsi="Times New Roman" w:eastAsia="宋体"/>
                <w:color w:val="000000"/>
                <w:sz w:val="24"/>
                <w:szCs w:val="24"/>
              </w:rPr>
            </w:pPr>
            <w:r>
              <w:rPr>
                <w:rFonts w:ascii="Times New Roman" w:hAnsi="Times New Roman" w:eastAsia="宋体"/>
                <w:color w:val="000000"/>
                <w:sz w:val="24"/>
                <w:szCs w:val="24"/>
              </w:rPr>
              <w:t>无组织排放的</w:t>
            </w:r>
            <w:r>
              <w:rPr>
                <w:rFonts w:hint="eastAsia" w:ascii="Times New Roman" w:hAnsi="Times New Roman" w:eastAsia="宋体"/>
                <w:color w:val="000000"/>
                <w:sz w:val="24"/>
                <w:szCs w:val="24"/>
              </w:rPr>
              <w:t>非甲烷总烃</w:t>
            </w:r>
            <w:r>
              <w:rPr>
                <w:rFonts w:ascii="Times New Roman" w:hAnsi="Times New Roman" w:eastAsia="宋体"/>
                <w:color w:val="000000"/>
                <w:sz w:val="24"/>
                <w:szCs w:val="24"/>
              </w:rPr>
              <w:t>执行《挥发性有机物无组织排放控制标准》（GB37822-2019）附录A中的无组织特别排放限值</w:t>
            </w:r>
            <w:r>
              <w:rPr>
                <w:rFonts w:hint="eastAsia" w:ascii="Times New Roman" w:hAnsi="Times New Roman" w:eastAsia="宋体"/>
                <w:color w:val="000000"/>
                <w:sz w:val="24"/>
                <w:szCs w:val="24"/>
                <w:lang w:val="en-US" w:eastAsia="zh-CN"/>
              </w:rPr>
              <w:t>及</w:t>
            </w:r>
            <w:r>
              <w:rPr>
                <w:rFonts w:hint="eastAsia" w:ascii="Times New Roman" w:hAnsi="Times New Roman" w:eastAsia="宋体"/>
                <w:color w:val="000000"/>
                <w:spacing w:val="0"/>
                <w:kern w:val="2"/>
                <w:sz w:val="24"/>
                <w:szCs w:val="24"/>
              </w:rPr>
              <w:t>河北</w:t>
            </w:r>
            <w:r>
              <w:rPr>
                <w:rFonts w:hint="eastAsia" w:ascii="Times New Roman" w:hAnsi="Times New Roman" w:eastAsia="宋体"/>
                <w:color w:val="000000"/>
                <w:spacing w:val="0"/>
                <w:kern w:val="2"/>
                <w:sz w:val="24"/>
                <w:szCs w:val="24"/>
                <w:lang w:val="en-US" w:eastAsia="zh-CN"/>
              </w:rPr>
              <w:t>省</w:t>
            </w:r>
            <w:r>
              <w:rPr>
                <w:rFonts w:ascii="Times New Roman" w:hAnsi="Times New Roman" w:eastAsia="宋体"/>
                <w:color w:val="000000"/>
                <w:spacing w:val="0"/>
                <w:kern w:val="2"/>
                <w:sz w:val="24"/>
                <w:szCs w:val="24"/>
              </w:rPr>
              <w:t>《工业企业挥发性有机物排放控制标准》（DB1</w:t>
            </w:r>
            <w:r>
              <w:rPr>
                <w:rFonts w:hint="eastAsia" w:ascii="Times New Roman" w:hAnsi="Times New Roman" w:eastAsia="宋体"/>
                <w:color w:val="000000"/>
                <w:spacing w:val="0"/>
                <w:kern w:val="2"/>
                <w:sz w:val="24"/>
                <w:szCs w:val="24"/>
              </w:rPr>
              <w:t>3</w:t>
            </w:r>
            <w:r>
              <w:rPr>
                <w:rFonts w:ascii="Times New Roman" w:hAnsi="Times New Roman" w:eastAsia="宋体"/>
                <w:color w:val="000000"/>
                <w:spacing w:val="0"/>
                <w:kern w:val="2"/>
                <w:sz w:val="24"/>
                <w:szCs w:val="24"/>
              </w:rPr>
              <w:t>/</w:t>
            </w:r>
            <w:r>
              <w:rPr>
                <w:rFonts w:hint="eastAsia" w:ascii="Times New Roman" w:hAnsi="Times New Roman" w:eastAsia="宋体"/>
                <w:color w:val="000000"/>
                <w:spacing w:val="0"/>
                <w:kern w:val="2"/>
                <w:sz w:val="24"/>
                <w:szCs w:val="24"/>
              </w:rPr>
              <w:t>2322</w:t>
            </w:r>
            <w:r>
              <w:rPr>
                <w:rFonts w:ascii="Times New Roman" w:hAnsi="Times New Roman" w:eastAsia="宋体"/>
                <w:color w:val="000000"/>
                <w:spacing w:val="0"/>
                <w:kern w:val="2"/>
                <w:sz w:val="24"/>
                <w:szCs w:val="24"/>
              </w:rPr>
              <w:t>-201</w:t>
            </w:r>
            <w:r>
              <w:rPr>
                <w:rFonts w:hint="eastAsia" w:ascii="Times New Roman" w:hAnsi="Times New Roman" w:eastAsia="宋体"/>
                <w:color w:val="000000"/>
                <w:spacing w:val="0"/>
                <w:kern w:val="2"/>
                <w:sz w:val="24"/>
                <w:szCs w:val="24"/>
              </w:rPr>
              <w:t>6</w:t>
            </w:r>
            <w:r>
              <w:rPr>
                <w:rFonts w:ascii="Times New Roman" w:hAnsi="Times New Roman" w:eastAsia="宋体"/>
                <w:color w:val="000000"/>
                <w:spacing w:val="0"/>
                <w:kern w:val="2"/>
                <w:sz w:val="24"/>
                <w:szCs w:val="24"/>
              </w:rPr>
              <w:t>）</w:t>
            </w:r>
            <w:r>
              <w:rPr>
                <w:rFonts w:hint="eastAsia" w:ascii="Times New Roman" w:hAnsi="Times New Roman" w:eastAsia="宋体"/>
                <w:color w:val="000000"/>
                <w:spacing w:val="0"/>
                <w:kern w:val="2"/>
                <w:sz w:val="24"/>
                <w:szCs w:val="24"/>
                <w:lang w:val="en-US" w:eastAsia="zh-CN"/>
              </w:rPr>
              <w:t>表3中大气污染物浓度限值</w:t>
            </w:r>
            <w:r>
              <w:rPr>
                <w:rFonts w:ascii="Times New Roman" w:hAnsi="Times New Roman" w:eastAsia="宋体"/>
                <w:color w:val="000000"/>
                <w:sz w:val="24"/>
                <w:szCs w:val="24"/>
              </w:rPr>
              <w:t>。</w:t>
            </w:r>
          </w:p>
          <w:p>
            <w:pPr>
              <w:pStyle w:val="43"/>
              <w:spacing w:line="360" w:lineRule="auto"/>
              <w:ind w:firstLine="474"/>
              <w:rPr>
                <w:rFonts w:ascii="Times New Roman" w:hAnsi="Times New Roman" w:eastAsia="宋体"/>
                <w:b/>
                <w:bCs/>
                <w:color w:val="000000"/>
                <w:spacing w:val="0"/>
                <w:kern w:val="2"/>
                <w:sz w:val="24"/>
                <w:szCs w:val="24"/>
              </w:rPr>
            </w:pPr>
            <w:r>
              <w:rPr>
                <w:rFonts w:ascii="Times New Roman" w:hAnsi="Times New Roman" w:eastAsia="宋体"/>
                <w:b/>
                <w:bCs/>
                <w:color w:val="000000"/>
                <w:spacing w:val="0"/>
                <w:kern w:val="2"/>
                <w:sz w:val="24"/>
                <w:szCs w:val="24"/>
              </w:rPr>
              <w:t>表</w:t>
            </w:r>
            <w:r>
              <w:rPr>
                <w:rFonts w:hint="eastAsia" w:ascii="Times New Roman" w:hAnsi="Times New Roman" w:eastAsia="宋体"/>
                <w:b/>
                <w:bCs/>
                <w:color w:val="000000"/>
                <w:spacing w:val="0"/>
                <w:kern w:val="2"/>
                <w:sz w:val="24"/>
                <w:szCs w:val="24"/>
                <w:lang w:val="en-US" w:eastAsia="zh-CN"/>
              </w:rPr>
              <w:t>4-6</w:t>
            </w:r>
            <w:r>
              <w:rPr>
                <w:rFonts w:ascii="Times New Roman" w:hAnsi="Times New Roman" w:eastAsia="宋体"/>
                <w:b/>
                <w:bCs/>
                <w:color w:val="000000"/>
                <w:spacing w:val="0"/>
                <w:kern w:val="2"/>
                <w:sz w:val="24"/>
                <w:szCs w:val="24"/>
              </w:rPr>
              <w:t xml:space="preserve">   挥发性有机物无组织排放控制标准</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6"/>
              <w:gridCol w:w="1940"/>
              <w:gridCol w:w="2783"/>
              <w:gridCol w:w="22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jc w:val="center"/>
              </w:trPr>
              <w:tc>
                <w:tcPr>
                  <w:tcW w:w="1306" w:type="dxa"/>
                  <w:noWrap w:val="0"/>
                  <w:vAlign w:val="center"/>
                </w:tcPr>
                <w:p>
                  <w:pPr>
                    <w:pStyle w:val="47"/>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污染物名称</w:t>
                  </w:r>
                </w:p>
              </w:tc>
              <w:tc>
                <w:tcPr>
                  <w:tcW w:w="1940" w:type="dxa"/>
                  <w:noWrap w:val="0"/>
                  <w:vAlign w:val="center"/>
                </w:tcPr>
                <w:p>
                  <w:pPr>
                    <w:pStyle w:val="47"/>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特别排放限值（mg/m³）</w:t>
                  </w:r>
                </w:p>
              </w:tc>
              <w:tc>
                <w:tcPr>
                  <w:tcW w:w="2783" w:type="dxa"/>
                  <w:noWrap w:val="0"/>
                  <w:tcMar>
                    <w:left w:w="0" w:type="dxa"/>
                    <w:right w:w="0" w:type="dxa"/>
                  </w:tcMar>
                  <w:vAlign w:val="center"/>
                </w:tcPr>
                <w:p>
                  <w:pPr>
                    <w:pStyle w:val="47"/>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限值含义</w:t>
                  </w:r>
                </w:p>
              </w:tc>
              <w:tc>
                <w:tcPr>
                  <w:tcW w:w="2248" w:type="dxa"/>
                  <w:noWrap w:val="0"/>
                  <w:vAlign w:val="center"/>
                </w:tcPr>
                <w:p>
                  <w:pPr>
                    <w:pStyle w:val="47"/>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306" w:type="dxa"/>
                  <w:vMerge w:val="restart"/>
                  <w:noWrap w:val="0"/>
                  <w:vAlign w:val="center"/>
                </w:tcPr>
                <w:p>
                  <w:pPr>
                    <w:pStyle w:val="47"/>
                    <w:adjustRightInd w:val="0"/>
                    <w:snapToGrid w:val="0"/>
                    <w:spacing w:after="0" w:line="240" w:lineRule="atLeast"/>
                    <w:ind w:firstLine="0" w:firstLineChars="0"/>
                    <w:jc w:val="center"/>
                    <w:rPr>
                      <w:rFonts w:hint="default" w:ascii="Times New Roman" w:hAnsi="Times New Roman" w:eastAsia="宋体"/>
                      <w:bCs/>
                      <w:color w:val="000000"/>
                      <w:szCs w:val="21"/>
                      <w:lang w:val="en-US" w:eastAsia="zh-CN"/>
                    </w:rPr>
                  </w:pPr>
                  <w:r>
                    <w:rPr>
                      <w:rFonts w:hint="eastAsia" w:ascii="Times New Roman" w:hAnsi="Times New Roman" w:eastAsia="宋体"/>
                      <w:color w:val="000000"/>
                      <w:szCs w:val="21"/>
                      <w:lang w:val="en-US" w:eastAsia="zh-CN"/>
                    </w:rPr>
                    <w:t>NMHC</w:t>
                  </w:r>
                </w:p>
              </w:tc>
              <w:tc>
                <w:tcPr>
                  <w:tcW w:w="1940" w:type="dxa"/>
                  <w:noWrap w:val="0"/>
                  <w:vAlign w:val="center"/>
                </w:tcPr>
                <w:p>
                  <w:pPr>
                    <w:pStyle w:val="47"/>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6</w:t>
                  </w:r>
                </w:p>
              </w:tc>
              <w:tc>
                <w:tcPr>
                  <w:tcW w:w="2783" w:type="dxa"/>
                  <w:noWrap w:val="0"/>
                  <w:vAlign w:val="center"/>
                </w:tcPr>
                <w:p>
                  <w:pPr>
                    <w:pStyle w:val="47"/>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监控点处1h平均浓度值</w:t>
                  </w:r>
                </w:p>
              </w:tc>
              <w:tc>
                <w:tcPr>
                  <w:tcW w:w="2248" w:type="dxa"/>
                  <w:vMerge w:val="restart"/>
                  <w:noWrap w:val="0"/>
                  <w:vAlign w:val="center"/>
                </w:tcPr>
                <w:p>
                  <w:pPr>
                    <w:pStyle w:val="47"/>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306" w:type="dxa"/>
                  <w:vMerge w:val="continue"/>
                  <w:noWrap w:val="0"/>
                  <w:vAlign w:val="center"/>
                </w:tcPr>
                <w:p>
                  <w:pPr>
                    <w:pStyle w:val="47"/>
                    <w:adjustRightInd w:val="0"/>
                    <w:snapToGrid w:val="0"/>
                    <w:spacing w:after="0" w:line="240" w:lineRule="atLeast"/>
                    <w:ind w:firstLine="0" w:firstLineChars="0"/>
                    <w:jc w:val="center"/>
                    <w:rPr>
                      <w:rFonts w:ascii="Times New Roman" w:hAnsi="Times New Roman" w:eastAsia="宋体"/>
                      <w:color w:val="000000"/>
                      <w:szCs w:val="21"/>
                    </w:rPr>
                  </w:pPr>
                </w:p>
              </w:tc>
              <w:tc>
                <w:tcPr>
                  <w:tcW w:w="1940" w:type="dxa"/>
                  <w:noWrap w:val="0"/>
                  <w:vAlign w:val="center"/>
                </w:tcPr>
                <w:p>
                  <w:pPr>
                    <w:pStyle w:val="47"/>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20</w:t>
                  </w:r>
                </w:p>
              </w:tc>
              <w:tc>
                <w:tcPr>
                  <w:tcW w:w="2783" w:type="dxa"/>
                  <w:noWrap w:val="0"/>
                  <w:vAlign w:val="center"/>
                </w:tcPr>
                <w:p>
                  <w:pPr>
                    <w:pStyle w:val="47"/>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监控点处任意一次浓度值</w:t>
                  </w:r>
                </w:p>
              </w:tc>
              <w:tc>
                <w:tcPr>
                  <w:tcW w:w="2248" w:type="dxa"/>
                  <w:vMerge w:val="continue"/>
                  <w:noWrap w:val="0"/>
                  <w:vAlign w:val="center"/>
                </w:tcPr>
                <w:p>
                  <w:pPr>
                    <w:pStyle w:val="47"/>
                    <w:adjustRightInd w:val="0"/>
                    <w:snapToGrid w:val="0"/>
                    <w:spacing w:after="0" w:line="240" w:lineRule="atLeast"/>
                    <w:ind w:firstLine="0" w:firstLineChars="0"/>
                    <w:jc w:val="center"/>
                    <w:rPr>
                      <w:rFonts w:ascii="Times New Roman" w:hAnsi="Times New Roman" w:eastAsia="宋体"/>
                      <w:bCs/>
                      <w:color w:val="000000"/>
                      <w:szCs w:val="21"/>
                    </w:rPr>
                  </w:pPr>
                </w:p>
              </w:tc>
            </w:tr>
          </w:tbl>
          <w:p>
            <w:pPr>
              <w:pStyle w:val="43"/>
              <w:spacing w:line="360" w:lineRule="auto"/>
              <w:ind w:firstLine="474"/>
              <w:rPr>
                <w:rFonts w:hint="default" w:ascii="Times New Roman" w:hAnsi="Times New Roman" w:eastAsia="宋体"/>
                <w:b/>
                <w:bCs/>
                <w:color w:val="000000"/>
                <w:spacing w:val="0"/>
                <w:kern w:val="2"/>
                <w:sz w:val="24"/>
                <w:szCs w:val="24"/>
                <w:lang w:val="en-US" w:eastAsia="zh-CN"/>
              </w:rPr>
            </w:pPr>
            <w:r>
              <w:rPr>
                <w:rFonts w:ascii="Times New Roman" w:hAnsi="Times New Roman" w:eastAsia="宋体"/>
                <w:b/>
                <w:bCs/>
                <w:color w:val="000000"/>
                <w:spacing w:val="0"/>
                <w:kern w:val="2"/>
                <w:sz w:val="24"/>
                <w:szCs w:val="24"/>
              </w:rPr>
              <w:t>表</w:t>
            </w:r>
            <w:r>
              <w:rPr>
                <w:rFonts w:hint="eastAsia" w:ascii="Times New Roman" w:hAnsi="Times New Roman" w:eastAsia="宋体"/>
                <w:b/>
                <w:bCs/>
                <w:color w:val="000000"/>
                <w:spacing w:val="0"/>
                <w:kern w:val="2"/>
                <w:sz w:val="24"/>
                <w:szCs w:val="24"/>
                <w:lang w:val="en-US" w:eastAsia="zh-CN"/>
              </w:rPr>
              <w:t>4-7</w:t>
            </w:r>
            <w:r>
              <w:rPr>
                <w:rFonts w:ascii="Times New Roman" w:hAnsi="Times New Roman" w:eastAsia="宋体"/>
                <w:b/>
                <w:bCs/>
                <w:color w:val="000000"/>
                <w:spacing w:val="0"/>
                <w:kern w:val="2"/>
                <w:sz w:val="24"/>
                <w:szCs w:val="24"/>
              </w:rPr>
              <w:t xml:space="preserve">  </w:t>
            </w:r>
            <w:r>
              <w:rPr>
                <w:rFonts w:hint="eastAsia" w:ascii="Times New Roman" w:hAnsi="Times New Roman" w:eastAsia="宋体"/>
                <w:b/>
                <w:bCs/>
                <w:color w:val="000000"/>
                <w:spacing w:val="0"/>
                <w:kern w:val="2"/>
                <w:sz w:val="24"/>
                <w:szCs w:val="24"/>
              </w:rPr>
              <w:t>企业边界大气污染物浓度限值</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9"/>
              <w:gridCol w:w="2931"/>
              <w:gridCol w:w="33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32" w:hRule="atLeast"/>
                <w:jc w:val="center"/>
              </w:trPr>
              <w:tc>
                <w:tcPr>
                  <w:tcW w:w="1215" w:type="pct"/>
                  <w:noWrap w:val="0"/>
                  <w:vAlign w:val="center"/>
                </w:tcPr>
                <w:p>
                  <w:pPr>
                    <w:pStyle w:val="47"/>
                    <w:adjustRightInd w:val="0"/>
                    <w:snapToGrid w:val="0"/>
                    <w:spacing w:after="0" w:line="240" w:lineRule="atLeast"/>
                    <w:ind w:firstLine="0" w:firstLineChars="0"/>
                    <w:jc w:val="center"/>
                    <w:rPr>
                      <w:rFonts w:hint="eastAsia" w:ascii="Times New Roman" w:hAnsi="Times New Roman" w:eastAsia="宋体"/>
                      <w:bCs/>
                      <w:color w:val="000000"/>
                      <w:szCs w:val="21"/>
                      <w:lang w:eastAsia="zh-CN"/>
                    </w:rPr>
                  </w:pPr>
                  <w:r>
                    <w:rPr>
                      <w:rFonts w:hint="eastAsia" w:ascii="Times New Roman" w:hAnsi="Times New Roman" w:eastAsia="宋体"/>
                      <w:bCs/>
                      <w:color w:val="000000"/>
                      <w:szCs w:val="21"/>
                      <w:lang w:val="en-US" w:eastAsia="zh-CN"/>
                    </w:rPr>
                    <w:t>序号</w:t>
                  </w:r>
                </w:p>
              </w:tc>
              <w:tc>
                <w:tcPr>
                  <w:tcW w:w="1755" w:type="pct"/>
                  <w:noWrap w:val="0"/>
                  <w:vAlign w:val="center"/>
                </w:tcPr>
                <w:p>
                  <w:pPr>
                    <w:pStyle w:val="47"/>
                    <w:adjustRightInd w:val="0"/>
                    <w:snapToGrid w:val="0"/>
                    <w:spacing w:after="0" w:line="240" w:lineRule="atLeast"/>
                    <w:ind w:firstLine="0" w:firstLineChars="0"/>
                    <w:jc w:val="center"/>
                    <w:rPr>
                      <w:rFonts w:ascii="Times New Roman" w:hAnsi="Times New Roman" w:eastAsia="宋体"/>
                      <w:bCs/>
                      <w:color w:val="000000"/>
                      <w:szCs w:val="21"/>
                    </w:rPr>
                  </w:pPr>
                  <w:r>
                    <w:rPr>
                      <w:rFonts w:ascii="Times New Roman" w:hAnsi="Times New Roman" w:eastAsia="宋体"/>
                      <w:bCs/>
                      <w:color w:val="000000"/>
                      <w:szCs w:val="21"/>
                    </w:rPr>
                    <w:t>污染物名称</w:t>
                  </w:r>
                </w:p>
              </w:tc>
              <w:tc>
                <w:tcPr>
                  <w:tcW w:w="2029" w:type="pct"/>
                  <w:noWrap w:val="0"/>
                  <w:vAlign w:val="center"/>
                </w:tcPr>
                <w:p>
                  <w:pPr>
                    <w:pStyle w:val="47"/>
                    <w:adjustRightInd w:val="0"/>
                    <w:snapToGrid w:val="0"/>
                    <w:spacing w:after="0" w:line="240" w:lineRule="atLeast"/>
                    <w:ind w:firstLine="0" w:firstLineChars="0"/>
                    <w:jc w:val="center"/>
                    <w:rPr>
                      <w:rFonts w:hint="eastAsia" w:ascii="Times New Roman" w:hAnsi="Times New Roman" w:eastAsia="宋体"/>
                      <w:bCs/>
                      <w:color w:val="000000"/>
                      <w:szCs w:val="21"/>
                      <w:lang w:eastAsia="zh-CN"/>
                    </w:rPr>
                  </w:pPr>
                  <w:r>
                    <w:rPr>
                      <w:rFonts w:hint="eastAsia" w:ascii="Times New Roman" w:hAnsi="Times New Roman" w:eastAsia="宋体"/>
                      <w:bCs/>
                      <w:color w:val="000000"/>
                      <w:szCs w:val="21"/>
                      <w:lang w:val="en-US" w:eastAsia="zh-CN"/>
                    </w:rPr>
                    <w:t>限值（</w:t>
                  </w:r>
                  <w:r>
                    <w:rPr>
                      <w:rFonts w:ascii="Times New Roman" w:hAnsi="Times New Roman" w:eastAsia="宋体"/>
                      <w:bCs/>
                      <w:color w:val="000000"/>
                      <w:szCs w:val="21"/>
                    </w:rPr>
                    <w:t>mg/m³</w:t>
                  </w:r>
                  <w:r>
                    <w:rPr>
                      <w:rFonts w:hint="eastAsia" w:ascii="Times New Roman" w:hAnsi="Times New Roman" w:eastAsia="宋体"/>
                      <w:bCs/>
                      <w:color w:val="000000"/>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1215" w:type="pct"/>
                  <w:noWrap w:val="0"/>
                  <w:vAlign w:val="center"/>
                </w:tcPr>
                <w:p>
                  <w:pPr>
                    <w:pStyle w:val="47"/>
                    <w:adjustRightInd w:val="0"/>
                    <w:snapToGrid w:val="0"/>
                    <w:spacing w:after="0" w:line="240" w:lineRule="atLeast"/>
                    <w:ind w:firstLine="0" w:firstLineChars="0"/>
                    <w:jc w:val="center"/>
                    <w:rPr>
                      <w:rFonts w:hint="eastAsia" w:ascii="Times New Roman" w:hAnsi="Times New Roman" w:eastAsia="宋体"/>
                      <w:bCs/>
                      <w:color w:val="000000"/>
                      <w:szCs w:val="21"/>
                      <w:lang w:eastAsia="zh-CN"/>
                    </w:rPr>
                  </w:pPr>
                  <w:r>
                    <w:rPr>
                      <w:rFonts w:hint="eastAsia" w:ascii="Times New Roman" w:hAnsi="Times New Roman" w:eastAsia="宋体"/>
                      <w:color w:val="000000"/>
                      <w:szCs w:val="21"/>
                      <w:lang w:val="en-US" w:eastAsia="zh-CN"/>
                    </w:rPr>
                    <w:t>1</w:t>
                  </w:r>
                </w:p>
              </w:tc>
              <w:tc>
                <w:tcPr>
                  <w:tcW w:w="1755" w:type="pct"/>
                  <w:noWrap w:val="0"/>
                  <w:vAlign w:val="center"/>
                </w:tcPr>
                <w:p>
                  <w:pPr>
                    <w:pStyle w:val="47"/>
                    <w:adjustRightInd w:val="0"/>
                    <w:snapToGrid w:val="0"/>
                    <w:spacing w:after="0" w:line="240" w:lineRule="atLeast"/>
                    <w:ind w:firstLine="0" w:firstLineChars="0"/>
                    <w:jc w:val="center"/>
                    <w:rPr>
                      <w:rFonts w:hint="eastAsia" w:ascii="Times New Roman" w:hAnsi="Times New Roman" w:eastAsia="宋体"/>
                      <w:bCs/>
                      <w:color w:val="000000"/>
                      <w:szCs w:val="21"/>
                      <w:lang w:val="en-US" w:eastAsia="zh-CN"/>
                    </w:rPr>
                  </w:pPr>
                  <w:r>
                    <w:rPr>
                      <w:rFonts w:hint="eastAsia" w:ascii="Times New Roman" w:hAnsi="Times New Roman" w:eastAsia="宋体"/>
                      <w:bCs/>
                      <w:color w:val="000000"/>
                      <w:szCs w:val="21"/>
                      <w:lang w:val="en-US" w:eastAsia="zh-CN"/>
                    </w:rPr>
                    <w:t>非甲烷总烃</w:t>
                  </w:r>
                </w:p>
              </w:tc>
              <w:tc>
                <w:tcPr>
                  <w:tcW w:w="2029" w:type="pct"/>
                  <w:noWrap w:val="0"/>
                  <w:vAlign w:val="center"/>
                </w:tcPr>
                <w:p>
                  <w:pPr>
                    <w:pStyle w:val="47"/>
                    <w:adjustRightInd w:val="0"/>
                    <w:snapToGrid w:val="0"/>
                    <w:spacing w:after="0" w:line="240" w:lineRule="atLeast"/>
                    <w:ind w:firstLine="0" w:firstLineChars="0"/>
                    <w:jc w:val="center"/>
                    <w:rPr>
                      <w:rFonts w:hint="default" w:ascii="Times New Roman" w:hAnsi="Times New Roman" w:eastAsia="宋体"/>
                      <w:bCs/>
                      <w:color w:val="000000"/>
                      <w:szCs w:val="21"/>
                      <w:lang w:val="en-US" w:eastAsia="zh-CN"/>
                    </w:rPr>
                  </w:pPr>
                  <w:r>
                    <w:rPr>
                      <w:rFonts w:hint="eastAsia" w:ascii="Times New Roman" w:hAnsi="Times New Roman" w:eastAsia="宋体"/>
                      <w:bCs/>
                      <w:color w:val="000000"/>
                      <w:szCs w:val="21"/>
                      <w:lang w:val="en-US" w:eastAsia="zh-CN"/>
                    </w:rPr>
                    <w:t>2.0</w:t>
                  </w:r>
                </w:p>
              </w:tc>
            </w:tr>
          </w:tbl>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2、废水</w:t>
            </w:r>
          </w:p>
          <w:p>
            <w:pPr>
              <w:spacing w:line="360" w:lineRule="auto"/>
              <w:ind w:firstLine="480" w:firstLineChars="200"/>
              <w:rPr>
                <w:rFonts w:hint="default" w:ascii="Times New Roman" w:hAnsi="Times New Roman" w:eastAsia="宋体"/>
                <w:sz w:val="24"/>
                <w:szCs w:val="24"/>
                <w:lang w:val="en-US" w:eastAsia="zh-CN"/>
              </w:rPr>
            </w:pPr>
            <w:bookmarkStart w:id="4" w:name="_Hlk507534864"/>
            <w:r>
              <w:rPr>
                <w:rFonts w:hint="eastAsia" w:ascii="Times New Roman" w:hAnsi="Times New Roman" w:eastAsia="宋体"/>
                <w:sz w:val="24"/>
                <w:szCs w:val="24"/>
                <w:lang w:val="en-US" w:eastAsia="zh-CN"/>
              </w:rPr>
              <w:t>技改</w:t>
            </w:r>
            <w:r>
              <w:rPr>
                <w:rFonts w:ascii="Times New Roman" w:hAnsi="Times New Roman" w:eastAsia="宋体"/>
                <w:sz w:val="24"/>
                <w:szCs w:val="24"/>
              </w:rPr>
              <w:t>项目产生的生活污水</w:t>
            </w:r>
            <w:r>
              <w:rPr>
                <w:rFonts w:hint="eastAsia" w:ascii="Times New Roman" w:hAnsi="Times New Roman" w:eastAsia="宋体"/>
                <w:sz w:val="24"/>
                <w:szCs w:val="24"/>
                <w:lang w:eastAsia="zh-CN"/>
              </w:rPr>
              <w:t>、</w:t>
            </w:r>
            <w:r>
              <w:rPr>
                <w:rFonts w:hint="eastAsia" w:ascii="Times New Roman" w:hAnsi="Times New Roman" w:eastAsia="宋体"/>
                <w:sz w:val="24"/>
                <w:szCs w:val="24"/>
                <w:lang w:val="en-US" w:eastAsia="zh-CN"/>
              </w:rPr>
              <w:t>生产循环水均进厂内污水处理站处理后循环使用，不外排。</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3、噪声</w:t>
            </w:r>
          </w:p>
          <w:p>
            <w:pPr>
              <w:spacing w:line="360" w:lineRule="auto"/>
              <w:ind w:firstLine="480" w:firstLineChars="200"/>
              <w:rPr>
                <w:rFonts w:ascii="Times New Roman" w:hAnsi="Times New Roman" w:eastAsia="宋体"/>
                <w:bCs/>
                <w:color w:val="auto"/>
                <w:sz w:val="24"/>
              </w:rPr>
            </w:pPr>
            <w:r>
              <w:rPr>
                <w:rFonts w:ascii="Times New Roman" w:hAnsi="Times New Roman" w:eastAsia="宋体"/>
                <w:bCs/>
                <w:color w:val="auto"/>
                <w:sz w:val="24"/>
              </w:rPr>
              <w:t>运营期噪声执行</w:t>
            </w:r>
            <w:r>
              <w:rPr>
                <w:rFonts w:ascii="Times New Roman" w:hAnsi="Times New Roman" w:eastAsia="宋体"/>
                <w:color w:val="auto"/>
                <w:sz w:val="24"/>
                <w:szCs w:val="24"/>
              </w:rPr>
              <w:t>《工业企业厂界环境噪声排放标准》（GB12348-2008）</w:t>
            </w:r>
            <w:r>
              <w:rPr>
                <w:rFonts w:ascii="Times New Roman" w:hAnsi="Times New Roman" w:eastAsia="宋体"/>
                <w:bCs/>
                <w:color w:val="auto"/>
                <w:sz w:val="24"/>
              </w:rPr>
              <w:t>中的3类标准。</w:t>
            </w:r>
          </w:p>
          <w:p>
            <w:pPr>
              <w:keepNext/>
              <w:keepLines/>
              <w:spacing w:line="360" w:lineRule="auto"/>
              <w:jc w:val="center"/>
              <w:rPr>
                <w:rFonts w:ascii="Times New Roman" w:hAnsi="Times New Roman" w:eastAsia="宋体"/>
                <w:b/>
                <w:bCs/>
                <w:color w:val="auto"/>
                <w:sz w:val="24"/>
              </w:rPr>
            </w:pPr>
            <w:r>
              <w:rPr>
                <w:rFonts w:ascii="Times New Roman" w:hAnsi="Times New Roman" w:eastAsia="宋体"/>
                <w:b/>
                <w:bCs/>
                <w:color w:val="auto"/>
                <w:sz w:val="24"/>
              </w:rPr>
              <w:t>表4-</w:t>
            </w:r>
            <w:r>
              <w:rPr>
                <w:rFonts w:hint="eastAsia" w:ascii="Times New Roman" w:hAnsi="Times New Roman" w:eastAsia="宋体"/>
                <w:b/>
                <w:bCs/>
                <w:color w:val="auto"/>
                <w:sz w:val="24"/>
                <w:lang w:val="en-US" w:eastAsia="zh-CN"/>
              </w:rPr>
              <w:t>8</w:t>
            </w:r>
            <w:r>
              <w:rPr>
                <w:rFonts w:ascii="Times New Roman" w:hAnsi="Times New Roman" w:eastAsia="宋体"/>
                <w:b/>
                <w:bCs/>
                <w:color w:val="auto"/>
                <w:sz w:val="24"/>
              </w:rPr>
              <w:t xml:space="preserve">   噪声排放标准        单位dB（A）</w:t>
            </w:r>
          </w:p>
          <w:tbl>
            <w:tblPr>
              <w:tblStyle w:val="22"/>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4"/>
              <w:gridCol w:w="2509"/>
              <w:gridCol w:w="1884"/>
              <w:gridCol w:w="20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6" w:type="pct"/>
                  <w:vAlign w:val="center"/>
                </w:tcPr>
                <w:p>
                  <w:pPr>
                    <w:spacing w:line="240" w:lineRule="atLeast"/>
                    <w:jc w:val="center"/>
                    <w:rPr>
                      <w:rFonts w:ascii="Times New Roman" w:hAnsi="Times New Roman" w:eastAsia="宋体"/>
                      <w:color w:val="auto"/>
                      <w:szCs w:val="21"/>
                    </w:rPr>
                  </w:pPr>
                  <w:r>
                    <w:rPr>
                      <w:rFonts w:ascii="Times New Roman" w:hAnsi="Times New Roman" w:eastAsia="宋体"/>
                      <w:color w:val="auto"/>
                      <w:szCs w:val="21"/>
                    </w:rPr>
                    <w:t>适合内容</w:t>
                  </w:r>
                </w:p>
              </w:tc>
              <w:tc>
                <w:tcPr>
                  <w:tcW w:w="1502" w:type="pct"/>
                  <w:vAlign w:val="center"/>
                </w:tcPr>
                <w:p>
                  <w:pPr>
                    <w:spacing w:line="240" w:lineRule="atLeast"/>
                    <w:jc w:val="center"/>
                    <w:rPr>
                      <w:rFonts w:ascii="Times New Roman" w:hAnsi="Times New Roman" w:eastAsia="宋体"/>
                      <w:color w:val="auto"/>
                      <w:szCs w:val="21"/>
                    </w:rPr>
                  </w:pPr>
                  <w:r>
                    <w:rPr>
                      <w:rFonts w:ascii="Times New Roman" w:hAnsi="Times New Roman" w:eastAsia="宋体"/>
                      <w:color w:val="auto"/>
                      <w:szCs w:val="21"/>
                    </w:rPr>
                    <w:t>标准</w:t>
                  </w:r>
                </w:p>
              </w:tc>
              <w:tc>
                <w:tcPr>
                  <w:tcW w:w="1128" w:type="pct"/>
                  <w:vAlign w:val="center"/>
                </w:tcPr>
                <w:p>
                  <w:pPr>
                    <w:spacing w:line="240" w:lineRule="atLeast"/>
                    <w:jc w:val="center"/>
                    <w:rPr>
                      <w:rFonts w:ascii="Times New Roman" w:hAnsi="Times New Roman" w:eastAsia="宋体"/>
                      <w:color w:val="auto"/>
                      <w:szCs w:val="21"/>
                    </w:rPr>
                  </w:pPr>
                  <w:r>
                    <w:rPr>
                      <w:rFonts w:ascii="Times New Roman" w:hAnsi="Times New Roman" w:eastAsia="宋体"/>
                      <w:color w:val="auto"/>
                      <w:szCs w:val="21"/>
                    </w:rPr>
                    <w:t>昼间</w:t>
                  </w:r>
                </w:p>
              </w:tc>
              <w:tc>
                <w:tcPr>
                  <w:tcW w:w="1252" w:type="pct"/>
                  <w:vAlign w:val="center"/>
                </w:tcPr>
                <w:p>
                  <w:pPr>
                    <w:spacing w:line="240" w:lineRule="atLeast"/>
                    <w:jc w:val="center"/>
                    <w:rPr>
                      <w:rFonts w:ascii="Times New Roman" w:hAnsi="Times New Roman" w:eastAsia="宋体"/>
                      <w:color w:val="auto"/>
                      <w:szCs w:val="21"/>
                    </w:rPr>
                  </w:pPr>
                  <w:r>
                    <w:rPr>
                      <w:rFonts w:ascii="Times New Roman" w:hAnsi="Times New Roman" w:eastAsia="宋体"/>
                      <w:color w:val="auto"/>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116" w:type="pct"/>
                  <w:vAlign w:val="center"/>
                </w:tcPr>
                <w:p>
                  <w:pPr>
                    <w:spacing w:line="240" w:lineRule="atLeast"/>
                    <w:jc w:val="center"/>
                    <w:rPr>
                      <w:rFonts w:ascii="Times New Roman" w:hAnsi="Times New Roman" w:eastAsia="宋体"/>
                      <w:color w:val="auto"/>
                      <w:szCs w:val="21"/>
                    </w:rPr>
                  </w:pPr>
                  <w:r>
                    <w:rPr>
                      <w:rFonts w:ascii="Times New Roman" w:hAnsi="Times New Roman" w:eastAsia="宋体"/>
                      <w:color w:val="auto"/>
                      <w:szCs w:val="21"/>
                    </w:rPr>
                    <w:t>运营期</w:t>
                  </w:r>
                </w:p>
              </w:tc>
              <w:tc>
                <w:tcPr>
                  <w:tcW w:w="1502" w:type="pct"/>
                  <w:vAlign w:val="center"/>
                </w:tcPr>
                <w:p>
                  <w:pPr>
                    <w:spacing w:line="240" w:lineRule="atLeast"/>
                    <w:jc w:val="center"/>
                    <w:rPr>
                      <w:rFonts w:ascii="Times New Roman" w:hAnsi="Times New Roman" w:eastAsia="宋体"/>
                      <w:color w:val="auto"/>
                      <w:szCs w:val="21"/>
                    </w:rPr>
                  </w:pPr>
                  <w:r>
                    <w:rPr>
                      <w:rFonts w:ascii="Times New Roman" w:hAnsi="Times New Roman" w:eastAsia="宋体"/>
                      <w:color w:val="auto"/>
                      <w:szCs w:val="21"/>
                    </w:rPr>
                    <w:t>GB12348-2008</w:t>
                  </w:r>
                </w:p>
              </w:tc>
              <w:tc>
                <w:tcPr>
                  <w:tcW w:w="1128" w:type="pct"/>
                  <w:vAlign w:val="center"/>
                </w:tcPr>
                <w:p>
                  <w:pPr>
                    <w:spacing w:line="240" w:lineRule="atLeast"/>
                    <w:jc w:val="center"/>
                    <w:rPr>
                      <w:rFonts w:ascii="Times New Roman" w:hAnsi="Times New Roman" w:eastAsia="宋体"/>
                      <w:color w:val="auto"/>
                      <w:szCs w:val="21"/>
                    </w:rPr>
                  </w:pPr>
                  <w:r>
                    <w:rPr>
                      <w:rFonts w:ascii="Times New Roman" w:hAnsi="Times New Roman" w:eastAsia="宋体"/>
                      <w:color w:val="auto"/>
                      <w:szCs w:val="21"/>
                    </w:rPr>
                    <w:t>65</w:t>
                  </w:r>
                </w:p>
              </w:tc>
              <w:tc>
                <w:tcPr>
                  <w:tcW w:w="1252" w:type="pct"/>
                  <w:vAlign w:val="center"/>
                </w:tcPr>
                <w:p>
                  <w:pPr>
                    <w:spacing w:line="240" w:lineRule="atLeast"/>
                    <w:jc w:val="center"/>
                    <w:rPr>
                      <w:rFonts w:ascii="Times New Roman" w:hAnsi="Times New Roman" w:eastAsia="宋体"/>
                      <w:color w:val="auto"/>
                      <w:szCs w:val="21"/>
                    </w:rPr>
                  </w:pPr>
                  <w:r>
                    <w:rPr>
                      <w:rFonts w:ascii="Times New Roman" w:hAnsi="Times New Roman" w:eastAsia="宋体"/>
                      <w:color w:val="auto"/>
                      <w:szCs w:val="21"/>
                    </w:rPr>
                    <w:t>55</w:t>
                  </w:r>
                </w:p>
              </w:tc>
            </w:tr>
            <w:bookmarkEnd w:id="4"/>
          </w:tbl>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4、固体废物</w:t>
            </w:r>
          </w:p>
          <w:p>
            <w:pPr>
              <w:spacing w:line="360" w:lineRule="auto"/>
              <w:ind w:firstLine="480" w:firstLineChars="200"/>
              <w:rPr>
                <w:rFonts w:ascii="Times New Roman" w:hAnsi="Times New Roman" w:eastAsia="宋体"/>
                <w:b/>
                <w:bCs/>
                <w:color w:val="auto"/>
                <w:sz w:val="24"/>
                <w:szCs w:val="24"/>
                <w:highlight w:val="yellow"/>
              </w:rPr>
            </w:pPr>
            <w:r>
              <w:rPr>
                <w:rFonts w:ascii="Times New Roman" w:hAnsi="Times New Roman" w:eastAsia="宋体"/>
                <w:color w:val="auto"/>
                <w:sz w:val="24"/>
                <w:szCs w:val="24"/>
              </w:rPr>
              <w:t>一般工业固废贮存执行《一般工业固体废物贮存、处置场污染控制标准》（GB18599-2001）及2013年修改单中相关规定。</w:t>
            </w:r>
            <w:r>
              <w:rPr>
                <w:rFonts w:hint="eastAsia" w:ascii="Times New Roman" w:hAnsi="Times New Roman" w:eastAsia="宋体"/>
                <w:color w:val="auto"/>
                <w:sz w:val="24"/>
                <w:szCs w:val="24"/>
              </w:rPr>
              <w:t>危险废物执行《危险废物贮存污染控制标准》（GB18597-2001）及修改单（2013）中有关规定执行。</w:t>
            </w:r>
          </w:p>
        </w:tc>
      </w:tr>
      <w:tr>
        <w:tblPrEx>
          <w:tblBorders>
            <w:top w:val="single" w:color="auto" w:sz="6"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387" w:hRule="atLeast"/>
          <w:jc w:val="center"/>
        </w:trPr>
        <w:tc>
          <w:tcPr>
            <w:tcW w:w="504" w:type="dxa"/>
            <w:vAlign w:val="center"/>
          </w:tcPr>
          <w:p>
            <w:pPr>
              <w:jc w:val="center"/>
              <w:rPr>
                <w:rFonts w:ascii="Times New Roman" w:hAnsi="Times New Roman" w:eastAsia="宋体"/>
                <w:color w:val="auto"/>
                <w:sz w:val="24"/>
                <w:szCs w:val="24"/>
              </w:rPr>
            </w:pPr>
            <w:r>
              <w:rPr>
                <w:rFonts w:ascii="Times New Roman" w:hAnsi="Times New Roman" w:eastAsia="宋体"/>
                <w:color w:val="auto"/>
                <w:sz w:val="24"/>
                <w:szCs w:val="24"/>
              </w:rPr>
              <w:t>总量</w:t>
            </w:r>
          </w:p>
          <w:p>
            <w:pPr>
              <w:jc w:val="center"/>
              <w:rPr>
                <w:rFonts w:ascii="Times New Roman" w:hAnsi="Times New Roman" w:eastAsia="宋体"/>
                <w:color w:val="auto"/>
                <w:sz w:val="24"/>
                <w:szCs w:val="24"/>
              </w:rPr>
            </w:pPr>
            <w:r>
              <w:rPr>
                <w:rFonts w:ascii="Times New Roman" w:hAnsi="Times New Roman" w:eastAsia="宋体"/>
                <w:color w:val="auto"/>
                <w:sz w:val="24"/>
                <w:szCs w:val="24"/>
              </w:rPr>
              <w:t>控制</w:t>
            </w:r>
          </w:p>
          <w:p>
            <w:pPr>
              <w:jc w:val="center"/>
              <w:rPr>
                <w:rFonts w:ascii="Times New Roman" w:hAnsi="Times New Roman" w:eastAsia="宋体"/>
                <w:color w:val="auto"/>
                <w:sz w:val="24"/>
                <w:szCs w:val="24"/>
                <w:highlight w:val="yellow"/>
              </w:rPr>
            </w:pPr>
            <w:r>
              <w:rPr>
                <w:rFonts w:ascii="Times New Roman" w:hAnsi="Times New Roman" w:eastAsia="宋体"/>
                <w:color w:val="auto"/>
                <w:sz w:val="24"/>
                <w:szCs w:val="24"/>
              </w:rPr>
              <w:t>指标</w:t>
            </w:r>
          </w:p>
        </w:tc>
        <w:tc>
          <w:tcPr>
            <w:tcW w:w="8499" w:type="dxa"/>
            <w:vAlign w:val="center"/>
          </w:tcPr>
          <w:p>
            <w:pPr>
              <w:spacing w:line="360" w:lineRule="auto"/>
              <w:ind w:firstLine="480" w:firstLineChars="200"/>
              <w:rPr>
                <w:rFonts w:hint="default" w:ascii="Times New Roman" w:hAnsi="Times New Roman" w:eastAsia="宋体"/>
                <w:color w:val="000000"/>
                <w:kern w:val="0"/>
                <w:sz w:val="24"/>
                <w:szCs w:val="24"/>
                <w:highlight w:val="none"/>
                <w:lang w:val="en-US" w:eastAsia="zh-CN"/>
              </w:rPr>
            </w:pPr>
            <w:r>
              <w:rPr>
                <w:rFonts w:ascii="Times New Roman" w:hAnsi="Times New Roman" w:eastAsia="宋体"/>
                <w:color w:val="000000"/>
                <w:sz w:val="24"/>
                <w:highlight w:val="none"/>
              </w:rPr>
              <w:t>本项目产生的</w:t>
            </w:r>
            <w:r>
              <w:rPr>
                <w:rFonts w:hint="eastAsia" w:ascii="Times New Roman" w:hAnsi="Times New Roman" w:eastAsia="宋体"/>
                <w:color w:val="000000"/>
                <w:sz w:val="24"/>
                <w:highlight w:val="none"/>
              </w:rPr>
              <w:t>水泥涂衬和水泥内磨产生的废水泥浆采用泥浆处理系统进行处理</w:t>
            </w:r>
            <w:r>
              <w:rPr>
                <w:rFonts w:hint="eastAsia" w:ascii="Times New Roman" w:hAnsi="Times New Roman" w:eastAsia="宋体"/>
                <w:color w:val="000000"/>
                <w:sz w:val="24"/>
                <w:highlight w:val="none"/>
                <w:lang w:eastAsia="zh-CN"/>
              </w:rPr>
              <w:t>，</w:t>
            </w:r>
            <w:r>
              <w:rPr>
                <w:rFonts w:hint="eastAsia" w:ascii="Times New Roman" w:hAnsi="Times New Roman" w:eastAsia="宋体"/>
                <w:color w:val="000000"/>
                <w:sz w:val="24"/>
                <w:highlight w:val="none"/>
                <w:lang w:val="en-US" w:eastAsia="zh-CN"/>
              </w:rPr>
              <w:t>循环使用不外排。</w:t>
            </w:r>
          </w:p>
          <w:p>
            <w:pPr>
              <w:spacing w:line="440" w:lineRule="exact"/>
              <w:ind w:firstLine="480" w:firstLineChars="200"/>
              <w:rPr>
                <w:rFonts w:ascii="Times New Roman" w:hAnsi="Times New Roman" w:eastAsia="宋体"/>
                <w:color w:val="000000"/>
                <w:kern w:val="0"/>
                <w:sz w:val="24"/>
                <w:szCs w:val="24"/>
                <w:highlight w:val="none"/>
              </w:rPr>
            </w:pPr>
            <w:r>
              <w:rPr>
                <w:rFonts w:hint="eastAsia" w:ascii="Times New Roman" w:hAnsi="Times New Roman" w:eastAsia="宋体"/>
                <w:kern w:val="0"/>
                <w:sz w:val="24"/>
                <w:highlight w:val="none"/>
              </w:rPr>
              <w:t>本环评建议大气污染物排放总量控制指标建议值为有组织</w:t>
            </w:r>
            <w:r>
              <w:rPr>
                <w:rFonts w:hint="eastAsia" w:ascii="Times New Roman" w:hAnsi="Times New Roman" w:eastAsia="宋体"/>
                <w:kern w:val="0"/>
                <w:sz w:val="24"/>
                <w:highlight w:val="none"/>
                <w:lang w:val="en-US" w:eastAsia="zh-CN"/>
              </w:rPr>
              <w:t>烟（粉）尘</w:t>
            </w:r>
            <w:r>
              <w:rPr>
                <w:rFonts w:hint="eastAsia" w:ascii="Times New Roman" w:hAnsi="Times New Roman" w:eastAsia="宋体"/>
                <w:kern w:val="0"/>
                <w:sz w:val="24"/>
                <w:highlight w:val="none"/>
                <w:lang w:val="en-US" w:eastAsia="zh-CN"/>
              </w:rPr>
              <w:t>5.216</w:t>
            </w:r>
            <w:r>
              <w:rPr>
                <w:rFonts w:hint="eastAsia" w:ascii="Times New Roman" w:hAnsi="Times New Roman" w:eastAsia="宋体"/>
                <w:kern w:val="0"/>
                <w:sz w:val="24"/>
                <w:highlight w:val="none"/>
                <w:lang w:val="en-US" w:eastAsia="zh-CN"/>
              </w:rPr>
              <w:t>t</w:t>
            </w:r>
            <w:r>
              <w:rPr>
                <w:rFonts w:hint="eastAsia" w:ascii="Times New Roman" w:hAnsi="Times New Roman" w:eastAsia="宋体"/>
                <w:kern w:val="0"/>
                <w:sz w:val="24"/>
                <w:highlight w:val="none"/>
              </w:rPr>
              <w:t>/a</w:t>
            </w:r>
            <w:r>
              <w:rPr>
                <w:rFonts w:ascii="Times New Roman" w:hAnsi="Times New Roman" w:eastAsia="宋体"/>
                <w:sz w:val="24"/>
                <w:highlight w:val="none"/>
              </w:rPr>
              <w:t>。</w:t>
            </w:r>
            <w:r>
              <w:rPr>
                <w:rFonts w:hint="eastAsia" w:ascii="Times New Roman" w:hAnsi="Times New Roman" w:eastAsia="宋体"/>
                <w:sz w:val="24"/>
                <w:highlight w:val="none"/>
                <w:lang w:val="en-US" w:eastAsia="zh-CN"/>
              </w:rPr>
              <w:t>无组织</w:t>
            </w:r>
            <w:r>
              <w:rPr>
                <w:rFonts w:hint="eastAsia" w:ascii="Times New Roman" w:hAnsi="Times New Roman" w:eastAsia="宋体"/>
                <w:kern w:val="0"/>
                <w:sz w:val="24"/>
                <w:highlight w:val="none"/>
                <w:lang w:val="en-US" w:eastAsia="zh-CN"/>
              </w:rPr>
              <w:t>烟（粉）尘</w:t>
            </w:r>
            <w:r>
              <w:rPr>
                <w:rFonts w:hint="eastAsia" w:ascii="Times New Roman" w:hAnsi="Times New Roman" w:eastAsia="宋体"/>
                <w:kern w:val="0"/>
                <w:sz w:val="24"/>
                <w:highlight w:val="none"/>
                <w:lang w:val="en-US" w:eastAsia="zh-CN"/>
              </w:rPr>
              <w:t>0.3</w:t>
            </w:r>
            <w:r>
              <w:rPr>
                <w:rFonts w:hint="eastAsia" w:ascii="Times New Roman" w:hAnsi="Times New Roman" w:eastAsia="宋体"/>
                <w:kern w:val="0"/>
                <w:sz w:val="24"/>
                <w:highlight w:val="none"/>
                <w:lang w:val="en-US" w:eastAsia="zh-CN"/>
              </w:rPr>
              <w:t>t</w:t>
            </w:r>
            <w:r>
              <w:rPr>
                <w:rFonts w:hint="eastAsia" w:ascii="Times New Roman" w:hAnsi="Times New Roman" w:eastAsia="宋体"/>
                <w:kern w:val="0"/>
                <w:sz w:val="24"/>
                <w:highlight w:val="none"/>
              </w:rPr>
              <w:t>/a</w:t>
            </w:r>
            <w:r>
              <w:rPr>
                <w:rFonts w:hint="eastAsia" w:ascii="Times New Roman" w:hAnsi="Times New Roman" w:eastAsia="宋体"/>
                <w:kern w:val="0"/>
                <w:sz w:val="24"/>
                <w:highlight w:val="none"/>
                <w:lang w:eastAsia="zh-CN"/>
              </w:rPr>
              <w:t>，</w:t>
            </w:r>
            <w:r>
              <w:rPr>
                <w:rFonts w:hint="eastAsia" w:ascii="Times New Roman" w:hAnsi="Times New Roman" w:eastAsia="宋体"/>
                <w:kern w:val="0"/>
                <w:sz w:val="24"/>
                <w:highlight w:val="none"/>
              </w:rPr>
              <w:t>有组织</w:t>
            </w:r>
            <w:r>
              <w:rPr>
                <w:rFonts w:hint="eastAsia" w:ascii="Times New Roman" w:hAnsi="Times New Roman" w:eastAsia="宋体"/>
                <w:sz w:val="24"/>
                <w:highlight w:val="none"/>
                <w:lang w:val="en-US" w:eastAsia="zh-CN"/>
              </w:rPr>
              <w:t>VOCs</w:t>
            </w:r>
            <w:r>
              <w:rPr>
                <w:rFonts w:hint="eastAsia" w:ascii="Times New Roman" w:hAnsi="Times New Roman" w:eastAsia="宋体"/>
                <w:sz w:val="24"/>
                <w:highlight w:val="none"/>
                <w:lang w:val="en-US" w:eastAsia="zh-CN"/>
              </w:rPr>
              <w:t>4.536</w:t>
            </w:r>
            <w:r>
              <w:rPr>
                <w:rFonts w:hint="eastAsia" w:ascii="Times New Roman" w:hAnsi="Times New Roman" w:eastAsia="宋体"/>
                <w:sz w:val="24"/>
                <w:highlight w:val="none"/>
                <w:lang w:val="en-US" w:eastAsia="zh-CN"/>
              </w:rPr>
              <w:t>t/a，</w:t>
            </w:r>
            <w:r>
              <w:rPr>
                <w:rFonts w:hint="eastAsia" w:ascii="Times New Roman" w:hAnsi="Times New Roman" w:eastAsia="宋体"/>
                <w:kern w:val="0"/>
                <w:sz w:val="24"/>
                <w:highlight w:val="none"/>
                <w:lang w:val="en-US" w:eastAsia="zh-CN"/>
              </w:rPr>
              <w:t>无</w:t>
            </w:r>
            <w:r>
              <w:rPr>
                <w:rFonts w:hint="eastAsia" w:ascii="Times New Roman" w:hAnsi="Times New Roman" w:eastAsia="宋体"/>
                <w:kern w:val="0"/>
                <w:sz w:val="24"/>
                <w:highlight w:val="none"/>
              </w:rPr>
              <w:t>组织</w:t>
            </w:r>
            <w:r>
              <w:rPr>
                <w:rFonts w:hint="eastAsia" w:ascii="Times New Roman" w:hAnsi="Times New Roman" w:eastAsia="宋体"/>
                <w:sz w:val="24"/>
                <w:highlight w:val="none"/>
                <w:lang w:val="en-US" w:eastAsia="zh-CN"/>
              </w:rPr>
              <w:t>VOCs</w:t>
            </w:r>
            <w:r>
              <w:rPr>
                <w:rFonts w:hint="eastAsia" w:ascii="Times New Roman" w:hAnsi="Times New Roman" w:eastAsia="宋体"/>
                <w:sz w:val="24"/>
                <w:highlight w:val="none"/>
                <w:lang w:val="en-US" w:eastAsia="zh-CN"/>
              </w:rPr>
              <w:t>5.04</w:t>
            </w:r>
            <w:r>
              <w:rPr>
                <w:rFonts w:hint="eastAsia" w:ascii="Times New Roman" w:hAnsi="Times New Roman" w:eastAsia="宋体"/>
                <w:sz w:val="24"/>
                <w:highlight w:val="none"/>
                <w:lang w:val="en-US" w:eastAsia="zh-CN"/>
              </w:rPr>
              <w:t>t/a</w:t>
            </w:r>
            <w:r>
              <w:rPr>
                <w:rFonts w:hint="eastAsia" w:ascii="Times New Roman" w:hAnsi="Times New Roman" w:eastAsia="宋体"/>
                <w:kern w:val="0"/>
                <w:sz w:val="24"/>
                <w:highlight w:val="none"/>
                <w:lang w:eastAsia="zh-CN"/>
              </w:rPr>
              <w:t>，</w:t>
            </w:r>
            <w:r>
              <w:rPr>
                <w:rFonts w:hint="eastAsia" w:ascii="Times New Roman" w:hAnsi="Times New Roman" w:eastAsia="宋体"/>
                <w:kern w:val="0"/>
                <w:sz w:val="24"/>
                <w:highlight w:val="none"/>
              </w:rPr>
              <w:t>有组织</w:t>
            </w:r>
            <w:r>
              <w:rPr>
                <w:rFonts w:hint="eastAsia" w:ascii="Times New Roman" w:hAnsi="Times New Roman" w:eastAsia="宋体"/>
                <w:sz w:val="24"/>
                <w:highlight w:val="none"/>
                <w:lang w:val="en-US" w:eastAsia="zh-CN"/>
              </w:rPr>
              <w:t>SO</w:t>
            </w:r>
            <w:r>
              <w:rPr>
                <w:rFonts w:hint="eastAsia" w:ascii="Times New Roman" w:hAnsi="Times New Roman" w:eastAsia="宋体"/>
                <w:sz w:val="24"/>
                <w:highlight w:val="none"/>
                <w:vertAlign w:val="subscript"/>
                <w:lang w:val="en-US" w:eastAsia="zh-CN"/>
              </w:rPr>
              <w:t>2</w:t>
            </w:r>
            <w:r>
              <w:rPr>
                <w:rFonts w:hint="eastAsia" w:ascii="Times New Roman" w:hAnsi="Times New Roman" w:eastAsia="宋体"/>
                <w:sz w:val="24"/>
                <w:highlight w:val="none"/>
                <w:lang w:val="en-US" w:eastAsia="zh-CN"/>
              </w:rPr>
              <w:t>3.369</w:t>
            </w:r>
            <w:r>
              <w:rPr>
                <w:rFonts w:hint="eastAsia" w:ascii="Times New Roman" w:hAnsi="Times New Roman" w:eastAsia="宋体"/>
                <w:sz w:val="24"/>
                <w:highlight w:val="none"/>
                <w:lang w:val="en-US" w:eastAsia="zh-CN"/>
              </w:rPr>
              <w:t>t/a，</w:t>
            </w:r>
            <w:r>
              <w:rPr>
                <w:rFonts w:hint="eastAsia" w:ascii="Times New Roman" w:hAnsi="Times New Roman" w:eastAsia="宋体"/>
                <w:kern w:val="0"/>
                <w:sz w:val="24"/>
                <w:highlight w:val="none"/>
              </w:rPr>
              <w:t>有组织</w:t>
            </w:r>
            <w:r>
              <w:rPr>
                <w:rFonts w:hint="eastAsia" w:ascii="Times New Roman" w:hAnsi="Times New Roman" w:eastAsia="宋体"/>
                <w:sz w:val="24"/>
                <w:highlight w:val="none"/>
                <w:lang w:val="en-US" w:eastAsia="zh-CN"/>
              </w:rPr>
              <w:t>NOx</w:t>
            </w:r>
            <w:r>
              <w:rPr>
                <w:rFonts w:hint="eastAsia" w:ascii="Times New Roman" w:hAnsi="Times New Roman" w:eastAsia="宋体"/>
                <w:sz w:val="24"/>
                <w:highlight w:val="none"/>
                <w:lang w:val="en-US" w:eastAsia="zh-CN"/>
              </w:rPr>
              <w:t>2.268</w:t>
            </w:r>
            <w:r>
              <w:rPr>
                <w:rFonts w:hint="eastAsia" w:ascii="Times New Roman" w:hAnsi="Times New Roman" w:eastAsia="宋体"/>
                <w:sz w:val="24"/>
                <w:highlight w:val="none"/>
                <w:lang w:val="en-US" w:eastAsia="zh-CN"/>
              </w:rPr>
              <w:t>t/a</w:t>
            </w:r>
            <w:r>
              <w:rPr>
                <w:rFonts w:hint="eastAsia" w:ascii="Times New Roman" w:hAnsi="Times New Roman" w:eastAsia="宋体"/>
                <w:sz w:val="24"/>
                <w:highlight w:val="none"/>
                <w:lang w:val="en-US" w:eastAsia="zh-CN"/>
              </w:rPr>
              <w:t>。</w:t>
            </w:r>
          </w:p>
          <w:p>
            <w:pPr>
              <w:spacing w:line="360" w:lineRule="auto"/>
              <w:rPr>
                <w:rFonts w:ascii="Times New Roman" w:hAnsi="Times New Roman" w:eastAsia="宋体"/>
                <w:color w:val="auto"/>
                <w:sz w:val="24"/>
                <w:szCs w:val="24"/>
              </w:rPr>
            </w:pPr>
          </w:p>
          <w:p>
            <w:pPr>
              <w:pStyle w:val="2"/>
              <w:rPr>
                <w:rFonts w:ascii="Times New Roman" w:hAnsi="Times New Roman" w:eastAsia="宋体"/>
                <w:color w:val="auto"/>
                <w:sz w:val="24"/>
                <w:szCs w:val="24"/>
              </w:rPr>
            </w:pPr>
          </w:p>
          <w:p>
            <w:pPr>
              <w:pStyle w:val="2"/>
              <w:rPr>
                <w:rFonts w:ascii="Times New Roman" w:hAnsi="Times New Roman" w:eastAsia="宋体"/>
                <w:color w:val="auto"/>
                <w:sz w:val="24"/>
                <w:szCs w:val="24"/>
              </w:rPr>
            </w:pPr>
          </w:p>
          <w:p>
            <w:pPr>
              <w:pStyle w:val="2"/>
              <w:rPr>
                <w:rFonts w:ascii="Times New Roman" w:hAnsi="Times New Roman" w:eastAsia="宋体"/>
                <w:color w:val="auto"/>
                <w:sz w:val="24"/>
                <w:szCs w:val="24"/>
              </w:rPr>
            </w:pPr>
          </w:p>
          <w:p>
            <w:pPr>
              <w:pStyle w:val="2"/>
              <w:rPr>
                <w:rFonts w:ascii="Times New Roman" w:hAnsi="Times New Roman" w:eastAsia="宋体"/>
                <w:color w:val="auto"/>
                <w:sz w:val="24"/>
                <w:szCs w:val="24"/>
              </w:rPr>
            </w:pPr>
          </w:p>
          <w:p>
            <w:pPr>
              <w:pStyle w:val="2"/>
              <w:rPr>
                <w:rFonts w:ascii="Times New Roman" w:hAnsi="Times New Roman" w:eastAsia="宋体"/>
                <w:color w:val="auto"/>
                <w:sz w:val="24"/>
                <w:szCs w:val="24"/>
              </w:rPr>
            </w:pPr>
          </w:p>
          <w:p>
            <w:pPr>
              <w:pStyle w:val="2"/>
              <w:rPr>
                <w:rFonts w:ascii="Times New Roman" w:hAnsi="Times New Roman" w:eastAsia="宋体"/>
                <w:color w:val="auto"/>
                <w:sz w:val="24"/>
                <w:szCs w:val="24"/>
              </w:rPr>
            </w:pPr>
          </w:p>
          <w:p>
            <w:pPr>
              <w:pStyle w:val="2"/>
              <w:rPr>
                <w:rFonts w:ascii="Times New Roman" w:hAnsi="Times New Roman" w:eastAsia="宋体"/>
                <w:color w:val="auto"/>
                <w:sz w:val="24"/>
                <w:szCs w:val="24"/>
              </w:rPr>
            </w:pPr>
          </w:p>
          <w:p>
            <w:pPr>
              <w:pStyle w:val="2"/>
              <w:rPr>
                <w:rFonts w:ascii="Times New Roman" w:hAnsi="Times New Roman" w:eastAsia="宋体"/>
                <w:color w:val="auto"/>
                <w:sz w:val="24"/>
                <w:szCs w:val="24"/>
              </w:rPr>
            </w:pPr>
          </w:p>
          <w:p>
            <w:pPr>
              <w:pStyle w:val="2"/>
              <w:rPr>
                <w:rFonts w:ascii="Times New Roman" w:hAnsi="Times New Roman" w:eastAsia="宋体"/>
                <w:color w:val="auto"/>
                <w:sz w:val="24"/>
                <w:szCs w:val="24"/>
              </w:rPr>
            </w:pPr>
          </w:p>
          <w:p>
            <w:pPr>
              <w:pStyle w:val="2"/>
              <w:rPr>
                <w:rFonts w:ascii="Times New Roman" w:hAnsi="Times New Roman" w:eastAsia="宋体"/>
                <w:color w:val="auto"/>
                <w:sz w:val="24"/>
                <w:szCs w:val="24"/>
              </w:rPr>
            </w:pPr>
          </w:p>
          <w:p>
            <w:pPr>
              <w:pStyle w:val="2"/>
              <w:rPr>
                <w:rFonts w:ascii="Times New Roman" w:hAnsi="Times New Roman" w:eastAsia="宋体"/>
                <w:color w:val="auto"/>
                <w:sz w:val="24"/>
                <w:szCs w:val="24"/>
              </w:rPr>
            </w:pPr>
          </w:p>
          <w:p>
            <w:pPr>
              <w:pStyle w:val="2"/>
              <w:rPr>
                <w:rFonts w:ascii="Times New Roman" w:hAnsi="Times New Roman" w:eastAsia="宋体"/>
                <w:color w:val="auto"/>
                <w:sz w:val="24"/>
                <w:szCs w:val="24"/>
              </w:rPr>
            </w:pPr>
          </w:p>
          <w:p>
            <w:pPr>
              <w:pStyle w:val="2"/>
              <w:rPr>
                <w:rFonts w:ascii="Times New Roman" w:hAnsi="Times New Roman" w:eastAsia="宋体"/>
                <w:color w:val="auto"/>
                <w:sz w:val="24"/>
                <w:szCs w:val="24"/>
              </w:rPr>
            </w:pPr>
          </w:p>
          <w:p>
            <w:pPr>
              <w:pStyle w:val="2"/>
              <w:rPr>
                <w:rFonts w:ascii="Times New Roman" w:hAnsi="Times New Roman" w:eastAsia="宋体"/>
                <w:color w:val="auto"/>
                <w:sz w:val="24"/>
                <w:szCs w:val="24"/>
              </w:rPr>
            </w:pPr>
          </w:p>
          <w:p>
            <w:pPr>
              <w:pStyle w:val="2"/>
              <w:rPr>
                <w:rFonts w:ascii="Times New Roman" w:hAnsi="Times New Roman" w:eastAsia="宋体"/>
                <w:color w:val="auto"/>
                <w:sz w:val="24"/>
                <w:szCs w:val="24"/>
              </w:rPr>
            </w:pPr>
          </w:p>
          <w:p>
            <w:pPr>
              <w:pStyle w:val="2"/>
              <w:rPr>
                <w:rFonts w:ascii="Times New Roman" w:hAnsi="Times New Roman" w:eastAsia="宋体"/>
                <w:color w:val="auto"/>
                <w:sz w:val="24"/>
                <w:szCs w:val="24"/>
              </w:rPr>
            </w:pPr>
          </w:p>
          <w:p>
            <w:pPr>
              <w:pStyle w:val="2"/>
              <w:rPr>
                <w:rFonts w:ascii="Times New Roman" w:hAnsi="Times New Roman" w:eastAsia="宋体"/>
                <w:color w:val="auto"/>
                <w:sz w:val="24"/>
                <w:szCs w:val="24"/>
              </w:rPr>
            </w:pPr>
          </w:p>
          <w:p>
            <w:pPr>
              <w:pStyle w:val="2"/>
              <w:rPr>
                <w:rFonts w:ascii="Times New Roman" w:hAnsi="Times New Roman" w:eastAsia="宋体"/>
                <w:color w:val="auto"/>
                <w:sz w:val="24"/>
                <w:szCs w:val="24"/>
              </w:rPr>
            </w:pPr>
          </w:p>
          <w:p>
            <w:pPr>
              <w:pStyle w:val="2"/>
              <w:rPr>
                <w:rFonts w:ascii="Times New Roman" w:hAnsi="Times New Roman" w:eastAsia="宋体"/>
                <w:color w:val="auto"/>
                <w:sz w:val="24"/>
                <w:szCs w:val="24"/>
              </w:rPr>
            </w:pPr>
          </w:p>
          <w:p>
            <w:pPr>
              <w:pStyle w:val="2"/>
              <w:rPr>
                <w:rFonts w:ascii="Times New Roman" w:hAnsi="Times New Roman" w:eastAsia="宋体"/>
                <w:color w:val="auto"/>
                <w:sz w:val="24"/>
                <w:szCs w:val="24"/>
              </w:rPr>
            </w:pPr>
          </w:p>
          <w:p>
            <w:pPr>
              <w:spacing w:line="360" w:lineRule="auto"/>
              <w:rPr>
                <w:rFonts w:ascii="Times New Roman" w:hAnsi="Times New Roman" w:eastAsia="宋体"/>
                <w:color w:val="auto"/>
              </w:rPr>
            </w:pPr>
          </w:p>
          <w:p>
            <w:pPr>
              <w:pStyle w:val="21"/>
              <w:ind w:firstLine="0" w:firstLineChars="0"/>
              <w:rPr>
                <w:rFonts w:ascii="Times New Roman" w:hAnsi="Times New Roman" w:eastAsia="宋体"/>
                <w:color w:val="auto"/>
                <w:sz w:val="24"/>
                <w:highlight w:val="yellow"/>
              </w:rPr>
            </w:pPr>
          </w:p>
        </w:tc>
      </w:tr>
    </w:tbl>
    <w:p>
      <w:pPr>
        <w:pStyle w:val="3"/>
        <w:rPr>
          <w:rFonts w:ascii="Times New Roman" w:hAnsi="Times New Roman" w:eastAsia="宋体"/>
          <w:color w:val="auto"/>
        </w:rPr>
      </w:pPr>
      <w:r>
        <w:rPr>
          <w:rFonts w:ascii="Times New Roman" w:hAnsi="Times New Roman" w:eastAsia="宋体"/>
          <w:color w:val="auto"/>
        </w:rPr>
        <w:t>建设项目工程分析</w:t>
      </w:r>
    </w:p>
    <w:tbl>
      <w:tblPr>
        <w:tblStyle w:val="22"/>
        <w:tblW w:w="936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79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782" w:hRule="atLeast"/>
          <w:jc w:val="center"/>
        </w:trPr>
        <w:tc>
          <w:tcPr>
            <w:tcW w:w="9366" w:type="dxa"/>
            <w:tcBorders>
              <w:top w:val="single" w:color="auto" w:sz="4" w:space="0"/>
              <w:left w:val="single" w:color="auto" w:sz="4" w:space="0"/>
              <w:bottom w:val="single" w:color="auto" w:sz="4" w:space="0"/>
              <w:right w:val="single" w:color="auto" w:sz="4" w:space="0"/>
            </w:tcBorders>
          </w:tcPr>
          <w:p>
            <w:pPr>
              <w:spacing w:line="360" w:lineRule="auto"/>
              <w:rPr>
                <w:rFonts w:ascii="Times New Roman" w:hAnsi="Times New Roman" w:eastAsia="宋体"/>
                <w:color w:val="auto"/>
                <w:sz w:val="24"/>
                <w:szCs w:val="24"/>
              </w:rPr>
            </w:pPr>
            <w:r>
              <w:rPr>
                <w:rFonts w:ascii="Times New Roman" w:hAnsi="Times New Roman" w:eastAsia="宋体"/>
                <w:color w:val="auto"/>
              </w:rPr>
              <w:t>工</w:t>
            </w:r>
            <w:r>
              <w:rPr>
                <w:rFonts w:ascii="Times New Roman" w:hAnsi="Times New Roman" w:eastAsia="宋体"/>
                <w:color w:val="auto"/>
                <w:sz w:val="24"/>
                <w:szCs w:val="24"/>
              </w:rPr>
              <w:t>艺流程简述（如图）：</w:t>
            </w:r>
          </w:p>
          <w:p>
            <w:pPr>
              <w:pStyle w:val="32"/>
              <w:spacing w:line="360" w:lineRule="auto"/>
              <w:ind w:firstLine="0" w:firstLineChars="0"/>
              <w:rPr>
                <w:rFonts w:ascii="Times New Roman" w:hAnsi="Times New Roman" w:eastAsia="宋体"/>
                <w:b/>
                <w:bCs/>
                <w:color w:val="auto"/>
                <w:sz w:val="21"/>
                <w:szCs w:val="21"/>
              </w:rPr>
            </w:pPr>
            <w:r>
              <w:rPr>
                <w:rFonts w:ascii="Times New Roman" w:hAnsi="Times New Roman" w:eastAsia="宋体"/>
                <w:b/>
                <w:bCs/>
                <w:color w:val="auto"/>
                <w:szCs w:val="24"/>
              </w:rPr>
              <w:t xml:space="preserve">一、施工期工程分析  </w:t>
            </w:r>
          </w:p>
          <w:p>
            <w:pPr>
              <w:keepNext w:val="0"/>
              <w:keepLines w:val="0"/>
              <w:numPr>
                <w:ilvl w:val="0"/>
                <w:numId w:val="0"/>
              </w:numPr>
              <w:suppressLineNumbers w:val="0"/>
              <w:tabs>
                <w:tab w:val="left" w:pos="975"/>
              </w:tabs>
              <w:spacing w:before="0" w:beforeAutospacing="0" w:after="0" w:afterAutospacing="0" w:line="360" w:lineRule="auto"/>
              <w:ind w:left="0" w:right="0" w:firstLine="562" w:firstLineChars="200"/>
              <w:rPr>
                <w:rFonts w:hint="eastAsia" w:ascii="Times New Roman" w:hAnsi="Times New Roman" w:eastAsia="宋体"/>
                <w:b/>
                <w:color w:val="auto"/>
                <w:sz w:val="28"/>
                <w:szCs w:val="28"/>
                <w:highlight w:val="none"/>
                <w:lang w:val="en-US" w:eastAsia="zh-CN"/>
              </w:rPr>
            </w:pPr>
            <w:r>
              <w:rPr>
                <w:rFonts w:hint="eastAsia" w:ascii="Times New Roman" w:hAnsi="Times New Roman" w:eastAsia="宋体"/>
                <w:b/>
                <w:color w:val="auto"/>
                <w:sz w:val="28"/>
                <w:szCs w:val="28"/>
                <w:highlight w:val="none"/>
                <w:lang w:val="en-US" w:eastAsia="zh-CN"/>
              </w:rPr>
              <w:t>1、施工期主要流程及产污环节:</w:t>
            </w:r>
          </w:p>
          <w:p>
            <w:pPr>
              <w:keepNext w:val="0"/>
              <w:keepLines w:val="0"/>
              <w:numPr>
                <w:ilvl w:val="0"/>
                <w:numId w:val="0"/>
              </w:numPr>
              <w:suppressLineNumbers w:val="0"/>
              <w:spacing w:before="0" w:beforeAutospacing="0" w:after="0" w:afterAutospacing="0" w:line="360" w:lineRule="auto"/>
              <w:ind w:left="0" w:right="0"/>
              <w:rPr>
                <w:rFonts w:hint="eastAsia" w:ascii="Times New Roman" w:hAnsi="Times New Roman" w:eastAsia="宋体"/>
                <w:color w:val="auto"/>
                <w:sz w:val="24"/>
                <w:highlight w:val="none"/>
              </w:rPr>
            </w:pPr>
            <w:r>
              <w:rPr>
                <w:rFonts w:hint="default" w:ascii="Times New Roman" w:hAnsi="Times New Roman" w:eastAsia="宋体"/>
                <w:color w:val="auto"/>
                <w:sz w:val="24"/>
                <w:highlight w:val="none"/>
              </w:rPr>
              <mc:AlternateContent>
                <mc:Choice Requires="wps">
                  <w:drawing>
                    <wp:anchor distT="0" distB="0" distL="114300" distR="114300" simplePos="0" relativeHeight="292421632" behindDoc="1" locked="0" layoutInCell="1" allowOverlap="1">
                      <wp:simplePos x="0" y="0"/>
                      <wp:positionH relativeFrom="column">
                        <wp:posOffset>692785</wp:posOffset>
                      </wp:positionH>
                      <wp:positionV relativeFrom="paragraph">
                        <wp:posOffset>32385</wp:posOffset>
                      </wp:positionV>
                      <wp:extent cx="1391285" cy="320675"/>
                      <wp:effectExtent l="0" t="0" r="0" b="0"/>
                      <wp:wrapNone/>
                      <wp:docPr id="3" name="矩形 3"/>
                      <wp:cNvGraphicFramePr/>
                      <a:graphic xmlns:a="http://schemas.openxmlformats.org/drawingml/2006/main">
                        <a:graphicData uri="http://schemas.microsoft.com/office/word/2010/wordprocessingShape">
                          <wps:wsp>
                            <wps:cNvSpPr/>
                            <wps:spPr>
                              <a:xfrm>
                                <a:off x="0" y="0"/>
                                <a:ext cx="1391285" cy="320675"/>
                              </a:xfrm>
                              <a:prstGeom prst="rect">
                                <a:avLst/>
                              </a:prstGeom>
                              <a:noFill/>
                              <a:ln>
                                <a:noFill/>
                              </a:ln>
                            </wps:spPr>
                            <wps:txbx>
                              <w:txbxContent>
                                <w:p>
                                  <w:pPr>
                                    <w:jc w:val="left"/>
                                    <w:rPr>
                                      <w:rFonts w:hint="eastAsia" w:eastAsia="宋体"/>
                                      <w:lang w:val="en-US" w:eastAsia="zh-CN"/>
                                    </w:rPr>
                                  </w:pPr>
                                  <w:r>
                                    <w:rPr>
                                      <w:rFonts w:hint="eastAsia"/>
                                      <w:color w:val="auto"/>
                                      <w:lang w:val="en-US" w:eastAsia="zh-CN"/>
                                    </w:rPr>
                                    <w:t>地基土、建筑垃圾</w:t>
                                  </w:r>
                                </w:p>
                              </w:txbxContent>
                            </wps:txbx>
                            <wps:bodyPr upright="1"/>
                          </wps:wsp>
                        </a:graphicData>
                      </a:graphic>
                    </wp:anchor>
                  </w:drawing>
                </mc:Choice>
                <mc:Fallback>
                  <w:pict>
                    <v:rect id="_x0000_s1026" o:spid="_x0000_s1026" o:spt="1" style="position:absolute;left:0pt;margin-left:54.55pt;margin-top:2.55pt;height:25.25pt;width:109.55pt;z-index:-210894848;mso-width-relative:page;mso-height-relative:page;" filled="f" stroked="f" coordsize="21600,21600" o:gfxdata="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KAANjDYAAAACAEAAA8AAAAA&#10;AAAAAQAgAAAAIgAAAGRycy9kb3ducmV2LnhtbFBLAQIUABQAAAAIAIdO4kA6gSuKogEAAEEDAAAO&#10;AAAAAAAAAAEAIAAAACcBAABkcnMvZTJvRG9jLnhtbFBLBQYAAAAABgAGAFkBAAA7BQ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地基土、建筑垃圾</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41792" behindDoc="0" locked="0" layoutInCell="1" allowOverlap="1">
                      <wp:simplePos x="0" y="0"/>
                      <wp:positionH relativeFrom="column">
                        <wp:posOffset>718820</wp:posOffset>
                      </wp:positionH>
                      <wp:positionV relativeFrom="paragraph">
                        <wp:posOffset>290830</wp:posOffset>
                      </wp:positionV>
                      <wp:extent cx="1282065" cy="635"/>
                      <wp:effectExtent l="0" t="48260" r="13335" b="65405"/>
                      <wp:wrapNone/>
                      <wp:docPr id="78" name="直接连接符 78"/>
                      <wp:cNvGraphicFramePr/>
                      <a:graphic xmlns:a="http://schemas.openxmlformats.org/drawingml/2006/main">
                        <a:graphicData uri="http://schemas.microsoft.com/office/word/2010/wordprocessingShape">
                          <wps:wsp>
                            <wps:cNvCnPr/>
                            <wps:spPr>
                              <a:xfrm>
                                <a:off x="0" y="0"/>
                                <a:ext cx="1282065"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56.6pt;margin-top:22.9pt;height:0.05pt;width:100.95pt;z-index:292641792;mso-width-relative:page;mso-height-relative:page;" filled="f" stroked="t" coordsize="21600,21600" o:gfxdata="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BS2w3vYAAAACQEAAA8AAAAAAAAAAQAgAAAAIgAAAGRycy9kb3ducmV2&#10;LnhtbFBLAQIUABQAAAAIAIdO4kAMP0Vt/AEAAOkDAAAOAAAAAAAAAAEAIAAAACcBAABkcnMvZTJv&#10;RG9jLnhtbFBLBQYAAAAABgAGAFkBAACVBQ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12096" behindDoc="0" locked="0" layoutInCell="1" allowOverlap="1">
                      <wp:simplePos x="0" y="0"/>
                      <wp:positionH relativeFrom="column">
                        <wp:posOffset>3182620</wp:posOffset>
                      </wp:positionH>
                      <wp:positionV relativeFrom="paragraph">
                        <wp:posOffset>88265</wp:posOffset>
                      </wp:positionV>
                      <wp:extent cx="2437765" cy="320675"/>
                      <wp:effectExtent l="0" t="0" r="0" b="0"/>
                      <wp:wrapNone/>
                      <wp:docPr id="77" name="矩形 77"/>
                      <wp:cNvGraphicFramePr/>
                      <a:graphic xmlns:a="http://schemas.openxmlformats.org/drawingml/2006/main">
                        <a:graphicData uri="http://schemas.microsoft.com/office/word/2010/wordprocessingShape">
                          <wps:wsp>
                            <wps:cNvSpPr/>
                            <wps:spPr>
                              <a:xfrm>
                                <a:off x="0" y="0"/>
                                <a:ext cx="2437765" cy="320675"/>
                              </a:xfrm>
                              <a:prstGeom prst="rect">
                                <a:avLst/>
                              </a:prstGeom>
                              <a:noFill/>
                              <a:ln>
                                <a:noFill/>
                              </a:ln>
                            </wps:spPr>
                            <wps:txbx>
                              <w:txbxContent>
                                <w:p>
                                  <w:pPr>
                                    <w:jc w:val="left"/>
                                    <w:rPr>
                                      <w:rFonts w:hint="eastAsia" w:eastAsia="宋体"/>
                                      <w:lang w:val="en-US" w:eastAsia="zh-CN"/>
                                    </w:rPr>
                                  </w:pPr>
                                  <w:r>
                                    <w:rPr>
                                      <w:rFonts w:hint="eastAsia"/>
                                      <w:color w:val="auto"/>
                                      <w:lang w:val="en-US" w:eastAsia="zh-CN"/>
                                    </w:rPr>
                                    <w:t>噪声、废气、生活污水</w:t>
                                  </w:r>
                                </w:p>
                              </w:txbxContent>
                            </wps:txbx>
                            <wps:bodyPr upright="1"/>
                          </wps:wsp>
                        </a:graphicData>
                      </a:graphic>
                    </wp:anchor>
                  </w:drawing>
                </mc:Choice>
                <mc:Fallback>
                  <w:pict>
                    <v:rect id="_x0000_s1026" o:spid="_x0000_s1026" o:spt="1" style="position:absolute;left:0pt;margin-left:250.6pt;margin-top:6.95pt;height:25.25pt;width:191.95pt;z-index:292612096;mso-width-relative:page;mso-height-relative:page;" filled="f" stroked="f" coordsize="21600,21600" o:gfxdata="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CGFG03aAAAACQEAAA8A&#10;AAAAAAAAAQAgAAAAIgAAAGRycy9kb3ducmV2LnhtbFBLAQIUABQAAAAIAIdO4kA4Qdm8owEAAEMD&#10;AAAOAAAAAAAAAAEAIAAAACkBAABkcnMvZTJvRG9jLnhtbFBLBQYAAAAABgAGAFkBAAA+BQ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噪声、废气、生活污水</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05952" behindDoc="0" locked="0" layoutInCell="1" allowOverlap="1">
                      <wp:simplePos x="0" y="0"/>
                      <wp:positionH relativeFrom="column">
                        <wp:posOffset>3073400</wp:posOffset>
                      </wp:positionH>
                      <wp:positionV relativeFrom="paragraph">
                        <wp:posOffset>235585</wp:posOffset>
                      </wp:positionV>
                      <wp:extent cx="169545" cy="635"/>
                      <wp:effectExtent l="5080" t="48895" r="15875" b="64770"/>
                      <wp:wrapNone/>
                      <wp:docPr id="76" name="直接连接符 76"/>
                      <wp:cNvGraphicFramePr/>
                      <a:graphic xmlns:a="http://schemas.openxmlformats.org/drawingml/2006/main">
                        <a:graphicData uri="http://schemas.microsoft.com/office/word/2010/wordprocessingShape">
                          <wps:wsp>
                            <wps:cNvCnPr/>
                            <wps:spPr>
                              <a:xfrm>
                                <a:off x="0" y="0"/>
                                <a:ext cx="169545" cy="635"/>
                              </a:xfrm>
                              <a:prstGeom prst="line">
                                <a:avLst/>
                              </a:prstGeom>
                              <a:ln w="9525" cap="sq" cmpd="sng">
                                <a:solidFill>
                                  <a:srgbClr val="000000"/>
                                </a:solidFill>
                                <a:prstDash val="sysDot"/>
                                <a:headEnd type="none" w="med" len="med"/>
                                <a:tailEnd type="arrow" w="med" len="med"/>
                              </a:ln>
                            </wps:spPr>
                            <wps:bodyPr upright="1"/>
                          </wps:wsp>
                        </a:graphicData>
                      </a:graphic>
                    </wp:anchor>
                  </w:drawing>
                </mc:Choice>
                <mc:Fallback>
                  <w:pict>
                    <v:line id="_x0000_s1026" o:spid="_x0000_s1026" o:spt="20" style="position:absolute;left:0pt;margin-left:242pt;margin-top:18.55pt;height:0.05pt;width:13.35pt;z-index:292605952;mso-width-relative:page;mso-height-relative:page;" filled="f" stroked="t" coordsize="21600,21600" o:gfxdata="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HQVi6vaAAAACQEAAA8AAAAAAAAAAQAgAAAAIgAAAGRycy9kb3du&#10;cmV2LnhtbFBLAQIUABQAAAAIAIdO4kAVHMcr/QEAAOcDAAAOAAAAAAAAAAEAIAAAACkBAABkcnMv&#10;ZTJvRG9jLnhtbFBLBQYAAAAABgAGAFkBAACYBQAAAAA=&#10;">
                      <v:fill on="f" focussize="0,0"/>
                      <v:stroke color="#000000" joinstyle="round" dashstyle="1 1" endcap="square"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10048" behindDoc="0" locked="0" layoutInCell="1" allowOverlap="1">
                      <wp:simplePos x="0" y="0"/>
                      <wp:positionH relativeFrom="column">
                        <wp:posOffset>1991995</wp:posOffset>
                      </wp:positionH>
                      <wp:positionV relativeFrom="paragraph">
                        <wp:posOffset>102235</wp:posOffset>
                      </wp:positionV>
                      <wp:extent cx="1079500" cy="285750"/>
                      <wp:effectExtent l="4445" t="4445" r="20955" b="14605"/>
                      <wp:wrapNone/>
                      <wp:docPr id="74" name="矩形 74"/>
                      <wp:cNvGraphicFramePr/>
                      <a:graphic xmlns:a="http://schemas.openxmlformats.org/drawingml/2006/main">
                        <a:graphicData uri="http://schemas.microsoft.com/office/word/2010/wordprocessingShape">
                          <wps:wsp>
                            <wps:cNvSpPr/>
                            <wps:spPr>
                              <a:xfrm>
                                <a:off x="0" y="0"/>
                                <a:ext cx="1079500" cy="285750"/>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eastAsia="宋体"/>
                                      <w:lang w:val="en-US" w:eastAsia="zh-CN"/>
                                    </w:rPr>
                                  </w:pPr>
                                  <w:r>
                                    <w:rPr>
                                      <w:rFonts w:hint="eastAsia" w:eastAsia="宋体"/>
                                      <w:lang w:val="en-US" w:eastAsia="zh-CN"/>
                                    </w:rPr>
                                    <w:t>填土、夯实</w:t>
                                  </w:r>
                                </w:p>
                              </w:txbxContent>
                            </wps:txbx>
                            <wps:bodyPr upright="1"/>
                          </wps:wsp>
                        </a:graphicData>
                      </a:graphic>
                    </wp:anchor>
                  </w:drawing>
                </mc:Choice>
                <mc:Fallback>
                  <w:pict>
                    <v:rect id="_x0000_s1026" o:spid="_x0000_s1026" o:spt="1" style="position:absolute;left:0pt;margin-left:156.85pt;margin-top:8.05pt;height:22.5pt;width:85pt;z-index:292610048;mso-width-relative:page;mso-height-relative:page;" filled="f" stroked="t" coordsize="21600,21600" o:gfxdata="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g2/BI1gAAAAkBAAAPAAAAAAAAAAEAIAAAACIAAABkcnMvZG93bnJl&#10;di54bWxQSwECFAAUAAAACACHTuJAoMHrWv8BAAACBAAADgAAAAAAAAABACAAAAAlAQAAZHJzL2Uy&#10;b0RvYy54bWxQSwUGAAAAAAYABgBZAQAAlgUAAAAA&#10;">
                      <v:fill on="f" focussize="0,0"/>
                      <v:stroke color="#000000" joinstyle="miter"/>
                      <v:imagedata o:title=""/>
                      <o:lock v:ext="edit" aspectratio="f"/>
                      <v:textbox>
                        <w:txbxContent>
                          <w:p>
                            <w:pPr>
                              <w:jc w:val="center"/>
                              <w:rPr>
                                <w:rFonts w:hint="eastAsia" w:eastAsia="宋体"/>
                                <w:lang w:val="en-US" w:eastAsia="zh-CN"/>
                              </w:rPr>
                            </w:pPr>
                            <w:r>
                              <w:rPr>
                                <w:rFonts w:hint="eastAsia" w:eastAsia="宋体"/>
                                <w:lang w:val="en-US" w:eastAsia="zh-CN"/>
                              </w:rPr>
                              <w:t>填土、夯实</w:t>
                            </w:r>
                          </w:p>
                        </w:txbxContent>
                      </v:textbox>
                    </v:rect>
                  </w:pict>
                </mc:Fallback>
              </mc:AlternateConten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olor w:val="auto"/>
                <w:sz w:val="24"/>
                <w:highlight w:val="none"/>
              </w:rPr>
            </w:pPr>
            <w:r>
              <w:rPr>
                <w:rFonts w:hint="default" w:ascii="Times New Roman" w:hAnsi="Times New Roman" w:eastAsia="宋体"/>
                <w:color w:val="auto"/>
                <w:sz w:val="24"/>
                <w:highlight w:val="none"/>
              </w:rPr>
              <mc:AlternateContent>
                <mc:Choice Requires="wps">
                  <w:drawing>
                    <wp:anchor distT="0" distB="0" distL="114300" distR="114300" simplePos="0" relativeHeight="292422656" behindDoc="1" locked="0" layoutInCell="1" allowOverlap="1">
                      <wp:simplePos x="0" y="0"/>
                      <wp:positionH relativeFrom="column">
                        <wp:posOffset>986790</wp:posOffset>
                      </wp:positionH>
                      <wp:positionV relativeFrom="paragraph">
                        <wp:posOffset>233680</wp:posOffset>
                      </wp:positionV>
                      <wp:extent cx="981075" cy="320675"/>
                      <wp:effectExtent l="0" t="0" r="0" b="0"/>
                      <wp:wrapNone/>
                      <wp:docPr id="56" name="矩形 56"/>
                      <wp:cNvGraphicFramePr/>
                      <a:graphic xmlns:a="http://schemas.openxmlformats.org/drawingml/2006/main">
                        <a:graphicData uri="http://schemas.microsoft.com/office/word/2010/wordprocessingShape">
                          <wps:wsp>
                            <wps:cNvSpPr/>
                            <wps:spPr>
                              <a:xfrm>
                                <a:off x="0" y="0"/>
                                <a:ext cx="981075" cy="320675"/>
                              </a:xfrm>
                              <a:prstGeom prst="rect">
                                <a:avLst/>
                              </a:prstGeom>
                              <a:noFill/>
                              <a:ln>
                                <a:noFill/>
                              </a:ln>
                            </wps:spPr>
                            <wps:txbx>
                              <w:txbxContent>
                                <w:p>
                                  <w:pPr>
                                    <w:jc w:val="left"/>
                                    <w:rPr>
                                      <w:rFonts w:hint="eastAsia" w:eastAsia="宋体"/>
                                      <w:lang w:val="en-US" w:eastAsia="zh-CN"/>
                                    </w:rPr>
                                  </w:pPr>
                                  <w:r>
                                    <w:rPr>
                                      <w:rFonts w:hint="eastAsia"/>
                                      <w:color w:val="auto"/>
                                      <w:lang w:val="en-US" w:eastAsia="zh-CN"/>
                                    </w:rPr>
                                    <w:t>建材、水</w:t>
                                  </w:r>
                                </w:p>
                              </w:txbxContent>
                            </wps:txbx>
                            <wps:bodyPr upright="1"/>
                          </wps:wsp>
                        </a:graphicData>
                      </a:graphic>
                    </wp:anchor>
                  </w:drawing>
                </mc:Choice>
                <mc:Fallback>
                  <w:pict>
                    <v:rect id="_x0000_s1026" o:spid="_x0000_s1026" o:spt="1" style="position:absolute;left:0pt;margin-left:77.7pt;margin-top:18.4pt;height:25.25pt;width:77.25pt;z-index:-210893824;mso-width-relative:page;mso-height-relative:page;" filled="f" stroked="f" coordsize="21600,21600" o:gfxdata="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fEx4doAAAAJAQAADwAA&#10;AAAAAAABACAAAAAiAAAAZHJzL2Rvd25yZXYueG1sUEsBAhQAFAAAAAgAh07iQKN3Hz6iAQAAQgMA&#10;AA4AAAAAAAAAAQAgAAAAKQEAAGRycy9lMm9Eb2MueG1sUEsFBgAAAAAGAAYAWQEAAD0FA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建材、水</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13120" behindDoc="0" locked="0" layoutInCell="1" allowOverlap="1">
                      <wp:simplePos x="0" y="0"/>
                      <wp:positionH relativeFrom="column">
                        <wp:posOffset>3192145</wp:posOffset>
                      </wp:positionH>
                      <wp:positionV relativeFrom="paragraph">
                        <wp:posOffset>248285</wp:posOffset>
                      </wp:positionV>
                      <wp:extent cx="2437765" cy="320675"/>
                      <wp:effectExtent l="0" t="0" r="0" b="0"/>
                      <wp:wrapNone/>
                      <wp:docPr id="4" name="矩形 4"/>
                      <wp:cNvGraphicFramePr/>
                      <a:graphic xmlns:a="http://schemas.openxmlformats.org/drawingml/2006/main">
                        <a:graphicData uri="http://schemas.microsoft.com/office/word/2010/wordprocessingShape">
                          <wps:wsp>
                            <wps:cNvSpPr/>
                            <wps:spPr>
                              <a:xfrm>
                                <a:off x="0" y="0"/>
                                <a:ext cx="2437765" cy="320675"/>
                              </a:xfrm>
                              <a:prstGeom prst="rect">
                                <a:avLst/>
                              </a:prstGeom>
                              <a:noFill/>
                              <a:ln>
                                <a:noFill/>
                              </a:ln>
                            </wps:spPr>
                            <wps:txbx>
                              <w:txbxContent>
                                <w:p>
                                  <w:pPr>
                                    <w:jc w:val="left"/>
                                    <w:rPr>
                                      <w:rFonts w:hint="eastAsia" w:eastAsia="宋体"/>
                                      <w:lang w:val="en-US" w:eastAsia="zh-CN"/>
                                    </w:rPr>
                                  </w:pPr>
                                  <w:r>
                                    <w:rPr>
                                      <w:rFonts w:hint="eastAsia"/>
                                      <w:color w:val="auto"/>
                                      <w:lang w:val="en-US" w:eastAsia="zh-CN"/>
                                    </w:rPr>
                                    <w:t>噪声、废气、生活污水、砂浆水</w:t>
                                  </w:r>
                                </w:p>
                                <w:p>
                                  <w:pPr>
                                    <w:jc w:val="left"/>
                                    <w:rPr>
                                      <w:rFonts w:hint="eastAsia" w:eastAsia="宋体"/>
                                      <w:lang w:val="en-US" w:eastAsia="zh-CN"/>
                                    </w:rPr>
                                  </w:pPr>
                                </w:p>
                              </w:txbxContent>
                            </wps:txbx>
                            <wps:bodyPr upright="1"/>
                          </wps:wsp>
                        </a:graphicData>
                      </a:graphic>
                    </wp:anchor>
                  </w:drawing>
                </mc:Choice>
                <mc:Fallback>
                  <w:pict>
                    <v:rect id="_x0000_s1026" o:spid="_x0000_s1026" o:spt="1" style="position:absolute;left:0pt;margin-left:251.35pt;margin-top:19.55pt;height:25.25pt;width:191.95pt;z-index:292613120;mso-width-relative:page;mso-height-relative:page;" filled="f" stroked="f" coordsize="21600,21600" o:gfxdata="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uaaOh9oAAAAJAQAADwAA&#10;AAAAAAABACAAAAAiAAAAZHJzL2Rvd25yZXYueG1sUEsBAhQAFAAAAAgAh07iQCjJoRmiAQAAQQMA&#10;AA4AAAAAAAAAAQAgAAAAKQEAAGRycy9lMm9Eb2MueG1sUEsFBgAAAAAGAAYAWQEAAD0FA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噪声、废气、生活污水、砂浆水</w:t>
                            </w:r>
                          </w:p>
                          <w:p>
                            <w:pPr>
                              <w:jc w:val="left"/>
                              <w:rPr>
                                <w:rFonts w:hint="eastAsia" w:eastAsia="宋体"/>
                                <w:lang w:val="en-US" w:eastAsia="zh-CN"/>
                              </w:rPr>
                            </w:pP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09024" behindDoc="0" locked="0" layoutInCell="1" allowOverlap="1">
                      <wp:simplePos x="0" y="0"/>
                      <wp:positionH relativeFrom="column">
                        <wp:posOffset>2534285</wp:posOffset>
                      </wp:positionH>
                      <wp:positionV relativeFrom="paragraph">
                        <wp:posOffset>106045</wp:posOffset>
                      </wp:positionV>
                      <wp:extent cx="1905" cy="153670"/>
                      <wp:effectExtent l="48260" t="0" r="64135" b="17780"/>
                      <wp:wrapNone/>
                      <wp:docPr id="5" name="直接连接符 5"/>
                      <wp:cNvGraphicFramePr/>
                      <a:graphic xmlns:a="http://schemas.openxmlformats.org/drawingml/2006/main">
                        <a:graphicData uri="http://schemas.microsoft.com/office/word/2010/wordprocessingShape">
                          <wps:wsp>
                            <wps:cNvCnPr/>
                            <wps:spPr>
                              <a:xfrm>
                                <a:off x="0" y="0"/>
                                <a:ext cx="1905" cy="15367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199.55pt;margin-top:8.35pt;height:12.1pt;width:0.15pt;z-index:292609024;mso-width-relative:page;mso-height-relative:page;" filled="f" stroked="t" coordsize="21600,21600" o:gfxdata="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t+v2PtkAAAAJAQAADwAAAAAAAAABACAAAAAiAAAAZHJzL2Rvd25y&#10;ZXYueG1sUEsBAhQAFAAAAAgAh07iQHCOOr/9AQAA5wMAAA4AAAAAAAAAAQAgAAAAKAEAAGRycy9l&#10;Mm9Eb2MueG1sUEsFBgAAAAAGAAYAWQEAAJcFA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03904" behindDoc="0" locked="0" layoutInCell="1" allowOverlap="1">
                      <wp:simplePos x="0" y="0"/>
                      <wp:positionH relativeFrom="column">
                        <wp:posOffset>2001520</wp:posOffset>
                      </wp:positionH>
                      <wp:positionV relativeFrom="paragraph">
                        <wp:posOffset>266700</wp:posOffset>
                      </wp:positionV>
                      <wp:extent cx="1079500" cy="285750"/>
                      <wp:effectExtent l="4445" t="4445" r="20955" b="14605"/>
                      <wp:wrapNone/>
                      <wp:docPr id="6" name="矩形 6"/>
                      <wp:cNvGraphicFramePr/>
                      <a:graphic xmlns:a="http://schemas.openxmlformats.org/drawingml/2006/main">
                        <a:graphicData uri="http://schemas.microsoft.com/office/word/2010/wordprocessingShape">
                          <wps:wsp>
                            <wps:cNvSpPr/>
                            <wps:spPr>
                              <a:xfrm>
                                <a:off x="0" y="0"/>
                                <a:ext cx="1079500" cy="285750"/>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eastAsia="宋体"/>
                                      <w:lang w:val="en-US" w:eastAsia="zh-CN"/>
                                    </w:rPr>
                                  </w:pPr>
                                  <w:r>
                                    <w:rPr>
                                      <w:rFonts w:hint="eastAsia" w:eastAsia="宋体"/>
                                      <w:lang w:val="en-US" w:eastAsia="zh-CN"/>
                                    </w:rPr>
                                    <w:t>钻孔灌注基</w:t>
                                  </w:r>
                                </w:p>
                              </w:txbxContent>
                            </wps:txbx>
                            <wps:bodyPr upright="1"/>
                          </wps:wsp>
                        </a:graphicData>
                      </a:graphic>
                    </wp:anchor>
                  </w:drawing>
                </mc:Choice>
                <mc:Fallback>
                  <w:pict>
                    <v:rect id="_x0000_s1026" o:spid="_x0000_s1026" o:spt="1" style="position:absolute;left:0pt;margin-left:157.6pt;margin-top:21pt;height:22.5pt;width:85pt;z-index:292603904;mso-width-relative:page;mso-height-relative:page;" filled="f" stroked="t" coordsize="21600,21600" o:gfxdata="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QSihLXAAAACQEAAA8AAAAAAAAAAQAgAAAAIgAAAGRycy9kb3ducmV2&#10;LnhtbFBLAQIUABQAAAAIAIdO4kBEXhPK/QEAAAAEAAAOAAAAAAAAAAEAIAAAACYBAABkcnMvZTJv&#10;RG9jLnhtbFBLBQYAAAAABgAGAFkBAACVBQAAAAA=&#10;">
                      <v:fill on="f" focussize="0,0"/>
                      <v:stroke color="#000000" joinstyle="miter"/>
                      <v:imagedata o:title=""/>
                      <o:lock v:ext="edit" aspectratio="f"/>
                      <v:textbox>
                        <w:txbxContent>
                          <w:p>
                            <w:pPr>
                              <w:jc w:val="center"/>
                              <w:rPr>
                                <w:rFonts w:hint="eastAsia" w:eastAsia="宋体"/>
                                <w:lang w:val="en-US" w:eastAsia="zh-CN"/>
                              </w:rPr>
                            </w:pPr>
                            <w:r>
                              <w:rPr>
                                <w:rFonts w:hint="eastAsia" w:eastAsia="宋体"/>
                                <w:lang w:val="en-US" w:eastAsia="zh-CN"/>
                              </w:rPr>
                              <w:t>钻孔灌注基</w:t>
                            </w:r>
                          </w:p>
                        </w:txbxContent>
                      </v:textbox>
                    </v:rect>
                  </w:pict>
                </mc:Fallback>
              </mc:AlternateContent>
            </w:r>
          </w:p>
          <w:p>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olor w:val="auto"/>
                <w:sz w:val="24"/>
                <w:highlight w:val="none"/>
              </w:rPr>
            </w:pPr>
            <w:r>
              <w:rPr>
                <w:rFonts w:hint="default" w:ascii="Times New Roman" w:hAnsi="Times New Roman" w:eastAsia="宋体"/>
                <w:color w:val="auto"/>
                <w:sz w:val="24"/>
                <w:highlight w:val="none"/>
              </w:rPr>
              <mc:AlternateContent>
                <mc:Choice Requires="wps">
                  <w:drawing>
                    <wp:anchor distT="0" distB="0" distL="114300" distR="114300" simplePos="0" relativeHeight="292646912" behindDoc="0" locked="0" layoutInCell="1" allowOverlap="1">
                      <wp:simplePos x="0" y="0"/>
                      <wp:positionH relativeFrom="column">
                        <wp:posOffset>724535</wp:posOffset>
                      </wp:positionH>
                      <wp:positionV relativeFrom="paragraph">
                        <wp:posOffset>185420</wp:posOffset>
                      </wp:positionV>
                      <wp:extent cx="1282065" cy="635"/>
                      <wp:effectExtent l="0" t="48260" r="13335" b="65405"/>
                      <wp:wrapNone/>
                      <wp:docPr id="7" name="直接连接符 7"/>
                      <wp:cNvGraphicFramePr/>
                      <a:graphic xmlns:a="http://schemas.openxmlformats.org/drawingml/2006/main">
                        <a:graphicData uri="http://schemas.microsoft.com/office/word/2010/wordprocessingShape">
                          <wps:wsp>
                            <wps:cNvCnPr/>
                            <wps:spPr>
                              <a:xfrm>
                                <a:off x="0" y="0"/>
                                <a:ext cx="1282065"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57.05pt;margin-top:14.6pt;height:0.05pt;width:100.95pt;z-index:292646912;mso-width-relative:page;mso-height-relative:page;" filled="f" stroked="t" coordsize="21600,21600" o:gfxdata="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ofHiRdgAAAAJAQAADwAAAAAAAAABACAAAAAiAAAAZHJzL2Rvd25yZXYu&#10;eG1sUEsBAhQAFAAAAAgAh07iQHgUZJj7AQAA5wMAAA4AAAAAAAAAAQAgAAAAJwEAAGRycy9lMm9E&#10;b2MueG1sUEsFBgAAAAAGAAYAWQEAAJQFA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20288" behindDoc="0" locked="0" layoutInCell="1" allowOverlap="1">
                      <wp:simplePos x="0" y="0"/>
                      <wp:positionH relativeFrom="column">
                        <wp:posOffset>2543175</wp:posOffset>
                      </wp:positionH>
                      <wp:positionV relativeFrom="paragraph">
                        <wp:posOffset>266700</wp:posOffset>
                      </wp:positionV>
                      <wp:extent cx="1905" cy="153670"/>
                      <wp:effectExtent l="48260" t="0" r="64135" b="17780"/>
                      <wp:wrapNone/>
                      <wp:docPr id="8" name="直接连接符 8"/>
                      <wp:cNvGraphicFramePr/>
                      <a:graphic xmlns:a="http://schemas.openxmlformats.org/drawingml/2006/main">
                        <a:graphicData uri="http://schemas.microsoft.com/office/word/2010/wordprocessingShape">
                          <wps:wsp>
                            <wps:cNvCnPr/>
                            <wps:spPr>
                              <a:xfrm>
                                <a:off x="0" y="0"/>
                                <a:ext cx="1905" cy="15367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00.25pt;margin-top:21pt;height:12.1pt;width:0.15pt;z-index:292620288;mso-width-relative:page;mso-height-relative:page;" filled="f" stroked="t" coordsize="21600,21600" o:gfxdata="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YYbQi2AAAAAkBAAAPAAAAAAAAAAEAIAAAACIAAABkcnMvZG93bnJl&#10;di54bWxQSwECFAAUAAAACACHTuJAlMsCo/0BAADnAwAADgAAAAAAAAABACAAAAAnAQAAZHJzL2Uy&#10;b0RvYy54bWxQSwUGAAAAAAYABgBZAQAAlgU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11072" behindDoc="0" locked="0" layoutInCell="1" allowOverlap="1">
                      <wp:simplePos x="0" y="0"/>
                      <wp:positionH relativeFrom="column">
                        <wp:posOffset>3101340</wp:posOffset>
                      </wp:positionH>
                      <wp:positionV relativeFrom="paragraph">
                        <wp:posOffset>104775</wp:posOffset>
                      </wp:positionV>
                      <wp:extent cx="169545" cy="635"/>
                      <wp:effectExtent l="5080" t="48895" r="15875" b="64770"/>
                      <wp:wrapNone/>
                      <wp:docPr id="9" name="直接连接符 9"/>
                      <wp:cNvGraphicFramePr/>
                      <a:graphic xmlns:a="http://schemas.openxmlformats.org/drawingml/2006/main">
                        <a:graphicData uri="http://schemas.microsoft.com/office/word/2010/wordprocessingShape">
                          <wps:wsp>
                            <wps:cNvCnPr/>
                            <wps:spPr>
                              <a:xfrm>
                                <a:off x="0" y="0"/>
                                <a:ext cx="169545" cy="635"/>
                              </a:xfrm>
                              <a:prstGeom prst="line">
                                <a:avLst/>
                              </a:prstGeom>
                              <a:ln w="9525" cap="sq" cmpd="sng">
                                <a:solidFill>
                                  <a:srgbClr val="000000"/>
                                </a:solidFill>
                                <a:prstDash val="sysDot"/>
                                <a:headEnd type="none" w="med" len="med"/>
                                <a:tailEnd type="arrow" w="med" len="med"/>
                              </a:ln>
                            </wps:spPr>
                            <wps:bodyPr upright="1"/>
                          </wps:wsp>
                        </a:graphicData>
                      </a:graphic>
                    </wp:anchor>
                  </w:drawing>
                </mc:Choice>
                <mc:Fallback>
                  <w:pict>
                    <v:line id="_x0000_s1026" o:spid="_x0000_s1026" o:spt="20" style="position:absolute;left:0pt;margin-left:244.2pt;margin-top:8.25pt;height:0.05pt;width:13.35pt;z-index:292611072;mso-width-relative:page;mso-height-relative:page;" filled="f" stroked="t" coordsize="21600,21600" o:gfxdata="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S3zZX2AAAAAkBAAAPAAAAAAAAAAEAIAAAACIAAABkcnMvZG93bnJldi54&#10;bWxQSwECFAAUAAAACACHTuJAr8NpDvoBAADlAwAADgAAAAAAAAABACAAAAAnAQAAZHJzL2Uyb0Rv&#10;Yy54bWxQSwUGAAAAAAYABgBZAQAAkwUAAAAA&#10;">
                      <v:fill on="f" focussize="0,0"/>
                      <v:stroke color="#000000" joinstyle="round" dashstyle="1 1" endcap="square" endarrow="open"/>
                      <v:imagedata o:title=""/>
                      <o:lock v:ext="edit" aspectratio="f"/>
                    </v:line>
                  </w:pict>
                </mc:Fallback>
              </mc:AlternateContent>
            </w:r>
          </w:p>
          <w:p>
            <w:pPr>
              <w:keepNext w:val="0"/>
              <w:keepLines w:val="0"/>
              <w:suppressLineNumbers w:val="0"/>
              <w:spacing w:before="0" w:beforeAutospacing="0" w:after="0" w:afterAutospacing="0" w:line="360" w:lineRule="auto"/>
              <w:ind w:left="0" w:right="0"/>
              <w:rPr>
                <w:rFonts w:hint="default" w:ascii="Times New Roman" w:hAnsi="Times New Roman" w:eastAsia="宋体"/>
                <w:color w:val="auto"/>
                <w:sz w:val="24"/>
                <w:highlight w:val="none"/>
              </w:rPr>
            </w:pPr>
            <w:r>
              <w:rPr>
                <w:rFonts w:hint="default" w:ascii="Times New Roman" w:hAnsi="Times New Roman" w:eastAsia="宋体"/>
                <w:color w:val="auto"/>
                <w:sz w:val="24"/>
                <w:highlight w:val="none"/>
              </w:rPr>
              <mc:AlternateContent>
                <mc:Choice Requires="wps">
                  <w:drawing>
                    <wp:anchor distT="0" distB="0" distL="114300" distR="114300" simplePos="0" relativeHeight="292424704" behindDoc="1" locked="0" layoutInCell="1" allowOverlap="1">
                      <wp:simplePos x="0" y="0"/>
                      <wp:positionH relativeFrom="column">
                        <wp:posOffset>991235</wp:posOffset>
                      </wp:positionH>
                      <wp:positionV relativeFrom="paragraph">
                        <wp:posOffset>82550</wp:posOffset>
                      </wp:positionV>
                      <wp:extent cx="1391285" cy="320675"/>
                      <wp:effectExtent l="0" t="0" r="0" b="0"/>
                      <wp:wrapNone/>
                      <wp:docPr id="10" name="矩形 10"/>
                      <wp:cNvGraphicFramePr/>
                      <a:graphic xmlns:a="http://schemas.openxmlformats.org/drawingml/2006/main">
                        <a:graphicData uri="http://schemas.microsoft.com/office/word/2010/wordprocessingShape">
                          <wps:wsp>
                            <wps:cNvSpPr/>
                            <wps:spPr>
                              <a:xfrm>
                                <a:off x="0" y="0"/>
                                <a:ext cx="1391285" cy="320675"/>
                              </a:xfrm>
                              <a:prstGeom prst="rect">
                                <a:avLst/>
                              </a:prstGeom>
                              <a:noFill/>
                              <a:ln>
                                <a:noFill/>
                              </a:ln>
                            </wps:spPr>
                            <wps:txbx>
                              <w:txbxContent>
                                <w:p>
                                  <w:pPr>
                                    <w:jc w:val="left"/>
                                    <w:rPr>
                                      <w:rFonts w:hint="eastAsia" w:eastAsia="宋体"/>
                                      <w:lang w:val="en-US" w:eastAsia="zh-CN"/>
                                    </w:rPr>
                                  </w:pPr>
                                  <w:r>
                                    <w:rPr>
                                      <w:rFonts w:hint="eastAsia"/>
                                      <w:color w:val="auto"/>
                                      <w:lang w:val="en-US" w:eastAsia="zh-CN"/>
                                    </w:rPr>
                                    <w:t>建材、水</w:t>
                                  </w:r>
                                </w:p>
                              </w:txbxContent>
                            </wps:txbx>
                            <wps:bodyPr upright="1"/>
                          </wps:wsp>
                        </a:graphicData>
                      </a:graphic>
                    </wp:anchor>
                  </w:drawing>
                </mc:Choice>
                <mc:Fallback>
                  <w:pict>
                    <v:rect id="_x0000_s1026" o:spid="_x0000_s1026" o:spt="1" style="position:absolute;left:0pt;margin-left:78.05pt;margin-top:6.5pt;height:25.25pt;width:109.55pt;z-index:-210891776;mso-width-relative:page;mso-height-relative:page;" filled="f" stroked="f" coordsize="21600,21600" o:gfxdata="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H1nnitkAAAAJAQAADwAA&#10;AAAAAAABACAAAAAiAAAAZHJzL2Rvd25yZXYueG1sUEsBAhQAFAAAAAgAh07iQP4T/3SjAQAAQwMA&#10;AA4AAAAAAAAAAQAgAAAAKAEAAGRycy9lMm9Eb2MueG1sUEsFBgAAAAAGAAYAWQEAAD0FA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建材、水</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04928" behindDoc="0" locked="0" layoutInCell="1" allowOverlap="1">
                      <wp:simplePos x="0" y="0"/>
                      <wp:positionH relativeFrom="column">
                        <wp:posOffset>2012950</wp:posOffset>
                      </wp:positionH>
                      <wp:positionV relativeFrom="paragraph">
                        <wp:posOffset>144780</wp:posOffset>
                      </wp:positionV>
                      <wp:extent cx="1079500" cy="285750"/>
                      <wp:effectExtent l="4445" t="4445" r="20955" b="14605"/>
                      <wp:wrapNone/>
                      <wp:docPr id="11" name="矩形 11"/>
                      <wp:cNvGraphicFramePr/>
                      <a:graphic xmlns:a="http://schemas.openxmlformats.org/drawingml/2006/main">
                        <a:graphicData uri="http://schemas.microsoft.com/office/word/2010/wordprocessingShape">
                          <wps:wsp>
                            <wps:cNvSpPr/>
                            <wps:spPr>
                              <a:xfrm>
                                <a:off x="0" y="0"/>
                                <a:ext cx="1079500" cy="285750"/>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lang w:val="en-US" w:eastAsia="zh-CN"/>
                                    </w:rPr>
                                  </w:pPr>
                                  <w:r>
                                    <w:rPr>
                                      <w:rFonts w:hint="eastAsia"/>
                                      <w:lang w:val="en-US" w:eastAsia="zh-CN"/>
                                    </w:rPr>
                                    <w:t>商品混凝土</w:t>
                                  </w:r>
                                </w:p>
                              </w:txbxContent>
                            </wps:txbx>
                            <wps:bodyPr upright="1"/>
                          </wps:wsp>
                        </a:graphicData>
                      </a:graphic>
                    </wp:anchor>
                  </w:drawing>
                </mc:Choice>
                <mc:Fallback>
                  <w:pict>
                    <v:rect id="_x0000_s1026" o:spid="_x0000_s1026" o:spt="1" style="position:absolute;left:0pt;margin-left:158.5pt;margin-top:11.4pt;height:22.5pt;width:85pt;z-index:292604928;mso-width-relative:page;mso-height-relative:page;" filled="f" stroked="t" coordsize="21600,21600" o:gfxdata="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RY6jXXAAAACQEAAA8AAAAAAAAAAQAgAAAAIgAAAGRycy9kb3ducmV2&#10;LnhtbFBLAQIUABQAAAAIAIdO4kDq8P1Q/QEAAAIEAAAOAAAAAAAAAAEAIAAAACYBAABkcnMvZTJv&#10;RG9jLnhtbFBLBQYAAAAABgAGAFkBAACVBQAAAAA=&#10;">
                      <v:fill on="f" focussize="0,0"/>
                      <v:stroke color="#000000" joinstyle="miter"/>
                      <v:imagedata o:title=""/>
                      <o:lock v:ext="edit" aspectratio="f"/>
                      <v:textbox>
                        <w:txbxContent>
                          <w:p>
                            <w:pPr>
                              <w:jc w:val="center"/>
                              <w:rPr>
                                <w:rFonts w:hint="eastAsia"/>
                                <w:lang w:val="en-US" w:eastAsia="zh-CN"/>
                              </w:rPr>
                            </w:pPr>
                            <w:r>
                              <w:rPr>
                                <w:rFonts w:hint="eastAsia"/>
                                <w:lang w:val="en-US" w:eastAsia="zh-CN"/>
                              </w:rPr>
                              <w:t>商品混凝土</w:t>
                            </w:r>
                          </w:p>
                        </w:txbxContent>
                      </v:textbox>
                    </v:rect>
                  </w:pict>
                </mc:Fallback>
              </mc:AlternateConten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default" w:ascii="Times New Roman" w:hAnsi="Times New Roman" w:eastAsia="宋体"/>
                <w:color w:val="auto"/>
                <w:sz w:val="24"/>
                <w:highlight w:val="none"/>
              </w:rPr>
              <mc:AlternateContent>
                <mc:Choice Requires="wps">
                  <w:drawing>
                    <wp:anchor distT="0" distB="0" distL="114300" distR="114300" simplePos="0" relativeHeight="292423680" behindDoc="1" locked="0" layoutInCell="1" allowOverlap="1">
                      <wp:simplePos x="0" y="0"/>
                      <wp:positionH relativeFrom="column">
                        <wp:posOffset>875665</wp:posOffset>
                      </wp:positionH>
                      <wp:positionV relativeFrom="paragraph">
                        <wp:posOffset>257810</wp:posOffset>
                      </wp:positionV>
                      <wp:extent cx="1391285" cy="320675"/>
                      <wp:effectExtent l="0" t="0" r="0" b="0"/>
                      <wp:wrapNone/>
                      <wp:docPr id="12" name="矩形 12"/>
                      <wp:cNvGraphicFramePr/>
                      <a:graphic xmlns:a="http://schemas.openxmlformats.org/drawingml/2006/main">
                        <a:graphicData uri="http://schemas.microsoft.com/office/word/2010/wordprocessingShape">
                          <wps:wsp>
                            <wps:cNvSpPr/>
                            <wps:spPr>
                              <a:xfrm>
                                <a:off x="0" y="0"/>
                                <a:ext cx="1391285" cy="320675"/>
                              </a:xfrm>
                              <a:prstGeom prst="rect">
                                <a:avLst/>
                              </a:prstGeom>
                              <a:noFill/>
                              <a:ln>
                                <a:noFill/>
                              </a:ln>
                            </wps:spPr>
                            <wps:txbx>
                              <w:txbxContent>
                                <w:p>
                                  <w:pPr>
                                    <w:jc w:val="left"/>
                                    <w:rPr>
                                      <w:rFonts w:hint="eastAsia" w:eastAsia="宋体"/>
                                      <w:lang w:val="en-US" w:eastAsia="zh-CN"/>
                                    </w:rPr>
                                  </w:pPr>
                                  <w:r>
                                    <w:rPr>
                                      <w:rFonts w:hint="eastAsia"/>
                                      <w:color w:val="auto"/>
                                      <w:lang w:val="en-US" w:eastAsia="zh-CN"/>
                                    </w:rPr>
                                    <w:t>砖、建材、水</w:t>
                                  </w:r>
                                </w:p>
                              </w:txbxContent>
                            </wps:txbx>
                            <wps:bodyPr upright="1"/>
                          </wps:wsp>
                        </a:graphicData>
                      </a:graphic>
                    </wp:anchor>
                  </w:drawing>
                </mc:Choice>
                <mc:Fallback>
                  <w:pict>
                    <v:rect id="_x0000_s1026" o:spid="_x0000_s1026" o:spt="1" style="position:absolute;left:0pt;margin-left:68.95pt;margin-top:20.3pt;height:25.25pt;width:109.55pt;z-index:-210892800;mso-width-relative:page;mso-height-relative:page;" filled="f" stroked="f" coordsize="21600,21600" o:gfxdata="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Kyp00raAAAACQEAAA8A&#10;AAAAAAAAAQAgAAAAIgAAAGRycy9kb3ducmV2LnhtbFBLAQIUABQAAAAIAIdO4kAqHn58owEAAEMD&#10;AAAOAAAAAAAAAAEAIAAAACkBAABkcnMvZTJvRG9jLnhtbFBLBQYAAAAABgAGAFkBAAA+BQ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砖、建材、水</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47936" behindDoc="0" locked="0" layoutInCell="1" allowOverlap="1">
                      <wp:simplePos x="0" y="0"/>
                      <wp:positionH relativeFrom="column">
                        <wp:posOffset>744855</wp:posOffset>
                      </wp:positionH>
                      <wp:positionV relativeFrom="paragraph">
                        <wp:posOffset>43815</wp:posOffset>
                      </wp:positionV>
                      <wp:extent cx="1282065" cy="635"/>
                      <wp:effectExtent l="0" t="48260" r="13335" b="65405"/>
                      <wp:wrapNone/>
                      <wp:docPr id="13" name="直接连接符 13"/>
                      <wp:cNvGraphicFramePr/>
                      <a:graphic xmlns:a="http://schemas.openxmlformats.org/drawingml/2006/main">
                        <a:graphicData uri="http://schemas.microsoft.com/office/word/2010/wordprocessingShape">
                          <wps:wsp>
                            <wps:cNvCnPr/>
                            <wps:spPr>
                              <a:xfrm>
                                <a:off x="0" y="0"/>
                                <a:ext cx="1282065"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58.65pt;margin-top:3.45pt;height:0.05pt;width:100.95pt;z-index:292647936;mso-width-relative:page;mso-height-relative:page;" filled="f" stroked="t" coordsize="21600,21600" o:gfxdata="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RMmFtcAAAAHAQAADwAAAAAAAAABACAAAAAiAAAAZHJzL2Rvd25yZXYu&#10;eG1sUEsBAhQAFAAAAAgAh07iQIbbbcb8AQAA6QMAAA4AAAAAAAAAAQAgAAAAJgEAAGRycy9lMm9E&#10;b2MueG1sUEsFBgAAAAAGAAYAWQEAAJQFA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36672" behindDoc="0" locked="0" layoutInCell="1" allowOverlap="1">
                      <wp:simplePos x="0" y="0"/>
                      <wp:positionH relativeFrom="column">
                        <wp:posOffset>3232150</wp:posOffset>
                      </wp:positionH>
                      <wp:positionV relativeFrom="paragraph">
                        <wp:posOffset>274320</wp:posOffset>
                      </wp:positionV>
                      <wp:extent cx="2510155" cy="320040"/>
                      <wp:effectExtent l="0" t="0" r="0" b="0"/>
                      <wp:wrapNone/>
                      <wp:docPr id="14" name="矩形 14"/>
                      <wp:cNvGraphicFramePr/>
                      <a:graphic xmlns:a="http://schemas.openxmlformats.org/drawingml/2006/main">
                        <a:graphicData uri="http://schemas.microsoft.com/office/word/2010/wordprocessingShape">
                          <wps:wsp>
                            <wps:cNvSpPr/>
                            <wps:spPr>
                              <a:xfrm>
                                <a:off x="0" y="0"/>
                                <a:ext cx="2510155" cy="320040"/>
                              </a:xfrm>
                              <a:prstGeom prst="rect">
                                <a:avLst/>
                              </a:prstGeom>
                              <a:noFill/>
                              <a:ln>
                                <a:noFill/>
                              </a:ln>
                            </wps:spPr>
                            <wps:txbx>
                              <w:txbxContent>
                                <w:p>
                                  <w:pPr>
                                    <w:jc w:val="left"/>
                                    <w:rPr>
                                      <w:rFonts w:hint="eastAsia" w:eastAsia="宋体"/>
                                      <w:lang w:val="en-US" w:eastAsia="zh-CN"/>
                                    </w:rPr>
                                  </w:pPr>
                                  <w:r>
                                    <w:rPr>
                                      <w:rFonts w:hint="eastAsia"/>
                                      <w:color w:val="auto"/>
                                      <w:lang w:val="en-US" w:eastAsia="zh-CN"/>
                                    </w:rPr>
                                    <w:t>噪声、废气、生活污水、砂浆水、固废</w:t>
                                  </w:r>
                                </w:p>
                                <w:p>
                                  <w:pPr>
                                    <w:jc w:val="left"/>
                                    <w:rPr>
                                      <w:rFonts w:hint="eastAsia" w:eastAsia="宋体"/>
                                      <w:lang w:val="en-US" w:eastAsia="zh-CN"/>
                                    </w:rPr>
                                  </w:pPr>
                                </w:p>
                              </w:txbxContent>
                            </wps:txbx>
                            <wps:bodyPr upright="1"/>
                          </wps:wsp>
                        </a:graphicData>
                      </a:graphic>
                    </wp:anchor>
                  </w:drawing>
                </mc:Choice>
                <mc:Fallback>
                  <w:pict>
                    <v:rect id="_x0000_s1026" o:spid="_x0000_s1026" o:spt="1" style="position:absolute;left:0pt;margin-left:254.5pt;margin-top:21.6pt;height:25.2pt;width:197.65pt;z-index:292636672;mso-width-relative:page;mso-height-relative:page;" filled="f" stroked="f" coordsize="21600,21600" o:gfxdata="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EKsIVDbAAAACQEAAA8A&#10;AAAAAAAAAQAgAAAAIgAAAGRycy9kb3ducmV2LnhtbFBLAQIUABQAAAAIAIdO4kACCcEWogEAAEMD&#10;AAAOAAAAAAAAAAEAIAAAACoBAABkcnMvZTJvRG9jLnhtbFBLBQYAAAAABgAGAFkBAAA+BQ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噪声、废气、生活污水、砂浆水、固废</w:t>
                            </w:r>
                          </w:p>
                          <w:p>
                            <w:pPr>
                              <w:jc w:val="left"/>
                              <w:rPr>
                                <w:rFonts w:hint="eastAsia" w:eastAsia="宋体"/>
                                <w:lang w:val="en-US" w:eastAsia="zh-CN"/>
                              </w:rPr>
                            </w:pP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17216" behindDoc="0" locked="0" layoutInCell="1" allowOverlap="1">
                      <wp:simplePos x="0" y="0"/>
                      <wp:positionH relativeFrom="column">
                        <wp:posOffset>2015490</wp:posOffset>
                      </wp:positionH>
                      <wp:positionV relativeFrom="paragraph">
                        <wp:posOffset>296545</wp:posOffset>
                      </wp:positionV>
                      <wp:extent cx="1079500" cy="285750"/>
                      <wp:effectExtent l="4445" t="4445" r="20955" b="14605"/>
                      <wp:wrapNone/>
                      <wp:docPr id="15" name="矩形 15"/>
                      <wp:cNvGraphicFramePr/>
                      <a:graphic xmlns:a="http://schemas.openxmlformats.org/drawingml/2006/main">
                        <a:graphicData uri="http://schemas.microsoft.com/office/word/2010/wordprocessingShape">
                          <wps:wsp>
                            <wps:cNvSpPr/>
                            <wps:spPr>
                              <a:xfrm>
                                <a:off x="0" y="0"/>
                                <a:ext cx="1079500" cy="285750"/>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lang w:val="en-US" w:eastAsia="zh-CN"/>
                                    </w:rPr>
                                  </w:pPr>
                                  <w:r>
                                    <w:rPr>
                                      <w:rFonts w:hint="eastAsia"/>
                                      <w:lang w:val="en-US" w:eastAsia="zh-CN"/>
                                    </w:rPr>
                                    <w:t>砖墙砌筑</w:t>
                                  </w:r>
                                </w:p>
                              </w:txbxContent>
                            </wps:txbx>
                            <wps:bodyPr upright="1"/>
                          </wps:wsp>
                        </a:graphicData>
                      </a:graphic>
                    </wp:anchor>
                  </w:drawing>
                </mc:Choice>
                <mc:Fallback>
                  <w:pict>
                    <v:rect id="_x0000_s1026" o:spid="_x0000_s1026" o:spt="1" style="position:absolute;left:0pt;margin-left:158.7pt;margin-top:23.35pt;height:22.5pt;width:85pt;z-index:292617216;mso-width-relative:page;mso-height-relative:page;" filled="f" stroked="t" coordsize="21600,21600" o:gfxdata="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qkjGu1wAAAAkBAAAPAAAAAAAAAAEAIAAAACIAAABkcnMvZG93bnJl&#10;di54bWxQSwECFAAUAAAACACHTuJAYYXIZv4BAAACBAAADgAAAAAAAAABACAAAAAmAQAAZHJzL2Uy&#10;b0RvYy54bWxQSwUGAAAAAAYABgBZAQAAlgUAAAAA&#10;">
                      <v:fill on="f" focussize="0,0"/>
                      <v:stroke color="#000000" joinstyle="miter"/>
                      <v:imagedata o:title=""/>
                      <o:lock v:ext="edit" aspectratio="f"/>
                      <v:textbox>
                        <w:txbxContent>
                          <w:p>
                            <w:pPr>
                              <w:jc w:val="center"/>
                              <w:rPr>
                                <w:rFonts w:hint="eastAsia"/>
                                <w:lang w:val="en-US" w:eastAsia="zh-CN"/>
                              </w:rPr>
                            </w:pPr>
                            <w:r>
                              <w:rPr>
                                <w:rFonts w:hint="eastAsia"/>
                                <w:lang w:val="en-US" w:eastAsia="zh-CN"/>
                              </w:rPr>
                              <w:t>砖墙砌筑</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19264" behindDoc="0" locked="0" layoutInCell="1" allowOverlap="1">
                      <wp:simplePos x="0" y="0"/>
                      <wp:positionH relativeFrom="column">
                        <wp:posOffset>2552065</wp:posOffset>
                      </wp:positionH>
                      <wp:positionV relativeFrom="paragraph">
                        <wp:posOffset>135890</wp:posOffset>
                      </wp:positionV>
                      <wp:extent cx="1905" cy="153670"/>
                      <wp:effectExtent l="48260" t="0" r="64135" b="17780"/>
                      <wp:wrapNone/>
                      <wp:docPr id="16" name="直接连接符 16"/>
                      <wp:cNvGraphicFramePr/>
                      <a:graphic xmlns:a="http://schemas.openxmlformats.org/drawingml/2006/main">
                        <a:graphicData uri="http://schemas.microsoft.com/office/word/2010/wordprocessingShape">
                          <wps:wsp>
                            <wps:cNvCnPr/>
                            <wps:spPr>
                              <a:xfrm>
                                <a:off x="0" y="0"/>
                                <a:ext cx="1905" cy="15367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00.95pt;margin-top:10.7pt;height:12.1pt;width:0.15pt;z-index:292619264;mso-width-relative:page;mso-height-relative:page;" filled="f" stroked="t" coordsize="21600,21600" o:gfxdata="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k1Gn5NoAAAAJAQAADwAAAAAAAAABACAAAAAiAAAAZHJzL2Rv&#10;d25yZXYueG1sUEsBAhQAFAAAAAgAh07iQDonXUn/AQAA6QMAAA4AAAAAAAAAAQAgAAAAKQEAAGRy&#10;cy9lMm9Eb2MueG1sUEsFBgAAAAAGAAYAWQEAAJoFAAAAAA==&#10;">
                      <v:fill on="f" focussize="0,0"/>
                      <v:stroke color="#000000" joinstyle="round" endarrow="open"/>
                      <v:imagedata o:title=""/>
                      <o:lock v:ext="edit" aspectratio="f"/>
                    </v:line>
                  </w:pict>
                </mc:Fallback>
              </mc:AlternateConten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default" w:ascii="Times New Roman" w:hAnsi="Times New Roman" w:eastAsia="宋体"/>
                <w:color w:val="auto"/>
                <w:sz w:val="24"/>
                <w:highlight w:val="none"/>
              </w:rPr>
              <mc:AlternateContent>
                <mc:Choice Requires="wps">
                  <w:drawing>
                    <wp:anchor distT="0" distB="0" distL="114300" distR="114300" simplePos="0" relativeHeight="292642816" behindDoc="0" locked="0" layoutInCell="1" allowOverlap="1">
                      <wp:simplePos x="0" y="0"/>
                      <wp:positionH relativeFrom="column">
                        <wp:posOffset>731520</wp:posOffset>
                      </wp:positionH>
                      <wp:positionV relativeFrom="paragraph">
                        <wp:posOffset>209550</wp:posOffset>
                      </wp:positionV>
                      <wp:extent cx="1282065" cy="635"/>
                      <wp:effectExtent l="0" t="48260" r="13335" b="65405"/>
                      <wp:wrapNone/>
                      <wp:docPr id="17" name="直接连接符 17"/>
                      <wp:cNvGraphicFramePr/>
                      <a:graphic xmlns:a="http://schemas.openxmlformats.org/drawingml/2006/main">
                        <a:graphicData uri="http://schemas.microsoft.com/office/word/2010/wordprocessingShape">
                          <wps:wsp>
                            <wps:cNvCnPr/>
                            <wps:spPr>
                              <a:xfrm>
                                <a:off x="0" y="0"/>
                                <a:ext cx="1282065"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57.6pt;margin-top:16.5pt;height:0.05pt;width:100.95pt;z-index:292642816;mso-width-relative:page;mso-height-relative:page;" filled="f" stroked="t" coordsize="21600,21600" o:gfxdata="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FYTHYAAAACQEAAA8AAAAAAAAAAQAgAAAAIgAAAGRycy9kb3ducmV2&#10;LnhtbFBLAQIUABQAAAAIAIdO4kAwwpD2/AEAAOkDAAAOAAAAAAAAAAEAIAAAACcBAABkcnMvZTJv&#10;RG9jLnhtbFBLBQYAAAAABgAGAFkBAACVBQ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30528" behindDoc="0" locked="0" layoutInCell="1" allowOverlap="1">
                      <wp:simplePos x="0" y="0"/>
                      <wp:positionH relativeFrom="column">
                        <wp:posOffset>3103245</wp:posOffset>
                      </wp:positionH>
                      <wp:positionV relativeFrom="paragraph">
                        <wp:posOffset>138430</wp:posOffset>
                      </wp:positionV>
                      <wp:extent cx="169545" cy="635"/>
                      <wp:effectExtent l="5080" t="48895" r="15875" b="64770"/>
                      <wp:wrapNone/>
                      <wp:docPr id="18" name="直接连接符 18"/>
                      <wp:cNvGraphicFramePr/>
                      <a:graphic xmlns:a="http://schemas.openxmlformats.org/drawingml/2006/main">
                        <a:graphicData uri="http://schemas.microsoft.com/office/word/2010/wordprocessingShape">
                          <wps:wsp>
                            <wps:cNvCnPr/>
                            <wps:spPr>
                              <a:xfrm>
                                <a:off x="0" y="0"/>
                                <a:ext cx="169545" cy="635"/>
                              </a:xfrm>
                              <a:prstGeom prst="line">
                                <a:avLst/>
                              </a:prstGeom>
                              <a:ln w="9525" cap="sq" cmpd="sng">
                                <a:solidFill>
                                  <a:srgbClr val="000000"/>
                                </a:solidFill>
                                <a:prstDash val="sysDot"/>
                                <a:headEnd type="none" w="med" len="med"/>
                                <a:tailEnd type="arrow" w="med" len="med"/>
                              </a:ln>
                            </wps:spPr>
                            <wps:bodyPr upright="1"/>
                          </wps:wsp>
                        </a:graphicData>
                      </a:graphic>
                    </wp:anchor>
                  </w:drawing>
                </mc:Choice>
                <mc:Fallback>
                  <w:pict>
                    <v:line id="_x0000_s1026" o:spid="_x0000_s1026" o:spt="20" style="position:absolute;left:0pt;margin-left:244.35pt;margin-top:10.9pt;height:0.05pt;width:13.35pt;z-index:292630528;mso-width-relative:page;mso-height-relative:page;" filled="f" stroked="t" coordsize="21600,21600" o:gfxdata="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aARxb2QAAAAkBAAAPAAAAAAAAAAEAIAAAACIAAABkcnMvZG93bnJl&#10;di54bWxQSwECFAAUAAAACACHTuJAt1PckfwBAADnAwAADgAAAAAAAAABACAAAAAoAQAAZHJzL2Uy&#10;b0RvYy54bWxQSwUGAAAAAAYABgBZAQAAlgUAAAAA&#10;">
                      <v:fill on="f" focussize="0,0"/>
                      <v:stroke color="#000000" joinstyle="round" dashstyle="1 1" endcap="square" endarrow="open"/>
                      <v:imagedata o:title=""/>
                      <o:lock v:ext="edit" aspectratio="f"/>
                    </v:line>
                  </w:pict>
                </mc:Fallback>
              </mc:AlternateConten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default" w:ascii="Times New Roman" w:hAnsi="Times New Roman" w:eastAsia="宋体"/>
                <w:color w:val="auto"/>
                <w:sz w:val="24"/>
                <w:highlight w:val="none"/>
              </w:rPr>
              <mc:AlternateContent>
                <mc:Choice Requires="wps">
                  <w:drawing>
                    <wp:anchor distT="0" distB="0" distL="114300" distR="114300" simplePos="0" relativeHeight="292425728" behindDoc="1" locked="0" layoutInCell="1" allowOverlap="1">
                      <wp:simplePos x="0" y="0"/>
                      <wp:positionH relativeFrom="column">
                        <wp:posOffset>951230</wp:posOffset>
                      </wp:positionH>
                      <wp:positionV relativeFrom="paragraph">
                        <wp:posOffset>110490</wp:posOffset>
                      </wp:positionV>
                      <wp:extent cx="1391285" cy="320675"/>
                      <wp:effectExtent l="0" t="0" r="0" b="0"/>
                      <wp:wrapNone/>
                      <wp:docPr id="23" name="矩形 23"/>
                      <wp:cNvGraphicFramePr/>
                      <a:graphic xmlns:a="http://schemas.openxmlformats.org/drawingml/2006/main">
                        <a:graphicData uri="http://schemas.microsoft.com/office/word/2010/wordprocessingShape">
                          <wps:wsp>
                            <wps:cNvSpPr/>
                            <wps:spPr>
                              <a:xfrm>
                                <a:off x="0" y="0"/>
                                <a:ext cx="1391285" cy="320675"/>
                              </a:xfrm>
                              <a:prstGeom prst="rect">
                                <a:avLst/>
                              </a:prstGeom>
                              <a:noFill/>
                              <a:ln>
                                <a:noFill/>
                              </a:ln>
                            </wps:spPr>
                            <wps:txbx>
                              <w:txbxContent>
                                <w:p>
                                  <w:pPr>
                                    <w:jc w:val="left"/>
                                    <w:rPr>
                                      <w:rFonts w:hint="eastAsia" w:eastAsia="宋体"/>
                                      <w:lang w:val="en-US" w:eastAsia="zh-CN"/>
                                    </w:rPr>
                                  </w:pPr>
                                  <w:r>
                                    <w:rPr>
                                      <w:rFonts w:hint="eastAsia"/>
                                      <w:color w:val="auto"/>
                                      <w:lang w:val="en-US" w:eastAsia="zh-CN"/>
                                    </w:rPr>
                                    <w:t>木板、钢材</w:t>
                                  </w:r>
                                </w:p>
                              </w:txbxContent>
                            </wps:txbx>
                            <wps:bodyPr upright="1"/>
                          </wps:wsp>
                        </a:graphicData>
                      </a:graphic>
                    </wp:anchor>
                  </w:drawing>
                </mc:Choice>
                <mc:Fallback>
                  <w:pict>
                    <v:rect id="_x0000_s1026" o:spid="_x0000_s1026" o:spt="1" style="position:absolute;left:0pt;margin-left:74.9pt;margin-top:8.7pt;height:25.25pt;width:109.55pt;z-index:-210890752;mso-width-relative:page;mso-height-relative:page;" filled="f" stroked="f" coordsize="21600,21600" o:gfxdata="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ISNK3XaAAAACQEAAA8A&#10;AAAAAAAAAQAgAAAAIgAAAGRycy9kb3ducmV2LnhtbFBLAQIUABQAAAAIAIdO4kDgRFO5owEAAEMD&#10;AAAOAAAAAAAAAAEAIAAAACkBAABkcnMvZTJvRG9jLnhtbFBLBQYAAAAABgAGAFkBAAA+BQ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木板、钢材</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06976" behindDoc="0" locked="0" layoutInCell="1" allowOverlap="1">
                      <wp:simplePos x="0" y="0"/>
                      <wp:positionH relativeFrom="column">
                        <wp:posOffset>3240405</wp:posOffset>
                      </wp:positionH>
                      <wp:positionV relativeFrom="paragraph">
                        <wp:posOffset>157480</wp:posOffset>
                      </wp:positionV>
                      <wp:extent cx="2510155" cy="320040"/>
                      <wp:effectExtent l="0" t="0" r="0" b="0"/>
                      <wp:wrapNone/>
                      <wp:docPr id="24" name="矩形 24"/>
                      <wp:cNvGraphicFramePr/>
                      <a:graphic xmlns:a="http://schemas.openxmlformats.org/drawingml/2006/main">
                        <a:graphicData uri="http://schemas.microsoft.com/office/word/2010/wordprocessingShape">
                          <wps:wsp>
                            <wps:cNvSpPr/>
                            <wps:spPr>
                              <a:xfrm>
                                <a:off x="0" y="0"/>
                                <a:ext cx="2510155" cy="320040"/>
                              </a:xfrm>
                              <a:prstGeom prst="rect">
                                <a:avLst/>
                              </a:prstGeom>
                              <a:noFill/>
                              <a:ln>
                                <a:noFill/>
                              </a:ln>
                            </wps:spPr>
                            <wps:txbx>
                              <w:txbxContent>
                                <w:p>
                                  <w:pPr>
                                    <w:jc w:val="left"/>
                                    <w:rPr>
                                      <w:rFonts w:hint="eastAsia" w:eastAsia="宋体"/>
                                      <w:lang w:val="en-US" w:eastAsia="zh-CN"/>
                                    </w:rPr>
                                  </w:pPr>
                                  <w:r>
                                    <w:rPr>
                                      <w:rFonts w:hint="eastAsia"/>
                                      <w:color w:val="auto"/>
                                      <w:lang w:val="en-US" w:eastAsia="zh-CN"/>
                                    </w:rPr>
                                    <w:t>噪声、生活污水、固废</w:t>
                                  </w:r>
                                </w:p>
                                <w:p>
                                  <w:pPr>
                                    <w:jc w:val="left"/>
                                    <w:rPr>
                                      <w:rFonts w:hint="eastAsia" w:eastAsia="宋体"/>
                                      <w:lang w:val="en-US" w:eastAsia="zh-CN"/>
                                    </w:rPr>
                                  </w:pPr>
                                </w:p>
                              </w:txbxContent>
                            </wps:txbx>
                            <wps:bodyPr upright="1"/>
                          </wps:wsp>
                        </a:graphicData>
                      </a:graphic>
                    </wp:anchor>
                  </w:drawing>
                </mc:Choice>
                <mc:Fallback>
                  <w:pict>
                    <v:rect id="_x0000_s1026" o:spid="_x0000_s1026" o:spt="1" style="position:absolute;left:0pt;margin-left:255.15pt;margin-top:12.4pt;height:25.2pt;width:197.65pt;z-index:292606976;mso-width-relative:page;mso-height-relative:page;" filled="f" stroked="f" coordsize="21600,21600" o:gfxdata="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FZgznDaAAAACQEAAA8A&#10;AAAAAAAAAQAgAAAAIgAAAGRycy9kb3ducmV2LnhtbFBLAQIUABQAAAAIAIdO4kAi1azXowEAAEMD&#10;AAAOAAAAAAAAAAEAIAAAACkBAABkcnMvZTJvRG9jLnhtbFBLBQYAAAAABgAGAFkBAAA+BQ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噪声、生活污水、固废</w:t>
                            </w:r>
                          </w:p>
                          <w:p>
                            <w:pPr>
                              <w:jc w:val="left"/>
                              <w:rPr>
                                <w:rFonts w:hint="eastAsia" w:eastAsia="宋体"/>
                                <w:lang w:val="en-US" w:eastAsia="zh-CN"/>
                              </w:rPr>
                            </w:pP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16192" behindDoc="0" locked="0" layoutInCell="1" allowOverlap="1">
                      <wp:simplePos x="0" y="0"/>
                      <wp:positionH relativeFrom="column">
                        <wp:posOffset>2016125</wp:posOffset>
                      </wp:positionH>
                      <wp:positionV relativeFrom="paragraph">
                        <wp:posOffset>164465</wp:posOffset>
                      </wp:positionV>
                      <wp:extent cx="1079500" cy="285750"/>
                      <wp:effectExtent l="4445" t="4445" r="20955" b="14605"/>
                      <wp:wrapNone/>
                      <wp:docPr id="25" name="矩形 25"/>
                      <wp:cNvGraphicFramePr/>
                      <a:graphic xmlns:a="http://schemas.openxmlformats.org/drawingml/2006/main">
                        <a:graphicData uri="http://schemas.microsoft.com/office/word/2010/wordprocessingShape">
                          <wps:wsp>
                            <wps:cNvSpPr/>
                            <wps:spPr>
                              <a:xfrm>
                                <a:off x="0" y="0"/>
                                <a:ext cx="1079500" cy="285750"/>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lang w:val="en-US" w:eastAsia="zh-CN"/>
                                    </w:rPr>
                                  </w:pPr>
                                  <w:r>
                                    <w:rPr>
                                      <w:rFonts w:hint="eastAsia"/>
                                      <w:lang w:val="en-US" w:eastAsia="zh-CN"/>
                                    </w:rPr>
                                    <w:t>门窗制作</w:t>
                                  </w:r>
                                </w:p>
                              </w:txbxContent>
                            </wps:txbx>
                            <wps:bodyPr upright="1"/>
                          </wps:wsp>
                        </a:graphicData>
                      </a:graphic>
                    </wp:anchor>
                  </w:drawing>
                </mc:Choice>
                <mc:Fallback>
                  <w:pict>
                    <v:rect id="_x0000_s1026" o:spid="_x0000_s1026" o:spt="1" style="position:absolute;left:0pt;margin-left:158.75pt;margin-top:12.95pt;height:22.5pt;width:85pt;z-index:292616192;mso-width-relative:page;mso-height-relative:page;" filled="f" stroked="t" coordsize="21600,21600" o:gfxdata="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XpkbDXAAAACQEAAA8AAAAAAAAAAQAgAAAAIgAAAGRycy9kb3ducmV2&#10;LnhtbFBLAQIUABQAAAAIAIdO4kDIaxXe/QEAAAIEAAAOAAAAAAAAAAEAIAAAACYBAABkcnMvZTJv&#10;RG9jLnhtbFBLBQYAAAAABgAGAFkBAACVBQAAAAA=&#10;">
                      <v:fill on="f" focussize="0,0"/>
                      <v:stroke color="#000000" joinstyle="miter"/>
                      <v:imagedata o:title=""/>
                      <o:lock v:ext="edit" aspectratio="f"/>
                      <v:textbox>
                        <w:txbxContent>
                          <w:p>
                            <w:pPr>
                              <w:jc w:val="center"/>
                              <w:rPr>
                                <w:rFonts w:hint="eastAsia"/>
                                <w:lang w:val="en-US" w:eastAsia="zh-CN"/>
                              </w:rPr>
                            </w:pPr>
                            <w:r>
                              <w:rPr>
                                <w:rFonts w:hint="eastAsia"/>
                                <w:lang w:val="en-US" w:eastAsia="zh-CN"/>
                              </w:rPr>
                              <w:t>门窗制作</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18240" behindDoc="0" locked="0" layoutInCell="1" allowOverlap="1">
                      <wp:simplePos x="0" y="0"/>
                      <wp:positionH relativeFrom="column">
                        <wp:posOffset>2559685</wp:posOffset>
                      </wp:positionH>
                      <wp:positionV relativeFrom="paragraph">
                        <wp:posOffset>3175</wp:posOffset>
                      </wp:positionV>
                      <wp:extent cx="1905" cy="153670"/>
                      <wp:effectExtent l="48260" t="0" r="64135" b="17780"/>
                      <wp:wrapNone/>
                      <wp:docPr id="26" name="直接连接符 26"/>
                      <wp:cNvGraphicFramePr/>
                      <a:graphic xmlns:a="http://schemas.openxmlformats.org/drawingml/2006/main">
                        <a:graphicData uri="http://schemas.microsoft.com/office/word/2010/wordprocessingShape">
                          <wps:wsp>
                            <wps:cNvCnPr/>
                            <wps:spPr>
                              <a:xfrm>
                                <a:off x="0" y="0"/>
                                <a:ext cx="1905" cy="15367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01.55pt;margin-top:0.25pt;height:12.1pt;width:0.15pt;z-index:292618240;mso-width-relative:page;mso-height-relative:page;" filled="f" stroked="t" coordsize="21600,21600" o:gfxdata="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0XOIF1gAAAAcBAAAPAAAAAAAAAAEAIAAAACIAAABkcnMvZG93bnJl&#10;di54bWxQSwECFAAUAAAACACHTuJAAujIUP8BAADpAwAADgAAAAAAAAABACAAAAAlAQAAZHJzL2Uy&#10;b0RvYy54bWxQSwUGAAAAAAYABgBZAQAAlgUAAAAA&#10;">
                      <v:fill on="f" focussize="0,0"/>
                      <v:stroke color="#000000" joinstyle="round" endarrow="open"/>
                      <v:imagedata o:title=""/>
                      <o:lock v:ext="edit" aspectratio="f"/>
                    </v:line>
                  </w:pict>
                </mc:Fallback>
              </mc:AlternateContent>
            </w:r>
          </w:p>
          <w:p>
            <w:pPr>
              <w:keepNext w:val="0"/>
              <w:keepLines w:val="0"/>
              <w:suppressLineNumbers w:val="0"/>
              <w:tabs>
                <w:tab w:val="left" w:pos="975"/>
              </w:tabs>
              <w:spacing w:before="0" w:beforeAutospacing="0" w:after="0" w:afterAutospacing="0" w:line="360" w:lineRule="auto"/>
              <w:ind w:left="0" w:right="0" w:firstLine="480" w:firstLineChars="200"/>
              <w:rPr>
                <w:rFonts w:hint="eastAsia" w:ascii="Times New Roman" w:hAnsi="Times New Roman" w:eastAsia="宋体"/>
                <w:b/>
                <w:color w:val="auto"/>
                <w:sz w:val="28"/>
                <w:szCs w:val="28"/>
                <w:highlight w:val="none"/>
                <w:lang w:val="en-US" w:eastAsia="zh-CN"/>
              </w:rPr>
            </w:pPr>
            <w:r>
              <w:rPr>
                <w:rFonts w:hint="default" w:ascii="Times New Roman" w:hAnsi="Times New Roman" w:eastAsia="宋体"/>
                <w:color w:val="auto"/>
                <w:sz w:val="24"/>
                <w:highlight w:val="none"/>
              </w:rPr>
              <mc:AlternateContent>
                <mc:Choice Requires="wps">
                  <w:drawing>
                    <wp:anchor distT="0" distB="0" distL="114300" distR="114300" simplePos="0" relativeHeight="292426752" behindDoc="1" locked="0" layoutInCell="1" allowOverlap="1">
                      <wp:simplePos x="0" y="0"/>
                      <wp:positionH relativeFrom="column">
                        <wp:posOffset>838200</wp:posOffset>
                      </wp:positionH>
                      <wp:positionV relativeFrom="paragraph">
                        <wp:posOffset>261620</wp:posOffset>
                      </wp:positionV>
                      <wp:extent cx="1391285" cy="320675"/>
                      <wp:effectExtent l="0" t="0" r="0" b="0"/>
                      <wp:wrapNone/>
                      <wp:docPr id="27" name="矩形 27"/>
                      <wp:cNvGraphicFramePr/>
                      <a:graphic xmlns:a="http://schemas.openxmlformats.org/drawingml/2006/main">
                        <a:graphicData uri="http://schemas.microsoft.com/office/word/2010/wordprocessingShape">
                          <wps:wsp>
                            <wps:cNvSpPr/>
                            <wps:spPr>
                              <a:xfrm>
                                <a:off x="0" y="0"/>
                                <a:ext cx="1391285" cy="320675"/>
                              </a:xfrm>
                              <a:prstGeom prst="rect">
                                <a:avLst/>
                              </a:prstGeom>
                              <a:noFill/>
                              <a:ln>
                                <a:noFill/>
                              </a:ln>
                            </wps:spPr>
                            <wps:txbx>
                              <w:txbxContent>
                                <w:p>
                                  <w:pPr>
                                    <w:jc w:val="left"/>
                                    <w:rPr>
                                      <w:rFonts w:hint="eastAsia" w:eastAsia="宋体"/>
                                      <w:lang w:val="en-US" w:eastAsia="zh-CN"/>
                                    </w:rPr>
                                  </w:pPr>
                                  <w:r>
                                    <w:rPr>
                                      <w:rFonts w:hint="eastAsia"/>
                                      <w:color w:val="auto"/>
                                      <w:lang w:val="en-US" w:eastAsia="zh-CN"/>
                                    </w:rPr>
                                    <w:t>防水涂料、建材</w:t>
                                  </w:r>
                                </w:p>
                              </w:txbxContent>
                            </wps:txbx>
                            <wps:bodyPr upright="1"/>
                          </wps:wsp>
                        </a:graphicData>
                      </a:graphic>
                    </wp:anchor>
                  </w:drawing>
                </mc:Choice>
                <mc:Fallback>
                  <w:pict>
                    <v:rect id="_x0000_s1026" o:spid="_x0000_s1026" o:spt="1" style="position:absolute;left:0pt;margin-left:66pt;margin-top:20.6pt;height:25.25pt;width:109.55pt;z-index:-210889728;mso-width-relative:page;mso-height-relative:page;" filled="f" stroked="f" coordsize="21600,21600" o:gfxdata="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tIba5NkAAAAJAQAADwAA&#10;AAAAAAABACAAAAAiAAAAZHJzL2Rvd25yZXYueG1sUEsBAhQAFAAAAAgAh07iQEhfUaijAQAAQwMA&#10;AA4AAAAAAAAAAQAgAAAAKAEAAGRycy9lMm9Eb2MueG1sUEsFBgAAAAAGAAYAWQEAAD0FA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防水涂料、建材</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44864" behindDoc="0" locked="0" layoutInCell="1" allowOverlap="1">
                      <wp:simplePos x="0" y="0"/>
                      <wp:positionH relativeFrom="column">
                        <wp:posOffset>737235</wp:posOffset>
                      </wp:positionH>
                      <wp:positionV relativeFrom="paragraph">
                        <wp:posOffset>76200</wp:posOffset>
                      </wp:positionV>
                      <wp:extent cx="1282065" cy="635"/>
                      <wp:effectExtent l="0" t="48260" r="13335" b="65405"/>
                      <wp:wrapNone/>
                      <wp:docPr id="30" name="直接连接符 30"/>
                      <wp:cNvGraphicFramePr/>
                      <a:graphic xmlns:a="http://schemas.openxmlformats.org/drawingml/2006/main">
                        <a:graphicData uri="http://schemas.microsoft.com/office/word/2010/wordprocessingShape">
                          <wps:wsp>
                            <wps:cNvCnPr/>
                            <wps:spPr>
                              <a:xfrm>
                                <a:off x="0" y="0"/>
                                <a:ext cx="1282065"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58.05pt;margin-top:6pt;height:0.05pt;width:100.95pt;z-index:292644864;mso-width-relative:page;mso-height-relative:page;" filled="f" stroked="t" coordsize="21600,21600" o:gfxdata="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mY8vW1gAAAAkBAAAPAAAAAAAAAAEAIAAAACIAAABkcnMvZG93bnJldi54&#10;bWxQSwECFAAUAAAACACHTuJAwOeNLvwBAADpAwAADgAAAAAAAAABACAAAAAlAQAAZHJzL2Uyb0Rv&#10;Yy54bWxQSwUGAAAAAAYABgBZAQAAkwU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22336" behindDoc="0" locked="0" layoutInCell="1" allowOverlap="1">
                      <wp:simplePos x="0" y="0"/>
                      <wp:positionH relativeFrom="column">
                        <wp:posOffset>3247390</wp:posOffset>
                      </wp:positionH>
                      <wp:positionV relativeFrom="paragraph">
                        <wp:posOffset>302260</wp:posOffset>
                      </wp:positionV>
                      <wp:extent cx="2510155" cy="320040"/>
                      <wp:effectExtent l="0" t="0" r="0" b="0"/>
                      <wp:wrapNone/>
                      <wp:docPr id="33" name="矩形 33"/>
                      <wp:cNvGraphicFramePr/>
                      <a:graphic xmlns:a="http://schemas.openxmlformats.org/drawingml/2006/main">
                        <a:graphicData uri="http://schemas.microsoft.com/office/word/2010/wordprocessingShape">
                          <wps:wsp>
                            <wps:cNvSpPr/>
                            <wps:spPr>
                              <a:xfrm>
                                <a:off x="0" y="0"/>
                                <a:ext cx="2510155" cy="320040"/>
                              </a:xfrm>
                              <a:prstGeom prst="rect">
                                <a:avLst/>
                              </a:prstGeom>
                              <a:noFill/>
                              <a:ln>
                                <a:noFill/>
                              </a:ln>
                            </wps:spPr>
                            <wps:txbx>
                              <w:txbxContent>
                                <w:p>
                                  <w:pPr>
                                    <w:jc w:val="left"/>
                                    <w:rPr>
                                      <w:rFonts w:hint="eastAsia" w:eastAsia="宋体"/>
                                      <w:lang w:val="en-US" w:eastAsia="zh-CN"/>
                                    </w:rPr>
                                  </w:pPr>
                                  <w:r>
                                    <w:rPr>
                                      <w:rFonts w:hint="eastAsia"/>
                                      <w:color w:val="auto"/>
                                      <w:lang w:val="en-US" w:eastAsia="zh-CN"/>
                                    </w:rPr>
                                    <w:t>噪声、废气、生活污水、砂浆水、固废</w:t>
                                  </w:r>
                                </w:p>
                              </w:txbxContent>
                            </wps:txbx>
                            <wps:bodyPr upright="1"/>
                          </wps:wsp>
                        </a:graphicData>
                      </a:graphic>
                    </wp:anchor>
                  </w:drawing>
                </mc:Choice>
                <mc:Fallback>
                  <w:pict>
                    <v:rect id="_x0000_s1026" o:spid="_x0000_s1026" o:spt="1" style="position:absolute;left:0pt;margin-left:255.7pt;margin-top:23.8pt;height:25.2pt;width:197.65pt;z-index:292622336;mso-width-relative:page;mso-height-relative:page;" filled="f" stroked="f" coordsize="21600,21600" o:gfxdata="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KIKQDaAAAACQEAAA8A&#10;AAAAAAAAAQAgAAAAIgAAAGRycy9kb3ducmV2LnhtbFBLAQIUABQAAAAIAIdO4kBUDrSKowEAAEMD&#10;AAAOAAAAAAAAAAEAIAAAACkBAABkcnMvZTJvRG9jLnhtbFBLBQYAAAAABgAGAFkBAAA+BQ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噪声、废气、生活污水、砂浆水、固废</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31552" behindDoc="0" locked="0" layoutInCell="1" allowOverlap="1">
                      <wp:simplePos x="0" y="0"/>
                      <wp:positionH relativeFrom="column">
                        <wp:posOffset>3109595</wp:posOffset>
                      </wp:positionH>
                      <wp:positionV relativeFrom="paragraph">
                        <wp:posOffset>17780</wp:posOffset>
                      </wp:positionV>
                      <wp:extent cx="169545" cy="635"/>
                      <wp:effectExtent l="5080" t="48895" r="15875" b="64770"/>
                      <wp:wrapNone/>
                      <wp:docPr id="35" name="直接连接符 35"/>
                      <wp:cNvGraphicFramePr/>
                      <a:graphic xmlns:a="http://schemas.openxmlformats.org/drawingml/2006/main">
                        <a:graphicData uri="http://schemas.microsoft.com/office/word/2010/wordprocessingShape">
                          <wps:wsp>
                            <wps:cNvCnPr/>
                            <wps:spPr>
                              <a:xfrm>
                                <a:off x="0" y="0"/>
                                <a:ext cx="169545" cy="635"/>
                              </a:xfrm>
                              <a:prstGeom prst="line">
                                <a:avLst/>
                              </a:prstGeom>
                              <a:ln w="9525" cap="sq" cmpd="sng">
                                <a:solidFill>
                                  <a:srgbClr val="000000"/>
                                </a:solidFill>
                                <a:prstDash val="sysDot"/>
                                <a:headEnd type="none" w="med" len="med"/>
                                <a:tailEnd type="arrow" w="med" len="med"/>
                              </a:ln>
                            </wps:spPr>
                            <wps:bodyPr upright="1"/>
                          </wps:wsp>
                        </a:graphicData>
                      </a:graphic>
                    </wp:anchor>
                  </w:drawing>
                </mc:Choice>
                <mc:Fallback>
                  <w:pict>
                    <v:line id="_x0000_s1026" o:spid="_x0000_s1026" o:spt="20" style="position:absolute;left:0pt;margin-left:244.85pt;margin-top:1.4pt;height:0.05pt;width:13.35pt;z-index:292631552;mso-width-relative:page;mso-height-relative:page;" filled="f" stroked="t" coordsize="21600,21600" o:gfxdata="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Ltgc5dgAAAAHAQAADwAAAAAAAAABACAAAAAiAAAAZHJzL2Rvd25y&#10;ZXYueG1sUEsBAhQAFAAAAAgAh07iQBC50yr+AQAA5wMAAA4AAAAAAAAAAQAgAAAAJwEAAGRycy9l&#10;Mm9Eb2MueG1sUEsFBgAAAAAGAAYAWQEAAJcFAAAAAA==&#10;">
                      <v:fill on="f" focussize="0,0"/>
                      <v:stroke color="#000000" joinstyle="round" dashstyle="1 1" endcap="square"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21312" behindDoc="0" locked="0" layoutInCell="1" allowOverlap="1">
                      <wp:simplePos x="0" y="0"/>
                      <wp:positionH relativeFrom="column">
                        <wp:posOffset>2027555</wp:posOffset>
                      </wp:positionH>
                      <wp:positionV relativeFrom="paragraph">
                        <wp:posOffset>321310</wp:posOffset>
                      </wp:positionV>
                      <wp:extent cx="1079500" cy="285750"/>
                      <wp:effectExtent l="4445" t="4445" r="20955" b="14605"/>
                      <wp:wrapNone/>
                      <wp:docPr id="36" name="矩形 36"/>
                      <wp:cNvGraphicFramePr/>
                      <a:graphic xmlns:a="http://schemas.openxmlformats.org/drawingml/2006/main">
                        <a:graphicData uri="http://schemas.microsoft.com/office/word/2010/wordprocessingShape">
                          <wps:wsp>
                            <wps:cNvSpPr/>
                            <wps:spPr>
                              <a:xfrm>
                                <a:off x="0" y="0"/>
                                <a:ext cx="1079500" cy="285750"/>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lang w:val="en-US" w:eastAsia="zh-CN"/>
                                    </w:rPr>
                                  </w:pPr>
                                  <w:r>
                                    <w:rPr>
                                      <w:rFonts w:hint="eastAsia"/>
                                      <w:lang w:val="en-US" w:eastAsia="zh-CN"/>
                                    </w:rPr>
                                    <w:t>屋面制作</w:t>
                                  </w:r>
                                </w:p>
                              </w:txbxContent>
                            </wps:txbx>
                            <wps:bodyPr upright="1"/>
                          </wps:wsp>
                        </a:graphicData>
                      </a:graphic>
                    </wp:anchor>
                  </w:drawing>
                </mc:Choice>
                <mc:Fallback>
                  <w:pict>
                    <v:rect id="_x0000_s1026" o:spid="_x0000_s1026" o:spt="1" style="position:absolute;left:0pt;margin-left:159.65pt;margin-top:25.3pt;height:22.5pt;width:85pt;z-index:292621312;mso-width-relative:page;mso-height-relative:page;" filled="f" stroked="t" coordsize="21600,21600" o:gfxdata="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fC2r01wAAAAkBAAAPAAAAAAAAAAEAIAAAACIAAABkcnMvZG93bnJl&#10;di54bWxQSwECFAAUAAAACACHTuJAmJcV1v4BAAACBAAADgAAAAAAAAABACAAAAAmAQAAZHJzL2Uy&#10;b0RvYy54bWxQSwUGAAAAAAYABgBZAQAAlgUAAAAA&#10;">
                      <v:fill on="f" focussize="0,0"/>
                      <v:stroke color="#000000" joinstyle="miter"/>
                      <v:imagedata o:title=""/>
                      <o:lock v:ext="edit" aspectratio="f"/>
                      <v:textbox>
                        <w:txbxContent>
                          <w:p>
                            <w:pPr>
                              <w:jc w:val="center"/>
                              <w:rPr>
                                <w:rFonts w:hint="eastAsia"/>
                                <w:lang w:val="en-US" w:eastAsia="zh-CN"/>
                              </w:rPr>
                            </w:pPr>
                            <w:r>
                              <w:rPr>
                                <w:rFonts w:hint="eastAsia"/>
                                <w:lang w:val="en-US" w:eastAsia="zh-CN"/>
                              </w:rPr>
                              <w:t>屋面制作</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08000" behindDoc="0" locked="0" layoutInCell="1" allowOverlap="1">
                      <wp:simplePos x="0" y="0"/>
                      <wp:positionH relativeFrom="column">
                        <wp:posOffset>2561590</wp:posOffset>
                      </wp:positionH>
                      <wp:positionV relativeFrom="paragraph">
                        <wp:posOffset>168910</wp:posOffset>
                      </wp:positionV>
                      <wp:extent cx="1905" cy="153670"/>
                      <wp:effectExtent l="48260" t="0" r="64135" b="17780"/>
                      <wp:wrapNone/>
                      <wp:docPr id="37" name="直接连接符 37"/>
                      <wp:cNvGraphicFramePr/>
                      <a:graphic xmlns:a="http://schemas.openxmlformats.org/drawingml/2006/main">
                        <a:graphicData uri="http://schemas.microsoft.com/office/word/2010/wordprocessingShape">
                          <wps:wsp>
                            <wps:cNvCnPr/>
                            <wps:spPr>
                              <a:xfrm>
                                <a:off x="0" y="0"/>
                                <a:ext cx="1905" cy="15367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01.7pt;margin-top:13.3pt;height:12.1pt;width:0.15pt;z-index:292608000;mso-width-relative:page;mso-height-relative:page;" filled="f" stroked="t" coordsize="21600,21600" o:gfxdata="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SxW1m9kAAAAJAQAADwAAAAAAAAABACAAAAAiAAAAZHJzL2Rv&#10;d25yZXYueG1sUEsBAhQAFAAAAAgAh07iQKeXw7kAAgAA6QMAAA4AAAAAAAAAAQAgAAAAKAEAAGRy&#10;cy9lMm9Eb2MueG1sUEsFBgAAAAAGAAYAWQEAAJoFAAAAAA==&#10;">
                      <v:fill on="f" focussize="0,0"/>
                      <v:stroke color="#000000" joinstyle="round" endarrow="open"/>
                      <v:imagedata o:title=""/>
                      <o:lock v:ext="edit" aspectratio="f"/>
                    </v:line>
                  </w:pict>
                </mc:Fallback>
              </mc:AlternateContent>
            </w:r>
          </w:p>
          <w:p>
            <w:pPr>
              <w:keepNext w:val="0"/>
              <w:keepLines w:val="0"/>
              <w:suppressLineNumbers w:val="0"/>
              <w:spacing w:before="0" w:beforeAutospacing="0" w:after="0" w:afterAutospacing="0" w:line="360" w:lineRule="auto"/>
              <w:ind w:left="0" w:right="0"/>
              <w:rPr>
                <w:rFonts w:hint="default" w:ascii="Times New Roman" w:hAnsi="Times New Roman" w:eastAsia="宋体"/>
                <w:color w:val="auto"/>
                <w:sz w:val="24"/>
                <w:highlight w:val="none"/>
              </w:rPr>
            </w:pPr>
            <w:r>
              <w:rPr>
                <w:rFonts w:hint="default" w:ascii="Times New Roman" w:hAnsi="Times New Roman" w:eastAsia="宋体"/>
                <w:color w:val="auto"/>
                <w:sz w:val="24"/>
                <w:highlight w:val="none"/>
              </w:rPr>
              <mc:AlternateContent>
                <mc:Choice Requires="wps">
                  <w:drawing>
                    <wp:anchor distT="0" distB="0" distL="114300" distR="114300" simplePos="0" relativeHeight="292645888" behindDoc="0" locked="0" layoutInCell="1" allowOverlap="1">
                      <wp:simplePos x="0" y="0"/>
                      <wp:positionH relativeFrom="column">
                        <wp:posOffset>750570</wp:posOffset>
                      </wp:positionH>
                      <wp:positionV relativeFrom="paragraph">
                        <wp:posOffset>132080</wp:posOffset>
                      </wp:positionV>
                      <wp:extent cx="1282065" cy="635"/>
                      <wp:effectExtent l="0" t="48260" r="13335" b="65405"/>
                      <wp:wrapNone/>
                      <wp:docPr id="39" name="直接连接符 39"/>
                      <wp:cNvGraphicFramePr/>
                      <a:graphic xmlns:a="http://schemas.openxmlformats.org/drawingml/2006/main">
                        <a:graphicData uri="http://schemas.microsoft.com/office/word/2010/wordprocessingShape">
                          <wps:wsp>
                            <wps:cNvCnPr/>
                            <wps:spPr>
                              <a:xfrm>
                                <a:off x="0" y="0"/>
                                <a:ext cx="1282065"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59.1pt;margin-top:10.4pt;height:0.05pt;width:100.95pt;z-index:292645888;mso-width-relative:page;mso-height-relative:page;" filled="f" stroked="t" coordsize="21600,21600" o:gfxdata="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Ub0BS2AAAAAkBAAAPAAAAAAAAAAEAIAAAACIAAABkcnMvZG93bnJl&#10;di54bWxQSwECFAAUAAAACACHTuJA4RHwrv0BAADpAwAADgAAAAAAAAABACAAAAAnAQAAZHJzL2Uy&#10;b0RvYy54bWxQSwUGAAAAAAYABgBZAQAAlgU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32576" behindDoc="0" locked="0" layoutInCell="1" allowOverlap="1">
                      <wp:simplePos x="0" y="0"/>
                      <wp:positionH relativeFrom="column">
                        <wp:posOffset>3129915</wp:posOffset>
                      </wp:positionH>
                      <wp:positionV relativeFrom="paragraph">
                        <wp:posOffset>60325</wp:posOffset>
                      </wp:positionV>
                      <wp:extent cx="169545" cy="635"/>
                      <wp:effectExtent l="5080" t="48895" r="15875" b="64770"/>
                      <wp:wrapNone/>
                      <wp:docPr id="40" name="直接连接符 40"/>
                      <wp:cNvGraphicFramePr/>
                      <a:graphic xmlns:a="http://schemas.openxmlformats.org/drawingml/2006/main">
                        <a:graphicData uri="http://schemas.microsoft.com/office/word/2010/wordprocessingShape">
                          <wps:wsp>
                            <wps:cNvCnPr/>
                            <wps:spPr>
                              <a:xfrm>
                                <a:off x="0" y="0"/>
                                <a:ext cx="169545" cy="635"/>
                              </a:xfrm>
                              <a:prstGeom prst="line">
                                <a:avLst/>
                              </a:prstGeom>
                              <a:ln w="9525" cap="sq" cmpd="sng">
                                <a:solidFill>
                                  <a:srgbClr val="000000"/>
                                </a:solidFill>
                                <a:prstDash val="sysDot"/>
                                <a:headEnd type="none" w="med" len="med"/>
                                <a:tailEnd type="arrow" w="med" len="med"/>
                              </a:ln>
                            </wps:spPr>
                            <wps:bodyPr upright="1"/>
                          </wps:wsp>
                        </a:graphicData>
                      </a:graphic>
                    </wp:anchor>
                  </w:drawing>
                </mc:Choice>
                <mc:Fallback>
                  <w:pict>
                    <v:line id="_x0000_s1026" o:spid="_x0000_s1026" o:spt="20" style="position:absolute;left:0pt;margin-left:246.45pt;margin-top:4.75pt;height:0.05pt;width:13.35pt;z-index:292632576;mso-width-relative:page;mso-height-relative:page;" filled="f" stroked="t" coordsize="21600,21600" o:gfxdata="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Z0Rx9cAAAAHAQAADwAAAAAAAAABACAAAAAiAAAAZHJzL2Rvd25yZXYu&#10;eG1sUEsBAhQAFAAAAAgAh07iQF0QtPj8AQAA5wMAAA4AAAAAAAAAAQAgAAAAJgEAAGRycy9lMm9E&#10;b2MueG1sUEsFBgAAAAAGAAYAWQEAAJQFAAAAAA==&#10;">
                      <v:fill on="f" focussize="0,0"/>
                      <v:stroke color="#000000" joinstyle="round" dashstyle="1 1" endcap="square"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25408" behindDoc="0" locked="0" layoutInCell="1" allowOverlap="1">
                      <wp:simplePos x="0" y="0"/>
                      <wp:positionH relativeFrom="column">
                        <wp:posOffset>2567305</wp:posOffset>
                      </wp:positionH>
                      <wp:positionV relativeFrom="paragraph">
                        <wp:posOffset>234315</wp:posOffset>
                      </wp:positionV>
                      <wp:extent cx="1905" cy="153670"/>
                      <wp:effectExtent l="48260" t="0" r="64135" b="17780"/>
                      <wp:wrapNone/>
                      <wp:docPr id="41" name="直接连接符 41"/>
                      <wp:cNvGraphicFramePr/>
                      <a:graphic xmlns:a="http://schemas.openxmlformats.org/drawingml/2006/main">
                        <a:graphicData uri="http://schemas.microsoft.com/office/word/2010/wordprocessingShape">
                          <wps:wsp>
                            <wps:cNvCnPr/>
                            <wps:spPr>
                              <a:xfrm>
                                <a:off x="0" y="0"/>
                                <a:ext cx="1905" cy="15367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02.15pt;margin-top:18.45pt;height:12.1pt;width:0.15pt;z-index:292625408;mso-width-relative:page;mso-height-relative:page;" filled="f" stroked="t" coordsize="21600,21600" o:gfxdata="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zKSprZAAAACQEAAA8AAAAAAAAAAQAgAAAAIgAAAGRycy9kb3du&#10;cmV2LnhtbFBLAQIUABQAAAAIAIdO4kBSJueq/gEAAOkDAAAOAAAAAAAAAAEAIAAAACgBAABkcnMv&#10;ZTJvRG9jLnhtbFBLBQYAAAAABgAGAFkBAACYBQAAAAA=&#10;">
                      <v:fill on="f" focussize="0,0"/>
                      <v:stroke color="#000000" joinstyle="round" endarrow="open"/>
                      <v:imagedata o:title=""/>
                      <o:lock v:ext="edit" aspectratio="f"/>
                    </v:line>
                  </w:pict>
                </mc:Fallback>
              </mc:AlternateConten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default" w:ascii="Times New Roman" w:hAnsi="Times New Roman" w:eastAsia="宋体"/>
                <w:color w:val="auto"/>
                <w:sz w:val="24"/>
                <w:highlight w:val="none"/>
              </w:rPr>
              <mc:AlternateContent>
                <mc:Choice Requires="wps">
                  <w:drawing>
                    <wp:anchor distT="0" distB="0" distL="114300" distR="114300" simplePos="0" relativeHeight="292420608" behindDoc="1" locked="0" layoutInCell="1" allowOverlap="1">
                      <wp:simplePos x="0" y="0"/>
                      <wp:positionH relativeFrom="column">
                        <wp:posOffset>1203960</wp:posOffset>
                      </wp:positionH>
                      <wp:positionV relativeFrom="paragraph">
                        <wp:posOffset>50165</wp:posOffset>
                      </wp:positionV>
                      <wp:extent cx="1391285" cy="320675"/>
                      <wp:effectExtent l="0" t="0" r="0" b="0"/>
                      <wp:wrapNone/>
                      <wp:docPr id="42" name="矩形 42"/>
                      <wp:cNvGraphicFramePr/>
                      <a:graphic xmlns:a="http://schemas.openxmlformats.org/drawingml/2006/main">
                        <a:graphicData uri="http://schemas.microsoft.com/office/word/2010/wordprocessingShape">
                          <wps:wsp>
                            <wps:cNvSpPr/>
                            <wps:spPr>
                              <a:xfrm>
                                <a:off x="0" y="0"/>
                                <a:ext cx="1391285" cy="320675"/>
                              </a:xfrm>
                              <a:prstGeom prst="rect">
                                <a:avLst/>
                              </a:prstGeom>
                              <a:noFill/>
                              <a:ln>
                                <a:noFill/>
                              </a:ln>
                            </wps:spPr>
                            <wps:txbx>
                              <w:txbxContent>
                                <w:p>
                                  <w:pPr>
                                    <w:jc w:val="left"/>
                                    <w:rPr>
                                      <w:rFonts w:hint="eastAsia" w:eastAsia="宋体"/>
                                      <w:lang w:val="en-US" w:eastAsia="zh-CN"/>
                                    </w:rPr>
                                  </w:pPr>
                                  <w:r>
                                    <w:rPr>
                                      <w:rFonts w:hint="eastAsia"/>
                                      <w:color w:val="auto"/>
                                      <w:lang w:val="en-US" w:eastAsia="zh-CN"/>
                                    </w:rPr>
                                    <w:t>管材</w:t>
                                  </w:r>
                                </w:p>
                              </w:txbxContent>
                            </wps:txbx>
                            <wps:bodyPr upright="1"/>
                          </wps:wsp>
                        </a:graphicData>
                      </a:graphic>
                    </wp:anchor>
                  </w:drawing>
                </mc:Choice>
                <mc:Fallback>
                  <w:pict>
                    <v:rect id="_x0000_s1026" o:spid="_x0000_s1026" o:spt="1" style="position:absolute;left:0pt;margin-left:94.8pt;margin-top:3.95pt;height:25.25pt;width:109.55pt;z-index:-210895872;mso-width-relative:page;mso-height-relative:page;" filled="f" stroked="f" coordsize="21600,21600" o:gfxdata="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3mXuNtkAAAAIAQAADwAA&#10;AAAAAAABACAAAAAiAAAAZHJzL2Rvd25yZXYueG1sUEsBAhQAFAAAAAgAh07iQAt8ueSjAQAAQwMA&#10;AA4AAAAAAAAAAQAgAAAAKAEAAGRycy9lMm9Eb2MueG1sUEsFBgAAAAAGAAYAWQEAAD0FA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管材</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37696" behindDoc="0" locked="0" layoutInCell="1" allowOverlap="1">
                      <wp:simplePos x="0" y="0"/>
                      <wp:positionH relativeFrom="column">
                        <wp:posOffset>3267075</wp:posOffset>
                      </wp:positionH>
                      <wp:positionV relativeFrom="paragraph">
                        <wp:posOffset>86995</wp:posOffset>
                      </wp:positionV>
                      <wp:extent cx="2510155" cy="320040"/>
                      <wp:effectExtent l="0" t="0" r="0" b="0"/>
                      <wp:wrapNone/>
                      <wp:docPr id="43" name="矩形 43"/>
                      <wp:cNvGraphicFramePr/>
                      <a:graphic xmlns:a="http://schemas.openxmlformats.org/drawingml/2006/main">
                        <a:graphicData uri="http://schemas.microsoft.com/office/word/2010/wordprocessingShape">
                          <wps:wsp>
                            <wps:cNvSpPr/>
                            <wps:spPr>
                              <a:xfrm>
                                <a:off x="0" y="0"/>
                                <a:ext cx="2510155" cy="320040"/>
                              </a:xfrm>
                              <a:prstGeom prst="rect">
                                <a:avLst/>
                              </a:prstGeom>
                              <a:noFill/>
                              <a:ln>
                                <a:noFill/>
                              </a:ln>
                            </wps:spPr>
                            <wps:txbx>
                              <w:txbxContent>
                                <w:p>
                                  <w:pPr>
                                    <w:jc w:val="left"/>
                                    <w:rPr>
                                      <w:rFonts w:hint="eastAsia" w:eastAsia="宋体"/>
                                      <w:lang w:val="en-US" w:eastAsia="zh-CN"/>
                                    </w:rPr>
                                  </w:pPr>
                                  <w:r>
                                    <w:rPr>
                                      <w:rFonts w:hint="eastAsia"/>
                                      <w:color w:val="auto"/>
                                      <w:lang w:val="en-US" w:eastAsia="zh-CN"/>
                                    </w:rPr>
                                    <w:t>噪声、粉尘、固废</w:t>
                                  </w:r>
                                </w:p>
                                <w:p>
                                  <w:pPr>
                                    <w:jc w:val="left"/>
                                    <w:rPr>
                                      <w:rFonts w:hint="eastAsia" w:eastAsia="宋体"/>
                                      <w:lang w:val="en-US" w:eastAsia="zh-CN"/>
                                    </w:rPr>
                                  </w:pPr>
                                </w:p>
                              </w:txbxContent>
                            </wps:txbx>
                            <wps:bodyPr upright="1"/>
                          </wps:wsp>
                        </a:graphicData>
                      </a:graphic>
                    </wp:anchor>
                  </w:drawing>
                </mc:Choice>
                <mc:Fallback>
                  <w:pict>
                    <v:rect id="_x0000_s1026" o:spid="_x0000_s1026" o:spt="1" style="position:absolute;left:0pt;margin-left:257.25pt;margin-top:6.85pt;height:25.2pt;width:197.65pt;z-index:292637696;mso-width-relative:page;mso-height-relative:page;" filled="f" stroked="f" coordsize="21600,21600" o:gfxdata="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LYIdxbaAAAACQEAAA8A&#10;AAAAAAAAAQAgAAAAIgAAAGRycy9kb3ducmV2LnhtbFBLAQIUABQAAAAIAIdO4kC1+8WTowEAAEMD&#10;AAAOAAAAAAAAAAEAIAAAACkBAABkcnMvZTJvRG9jLnhtbFBLBQYAAAAABgAGAFkBAAA+BQ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噪声、粉尘、固废</w:t>
                            </w:r>
                          </w:p>
                          <w:p>
                            <w:pPr>
                              <w:jc w:val="left"/>
                              <w:rPr>
                                <w:rFonts w:hint="eastAsia" w:eastAsia="宋体"/>
                                <w:lang w:val="en-US" w:eastAsia="zh-CN"/>
                              </w:rPr>
                            </w:pP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23360" behindDoc="0" locked="0" layoutInCell="1" allowOverlap="1">
                      <wp:simplePos x="0" y="0"/>
                      <wp:positionH relativeFrom="column">
                        <wp:posOffset>3114040</wp:posOffset>
                      </wp:positionH>
                      <wp:positionV relativeFrom="paragraph">
                        <wp:posOffset>240030</wp:posOffset>
                      </wp:positionV>
                      <wp:extent cx="169545" cy="635"/>
                      <wp:effectExtent l="5080" t="48895" r="15875" b="64770"/>
                      <wp:wrapNone/>
                      <wp:docPr id="19" name="直接连接符 19"/>
                      <wp:cNvGraphicFramePr/>
                      <a:graphic xmlns:a="http://schemas.openxmlformats.org/drawingml/2006/main">
                        <a:graphicData uri="http://schemas.microsoft.com/office/word/2010/wordprocessingShape">
                          <wps:wsp>
                            <wps:cNvCnPr/>
                            <wps:spPr>
                              <a:xfrm>
                                <a:off x="0" y="0"/>
                                <a:ext cx="169545" cy="635"/>
                              </a:xfrm>
                              <a:prstGeom prst="line">
                                <a:avLst/>
                              </a:prstGeom>
                              <a:ln w="9525" cap="sq" cmpd="sng">
                                <a:solidFill>
                                  <a:srgbClr val="000000"/>
                                </a:solidFill>
                                <a:prstDash val="sysDot"/>
                                <a:headEnd type="none" w="med" len="med"/>
                                <a:tailEnd type="arrow" w="med" len="med"/>
                              </a:ln>
                            </wps:spPr>
                            <wps:bodyPr upright="1"/>
                          </wps:wsp>
                        </a:graphicData>
                      </a:graphic>
                    </wp:anchor>
                  </w:drawing>
                </mc:Choice>
                <mc:Fallback>
                  <w:pict>
                    <v:line id="_x0000_s1026" o:spid="_x0000_s1026" o:spt="20" style="position:absolute;left:0pt;margin-left:245.2pt;margin-top:18.9pt;height:0.05pt;width:13.35pt;z-index:292623360;mso-width-relative:page;mso-height-relative:page;" filled="f" stroked="t" coordsize="21600,21600" o:gfxdata="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flF5o2QAAAAkBAAAPAAAAAAAAAAEAIAAAACIAAABkcnMvZG93bnJl&#10;di54bWxQSwECFAAUAAAACACHTuJALviiH/wBAADnAwAADgAAAAAAAAABACAAAAAoAQAAZHJzL2Uy&#10;b0RvYy54bWxQSwUGAAAAAAYABgBZAQAAlgUAAAAA&#10;">
                      <v:fill on="f" focussize="0,0"/>
                      <v:stroke color="#000000" joinstyle="round" dashstyle="1 1" endcap="square"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24384" behindDoc="0" locked="0" layoutInCell="1" allowOverlap="1">
                      <wp:simplePos x="0" y="0"/>
                      <wp:positionH relativeFrom="column">
                        <wp:posOffset>2030095</wp:posOffset>
                      </wp:positionH>
                      <wp:positionV relativeFrom="paragraph">
                        <wp:posOffset>91440</wp:posOffset>
                      </wp:positionV>
                      <wp:extent cx="1079500" cy="285750"/>
                      <wp:effectExtent l="4445" t="4445" r="20955" b="14605"/>
                      <wp:wrapNone/>
                      <wp:docPr id="20" name="矩形 20"/>
                      <wp:cNvGraphicFramePr/>
                      <a:graphic xmlns:a="http://schemas.openxmlformats.org/drawingml/2006/main">
                        <a:graphicData uri="http://schemas.microsoft.com/office/word/2010/wordprocessingShape">
                          <wps:wsp>
                            <wps:cNvSpPr/>
                            <wps:spPr>
                              <a:xfrm>
                                <a:off x="0" y="0"/>
                                <a:ext cx="1079500" cy="285750"/>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lang w:val="en-US" w:eastAsia="zh-CN"/>
                                    </w:rPr>
                                  </w:pPr>
                                  <w:r>
                                    <w:rPr>
                                      <w:rFonts w:hint="eastAsia"/>
                                      <w:lang w:val="en-US" w:eastAsia="zh-CN"/>
                                    </w:rPr>
                                    <w:t>管线安装</w:t>
                                  </w:r>
                                </w:p>
                              </w:txbxContent>
                            </wps:txbx>
                            <wps:bodyPr upright="1"/>
                          </wps:wsp>
                        </a:graphicData>
                      </a:graphic>
                    </wp:anchor>
                  </w:drawing>
                </mc:Choice>
                <mc:Fallback>
                  <w:pict>
                    <v:rect id="_x0000_s1026" o:spid="_x0000_s1026" o:spt="1" style="position:absolute;left:0pt;margin-left:159.85pt;margin-top:7.2pt;height:22.5pt;width:85pt;z-index:292624384;mso-width-relative:page;mso-height-relative:page;" filled="f" stroked="t" coordsize="21600,21600" o:gfxdata="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qzcWnXAAAACQEAAA8AAAAAAAAAAQAgAAAAIgAAAGRycy9kb3ducmV2&#10;LnhtbFBLAQIUABQAAAAIAIdO4kCRgcl+/QEAAAIEAAAOAAAAAAAAAAEAIAAAACYBAABkcnMvZTJv&#10;RG9jLnhtbFBLBQYAAAAABgAGAFkBAACVBQAAAAA=&#10;">
                      <v:fill on="f" focussize="0,0"/>
                      <v:stroke color="#000000" joinstyle="miter"/>
                      <v:imagedata o:title=""/>
                      <o:lock v:ext="edit" aspectratio="f"/>
                      <v:textbox>
                        <w:txbxContent>
                          <w:p>
                            <w:pPr>
                              <w:jc w:val="center"/>
                              <w:rPr>
                                <w:rFonts w:hint="eastAsia"/>
                                <w:lang w:val="en-US" w:eastAsia="zh-CN"/>
                              </w:rPr>
                            </w:pPr>
                            <w:r>
                              <w:rPr>
                                <w:rFonts w:hint="eastAsia"/>
                                <w:lang w:val="en-US" w:eastAsia="zh-CN"/>
                              </w:rPr>
                              <w:t>管线安装</w:t>
                            </w:r>
                          </w:p>
                        </w:txbxContent>
                      </v:textbox>
                    </v:rect>
                  </w:pict>
                </mc:Fallback>
              </mc:AlternateConten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default" w:ascii="Times New Roman" w:hAnsi="Times New Roman" w:eastAsia="宋体"/>
                <w:color w:val="auto"/>
                <w:sz w:val="24"/>
                <w:highlight w:val="none"/>
              </w:rPr>
              <mc:AlternateContent>
                <mc:Choice Requires="wps">
                  <w:drawing>
                    <wp:anchor distT="0" distB="0" distL="114300" distR="114300" simplePos="0" relativeHeight="292653056" behindDoc="0" locked="0" layoutInCell="1" allowOverlap="1">
                      <wp:simplePos x="0" y="0"/>
                      <wp:positionH relativeFrom="column">
                        <wp:posOffset>1020445</wp:posOffset>
                      </wp:positionH>
                      <wp:positionV relativeFrom="paragraph">
                        <wp:posOffset>220345</wp:posOffset>
                      </wp:positionV>
                      <wp:extent cx="1391285" cy="320675"/>
                      <wp:effectExtent l="0" t="0" r="0" b="0"/>
                      <wp:wrapNone/>
                      <wp:docPr id="51" name="矩形 51"/>
                      <wp:cNvGraphicFramePr/>
                      <a:graphic xmlns:a="http://schemas.openxmlformats.org/drawingml/2006/main">
                        <a:graphicData uri="http://schemas.microsoft.com/office/word/2010/wordprocessingShape">
                          <wps:wsp>
                            <wps:cNvSpPr/>
                            <wps:spPr>
                              <a:xfrm>
                                <a:off x="0" y="0"/>
                                <a:ext cx="1391285" cy="320675"/>
                              </a:xfrm>
                              <a:prstGeom prst="rect">
                                <a:avLst/>
                              </a:prstGeom>
                              <a:noFill/>
                              <a:ln>
                                <a:noFill/>
                              </a:ln>
                            </wps:spPr>
                            <wps:txbx>
                              <w:txbxContent>
                                <w:p>
                                  <w:pPr>
                                    <w:jc w:val="left"/>
                                    <w:rPr>
                                      <w:rFonts w:hint="eastAsia" w:eastAsia="宋体"/>
                                      <w:lang w:val="en-US" w:eastAsia="zh-CN"/>
                                    </w:rPr>
                                  </w:pPr>
                                  <w:r>
                                    <w:rPr>
                                      <w:rFonts w:hint="eastAsia"/>
                                      <w:color w:val="auto"/>
                                      <w:lang w:val="en-US" w:eastAsia="zh-CN"/>
                                    </w:rPr>
                                    <w:t>建材、涂料</w:t>
                                  </w:r>
                                </w:p>
                              </w:txbxContent>
                            </wps:txbx>
                            <wps:bodyPr upright="1"/>
                          </wps:wsp>
                        </a:graphicData>
                      </a:graphic>
                    </wp:anchor>
                  </w:drawing>
                </mc:Choice>
                <mc:Fallback>
                  <w:pict>
                    <v:rect id="_x0000_s1026" o:spid="_x0000_s1026" o:spt="1" style="position:absolute;left:0pt;margin-left:80.35pt;margin-top:17.35pt;height:25.25pt;width:109.55pt;z-index:292653056;mso-width-relative:page;mso-height-relative:page;" filled="f" stroked="f" coordsize="21600,21600" o:gfxdata="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RcgJKNoAAAAJAQAADwAA&#10;AAAAAAABACAAAAAiAAAAZHJzL2Rvd25yZXYueG1sUEsBAhQAFAAAAAgAh07iQNW8o6iiAQAAQwMA&#10;AA4AAAAAAAAAAQAgAAAAKQEAAGRycy9lMm9Eb2MueG1sUEsFBgAAAAAGAAYAWQEAAD0FA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建材、涂料</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43840" behindDoc="0" locked="0" layoutInCell="1" allowOverlap="1">
                      <wp:simplePos x="0" y="0"/>
                      <wp:positionH relativeFrom="column">
                        <wp:posOffset>753745</wp:posOffset>
                      </wp:positionH>
                      <wp:positionV relativeFrom="paragraph">
                        <wp:posOffset>2540</wp:posOffset>
                      </wp:positionV>
                      <wp:extent cx="1282065" cy="635"/>
                      <wp:effectExtent l="0" t="48260" r="13335" b="65405"/>
                      <wp:wrapNone/>
                      <wp:docPr id="52" name="直接连接符 52"/>
                      <wp:cNvGraphicFramePr/>
                      <a:graphic xmlns:a="http://schemas.openxmlformats.org/drawingml/2006/main">
                        <a:graphicData uri="http://schemas.microsoft.com/office/word/2010/wordprocessingShape">
                          <wps:wsp>
                            <wps:cNvCnPr/>
                            <wps:spPr>
                              <a:xfrm>
                                <a:off x="0" y="0"/>
                                <a:ext cx="1282065"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59.35pt;margin-top:0.2pt;height:0.05pt;width:100.95pt;z-index:292643840;mso-width-relative:page;mso-height-relative:page;" filled="f" stroked="t" coordsize="21600,21600" o:gfxdata="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G1izEtUAAAAFAQAADwAAAAAAAAABACAAAAAiAAAAZHJzL2Rvd25yZXYueG1s&#10;UEsBAhQAFAAAAAgAh07iQGv12AX7AQAA6QMAAA4AAAAAAAAAAQAgAAAAJAEAAGRycy9lMm9Eb2Mu&#10;eG1sUEsFBgAAAAAGAAYAWQEAAJEFA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38720" behindDoc="0" locked="0" layoutInCell="1" allowOverlap="1">
                      <wp:simplePos x="0" y="0"/>
                      <wp:positionH relativeFrom="column">
                        <wp:posOffset>3266440</wp:posOffset>
                      </wp:positionH>
                      <wp:positionV relativeFrom="paragraph">
                        <wp:posOffset>238760</wp:posOffset>
                      </wp:positionV>
                      <wp:extent cx="2510155" cy="320040"/>
                      <wp:effectExtent l="0" t="0" r="0" b="0"/>
                      <wp:wrapNone/>
                      <wp:docPr id="53" name="矩形 53"/>
                      <wp:cNvGraphicFramePr/>
                      <a:graphic xmlns:a="http://schemas.openxmlformats.org/drawingml/2006/main">
                        <a:graphicData uri="http://schemas.microsoft.com/office/word/2010/wordprocessingShape">
                          <wps:wsp>
                            <wps:cNvSpPr/>
                            <wps:spPr>
                              <a:xfrm>
                                <a:off x="0" y="0"/>
                                <a:ext cx="2510155" cy="320040"/>
                              </a:xfrm>
                              <a:prstGeom prst="rect">
                                <a:avLst/>
                              </a:prstGeom>
                              <a:noFill/>
                              <a:ln>
                                <a:noFill/>
                              </a:ln>
                            </wps:spPr>
                            <wps:txbx>
                              <w:txbxContent>
                                <w:p>
                                  <w:pPr>
                                    <w:jc w:val="left"/>
                                    <w:rPr>
                                      <w:rFonts w:hint="eastAsia" w:eastAsia="宋体"/>
                                      <w:lang w:val="en-US" w:eastAsia="zh-CN"/>
                                    </w:rPr>
                                  </w:pPr>
                                  <w:r>
                                    <w:rPr>
                                      <w:rFonts w:hint="eastAsia"/>
                                      <w:color w:val="auto"/>
                                      <w:lang w:val="en-US" w:eastAsia="zh-CN"/>
                                    </w:rPr>
                                    <w:t>噪声、废气、生活污水、砂浆水、固废</w:t>
                                  </w:r>
                                </w:p>
                              </w:txbxContent>
                            </wps:txbx>
                            <wps:bodyPr upright="1"/>
                          </wps:wsp>
                        </a:graphicData>
                      </a:graphic>
                    </wp:anchor>
                  </w:drawing>
                </mc:Choice>
                <mc:Fallback>
                  <w:pict>
                    <v:rect id="_x0000_s1026" o:spid="_x0000_s1026" o:spt="1" style="position:absolute;left:0pt;margin-left:257.2pt;margin-top:18.8pt;height:25.2pt;width:197.65pt;z-index:292638720;mso-width-relative:page;mso-height-relative:page;" filled="f" stroked="f" coordsize="21600,21600" o:gfxdata="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B0blDA2wAAAAkBAAAP&#10;AAAAAAAAAAEAIAAAACIAAABkcnMvZG93bnJldi54bWxQSwECFAAUAAAACACHTuJAVbAe06MBAABD&#10;AwAADgAAAAAAAAABACAAAAAqAQAAZHJzL2Uyb0RvYy54bWxQSwUGAAAAAAYABgBZAQAAPwU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噪声、废气、生活污水、砂浆水、固废</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15168" behindDoc="0" locked="0" layoutInCell="1" allowOverlap="1">
                      <wp:simplePos x="0" y="0"/>
                      <wp:positionH relativeFrom="column">
                        <wp:posOffset>2033270</wp:posOffset>
                      </wp:positionH>
                      <wp:positionV relativeFrom="paragraph">
                        <wp:posOffset>255905</wp:posOffset>
                      </wp:positionV>
                      <wp:extent cx="1079500" cy="285750"/>
                      <wp:effectExtent l="4445" t="4445" r="20955" b="14605"/>
                      <wp:wrapNone/>
                      <wp:docPr id="54" name="矩形 54"/>
                      <wp:cNvGraphicFramePr/>
                      <a:graphic xmlns:a="http://schemas.openxmlformats.org/drawingml/2006/main">
                        <a:graphicData uri="http://schemas.microsoft.com/office/word/2010/wordprocessingShape">
                          <wps:wsp>
                            <wps:cNvSpPr/>
                            <wps:spPr>
                              <a:xfrm>
                                <a:off x="0" y="0"/>
                                <a:ext cx="1079500" cy="285750"/>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lang w:val="en-US" w:eastAsia="zh-CN"/>
                                    </w:rPr>
                                  </w:pPr>
                                  <w:r>
                                    <w:rPr>
                                      <w:rFonts w:hint="eastAsia"/>
                                      <w:lang w:val="en-US" w:eastAsia="zh-CN"/>
                                    </w:rPr>
                                    <w:t>抹灰、贴面</w:t>
                                  </w:r>
                                </w:p>
                              </w:txbxContent>
                            </wps:txbx>
                            <wps:bodyPr upright="1"/>
                          </wps:wsp>
                        </a:graphicData>
                      </a:graphic>
                    </wp:anchor>
                  </w:drawing>
                </mc:Choice>
                <mc:Fallback>
                  <w:pict>
                    <v:rect id="_x0000_s1026" o:spid="_x0000_s1026" o:spt="1" style="position:absolute;left:0pt;margin-left:160.1pt;margin-top:20.15pt;height:22.5pt;width:85pt;z-index:292615168;mso-width-relative:page;mso-height-relative:page;" filled="f" stroked="t" coordsize="21600,21600" o:gfxdata="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3TgFh1wAAAAkBAAAPAAAAAAAAAAEAIAAAACIAAABkcnMvZG93bnJl&#10;di54bWxQSwECFAAUAAAACACHTuJAbnV9iv4BAAACBAAADgAAAAAAAAABACAAAAAmAQAAZHJzL2Uy&#10;b0RvYy54bWxQSwUGAAAAAAYABgBZAQAAlgUAAAAA&#10;">
                      <v:fill on="f" focussize="0,0"/>
                      <v:stroke color="#000000" joinstyle="miter"/>
                      <v:imagedata o:title=""/>
                      <o:lock v:ext="edit" aspectratio="f"/>
                      <v:textbox>
                        <w:txbxContent>
                          <w:p>
                            <w:pPr>
                              <w:jc w:val="center"/>
                              <w:rPr>
                                <w:rFonts w:hint="eastAsia"/>
                                <w:lang w:val="en-US" w:eastAsia="zh-CN"/>
                              </w:rPr>
                            </w:pPr>
                            <w:r>
                              <w:rPr>
                                <w:rFonts w:hint="eastAsia"/>
                                <w:lang w:val="en-US" w:eastAsia="zh-CN"/>
                              </w:rPr>
                              <w:t>抹灰、贴面</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27456" behindDoc="0" locked="0" layoutInCell="1" allowOverlap="1">
                      <wp:simplePos x="0" y="0"/>
                      <wp:positionH relativeFrom="column">
                        <wp:posOffset>2574290</wp:posOffset>
                      </wp:positionH>
                      <wp:positionV relativeFrom="paragraph">
                        <wp:posOffset>94615</wp:posOffset>
                      </wp:positionV>
                      <wp:extent cx="1905" cy="153670"/>
                      <wp:effectExtent l="48260" t="0" r="64135" b="17780"/>
                      <wp:wrapNone/>
                      <wp:docPr id="55" name="直接连接符 55"/>
                      <wp:cNvGraphicFramePr/>
                      <a:graphic xmlns:a="http://schemas.openxmlformats.org/drawingml/2006/main">
                        <a:graphicData uri="http://schemas.microsoft.com/office/word/2010/wordprocessingShape">
                          <wps:wsp>
                            <wps:cNvCnPr/>
                            <wps:spPr>
                              <a:xfrm>
                                <a:off x="0" y="0"/>
                                <a:ext cx="1905" cy="15367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02.7pt;margin-top:7.45pt;height:12.1pt;width:0.15pt;z-index:292627456;mso-width-relative:page;mso-height-relative:page;" filled="f" stroked="t" coordsize="21600,21600" o:gfxdata="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J8pNIrZAAAACQEAAA8AAAAAAAAAAQAgAAAAIgAAAGRycy9kb3du&#10;cmV2LnhtbFBLAQIUABQAAAAIAIdO4kAMhZaS/gEAAOkDAAAOAAAAAAAAAAEAIAAAACgBAABkcnMv&#10;ZTJvRG9jLnhtbFBLBQYAAAAABgAGAFkBAACYBQAAAAA=&#10;">
                      <v:fill on="f" focussize="0,0"/>
                      <v:stroke color="#000000" joinstyle="round" endarrow="open"/>
                      <v:imagedata o:title=""/>
                      <o:lock v:ext="edit" aspectratio="f"/>
                    </v:line>
                  </w:pict>
                </mc:Fallback>
              </mc:AlternateContent>
            </w:r>
          </w:p>
          <w:p>
            <w:pPr>
              <w:keepNext w:val="0"/>
              <w:keepLines w:val="0"/>
              <w:suppressLineNumbers w:val="0"/>
              <w:tabs>
                <w:tab w:val="left" w:pos="975"/>
              </w:tabs>
              <w:spacing w:before="0" w:beforeAutospacing="0" w:after="0" w:afterAutospacing="0" w:line="360" w:lineRule="auto"/>
              <w:ind w:left="0" w:right="0" w:firstLine="480" w:firstLineChars="200"/>
              <w:rPr>
                <w:rFonts w:hint="eastAsia" w:ascii="Times New Roman" w:hAnsi="Times New Roman" w:eastAsia="宋体"/>
                <w:b/>
                <w:color w:val="auto"/>
                <w:sz w:val="28"/>
                <w:szCs w:val="28"/>
                <w:highlight w:val="none"/>
                <w:lang w:val="en-US" w:eastAsia="zh-CN"/>
              </w:rPr>
            </w:pPr>
            <w:r>
              <w:rPr>
                <w:rFonts w:hint="default" w:ascii="Times New Roman" w:hAnsi="Times New Roman" w:eastAsia="宋体"/>
                <w:color w:val="auto"/>
                <w:sz w:val="24"/>
                <w:highlight w:val="none"/>
              </w:rPr>
              <mc:AlternateContent>
                <mc:Choice Requires="wps">
                  <w:drawing>
                    <wp:anchor distT="0" distB="0" distL="114300" distR="114300" simplePos="0" relativeHeight="292648960" behindDoc="0" locked="0" layoutInCell="1" allowOverlap="1">
                      <wp:simplePos x="0" y="0"/>
                      <wp:positionH relativeFrom="column">
                        <wp:posOffset>752475</wp:posOffset>
                      </wp:positionH>
                      <wp:positionV relativeFrom="paragraph">
                        <wp:posOffset>179705</wp:posOffset>
                      </wp:positionV>
                      <wp:extent cx="1282065" cy="635"/>
                      <wp:effectExtent l="0" t="48260" r="13335" b="65405"/>
                      <wp:wrapNone/>
                      <wp:docPr id="88" name="直接连接符 88"/>
                      <wp:cNvGraphicFramePr/>
                      <a:graphic xmlns:a="http://schemas.openxmlformats.org/drawingml/2006/main">
                        <a:graphicData uri="http://schemas.microsoft.com/office/word/2010/wordprocessingShape">
                          <wps:wsp>
                            <wps:cNvCnPr/>
                            <wps:spPr>
                              <a:xfrm>
                                <a:off x="0" y="0"/>
                                <a:ext cx="1282065"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59.25pt;margin-top:14.15pt;height:0.05pt;width:100.95pt;z-index:292648960;mso-width-relative:page;mso-height-relative:page;" filled="f" stroked="t" coordsize="21600,21600" o:gfxdata="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2XQ+nYAAAACQEAAA8AAAAAAAAAAQAgAAAAIgAAAGRycy9kb3ducmV2&#10;LnhtbFBLAQIUABQAAAAIAIdO4kDUzIcS/AEAAOkDAAAOAAAAAAAAAAEAIAAAACcBAABkcnMvZTJv&#10;RG9jLnhtbFBLBQYAAAAABgAGAFkBAACVBQ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33600" behindDoc="0" locked="0" layoutInCell="1" allowOverlap="1">
                      <wp:simplePos x="0" y="0"/>
                      <wp:positionH relativeFrom="column">
                        <wp:posOffset>3119755</wp:posOffset>
                      </wp:positionH>
                      <wp:positionV relativeFrom="paragraph">
                        <wp:posOffset>90805</wp:posOffset>
                      </wp:positionV>
                      <wp:extent cx="169545" cy="635"/>
                      <wp:effectExtent l="5080" t="48895" r="15875" b="64770"/>
                      <wp:wrapNone/>
                      <wp:docPr id="90" name="直接连接符 90"/>
                      <wp:cNvGraphicFramePr/>
                      <a:graphic xmlns:a="http://schemas.openxmlformats.org/drawingml/2006/main">
                        <a:graphicData uri="http://schemas.microsoft.com/office/word/2010/wordprocessingShape">
                          <wps:wsp>
                            <wps:cNvCnPr/>
                            <wps:spPr>
                              <a:xfrm>
                                <a:off x="0" y="0"/>
                                <a:ext cx="169545" cy="635"/>
                              </a:xfrm>
                              <a:prstGeom prst="line">
                                <a:avLst/>
                              </a:prstGeom>
                              <a:ln w="9525" cap="sq" cmpd="sng">
                                <a:solidFill>
                                  <a:srgbClr val="000000"/>
                                </a:solidFill>
                                <a:prstDash val="sysDot"/>
                                <a:headEnd type="none" w="med" len="med"/>
                                <a:tailEnd type="arrow" w="med" len="med"/>
                              </a:ln>
                            </wps:spPr>
                            <wps:bodyPr upright="1"/>
                          </wps:wsp>
                        </a:graphicData>
                      </a:graphic>
                    </wp:anchor>
                  </w:drawing>
                </mc:Choice>
                <mc:Fallback>
                  <w:pict>
                    <v:line id="_x0000_s1026" o:spid="_x0000_s1026" o:spt="20" style="position:absolute;left:0pt;margin-left:245.65pt;margin-top:7.15pt;height:0.05pt;width:13.35pt;z-index:292633600;mso-width-relative:page;mso-height-relative:page;" filled="f" stroked="t" coordsize="21600,21600" o:gfxdata="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rBPYjYAAAACQEAAA8AAAAAAAAAAQAgAAAAIgAAAGRycy9kb3ducmV2&#10;LnhtbFBLAQIUABQAAAAIAIdO4kAnpcOo/AEAAOcDAAAOAAAAAAAAAAEAIAAAACcBAABkcnMvZTJv&#10;RG9jLnhtbFBLBQYAAAAABgAGAFkBAACVBQAAAAA=&#10;">
                      <v:fill on="f" focussize="0,0"/>
                      <v:stroke color="#000000" joinstyle="round" dashstyle="1 1" endcap="square"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26432" behindDoc="0" locked="0" layoutInCell="1" allowOverlap="1">
                      <wp:simplePos x="0" y="0"/>
                      <wp:positionH relativeFrom="column">
                        <wp:posOffset>2576830</wp:posOffset>
                      </wp:positionH>
                      <wp:positionV relativeFrom="paragraph">
                        <wp:posOffset>252730</wp:posOffset>
                      </wp:positionV>
                      <wp:extent cx="1905" cy="153670"/>
                      <wp:effectExtent l="48260" t="0" r="64135" b="17780"/>
                      <wp:wrapNone/>
                      <wp:docPr id="91" name="直接连接符 91"/>
                      <wp:cNvGraphicFramePr/>
                      <a:graphic xmlns:a="http://schemas.openxmlformats.org/drawingml/2006/main">
                        <a:graphicData uri="http://schemas.microsoft.com/office/word/2010/wordprocessingShape">
                          <wps:wsp>
                            <wps:cNvCnPr/>
                            <wps:spPr>
                              <a:xfrm>
                                <a:off x="0" y="0"/>
                                <a:ext cx="1905" cy="15367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02.9pt;margin-top:19.9pt;height:12.1pt;width:0.15pt;z-index:292626432;mso-width-relative:page;mso-height-relative:page;" filled="f" stroked="t" coordsize="21600,21600" o:gfxdata="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4k6ad2gAAAAkBAAAPAAAAAAAAAAEAIAAAACIAAABkcnMvZG93&#10;bnJldi54bWxQSwECFAAUAAAACACHTuJAWqA8xP4BAADpAwAADgAAAAAAAAABACAAAAApAQAAZHJz&#10;L2Uyb0RvYy54bWxQSwUGAAAAAAYABgBZAQAAmQUAAAAA&#10;">
                      <v:fill on="f" focussize="0,0"/>
                      <v:stroke color="#000000" joinstyle="round" endarrow="open"/>
                      <v:imagedata o:title=""/>
                      <o:lock v:ext="edit" aspectratio="f"/>
                    </v:line>
                  </w:pict>
                </mc:Fallback>
              </mc:AlternateContent>
            </w:r>
          </w:p>
          <w:p>
            <w:pPr>
              <w:keepNext w:val="0"/>
              <w:keepLines w:val="0"/>
              <w:suppressLineNumbers w:val="0"/>
              <w:tabs>
                <w:tab w:val="left" w:pos="975"/>
              </w:tabs>
              <w:spacing w:before="0" w:beforeAutospacing="0" w:after="0" w:afterAutospacing="0" w:line="360" w:lineRule="auto"/>
              <w:ind w:left="0" w:right="0" w:firstLine="480" w:firstLineChars="200"/>
              <w:rPr>
                <w:rFonts w:hint="eastAsia" w:ascii="Times New Roman" w:hAnsi="Times New Roman" w:eastAsia="宋体"/>
                <w:b/>
                <w:color w:val="auto"/>
                <w:sz w:val="28"/>
                <w:szCs w:val="28"/>
                <w:highlight w:val="none"/>
                <w:lang w:val="en-US" w:eastAsia="zh-CN"/>
              </w:rPr>
            </w:pPr>
            <w:r>
              <w:rPr>
                <w:rFonts w:hint="default" w:ascii="Times New Roman" w:hAnsi="Times New Roman" w:eastAsia="宋体"/>
                <w:color w:val="auto"/>
                <w:sz w:val="24"/>
                <w:highlight w:val="none"/>
              </w:rPr>
              <mc:AlternateContent>
                <mc:Choice Requires="wps">
                  <w:drawing>
                    <wp:anchor distT="0" distB="0" distL="114300" distR="114300" simplePos="0" relativeHeight="292652032" behindDoc="0" locked="0" layoutInCell="1" allowOverlap="1">
                      <wp:simplePos x="0" y="0"/>
                      <wp:positionH relativeFrom="column">
                        <wp:posOffset>1254760</wp:posOffset>
                      </wp:positionH>
                      <wp:positionV relativeFrom="paragraph">
                        <wp:posOffset>1270</wp:posOffset>
                      </wp:positionV>
                      <wp:extent cx="1391285" cy="320675"/>
                      <wp:effectExtent l="0" t="0" r="0" b="0"/>
                      <wp:wrapNone/>
                      <wp:docPr id="92" name="矩形 92"/>
                      <wp:cNvGraphicFramePr/>
                      <a:graphic xmlns:a="http://schemas.openxmlformats.org/drawingml/2006/main">
                        <a:graphicData uri="http://schemas.microsoft.com/office/word/2010/wordprocessingShape">
                          <wps:wsp>
                            <wps:cNvSpPr/>
                            <wps:spPr>
                              <a:xfrm>
                                <a:off x="0" y="0"/>
                                <a:ext cx="1391285" cy="320675"/>
                              </a:xfrm>
                              <a:prstGeom prst="rect">
                                <a:avLst/>
                              </a:prstGeom>
                              <a:noFill/>
                              <a:ln>
                                <a:noFill/>
                              </a:ln>
                            </wps:spPr>
                            <wps:txbx>
                              <w:txbxContent>
                                <w:p>
                                  <w:pPr>
                                    <w:jc w:val="left"/>
                                    <w:rPr>
                                      <w:rFonts w:hint="eastAsia" w:eastAsia="宋体"/>
                                      <w:lang w:val="en-US" w:eastAsia="zh-CN"/>
                                    </w:rPr>
                                  </w:pPr>
                                  <w:r>
                                    <w:rPr>
                                      <w:rFonts w:hint="eastAsia"/>
                                      <w:color w:val="auto"/>
                                      <w:lang w:val="en-US" w:eastAsia="zh-CN"/>
                                    </w:rPr>
                                    <w:t>油漆</w:t>
                                  </w:r>
                                </w:p>
                              </w:txbxContent>
                            </wps:txbx>
                            <wps:bodyPr upright="1"/>
                          </wps:wsp>
                        </a:graphicData>
                      </a:graphic>
                    </wp:anchor>
                  </w:drawing>
                </mc:Choice>
                <mc:Fallback>
                  <w:pict>
                    <v:rect id="_x0000_s1026" o:spid="_x0000_s1026" o:spt="1" style="position:absolute;left:0pt;margin-left:98.8pt;margin-top:0.1pt;height:25.25pt;width:109.55pt;z-index:292652032;mso-width-relative:page;mso-height-relative:page;" filled="f" stroked="f" coordsize="21600,21600" o:gfxdata="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HdKALXXAAAABwEAAA8AAAAA&#10;AAAAAQAgAAAAIgAAAGRycy9kb3ducmV2LnhtbFBLAQIUABQAAAAIAIdO4kDpSzcXowEAAEMDAAAO&#10;AAAAAAAAAAEAIAAAACYBAABkcnMvZTJvRG9jLnhtbFBLBQYAAAAABgAGAFkBAAA7BQ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油漆</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49984" behindDoc="0" locked="0" layoutInCell="1" allowOverlap="1">
                      <wp:simplePos x="0" y="0"/>
                      <wp:positionH relativeFrom="column">
                        <wp:posOffset>765810</wp:posOffset>
                      </wp:positionH>
                      <wp:positionV relativeFrom="paragraph">
                        <wp:posOffset>250825</wp:posOffset>
                      </wp:positionV>
                      <wp:extent cx="1282065" cy="635"/>
                      <wp:effectExtent l="0" t="48260" r="13335" b="65405"/>
                      <wp:wrapNone/>
                      <wp:docPr id="93" name="直接连接符 93"/>
                      <wp:cNvGraphicFramePr/>
                      <a:graphic xmlns:a="http://schemas.openxmlformats.org/drawingml/2006/main">
                        <a:graphicData uri="http://schemas.microsoft.com/office/word/2010/wordprocessingShape">
                          <wps:wsp>
                            <wps:cNvCnPr/>
                            <wps:spPr>
                              <a:xfrm>
                                <a:off x="0" y="0"/>
                                <a:ext cx="1282065"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60.3pt;margin-top:19.75pt;height:0.05pt;width:100.95pt;z-index:292649984;mso-width-relative:page;mso-height-relative:page;" filled="f" stroked="t" coordsize="21600,21600" o:gfxdata="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6YNEs2QAAAAkBAAAPAAAAAAAAAAEAIAAAACIAAABkcnMvZG93bnJl&#10;di54bWxQSwECFAAUAAAACACHTuJAxgwIgvwBAADpAwAADgAAAAAAAAABACAAAAAoAQAAZHJzL2Uy&#10;b0RvYy54bWxQSwUGAAAAAAYABgBZAQAAlgU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39744" behindDoc="0" locked="0" layoutInCell="1" allowOverlap="1">
                      <wp:simplePos x="0" y="0"/>
                      <wp:positionH relativeFrom="column">
                        <wp:posOffset>3270885</wp:posOffset>
                      </wp:positionH>
                      <wp:positionV relativeFrom="paragraph">
                        <wp:posOffset>17780</wp:posOffset>
                      </wp:positionV>
                      <wp:extent cx="2510155" cy="320040"/>
                      <wp:effectExtent l="0" t="0" r="0" b="0"/>
                      <wp:wrapNone/>
                      <wp:docPr id="95" name="矩形 95"/>
                      <wp:cNvGraphicFramePr/>
                      <a:graphic xmlns:a="http://schemas.openxmlformats.org/drawingml/2006/main">
                        <a:graphicData uri="http://schemas.microsoft.com/office/word/2010/wordprocessingShape">
                          <wps:wsp>
                            <wps:cNvSpPr/>
                            <wps:spPr>
                              <a:xfrm>
                                <a:off x="0" y="0"/>
                                <a:ext cx="2510155" cy="320040"/>
                              </a:xfrm>
                              <a:prstGeom prst="rect">
                                <a:avLst/>
                              </a:prstGeom>
                              <a:noFill/>
                              <a:ln>
                                <a:noFill/>
                              </a:ln>
                            </wps:spPr>
                            <wps:txbx>
                              <w:txbxContent>
                                <w:p>
                                  <w:pPr>
                                    <w:jc w:val="left"/>
                                    <w:rPr>
                                      <w:rFonts w:hint="eastAsia" w:eastAsia="宋体"/>
                                      <w:lang w:val="en-US" w:eastAsia="zh-CN"/>
                                    </w:rPr>
                                  </w:pPr>
                                  <w:r>
                                    <w:rPr>
                                      <w:rFonts w:hint="eastAsia"/>
                                      <w:color w:val="auto"/>
                                      <w:lang w:val="en-US" w:eastAsia="zh-CN"/>
                                    </w:rPr>
                                    <w:t>噪声、有机废气、固废</w:t>
                                  </w:r>
                                </w:p>
                                <w:p>
                                  <w:pPr>
                                    <w:jc w:val="left"/>
                                    <w:rPr>
                                      <w:rFonts w:hint="eastAsia" w:eastAsia="宋体"/>
                                      <w:lang w:val="en-US" w:eastAsia="zh-CN"/>
                                    </w:rPr>
                                  </w:pPr>
                                </w:p>
                              </w:txbxContent>
                            </wps:txbx>
                            <wps:bodyPr upright="1"/>
                          </wps:wsp>
                        </a:graphicData>
                      </a:graphic>
                    </wp:anchor>
                  </w:drawing>
                </mc:Choice>
                <mc:Fallback>
                  <w:pict>
                    <v:rect id="_x0000_s1026" o:spid="_x0000_s1026" o:spt="1" style="position:absolute;left:0pt;margin-left:257.55pt;margin-top:1.4pt;height:25.2pt;width:197.65pt;z-index:292639744;mso-width-relative:page;mso-height-relative:page;" filled="f" stroked="f" coordsize="21600,21600" o:gfxdata="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A5/od92AAAAAgBAAAPAAAA&#10;AAAAAAEAIAAAACIAAABkcnMvZG93bnJldi54bWxQSwECFAAUAAAACACHTuJAK9rIeaMBAABDAwAA&#10;DgAAAAAAAAABACAAAAAnAQAAZHJzL2Uyb0RvYy54bWxQSwUGAAAAAAYABgBZAQAAPAU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噪声、有机废气、固废</w:t>
                            </w:r>
                          </w:p>
                          <w:p>
                            <w:pPr>
                              <w:jc w:val="left"/>
                              <w:rPr>
                                <w:rFonts w:hint="eastAsia" w:eastAsia="宋体"/>
                                <w:lang w:val="en-US" w:eastAsia="zh-CN"/>
                              </w:rPr>
                            </w:pP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34624" behindDoc="0" locked="0" layoutInCell="1" allowOverlap="1">
                      <wp:simplePos x="0" y="0"/>
                      <wp:positionH relativeFrom="column">
                        <wp:posOffset>3126740</wp:posOffset>
                      </wp:positionH>
                      <wp:positionV relativeFrom="paragraph">
                        <wp:posOffset>175260</wp:posOffset>
                      </wp:positionV>
                      <wp:extent cx="169545" cy="635"/>
                      <wp:effectExtent l="5080" t="48895" r="15875" b="64770"/>
                      <wp:wrapNone/>
                      <wp:docPr id="105" name="直接连接符 105"/>
                      <wp:cNvGraphicFramePr/>
                      <a:graphic xmlns:a="http://schemas.openxmlformats.org/drawingml/2006/main">
                        <a:graphicData uri="http://schemas.microsoft.com/office/word/2010/wordprocessingShape">
                          <wps:wsp>
                            <wps:cNvCnPr/>
                            <wps:spPr>
                              <a:xfrm>
                                <a:off x="0" y="0"/>
                                <a:ext cx="169545" cy="635"/>
                              </a:xfrm>
                              <a:prstGeom prst="line">
                                <a:avLst/>
                              </a:prstGeom>
                              <a:ln w="9525" cap="sq" cmpd="sng">
                                <a:solidFill>
                                  <a:srgbClr val="000000"/>
                                </a:solidFill>
                                <a:prstDash val="sysDot"/>
                                <a:headEnd type="none" w="med" len="med"/>
                                <a:tailEnd type="arrow" w="med" len="med"/>
                              </a:ln>
                            </wps:spPr>
                            <wps:bodyPr upright="1"/>
                          </wps:wsp>
                        </a:graphicData>
                      </a:graphic>
                    </wp:anchor>
                  </w:drawing>
                </mc:Choice>
                <mc:Fallback>
                  <w:pict>
                    <v:line id="_x0000_s1026" o:spid="_x0000_s1026" o:spt="20" style="position:absolute;left:0pt;margin-left:246.2pt;margin-top:13.8pt;height:0.05pt;width:13.35pt;z-index:292634624;mso-width-relative:page;mso-height-relative:page;" filled="f" stroked="t" coordsize="21600,21600" o:gfxdata="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2Apfw9oAAAAJAQAADwAAAAAAAAABACAAAAAiAAAAZHJzL2Rv&#10;d25yZXYueG1sUEsBAhQAFAAAAAgAh07iQCJJPmz/AQAA6QMAAA4AAAAAAAAAAQAgAAAAKQEAAGRy&#10;cy9lMm9Eb2MueG1sUEsFBgAAAAAGAAYAWQEAAJoFAAAAAA==&#10;">
                      <v:fill on="f" focussize="0,0"/>
                      <v:stroke color="#000000" joinstyle="round" dashstyle="1 1" endcap="square"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28480" behindDoc="0" locked="0" layoutInCell="1" allowOverlap="1">
                      <wp:simplePos x="0" y="0"/>
                      <wp:positionH relativeFrom="column">
                        <wp:posOffset>2582545</wp:posOffset>
                      </wp:positionH>
                      <wp:positionV relativeFrom="paragraph">
                        <wp:posOffset>346075</wp:posOffset>
                      </wp:positionV>
                      <wp:extent cx="1905" cy="153670"/>
                      <wp:effectExtent l="48260" t="0" r="64135" b="17780"/>
                      <wp:wrapNone/>
                      <wp:docPr id="107" name="直接连接符 107"/>
                      <wp:cNvGraphicFramePr/>
                      <a:graphic xmlns:a="http://schemas.openxmlformats.org/drawingml/2006/main">
                        <a:graphicData uri="http://schemas.microsoft.com/office/word/2010/wordprocessingShape">
                          <wps:wsp>
                            <wps:cNvCnPr/>
                            <wps:spPr>
                              <a:xfrm>
                                <a:off x="0" y="0"/>
                                <a:ext cx="1905" cy="153670"/>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203.35pt;margin-top:27.25pt;height:12.1pt;width:0.15pt;z-index:292628480;mso-width-relative:page;mso-height-relative:page;" filled="f" stroked="t" coordsize="21600,21600" o:gfxdata="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DO+PaAAAACQEAAA8AAAAAAAAAAQAgAAAAIgAAAGRycy9k&#10;b3ducmV2LnhtbFBLAQIUABQAAAAIAIdO4kBMSg0eAAIAAOsDAAAOAAAAAAAAAAEAIAAAACkBAABk&#10;cnMvZTJvRG9jLnhtbFBLBQYAAAAABgAGAFkBAACbBQ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14144" behindDoc="0" locked="0" layoutInCell="1" allowOverlap="1">
                      <wp:simplePos x="0" y="0"/>
                      <wp:positionH relativeFrom="column">
                        <wp:posOffset>2040890</wp:posOffset>
                      </wp:positionH>
                      <wp:positionV relativeFrom="paragraph">
                        <wp:posOffset>41910</wp:posOffset>
                      </wp:positionV>
                      <wp:extent cx="1079500" cy="285750"/>
                      <wp:effectExtent l="4445" t="4445" r="20955" b="14605"/>
                      <wp:wrapNone/>
                      <wp:docPr id="109" name="矩形 109"/>
                      <wp:cNvGraphicFramePr/>
                      <a:graphic xmlns:a="http://schemas.openxmlformats.org/drawingml/2006/main">
                        <a:graphicData uri="http://schemas.microsoft.com/office/word/2010/wordprocessingShape">
                          <wps:wsp>
                            <wps:cNvSpPr/>
                            <wps:spPr>
                              <a:xfrm>
                                <a:off x="0" y="0"/>
                                <a:ext cx="1079500" cy="285750"/>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lang w:val="en-US" w:eastAsia="zh-CN"/>
                                    </w:rPr>
                                  </w:pPr>
                                  <w:r>
                                    <w:rPr>
                                      <w:rFonts w:hint="eastAsia"/>
                                      <w:lang w:val="en-US" w:eastAsia="zh-CN"/>
                                    </w:rPr>
                                    <w:t>油漆施工</w:t>
                                  </w:r>
                                </w:p>
                              </w:txbxContent>
                            </wps:txbx>
                            <wps:bodyPr upright="1"/>
                          </wps:wsp>
                        </a:graphicData>
                      </a:graphic>
                    </wp:anchor>
                  </w:drawing>
                </mc:Choice>
                <mc:Fallback>
                  <w:pict>
                    <v:rect id="_x0000_s1026" o:spid="_x0000_s1026" o:spt="1" style="position:absolute;left:0pt;margin-left:160.7pt;margin-top:3.3pt;height:22.5pt;width:85pt;z-index:292614144;mso-width-relative:page;mso-height-relative:page;" filled="f" stroked="t" coordsize="21600,21600" o:gfxdata="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KGvap/WAAAACAEAAA8AAAAAAAAAAQAgAAAAIgAAAGRycy9kb3ducmV2&#10;LnhtbFBLAQIUABQAAAAIAIdO4kCRgxLL/gEAAAQEAAAOAAAAAAAAAAEAIAAAACUBAABkcnMvZTJv&#10;RG9jLnhtbFBLBQYAAAAABgAGAFkBAACVBQAAAAA=&#10;">
                      <v:fill on="f" focussize="0,0"/>
                      <v:stroke color="#000000" joinstyle="miter"/>
                      <v:imagedata o:title=""/>
                      <o:lock v:ext="edit" aspectratio="f"/>
                      <v:textbox>
                        <w:txbxContent>
                          <w:p>
                            <w:pPr>
                              <w:jc w:val="center"/>
                              <w:rPr>
                                <w:rFonts w:hint="eastAsia"/>
                                <w:lang w:val="en-US" w:eastAsia="zh-CN"/>
                              </w:rPr>
                            </w:pPr>
                            <w:r>
                              <w:rPr>
                                <w:rFonts w:hint="eastAsia"/>
                                <w:lang w:val="en-US" w:eastAsia="zh-CN"/>
                              </w:rPr>
                              <w:t>油漆施工</w:t>
                            </w:r>
                          </w:p>
                        </w:txbxContent>
                      </v:textbox>
                    </v:rect>
                  </w:pict>
                </mc:Fallback>
              </mc:AlternateContent>
            </w:r>
          </w:p>
          <w:p>
            <w:pPr>
              <w:keepNext w:val="0"/>
              <w:keepLines w:val="0"/>
              <w:suppressLineNumbers w:val="0"/>
              <w:tabs>
                <w:tab w:val="left" w:pos="975"/>
              </w:tabs>
              <w:spacing w:before="0" w:beforeAutospacing="0" w:after="0" w:afterAutospacing="0" w:line="360" w:lineRule="auto"/>
              <w:ind w:left="0" w:right="0" w:firstLine="480" w:firstLineChars="200"/>
              <w:rPr>
                <w:rFonts w:hint="eastAsia" w:ascii="Times New Roman" w:hAnsi="Times New Roman" w:eastAsia="宋体"/>
                <w:b/>
                <w:color w:val="auto"/>
                <w:sz w:val="28"/>
                <w:szCs w:val="28"/>
                <w:highlight w:val="none"/>
                <w:lang w:val="en-US" w:eastAsia="zh-CN"/>
              </w:rPr>
            </w:pPr>
            <w:r>
              <w:rPr>
                <w:rFonts w:hint="default" w:ascii="Times New Roman" w:hAnsi="Times New Roman" w:eastAsia="宋体"/>
                <w:color w:val="auto"/>
                <w:sz w:val="24"/>
                <w:highlight w:val="none"/>
              </w:rPr>
              <mc:AlternateContent>
                <mc:Choice Requires="wps">
                  <w:drawing>
                    <wp:anchor distT="0" distB="0" distL="114300" distR="114300" simplePos="0" relativeHeight="292427776" behindDoc="1" locked="0" layoutInCell="1" allowOverlap="1">
                      <wp:simplePos x="0" y="0"/>
                      <wp:positionH relativeFrom="column">
                        <wp:posOffset>1114425</wp:posOffset>
                      </wp:positionH>
                      <wp:positionV relativeFrom="paragraph">
                        <wp:posOffset>66675</wp:posOffset>
                      </wp:positionV>
                      <wp:extent cx="1391285" cy="320675"/>
                      <wp:effectExtent l="0" t="0" r="0" b="0"/>
                      <wp:wrapNone/>
                      <wp:docPr id="122" name="矩形 122"/>
                      <wp:cNvGraphicFramePr/>
                      <a:graphic xmlns:a="http://schemas.openxmlformats.org/drawingml/2006/main">
                        <a:graphicData uri="http://schemas.microsoft.com/office/word/2010/wordprocessingShape">
                          <wps:wsp>
                            <wps:cNvSpPr/>
                            <wps:spPr>
                              <a:xfrm>
                                <a:off x="0" y="0"/>
                                <a:ext cx="1391285" cy="320675"/>
                              </a:xfrm>
                              <a:prstGeom prst="rect">
                                <a:avLst/>
                              </a:prstGeom>
                              <a:noFill/>
                              <a:ln>
                                <a:noFill/>
                              </a:ln>
                            </wps:spPr>
                            <wps:txbx>
                              <w:txbxContent>
                                <w:p>
                                  <w:pPr>
                                    <w:jc w:val="left"/>
                                    <w:rPr>
                                      <w:rFonts w:hint="eastAsia" w:eastAsia="宋体"/>
                                      <w:lang w:val="en-US" w:eastAsia="zh-CN"/>
                                    </w:rPr>
                                  </w:pPr>
                                  <w:r>
                                    <w:rPr>
                                      <w:rFonts w:hint="eastAsia"/>
                                      <w:color w:val="auto"/>
                                      <w:lang w:val="en-US" w:eastAsia="zh-CN"/>
                                    </w:rPr>
                                    <w:t>建材、水</w:t>
                                  </w:r>
                                </w:p>
                              </w:txbxContent>
                            </wps:txbx>
                            <wps:bodyPr upright="1"/>
                          </wps:wsp>
                        </a:graphicData>
                      </a:graphic>
                    </wp:anchor>
                  </w:drawing>
                </mc:Choice>
                <mc:Fallback>
                  <w:pict>
                    <v:rect id="_x0000_s1026" o:spid="_x0000_s1026" o:spt="1" style="position:absolute;left:0pt;margin-left:87.75pt;margin-top:5.25pt;height:25.25pt;width:109.55pt;z-index:-210888704;mso-width-relative:page;mso-height-relative:page;" filled="f" stroked="f" coordsize="21600,21600" o:gfxdata="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BM6U77ZAAAACQEAAA8A&#10;AAAAAAAAAQAgAAAAIgAAAGRycy9kb3ducmV2LnhtbFBLAQIUABQAAAAIAIdO4kBWodllpAEAAEUD&#10;AAAOAAAAAAAAAAEAIAAAACgBAABkcnMvZTJvRG9jLnhtbFBLBQYAAAAABgAGAFkBAAA+BQ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建材、水</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51008" behindDoc="0" locked="0" layoutInCell="1" allowOverlap="1">
                      <wp:simplePos x="0" y="0"/>
                      <wp:positionH relativeFrom="column">
                        <wp:posOffset>771525</wp:posOffset>
                      </wp:positionH>
                      <wp:positionV relativeFrom="paragraph">
                        <wp:posOffset>307975</wp:posOffset>
                      </wp:positionV>
                      <wp:extent cx="1282065" cy="635"/>
                      <wp:effectExtent l="0" t="48260" r="13335" b="65405"/>
                      <wp:wrapNone/>
                      <wp:docPr id="130" name="直接连接符 130"/>
                      <wp:cNvGraphicFramePr/>
                      <a:graphic xmlns:a="http://schemas.openxmlformats.org/drawingml/2006/main">
                        <a:graphicData uri="http://schemas.microsoft.com/office/word/2010/wordprocessingShape">
                          <wps:wsp>
                            <wps:cNvCnPr/>
                            <wps:spPr>
                              <a:xfrm>
                                <a:off x="0" y="0"/>
                                <a:ext cx="1282065" cy="635"/>
                              </a:xfrm>
                              <a:prstGeom prst="line">
                                <a:avLst/>
                              </a:prstGeom>
                              <a:ln w="9525" cap="flat" cmpd="sng">
                                <a:solidFill>
                                  <a:srgbClr val="000000"/>
                                </a:solidFill>
                                <a:prstDash val="solid"/>
                                <a:headEnd type="none" w="med" len="med"/>
                                <a:tailEnd type="arrow" w="med" len="med"/>
                              </a:ln>
                            </wps:spPr>
                            <wps:bodyPr upright="1"/>
                          </wps:wsp>
                        </a:graphicData>
                      </a:graphic>
                    </wp:anchor>
                  </w:drawing>
                </mc:Choice>
                <mc:Fallback>
                  <w:pict>
                    <v:line id="_x0000_s1026" o:spid="_x0000_s1026" o:spt="20" style="position:absolute;left:0pt;margin-left:60.75pt;margin-top:24.25pt;height:0.05pt;width:100.95pt;z-index:292651008;mso-width-relative:page;mso-height-relative:page;" filled="f" stroked="t" coordsize="21600,21600" o:gfxdata="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4bEuBNkAAAAJAQAADwAAAAAAAAABACAAAAAiAAAAZHJzL2Rvd25y&#10;ZXYueG1sUEsBAhQAFAAAAAgAh07iQEFM/579AQAA6wMAAA4AAAAAAAAAAQAgAAAAKAEAAGRycy9l&#10;Mm9Eb2MueG1sUEsFBgAAAAAGAAYAWQEAAJcFAAAAAA==&#10;">
                      <v:fill on="f" focussize="0,0"/>
                      <v:stroke color="#000000" joinstyle="round"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40768" behindDoc="0" locked="0" layoutInCell="1" allowOverlap="1">
                      <wp:simplePos x="0" y="0"/>
                      <wp:positionH relativeFrom="column">
                        <wp:posOffset>3272155</wp:posOffset>
                      </wp:positionH>
                      <wp:positionV relativeFrom="paragraph">
                        <wp:posOffset>107315</wp:posOffset>
                      </wp:positionV>
                      <wp:extent cx="2510155" cy="320040"/>
                      <wp:effectExtent l="0" t="0" r="0" b="0"/>
                      <wp:wrapNone/>
                      <wp:docPr id="135" name="矩形 135"/>
                      <wp:cNvGraphicFramePr/>
                      <a:graphic xmlns:a="http://schemas.openxmlformats.org/drawingml/2006/main">
                        <a:graphicData uri="http://schemas.microsoft.com/office/word/2010/wordprocessingShape">
                          <wps:wsp>
                            <wps:cNvSpPr/>
                            <wps:spPr>
                              <a:xfrm>
                                <a:off x="0" y="0"/>
                                <a:ext cx="2510155" cy="320040"/>
                              </a:xfrm>
                              <a:prstGeom prst="rect">
                                <a:avLst/>
                              </a:prstGeom>
                              <a:noFill/>
                              <a:ln>
                                <a:noFill/>
                              </a:ln>
                            </wps:spPr>
                            <wps:txbx>
                              <w:txbxContent>
                                <w:p>
                                  <w:pPr>
                                    <w:jc w:val="left"/>
                                    <w:rPr>
                                      <w:rFonts w:hint="eastAsia" w:eastAsia="宋体"/>
                                      <w:lang w:val="en-US" w:eastAsia="zh-CN"/>
                                    </w:rPr>
                                  </w:pPr>
                                  <w:r>
                                    <w:rPr>
                                      <w:rFonts w:hint="eastAsia"/>
                                      <w:color w:val="auto"/>
                                      <w:lang w:val="en-US" w:eastAsia="zh-CN"/>
                                    </w:rPr>
                                    <w:t>噪声、废气、生活污水、砂浆水、固废</w:t>
                                  </w:r>
                                </w:p>
                              </w:txbxContent>
                            </wps:txbx>
                            <wps:bodyPr upright="1"/>
                          </wps:wsp>
                        </a:graphicData>
                      </a:graphic>
                    </wp:anchor>
                  </w:drawing>
                </mc:Choice>
                <mc:Fallback>
                  <w:pict>
                    <v:rect id="_x0000_s1026" o:spid="_x0000_s1026" o:spt="1" style="position:absolute;left:0pt;margin-left:257.65pt;margin-top:8.45pt;height:25.2pt;width:197.65pt;z-index:292640768;mso-width-relative:page;mso-height-relative:page;" filled="f" stroked="f" coordsize="21600,21600" o:gfxdata="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Y7oJ1NoAAAAJAQAADwAA&#10;AAAAAAABACAAAAAiAAAAZHJzL2Rvd25yZXYueG1sUEsBAhQAFAAAAAgAh07iQAQqYbKiAQAARQMA&#10;AA4AAAAAAAAAAQAgAAAAKQEAAGRycy9lMm9Eb2MueG1sUEsFBgAAAAAGAAYAWQEAAD0FAAAAAA==&#10;">
                      <v:fill on="f" focussize="0,0"/>
                      <v:stroke on="f"/>
                      <v:imagedata o:title=""/>
                      <o:lock v:ext="edit" aspectratio="f"/>
                      <v:textbox>
                        <w:txbxContent>
                          <w:p>
                            <w:pPr>
                              <w:jc w:val="left"/>
                              <w:rPr>
                                <w:rFonts w:hint="eastAsia" w:eastAsia="宋体"/>
                                <w:lang w:val="en-US" w:eastAsia="zh-CN"/>
                              </w:rPr>
                            </w:pPr>
                            <w:r>
                              <w:rPr>
                                <w:rFonts w:hint="eastAsia"/>
                                <w:color w:val="auto"/>
                                <w:lang w:val="en-US" w:eastAsia="zh-CN"/>
                              </w:rPr>
                              <w:t>噪声、废气、生活污水、砂浆水、固废</w:t>
                            </w:r>
                          </w:p>
                        </w:txbxContent>
                      </v:textbox>
                    </v:rect>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35648" behindDoc="0" locked="0" layoutInCell="1" allowOverlap="1">
                      <wp:simplePos x="0" y="0"/>
                      <wp:positionH relativeFrom="column">
                        <wp:posOffset>3147695</wp:posOffset>
                      </wp:positionH>
                      <wp:positionV relativeFrom="paragraph">
                        <wp:posOffset>255270</wp:posOffset>
                      </wp:positionV>
                      <wp:extent cx="169545" cy="635"/>
                      <wp:effectExtent l="5080" t="48895" r="15875" b="64770"/>
                      <wp:wrapNone/>
                      <wp:docPr id="146" name="直接连接符 146"/>
                      <wp:cNvGraphicFramePr/>
                      <a:graphic xmlns:a="http://schemas.openxmlformats.org/drawingml/2006/main">
                        <a:graphicData uri="http://schemas.microsoft.com/office/word/2010/wordprocessingShape">
                          <wps:wsp>
                            <wps:cNvCnPr/>
                            <wps:spPr>
                              <a:xfrm>
                                <a:off x="0" y="0"/>
                                <a:ext cx="169545" cy="635"/>
                              </a:xfrm>
                              <a:prstGeom prst="line">
                                <a:avLst/>
                              </a:prstGeom>
                              <a:ln w="9525" cap="sq" cmpd="sng">
                                <a:solidFill>
                                  <a:srgbClr val="000000"/>
                                </a:solidFill>
                                <a:prstDash val="sysDot"/>
                                <a:headEnd type="none" w="med" len="med"/>
                                <a:tailEnd type="arrow" w="med" len="med"/>
                              </a:ln>
                            </wps:spPr>
                            <wps:bodyPr upright="1"/>
                          </wps:wsp>
                        </a:graphicData>
                      </a:graphic>
                    </wp:anchor>
                  </w:drawing>
                </mc:Choice>
                <mc:Fallback>
                  <w:pict>
                    <v:line id="_x0000_s1026" o:spid="_x0000_s1026" o:spt="20" style="position:absolute;left:0pt;margin-left:247.85pt;margin-top:20.1pt;height:0.05pt;width:13.35pt;z-index:292635648;mso-width-relative:page;mso-height-relative:page;" filled="f" stroked="t" coordsize="21600,21600" o:gfxdata="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jvwwrdkAAAAJAQAADwAAAAAAAAABACAAAAAiAAAAZHJzL2Rvd25y&#10;ZXYueG1sUEsBAhQAFAAAAAgAh07iQD5l0679AQAA6QMAAA4AAAAAAAAAAQAgAAAAKAEAAGRycy9l&#10;Mm9Eb2MueG1sUEsFBgAAAAAGAAYAWQEAAJcFAAAAAA==&#10;">
                      <v:fill on="f" focussize="0,0"/>
                      <v:stroke color="#000000" joinstyle="round" dashstyle="1 1" endcap="square" endarrow="open"/>
                      <v:imagedata o:title=""/>
                      <o:lock v:ext="edit" aspectratio="f"/>
                    </v:line>
                  </w:pict>
                </mc:Fallback>
              </mc:AlternateContent>
            </w:r>
            <w:r>
              <w:rPr>
                <w:rFonts w:hint="default" w:ascii="Times New Roman" w:hAnsi="Times New Roman" w:eastAsia="宋体"/>
                <w:color w:val="auto"/>
                <w:sz w:val="24"/>
                <w:highlight w:val="none"/>
              </w:rPr>
              <mc:AlternateContent>
                <mc:Choice Requires="wps">
                  <w:drawing>
                    <wp:anchor distT="0" distB="0" distL="114300" distR="114300" simplePos="0" relativeHeight="292629504" behindDoc="0" locked="0" layoutInCell="1" allowOverlap="1">
                      <wp:simplePos x="0" y="0"/>
                      <wp:positionH relativeFrom="column">
                        <wp:posOffset>2046605</wp:posOffset>
                      </wp:positionH>
                      <wp:positionV relativeFrom="paragraph">
                        <wp:posOffset>98425</wp:posOffset>
                      </wp:positionV>
                      <wp:extent cx="1079500" cy="285750"/>
                      <wp:effectExtent l="4445" t="4445" r="20955" b="14605"/>
                      <wp:wrapNone/>
                      <wp:docPr id="151" name="矩形 151"/>
                      <wp:cNvGraphicFramePr/>
                      <a:graphic xmlns:a="http://schemas.openxmlformats.org/drawingml/2006/main">
                        <a:graphicData uri="http://schemas.microsoft.com/office/word/2010/wordprocessingShape">
                          <wps:wsp>
                            <wps:cNvSpPr/>
                            <wps:spPr>
                              <a:xfrm>
                                <a:off x="0" y="0"/>
                                <a:ext cx="1079500" cy="285750"/>
                              </a:xfrm>
                              <a:prstGeom prst="rect">
                                <a:avLst/>
                              </a:prstGeom>
                              <a:noFill/>
                              <a:ln w="9525" cap="flat" cmpd="sng">
                                <a:solidFill>
                                  <a:srgbClr val="000000"/>
                                </a:solidFill>
                                <a:prstDash val="solid"/>
                                <a:miter/>
                                <a:headEnd type="none" w="med" len="med"/>
                                <a:tailEnd type="none" w="med" len="med"/>
                              </a:ln>
                            </wps:spPr>
                            <wps:txbx>
                              <w:txbxContent>
                                <w:p>
                                  <w:pPr>
                                    <w:jc w:val="center"/>
                                    <w:rPr>
                                      <w:rFonts w:hint="eastAsia"/>
                                      <w:lang w:val="en-US" w:eastAsia="zh-CN"/>
                                    </w:rPr>
                                  </w:pPr>
                                  <w:r>
                                    <w:rPr>
                                      <w:rFonts w:hint="eastAsia"/>
                                      <w:lang w:val="en-US" w:eastAsia="zh-CN"/>
                                    </w:rPr>
                                    <w:t>附属工程</w:t>
                                  </w:r>
                                </w:p>
                              </w:txbxContent>
                            </wps:txbx>
                            <wps:bodyPr upright="1"/>
                          </wps:wsp>
                        </a:graphicData>
                      </a:graphic>
                    </wp:anchor>
                  </w:drawing>
                </mc:Choice>
                <mc:Fallback>
                  <w:pict>
                    <v:rect id="_x0000_s1026" o:spid="_x0000_s1026" o:spt="1" style="position:absolute;left:0pt;margin-left:161.15pt;margin-top:7.75pt;height:22.5pt;width:85pt;z-index:292629504;mso-width-relative:page;mso-height-relative:page;" filled="f" stroked="t" coordsize="21600,21600" o:gfxdata="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oFEu1wAAAAkBAAAPAAAAAAAAAAEAIAAAACIAAABkcnMvZG93bnJl&#10;di54bWxQSwECFAAUAAAACACHTuJAO+7RT/4BAAAEBAAADgAAAAAAAAABACAAAAAmAQAAZHJzL2Uy&#10;b0RvYy54bWxQSwUGAAAAAAYABgBZAQAAlgUAAAAA&#10;">
                      <v:fill on="f" focussize="0,0"/>
                      <v:stroke color="#000000" joinstyle="miter"/>
                      <v:imagedata o:title=""/>
                      <o:lock v:ext="edit" aspectratio="f"/>
                      <v:textbox>
                        <w:txbxContent>
                          <w:p>
                            <w:pPr>
                              <w:jc w:val="center"/>
                              <w:rPr>
                                <w:rFonts w:hint="eastAsia"/>
                                <w:lang w:val="en-US" w:eastAsia="zh-CN"/>
                              </w:rPr>
                            </w:pPr>
                            <w:r>
                              <w:rPr>
                                <w:rFonts w:hint="eastAsia"/>
                                <w:lang w:val="en-US" w:eastAsia="zh-CN"/>
                              </w:rPr>
                              <w:t>附属工程</w:t>
                            </w:r>
                          </w:p>
                        </w:txbxContent>
                      </v:textbox>
                    </v:rect>
                  </w:pict>
                </mc:Fallback>
              </mc:AlternateContent>
            </w:r>
          </w:p>
          <w:p>
            <w:pPr>
              <w:keepNext w:val="0"/>
              <w:keepLines w:val="0"/>
              <w:numPr>
                <w:ilvl w:val="0"/>
                <w:numId w:val="0"/>
              </w:numPr>
              <w:suppressLineNumbers w:val="0"/>
              <w:tabs>
                <w:tab w:val="left" w:pos="975"/>
              </w:tabs>
              <w:spacing w:before="0" w:beforeAutospacing="0" w:after="0" w:afterAutospacing="0" w:line="360" w:lineRule="auto"/>
              <w:ind w:left="0" w:right="0" w:firstLine="420" w:firstLineChars="20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注：附属工程包括道路、围墙、化粪池、下水道等。</w:t>
            </w:r>
          </w:p>
          <w:p>
            <w:pPr>
              <w:keepNext w:val="0"/>
              <w:keepLines w:val="0"/>
              <w:suppressLineNumbers w:val="0"/>
              <w:spacing w:before="0" w:beforeAutospacing="0" w:after="0" w:afterAutospacing="0" w:line="360" w:lineRule="auto"/>
              <w:ind w:left="0" w:right="0"/>
              <w:jc w:val="center"/>
              <w:rPr>
                <w:rFonts w:hint="eastAsia" w:ascii="Times New Roman" w:hAnsi="Times New Roman" w:eastAsia="宋体"/>
                <w:b/>
                <w:color w:val="auto"/>
                <w:sz w:val="24"/>
                <w:highlight w:val="none"/>
                <w:lang w:val="en-US" w:eastAsia="zh-CN"/>
              </w:rPr>
            </w:pPr>
            <w:r>
              <w:rPr>
                <w:rFonts w:hint="eastAsia" w:ascii="Times New Roman" w:hAnsi="Times New Roman" w:eastAsia="宋体"/>
                <w:b/>
                <w:color w:val="auto"/>
                <w:sz w:val="24"/>
                <w:highlight w:val="none"/>
                <w:lang w:val="en-US" w:eastAsia="zh-CN"/>
              </w:rPr>
              <w:t>图5-1 项目施工期工艺流程及产污节点</w:t>
            </w:r>
          </w:p>
          <w:p>
            <w:pPr>
              <w:keepNext w:val="0"/>
              <w:keepLines w:val="0"/>
              <w:suppressLineNumbers w:val="0"/>
              <w:tabs>
                <w:tab w:val="left" w:pos="975"/>
              </w:tabs>
              <w:spacing w:before="0" w:beforeAutospacing="0" w:after="0" w:afterAutospacing="0" w:line="360" w:lineRule="auto"/>
              <w:ind w:left="0" w:right="0" w:firstLine="562" w:firstLineChars="200"/>
              <w:rPr>
                <w:rFonts w:hint="eastAsia" w:ascii="Times New Roman" w:hAnsi="Times New Roman" w:eastAsia="宋体"/>
                <w:b/>
                <w:color w:val="auto"/>
                <w:sz w:val="28"/>
                <w:szCs w:val="28"/>
                <w:highlight w:val="none"/>
              </w:rPr>
            </w:pPr>
            <w:r>
              <w:rPr>
                <w:rFonts w:hint="eastAsia" w:ascii="Times New Roman" w:hAnsi="Times New Roman" w:eastAsia="宋体"/>
                <w:b/>
                <w:color w:val="auto"/>
                <w:sz w:val="28"/>
                <w:szCs w:val="28"/>
                <w:highlight w:val="none"/>
              </w:rPr>
              <w:t>2、</w:t>
            </w:r>
            <w:r>
              <w:rPr>
                <w:rFonts w:hint="default" w:ascii="Times New Roman" w:hAnsi="Times New Roman" w:eastAsia="宋体"/>
                <w:b/>
                <w:color w:val="auto"/>
                <w:sz w:val="28"/>
                <w:szCs w:val="28"/>
                <w:highlight w:val="none"/>
              </w:rPr>
              <w:t>工艺流程说明</w:t>
            </w:r>
            <w:r>
              <w:rPr>
                <w:rFonts w:hint="eastAsia" w:ascii="Times New Roman" w:hAnsi="Times New Roman" w:eastAsia="宋体"/>
                <w:b/>
                <w:color w:val="auto"/>
                <w:sz w:val="28"/>
                <w:szCs w:val="28"/>
                <w:highlight w:val="none"/>
              </w:rPr>
              <w:t>简述</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1</w:t>
            </w:r>
            <w:r>
              <w:rPr>
                <w:rFonts w:hint="eastAsia" w:ascii="Times New Roman" w:hAnsi="Times New Roman" w:eastAsia="宋体" w:cs="宋体"/>
                <w:color w:val="auto"/>
                <w:sz w:val="24"/>
                <w:highlight w:val="none"/>
                <w:lang w:val="en-US" w:eastAsia="zh-CN"/>
              </w:rPr>
              <w:t>）填土、夯实</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填土施工时，一般将软弱土层挖至天然好土，然后作砂框，用平板振荡器挡实，再进行分层填土，用</w:t>
            </w:r>
            <w:r>
              <w:rPr>
                <w:rFonts w:hint="default" w:ascii="Times New Roman" w:hAnsi="Times New Roman" w:eastAsia="宋体" w:cs="Times New Roman"/>
                <w:color w:val="auto"/>
                <w:sz w:val="24"/>
                <w:highlight w:val="none"/>
                <w:lang w:val="en-US" w:eastAsia="zh-CN"/>
              </w:rPr>
              <w:t>10～12</w:t>
            </w:r>
            <w:r>
              <w:rPr>
                <w:rFonts w:hint="eastAsia" w:ascii="Times New Roman" w:hAnsi="Times New Roman" w:eastAsia="宋体" w:cs="宋体"/>
                <w:color w:val="auto"/>
                <w:sz w:val="24"/>
                <w:highlight w:val="none"/>
                <w:lang w:val="en-US" w:eastAsia="zh-CN"/>
              </w:rPr>
              <w:t>吨的压路机碾压，碾压时需浇水湿润填土以利于密实。</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夯实是利用起重机械吊起特制的重锤来冲击基土表面，使地基受到压密。适用于加固稍湿的压缩不均的各种土和人工填土。一般夯打为</w:t>
            </w:r>
            <w:r>
              <w:rPr>
                <w:rFonts w:hint="default" w:ascii="Times New Roman" w:hAnsi="Times New Roman" w:eastAsia="宋体" w:cs="Times New Roman"/>
                <w:color w:val="auto"/>
                <w:sz w:val="24"/>
                <w:highlight w:val="none"/>
                <w:lang w:val="en-US" w:eastAsia="zh-CN"/>
              </w:rPr>
              <w:t>8～12</w:t>
            </w:r>
            <w:r>
              <w:rPr>
                <w:rFonts w:hint="eastAsia" w:ascii="Times New Roman" w:hAnsi="Times New Roman" w:eastAsia="宋体" w:cs="宋体"/>
                <w:color w:val="auto"/>
                <w:sz w:val="24"/>
                <w:highlight w:val="none"/>
                <w:lang w:val="en-US" w:eastAsia="zh-CN"/>
              </w:rPr>
              <w:t>遍，重锤夯实应分段进行，第一遍按一夯挨一夯进行，在一次循环中同一夯位应连夯二下，下一循环有</w:t>
            </w:r>
            <w:r>
              <w:rPr>
                <w:rFonts w:hint="default" w:ascii="Times New Roman" w:hAnsi="Times New Roman" w:eastAsia="宋体" w:cs="Times New Roman"/>
                <w:color w:val="auto"/>
                <w:sz w:val="24"/>
                <w:highlight w:val="none"/>
                <w:lang w:val="en-US" w:eastAsia="zh-CN"/>
              </w:rPr>
              <w:t>1/2</w:t>
            </w:r>
            <w:r>
              <w:rPr>
                <w:rFonts w:hint="eastAsia" w:ascii="Times New Roman" w:hAnsi="Times New Roman" w:eastAsia="宋体" w:cs="宋体"/>
                <w:color w:val="auto"/>
                <w:sz w:val="24"/>
                <w:highlight w:val="none"/>
                <w:lang w:val="en-US" w:eastAsia="zh-CN"/>
              </w:rPr>
              <w:t xml:space="preserve">锤底直径搭接，如此反复进行。 </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主要污染物是施工机械产生的噪声、粉尘和排放的尾气（主要是</w:t>
            </w:r>
            <w:r>
              <w:rPr>
                <w:rFonts w:hint="default" w:ascii="Times New Roman" w:hAnsi="Times New Roman" w:eastAsia="宋体" w:cs="Times New Roman"/>
                <w:color w:val="auto"/>
                <w:sz w:val="24"/>
                <w:highlight w:val="none"/>
                <w:lang w:val="en-US" w:eastAsia="zh-CN"/>
              </w:rPr>
              <w:t>NO</w:t>
            </w:r>
            <w:r>
              <w:rPr>
                <w:rFonts w:hint="default" w:ascii="Times New Roman" w:hAnsi="Times New Roman" w:eastAsia="宋体" w:cs="Times New Roman"/>
                <w:color w:val="auto"/>
                <w:sz w:val="24"/>
                <w:highlight w:val="none"/>
                <w:vertAlign w:val="subscript"/>
                <w:lang w:val="en-US" w:eastAsia="zh-CN"/>
              </w:rPr>
              <w:t>2</w:t>
            </w:r>
            <w:r>
              <w:rPr>
                <w:rFonts w:hint="eastAsia" w:ascii="Times New Roman" w:hAnsi="Times New Roman" w:eastAsia="宋体" w:cs="宋体"/>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CO</w:t>
            </w:r>
            <w:r>
              <w:rPr>
                <w:rFonts w:hint="eastAsia" w:ascii="Times New Roman" w:hAnsi="Times New Roman" w:eastAsia="宋体" w:cs="宋体"/>
                <w:color w:val="auto"/>
                <w:sz w:val="24"/>
                <w:highlight w:val="none"/>
                <w:lang w:val="en-US" w:eastAsia="zh-CN"/>
              </w:rPr>
              <w:t>和烃类物等），工人的生活污水。</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2</w:t>
            </w:r>
            <w:r>
              <w:rPr>
                <w:rFonts w:hint="eastAsia" w:ascii="Times New Roman" w:hAnsi="Times New Roman" w:eastAsia="宋体" w:cs="宋体"/>
                <w:color w:val="auto"/>
                <w:sz w:val="24"/>
                <w:highlight w:val="none"/>
                <w:lang w:val="en-US" w:eastAsia="zh-CN"/>
              </w:rPr>
              <w:t>）钻孔灌注基</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根据设计开发壕沟，用钢筋混凝土浇灌。浇灌时用光元钢做导杆，放入钢筋笼（架），用溜筒注放预先拌制均匀的混凝土。浇注时应随灌、随振、随提棒，振捣均匀，不满振、不过振，防止混凝土不实和素浆上浮。</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 xml:space="preserve">主要污染物是施工机械产生的噪声、粉尘和排放的尾气和工人的生活污水。 </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3</w:t>
            </w:r>
            <w:r>
              <w:rPr>
                <w:rFonts w:hint="eastAsia" w:ascii="Times New Roman" w:hAnsi="Times New Roman" w:eastAsia="宋体" w:cs="宋体"/>
                <w:color w:val="auto"/>
                <w:sz w:val="24"/>
                <w:highlight w:val="none"/>
                <w:lang w:val="en-US" w:eastAsia="zh-CN"/>
              </w:rPr>
              <w:t>）商品混凝土</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 xml:space="preserve">直接采购符合标注的商品混凝土进行梁、柱等的建设。 </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4</w:t>
            </w:r>
            <w:r>
              <w:rPr>
                <w:rFonts w:hint="eastAsia" w:ascii="Times New Roman" w:hAnsi="Times New Roman" w:eastAsia="宋体" w:cs="宋体"/>
                <w:color w:val="auto"/>
                <w:sz w:val="24"/>
                <w:highlight w:val="none"/>
                <w:lang w:val="en-US" w:eastAsia="zh-CN"/>
              </w:rPr>
              <w:t>）砖墙砌筑</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首先进行水泥砂浆的调配，用水泥砂浆抄平钢砼柱、梁的基面，利用经纬仪、垂球和龙门板放线，并弹出纵横墙边线。然后在弹好线的基面上按选定的组砌方式进行摆脚，立好匹数杆，再据此挂线砌筑。一般采用铺灰挤砌法和铲灰挤砌法，砖墙砌筑完毕后，进行勾缝隙。</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该工段和现浇钢砼柱、梁工段施工期长，是施工期的主题工程。主要污染物是搅拌机产生的噪声、尾气，拌制砂浆时的砂浆水和工人的生活污水，碎砖废砂浆等固废。</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5</w:t>
            </w:r>
            <w:r>
              <w:rPr>
                <w:rFonts w:hint="eastAsia" w:ascii="Times New Roman" w:hAnsi="Times New Roman" w:eastAsia="宋体" w:cs="宋体"/>
                <w:color w:val="auto"/>
                <w:sz w:val="24"/>
                <w:highlight w:val="none"/>
                <w:lang w:val="en-US" w:eastAsia="zh-CN"/>
              </w:rPr>
              <w:t>）屋面制作</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屋面由结构层、防水层和保护层组成。防水层一般有柔性防水、刚性防水和涂料防水三种做法，本项目采用柔性防水。</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平屋面做法是在现浇制板上刷一道结合水泥浆，</w:t>
            </w:r>
            <w:r>
              <w:rPr>
                <w:rFonts w:hint="default" w:ascii="Times New Roman" w:hAnsi="Times New Roman" w:eastAsia="宋体" w:cs="Times New Roman"/>
                <w:color w:val="auto"/>
                <w:sz w:val="24"/>
                <w:highlight w:val="none"/>
                <w:lang w:val="en-US" w:eastAsia="zh-CN"/>
              </w:rPr>
              <w:t>851</w:t>
            </w:r>
            <w:r>
              <w:rPr>
                <w:rFonts w:hint="eastAsia" w:ascii="Times New Roman" w:hAnsi="Times New Roman" w:eastAsia="宋体" w:cs="宋体"/>
                <w:color w:val="auto"/>
                <w:sz w:val="24"/>
                <w:highlight w:val="none"/>
                <w:lang w:val="en-US" w:eastAsia="zh-CN"/>
              </w:rPr>
              <w:t>隔气层一道，用水泥珍珠岩建隔热层，再抹</w:t>
            </w:r>
            <w:r>
              <w:rPr>
                <w:rFonts w:hint="default" w:ascii="Times New Roman" w:hAnsi="Times New Roman" w:eastAsia="宋体" w:cs="Times New Roman"/>
                <w:color w:val="auto"/>
                <w:sz w:val="24"/>
                <w:highlight w:val="none"/>
                <w:lang w:val="en-US" w:eastAsia="zh-CN"/>
              </w:rPr>
              <w:t>20～30MM</w:t>
            </w:r>
            <w:r>
              <w:rPr>
                <w:rFonts w:hint="eastAsia" w:ascii="Times New Roman" w:hAnsi="Times New Roman" w:eastAsia="宋体" w:cs="宋体"/>
                <w:color w:val="auto"/>
                <w:sz w:val="24"/>
                <w:highlight w:val="none"/>
                <w:lang w:val="en-US" w:eastAsia="zh-CN"/>
              </w:rPr>
              <w:t>厚、内掺</w:t>
            </w:r>
            <w:r>
              <w:rPr>
                <w:rFonts w:hint="default" w:ascii="Times New Roman" w:hAnsi="Times New Roman" w:eastAsia="宋体" w:cs="Times New Roman"/>
                <w:color w:val="auto"/>
                <w:sz w:val="24"/>
                <w:highlight w:val="none"/>
                <w:lang w:val="en-US" w:eastAsia="zh-CN"/>
              </w:rPr>
              <w:t>5</w:t>
            </w:r>
            <w:r>
              <w:rPr>
                <w:rFonts w:hint="eastAsia" w:ascii="Times New Roman" w:hAnsi="Times New Roman" w:eastAsia="宋体" w:cs="Times New Roman"/>
                <w:color w:val="auto"/>
                <w:sz w:val="24"/>
                <w:highlight w:val="none"/>
                <w:lang w:val="en-US" w:eastAsia="zh-CN"/>
              </w:rPr>
              <w:t xml:space="preserve"> </w:t>
            </w:r>
            <w:r>
              <w:rPr>
                <w:rFonts w:hint="default" w:ascii="Times New Roman" w:hAnsi="Times New Roman" w:eastAsia="宋体" w:cs="Times New Roman"/>
                <w:color w:val="auto"/>
                <w:sz w:val="24"/>
                <w:highlight w:val="none"/>
                <w:lang w:val="en-US" w:eastAsia="zh-CN"/>
              </w:rPr>
              <w:t>%</w:t>
            </w:r>
            <w:r>
              <w:rPr>
                <w:rFonts w:hint="eastAsia" w:ascii="Times New Roman" w:hAnsi="Times New Roman" w:eastAsia="宋体" w:cs="宋体"/>
                <w:color w:val="auto"/>
                <w:sz w:val="24"/>
                <w:highlight w:val="none"/>
                <w:lang w:val="en-US" w:eastAsia="zh-CN"/>
              </w:rPr>
              <w:t>防水剂的水泥砂浆，表面罩一层</w:t>
            </w:r>
            <w:r>
              <w:rPr>
                <w:rFonts w:hint="default" w:ascii="Times New Roman" w:hAnsi="Times New Roman" w:eastAsia="宋体" w:cs="Times New Roman"/>
                <w:color w:val="auto"/>
                <w:sz w:val="24"/>
                <w:highlight w:val="none"/>
                <w:lang w:val="en-US" w:eastAsia="zh-CN"/>
              </w:rPr>
              <w:t>1：6：8</w:t>
            </w:r>
            <w:r>
              <w:rPr>
                <w:rFonts w:hint="eastAsia" w:ascii="Times New Roman" w:hAnsi="Times New Roman" w:eastAsia="宋体" w:cs="宋体"/>
                <w:color w:val="auto"/>
                <w:sz w:val="24"/>
                <w:highlight w:val="none"/>
                <w:lang w:val="en-US" w:eastAsia="zh-CN"/>
              </w:rPr>
              <w:t>防水水泥浆（防水剂：水：水泥）。防水剂选用高分子防水卷材。</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 xml:space="preserve">瓦屋面做法是在现浇制板上刷一道结合水泥浆，抄平，粉挂瓦条和水泥彩瓦。 </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主要污染物是搅拌机的噪声、尾气，拌制砂浆时的砂浆水和工人的生活污水，碎砖瓦、废砂浆等固废。</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6</w:t>
            </w:r>
            <w:r>
              <w:rPr>
                <w:rFonts w:hint="eastAsia" w:ascii="Times New Roman" w:hAnsi="Times New Roman" w:eastAsia="宋体" w:cs="宋体"/>
                <w:color w:val="auto"/>
                <w:sz w:val="24"/>
                <w:highlight w:val="none"/>
                <w:lang w:val="en-US" w:eastAsia="zh-CN"/>
              </w:rPr>
              <w:t>）管线安装</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先对管线途经墙壁进行穿孔，对各住房的水、电、管煤等管线进行安装，然后将其固定在墙壁上。主要污染物是对墙壁进行敲打、钻孔时产生的噪声、粉尘，以及碎砖块等固废。</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7</w:t>
            </w:r>
            <w:r>
              <w:rPr>
                <w:rFonts w:hint="eastAsia" w:ascii="Times New Roman" w:hAnsi="Times New Roman" w:eastAsia="宋体" w:cs="宋体"/>
                <w:color w:val="auto"/>
                <w:sz w:val="24"/>
                <w:highlight w:val="none"/>
                <w:lang w:val="en-US" w:eastAsia="zh-CN"/>
              </w:rPr>
              <w:t>）抹灰、贴面</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抹灰先外墙后内墙。外墙由上而下，先阳角线、台口线，后抹窗台和墙面。用</w:t>
            </w:r>
            <w:r>
              <w:rPr>
                <w:rFonts w:hint="default" w:ascii="Times New Roman" w:hAnsi="Times New Roman" w:eastAsia="宋体" w:cs="Times New Roman"/>
                <w:color w:val="auto"/>
                <w:sz w:val="24"/>
                <w:highlight w:val="none"/>
                <w:lang w:val="en-US" w:eastAsia="zh-CN"/>
              </w:rPr>
              <w:t>1：2</w:t>
            </w:r>
            <w:r>
              <w:rPr>
                <w:rFonts w:hint="eastAsia" w:ascii="Times New Roman" w:hAnsi="Times New Roman" w:eastAsia="宋体" w:cs="宋体"/>
                <w:color w:val="auto"/>
                <w:sz w:val="24"/>
                <w:highlight w:val="none"/>
                <w:lang w:val="en-US" w:eastAsia="zh-CN"/>
              </w:rPr>
              <w:t>水泥砂浆抹内外墙，根据要求，对外墙分别采用浅色环保型高级涂料和浅灰色仿石涂料喷刷。</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主要污染物是搅拌机的噪声、尾气，拌制砂浆时的砂浆水和工人的生活污水，废砂浆和废弃的涂料及包装桶等固废。</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8</w:t>
            </w:r>
            <w:r>
              <w:rPr>
                <w:rFonts w:hint="eastAsia" w:ascii="Times New Roman" w:hAnsi="Times New Roman" w:eastAsia="宋体" w:cs="宋体"/>
                <w:color w:val="auto"/>
                <w:sz w:val="24"/>
                <w:highlight w:val="none"/>
                <w:lang w:val="en-US" w:eastAsia="zh-CN"/>
              </w:rPr>
              <w:t>）油漆施工</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本项目仅对外露的铁件进行油漆施工，先刷防锈底漆，再刷两遍调和漆。因需进行油漆作业的工件很少，油漆使用量较少，施工期短，挥发的有机废气量小，且呈无组织面源排放模式，对周围环境的影响是暂时和局部的，可不做统计。</w:t>
            </w:r>
          </w:p>
          <w:p>
            <w:pPr>
              <w:keepNext w:val="0"/>
              <w:keepLines w:val="0"/>
              <w:numPr>
                <w:ilvl w:val="0"/>
                <w:numId w:val="0"/>
              </w:numPr>
              <w:suppressLineNumbers w:val="0"/>
              <w:spacing w:before="0" w:beforeAutospacing="0" w:after="0" w:afterAutospacing="0" w:line="360" w:lineRule="auto"/>
              <w:ind w:left="0" w:right="0" w:firstLine="480"/>
              <w:rPr>
                <w:rFonts w:hint="eastAsia" w:ascii="Times New Roman" w:hAnsi="Times New Roman" w:eastAsia="宋体" w:cs="宋体"/>
                <w:color w:val="auto"/>
                <w:sz w:val="24"/>
                <w:highlight w:val="none"/>
                <w:lang w:val="en-US" w:eastAsia="zh-CN"/>
              </w:rPr>
            </w:pPr>
            <w:r>
              <w:rPr>
                <w:rFonts w:hint="eastAsia" w:ascii="Times New Roman" w:hAnsi="Times New Roman" w:eastAsia="宋体" w:cs="宋体"/>
                <w:color w:val="auto"/>
                <w:sz w:val="24"/>
                <w:highlight w:val="none"/>
                <w:lang w:val="en-US" w:eastAsia="zh-CN"/>
              </w:rPr>
              <w:t>（</w:t>
            </w:r>
            <w:r>
              <w:rPr>
                <w:rFonts w:hint="default" w:ascii="Times New Roman" w:hAnsi="Times New Roman" w:eastAsia="宋体" w:cs="Times New Roman"/>
                <w:color w:val="auto"/>
                <w:sz w:val="24"/>
                <w:highlight w:val="none"/>
                <w:lang w:val="en-US" w:eastAsia="zh-CN"/>
              </w:rPr>
              <w:t>9</w:t>
            </w:r>
            <w:r>
              <w:rPr>
                <w:rFonts w:hint="eastAsia" w:ascii="Times New Roman" w:hAnsi="Times New Roman" w:eastAsia="宋体" w:cs="宋体"/>
                <w:color w:val="auto"/>
                <w:sz w:val="24"/>
                <w:highlight w:val="none"/>
                <w:lang w:val="en-US" w:eastAsia="zh-CN"/>
              </w:rPr>
              <w:t>）附属工程</w:t>
            </w:r>
          </w:p>
          <w:p>
            <w:pPr>
              <w:pStyle w:val="9"/>
              <w:kinsoku w:val="0"/>
              <w:overflowPunct w:val="0"/>
              <w:spacing w:after="0" w:line="360" w:lineRule="auto"/>
              <w:ind w:firstLine="471"/>
              <w:rPr>
                <w:rFonts w:hint="default" w:ascii="Times New Roman" w:hAnsi="Times New Roman" w:eastAsia="宋体"/>
                <w:color w:val="auto"/>
                <w:sz w:val="24"/>
                <w:szCs w:val="24"/>
                <w:lang w:val="en-US" w:eastAsia="zh-CN"/>
              </w:rPr>
            </w:pPr>
            <w:r>
              <w:rPr>
                <w:rFonts w:hint="eastAsia" w:ascii="Times New Roman" w:hAnsi="Times New Roman" w:eastAsia="宋体" w:cs="宋体"/>
                <w:color w:val="auto"/>
                <w:sz w:val="24"/>
                <w:highlight w:val="none"/>
                <w:lang w:val="en-US" w:eastAsia="zh-CN"/>
              </w:rPr>
              <w:t>包括道路、围墙、化粪池、下水道等施工，主要污染物是施工机械的噪声、尾气，拌制砂浆时的砂浆水和工人的生活污水，废砂浆和废弃的下角料等固废。</w:t>
            </w:r>
            <w:r>
              <w:rPr>
                <w:rFonts w:hint="eastAsia" w:ascii="Times New Roman" w:hAnsi="Times New Roman" w:eastAsia="宋体"/>
                <w:color w:val="auto"/>
              </w:rPr>
              <w:t xml:space="preserve"> </w:t>
            </w:r>
          </w:p>
          <w:p>
            <w:pPr>
              <w:pStyle w:val="32"/>
              <w:spacing w:line="360" w:lineRule="auto"/>
              <w:ind w:firstLine="0" w:firstLineChars="0"/>
              <w:rPr>
                <w:rFonts w:ascii="Times New Roman" w:hAnsi="Times New Roman" w:eastAsia="宋体"/>
                <w:b/>
                <w:bCs/>
                <w:color w:val="auto"/>
                <w:szCs w:val="24"/>
              </w:rPr>
            </w:pPr>
            <w:r>
              <w:rPr>
                <w:rFonts w:ascii="Times New Roman" w:hAnsi="Times New Roman" w:eastAsia="宋体"/>
                <w:b/>
                <w:bCs/>
                <w:color w:val="auto"/>
                <w:szCs w:val="24"/>
              </w:rPr>
              <w:t>二、营运工程分析</w:t>
            </w:r>
          </w:p>
          <w:p>
            <w:pPr>
              <w:spacing w:line="360" w:lineRule="auto"/>
              <w:ind w:firstLine="470" w:firstLineChars="196"/>
              <w:rPr>
                <w:rFonts w:ascii="Times New Roman" w:hAnsi="Times New Roman" w:eastAsia="宋体"/>
                <w:color w:val="auto"/>
                <w:sz w:val="24"/>
                <w:szCs w:val="24"/>
              </w:rPr>
            </w:pPr>
            <w:r>
              <w:rPr>
                <w:rFonts w:ascii="Times New Roman" w:hAnsi="Times New Roman" w:eastAsia="宋体"/>
                <w:color w:val="auto"/>
                <w:sz w:val="24"/>
                <w:szCs w:val="24"/>
              </w:rPr>
              <w:t>1、生产工艺流程图及污染节点简图</w:t>
            </w:r>
          </w:p>
          <w:p>
            <w:pPr>
              <w:spacing w:line="360" w:lineRule="auto"/>
              <w:jc w:val="center"/>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drawing>
                <wp:inline distT="0" distB="0" distL="114300" distR="114300">
                  <wp:extent cx="5803265" cy="2804795"/>
                  <wp:effectExtent l="0" t="0" r="0" b="0"/>
                  <wp:docPr id="22" name="ECB019B1-382A-4266-B25C-5B523AA43C14-5" descr="qt_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ECB019B1-382A-4266-B25C-5B523AA43C14-5" descr="qt_temp"/>
                          <pic:cNvPicPr>
                            <a:picLocks noChangeAspect="1"/>
                          </pic:cNvPicPr>
                        </pic:nvPicPr>
                        <pic:blipFill>
                          <a:blip r:embed="rId5"/>
                          <a:stretch>
                            <a:fillRect/>
                          </a:stretch>
                        </pic:blipFill>
                        <pic:spPr>
                          <a:xfrm>
                            <a:off x="0" y="0"/>
                            <a:ext cx="5803265" cy="2804795"/>
                          </a:xfrm>
                          <a:prstGeom prst="rect">
                            <a:avLst/>
                          </a:prstGeom>
                        </pic:spPr>
                      </pic:pic>
                    </a:graphicData>
                  </a:graphic>
                </wp:inline>
              </w:drawing>
            </w:r>
          </w:p>
          <w:p>
            <w:pPr>
              <w:spacing w:line="360" w:lineRule="auto"/>
              <w:jc w:val="center"/>
              <w:rPr>
                <w:rFonts w:ascii="Times New Roman" w:hAnsi="Times New Roman" w:eastAsia="宋体"/>
                <w:b/>
                <w:bCs/>
                <w:color w:val="auto"/>
                <w:sz w:val="24"/>
                <w:szCs w:val="24"/>
              </w:rPr>
            </w:pPr>
            <w:r>
              <w:rPr>
                <w:rFonts w:ascii="Times New Roman" w:hAnsi="Times New Roman" w:eastAsia="宋体"/>
                <w:b/>
                <w:bCs/>
                <w:color w:val="auto"/>
                <w:sz w:val="24"/>
                <w:szCs w:val="24"/>
              </w:rPr>
              <w:t>图5-</w:t>
            </w:r>
            <w:r>
              <w:rPr>
                <w:rFonts w:hint="eastAsia" w:ascii="Times New Roman" w:hAnsi="Times New Roman" w:eastAsia="宋体"/>
                <w:b/>
                <w:bCs/>
                <w:color w:val="auto"/>
                <w:sz w:val="24"/>
                <w:szCs w:val="24"/>
                <w:lang w:val="en-US" w:eastAsia="zh-CN"/>
              </w:rPr>
              <w:t>2</w:t>
            </w:r>
            <w:r>
              <w:rPr>
                <w:rFonts w:ascii="Times New Roman" w:hAnsi="Times New Roman" w:eastAsia="宋体"/>
                <w:b/>
                <w:bCs/>
                <w:color w:val="auto"/>
                <w:sz w:val="24"/>
                <w:szCs w:val="24"/>
              </w:rPr>
              <w:t xml:space="preserve">  生产工艺流程图及污染节点简图</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工艺说明：</w:t>
            </w:r>
          </w:p>
          <w:p>
            <w:pPr>
              <w:spacing w:line="440" w:lineRule="exact"/>
              <w:ind w:firstLine="480" w:firstLineChars="200"/>
              <w:jc w:val="left"/>
              <w:rPr>
                <w:rFonts w:hint="eastAsia" w:ascii="Times New Roman" w:hAnsi="Times New Roman" w:eastAsia="宋体" w:cs="宋体"/>
                <w:sz w:val="24"/>
              </w:rPr>
            </w:pPr>
            <w:r>
              <w:rPr>
                <w:rFonts w:hint="eastAsia" w:ascii="Times New Roman" w:hAnsi="Times New Roman" w:eastAsia="宋体" w:cs="宋体"/>
                <w:sz w:val="24"/>
              </w:rPr>
              <w:t>铸管由特喷线车间三磨后吊运至喷锌运管车，喷锌运管车运至新增整理车间进行喷锌作业。采用通过式喷锌，喷锌机除尘利用原有特喷线除尘设备。喷锌完成后喷锌运管车将管运至新增整理线中心线位置。水压机前叉管车将铸管从喷锌运管车运输至水压机输送链条上，通过链条输送铸管至水压工位进行水压试验。水压机试验完成的铸管由输送链条运至链条末端。涂衬区域共上堵头工位、涂衬离心工位、下堵头工位、修改工位。DN1800（包含DN1800）以下铸管，采用运管车实现各工位间铸管倒运。DN1800以上铸管, 采用天车配置专用吊具实现各工位间铸管倒运。在涂衬离心工位实现铸管内壁水泥涂衬作业。铸管内壁水泥涂衬完毕，由天车吊运至养生池，进行蒸汽养护，养护达到规定强度后，吊运至水泥内磨区域，进行铸管内壁打磨。内磨打磨完成后吊运至运管平车上，运回原因特喷线车间进行喷漆作业直至打包入库。</w:t>
            </w:r>
          </w:p>
          <w:p>
            <w:pPr>
              <w:spacing w:line="440" w:lineRule="exact"/>
              <w:ind w:firstLine="240" w:firstLineChars="100"/>
              <w:jc w:val="left"/>
              <w:rPr>
                <w:rFonts w:hint="eastAsia" w:ascii="Times New Roman" w:hAnsi="Times New Roman" w:eastAsia="宋体" w:cs="宋体"/>
                <w:sz w:val="24"/>
              </w:rPr>
            </w:pPr>
            <w:r>
              <w:rPr>
                <w:rFonts w:hint="eastAsia" w:ascii="Times New Roman" w:hAnsi="Times New Roman" w:eastAsia="宋体" w:cs="宋体"/>
                <w:sz w:val="24"/>
              </w:rPr>
              <w:t>铸管内壁水泥涂衬所用水泥砂浆，由砂浆制备系统配制，砂浆制备系统可以满足三种水泥（普通、高铝、抗硫）和两种砂子（中砂和粗砂）的储存、输送、称量和配料。</w:t>
            </w:r>
          </w:p>
          <w:p>
            <w:pPr>
              <w:spacing w:line="440" w:lineRule="exact"/>
              <w:ind w:firstLine="480" w:firstLineChars="200"/>
              <w:jc w:val="left"/>
              <w:rPr>
                <w:rFonts w:hint="eastAsia" w:ascii="Times New Roman" w:hAnsi="Times New Roman" w:eastAsia="宋体"/>
                <w:sz w:val="24"/>
                <w:szCs w:val="32"/>
              </w:rPr>
            </w:pPr>
            <w:r>
              <w:rPr>
                <w:rFonts w:hint="eastAsia" w:ascii="Times New Roman" w:hAnsi="Times New Roman" w:eastAsia="宋体"/>
                <w:sz w:val="24"/>
                <w:szCs w:val="32"/>
              </w:rPr>
              <w:t>水泥涂衬和水泥内磨产生的废水泥浆采用泥浆处理系统进行处理。</w:t>
            </w:r>
          </w:p>
          <w:p>
            <w:pPr>
              <w:spacing w:line="360" w:lineRule="auto"/>
              <w:ind w:firstLine="480" w:firstLineChars="200"/>
              <w:rPr>
                <w:rFonts w:ascii="Times New Roman" w:hAnsi="Times New Roman" w:eastAsia="宋体"/>
                <w:color w:val="auto"/>
                <w:sz w:val="24"/>
                <w:szCs w:val="24"/>
              </w:rPr>
            </w:pPr>
          </w:p>
          <w:p>
            <w:pPr>
              <w:spacing w:line="360" w:lineRule="auto"/>
              <w:ind w:firstLine="480" w:firstLineChars="200"/>
              <w:rPr>
                <w:rFonts w:ascii="Times New Roman" w:hAnsi="Times New Roman" w:eastAsia="宋体"/>
                <w:color w:val="auto"/>
                <w:sz w:val="24"/>
                <w:szCs w:val="24"/>
              </w:rPr>
            </w:pPr>
          </w:p>
          <w:p>
            <w:pPr>
              <w:spacing w:line="360" w:lineRule="auto"/>
              <w:ind w:firstLine="480" w:firstLineChars="200"/>
              <w:rPr>
                <w:rFonts w:ascii="Times New Roman" w:hAnsi="Times New Roman" w:eastAsia="宋体"/>
                <w:color w:val="auto"/>
                <w:sz w:val="24"/>
                <w:szCs w:val="24"/>
              </w:rPr>
            </w:pPr>
          </w:p>
          <w:p>
            <w:pPr>
              <w:spacing w:line="360" w:lineRule="auto"/>
              <w:ind w:firstLine="480" w:firstLineChars="200"/>
              <w:rPr>
                <w:rFonts w:ascii="Times New Roman" w:hAnsi="Times New Roman" w:eastAsia="宋体"/>
                <w:color w:val="auto"/>
                <w:sz w:val="24"/>
                <w:szCs w:val="24"/>
              </w:rPr>
            </w:pPr>
          </w:p>
          <w:p>
            <w:pPr>
              <w:spacing w:line="360" w:lineRule="auto"/>
              <w:ind w:firstLine="480" w:firstLineChars="200"/>
              <w:rPr>
                <w:rFonts w:ascii="Times New Roman" w:hAnsi="Times New Roman" w:eastAsia="宋体"/>
                <w:color w:val="auto"/>
                <w:sz w:val="24"/>
                <w:szCs w:val="24"/>
              </w:rPr>
            </w:pPr>
          </w:p>
          <w:p>
            <w:pPr>
              <w:spacing w:line="360" w:lineRule="auto"/>
              <w:rPr>
                <w:rFonts w:ascii="Times New Roman" w:hAnsi="Times New Roman" w:eastAsia="宋体"/>
                <w:color w:val="auto"/>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277" w:hRule="atLeast"/>
          <w:jc w:val="center"/>
        </w:trPr>
        <w:tc>
          <w:tcPr>
            <w:tcW w:w="9366" w:type="dxa"/>
            <w:tcBorders>
              <w:top w:val="single" w:color="auto" w:sz="4" w:space="0"/>
              <w:left w:val="single" w:color="auto" w:sz="4" w:space="0"/>
              <w:bottom w:val="single" w:color="auto" w:sz="4" w:space="0"/>
              <w:right w:val="single" w:color="auto" w:sz="4" w:space="0"/>
            </w:tcBorders>
          </w:tcPr>
          <w:p>
            <w:pPr>
              <w:keepNext w:val="0"/>
              <w:keepLines w:val="0"/>
              <w:suppressLineNumbers w:val="0"/>
              <w:spacing w:before="0" w:beforeAutospacing="0" w:after="0" w:afterAutospacing="0" w:line="360" w:lineRule="auto"/>
              <w:ind w:left="-4" w:leftChars="-34" w:right="0" w:hanging="67" w:hangingChars="24"/>
              <w:rPr>
                <w:rFonts w:hint="eastAsia" w:ascii="Times New Roman" w:hAnsi="Times New Roman" w:eastAsia="宋体"/>
                <w:color w:val="auto"/>
                <w:highlight w:val="none"/>
                <w:lang w:eastAsia="zh-CN"/>
              </w:rPr>
            </w:pPr>
            <w:r>
              <w:rPr>
                <w:rFonts w:hint="eastAsia" w:ascii="Times New Roman" w:hAnsi="Times New Roman" w:eastAsia="宋体"/>
                <w:b/>
                <w:color w:val="auto"/>
                <w:sz w:val="28"/>
                <w:szCs w:val="28"/>
                <w:highlight w:val="none"/>
              </w:rPr>
              <w:t xml:space="preserve"> </w:t>
            </w:r>
            <w:r>
              <w:rPr>
                <w:rFonts w:hint="eastAsia" w:ascii="Times New Roman" w:hAnsi="Times New Roman" w:eastAsia="宋体"/>
                <w:b/>
                <w:color w:val="auto"/>
                <w:sz w:val="28"/>
                <w:lang w:val="en-US" w:eastAsia="zh-CN"/>
              </w:rPr>
              <w:t>施工期</w:t>
            </w:r>
            <w:r>
              <w:rPr>
                <w:rFonts w:ascii="Times New Roman" w:hAnsi="Times New Roman" w:eastAsia="宋体"/>
                <w:b/>
                <w:color w:val="auto"/>
                <w:sz w:val="28"/>
              </w:rPr>
              <w:t>主要污染工序</w:t>
            </w:r>
            <w:r>
              <w:rPr>
                <w:rFonts w:hint="eastAsia" w:ascii="Times New Roman" w:hAnsi="Times New Roman" w:eastAsia="宋体"/>
                <w:b/>
                <w:color w:val="auto"/>
                <w:sz w:val="28"/>
                <w:lang w:eastAsia="zh-CN"/>
              </w:rPr>
              <w:t>：</w:t>
            </w:r>
          </w:p>
          <w:p>
            <w:pPr>
              <w:keepNext w:val="0"/>
              <w:keepLines w:val="0"/>
              <w:numPr>
                <w:ilvl w:val="0"/>
                <w:numId w:val="2"/>
              </w:numPr>
              <w:suppressLineNumbers w:val="0"/>
              <w:spacing w:before="0" w:beforeAutospacing="0" w:after="0" w:afterAutospacing="0" w:line="360" w:lineRule="auto"/>
              <w:ind w:left="600" w:leftChars="0" w:right="0" w:firstLine="0" w:firstLineChars="0"/>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大气污染</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 xml:space="preserve">施工期的废气主要为施工扬尘、施工机械产生的废气和装修废气。 </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① 施工扬尘</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 xml:space="preserve">扬尘主要来自于土方开挖、场内车辆来往等过程，可分为风力起尘和动力起尘。风力起尘是露天堆放的建材或者裸露的地表因天气干燥，在风力的吹动下产生的扬尘；动力起尘是施工时过往车辆所造成的粉尘。一般施工现场，动力起尘占总扬尘的60 %，而动力扬尘的产生量与地面的清洁程度、过往车辆的车速有关。地面越不清洁，车速越大，则动力扬尘的产生量越大。风力起尘量与堆放体的含水率有关，含水率越大，起尘量越小。 </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类比土建施工现场的实测数据，通常情况下，作业现场的粉尘一般在1.5-30 mg/m</w:t>
            </w:r>
            <w:r>
              <w:rPr>
                <w:rFonts w:hint="eastAsia" w:ascii="Times New Roman" w:hAnsi="Times New Roman" w:eastAsia="宋体"/>
                <w:color w:val="auto"/>
                <w:sz w:val="24"/>
                <w:szCs w:val="24"/>
                <w:highlight w:val="none"/>
                <w:vertAlign w:val="superscript"/>
                <w:lang w:val="en-US" w:eastAsia="zh-CN"/>
              </w:rPr>
              <w:t>3</w:t>
            </w:r>
            <w:r>
              <w:rPr>
                <w:rFonts w:hint="eastAsia" w:ascii="Times New Roman" w:hAnsi="Times New Roman" w:eastAsia="宋体"/>
                <w:color w:val="auto"/>
                <w:sz w:val="24"/>
                <w:szCs w:val="24"/>
                <w:highlight w:val="none"/>
                <w:lang w:val="en-US" w:eastAsia="zh-CN"/>
              </w:rPr>
              <w:t>，影响范围在100 m以内，在距施工场界200 m处的TSP浓度为0.2-0.5 mg/m</w:t>
            </w:r>
            <w:r>
              <w:rPr>
                <w:rFonts w:hint="eastAsia" w:ascii="Times New Roman" w:hAnsi="Times New Roman" w:eastAsia="宋体"/>
                <w:color w:val="auto"/>
                <w:sz w:val="24"/>
                <w:szCs w:val="24"/>
                <w:highlight w:val="none"/>
                <w:vertAlign w:val="superscript"/>
                <w:lang w:val="en-US" w:eastAsia="zh-CN"/>
              </w:rPr>
              <w:t>3</w:t>
            </w:r>
            <w:r>
              <w:rPr>
                <w:rFonts w:hint="eastAsia" w:ascii="Times New Roman" w:hAnsi="Times New Roman" w:eastAsia="宋体"/>
                <w:color w:val="auto"/>
                <w:sz w:val="24"/>
                <w:szCs w:val="24"/>
                <w:highlight w:val="none"/>
                <w:lang w:val="en-US" w:eastAsia="zh-CN"/>
              </w:rPr>
              <w:t>。</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② 施工机械废气</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拟建项目在施工阶段将使用大量运输车辆，均用汽油和柴油作为动力燃料，当燃料燃烧不充分时，会产生一定量的废气，特别是柴油车，主要污染物为NOx、CO和THC。施工中使用的机械一般都是以电为能源，如振捣器、电焊机、电钻等，一般不会产生废气。</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 xml:space="preserve">运输车辆产生的燃油废气，其产生量较小，属间歇性、无组织污染源。 </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③ 装修废气</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装修废气主要源于装修材料，装修过程使用的油漆、涂料等，都将会释放一些对人体有害的化学物质，如甲醛、丙醇、苯等，属无组织排放。本项目为标准厂房，相对于居住房屋装修，油漆、涂料等使用量较少，评价建议项目在装修时采用环保水性涂料，使用过程废气排放量也很小。</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（2）废水污染</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①施工废水</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项目施工过程使用商品混凝土，施工用水量较少，废水产生量也较少，主要为混凝土养护废水、施工机械清洗废水、车辆进出施工场地冲洗废水，这些废水排放点多面广，且多为瞬时排放，污染物主要为SS、酸碱度、含油等，废水量一般为3~6m</w:t>
            </w:r>
            <w:r>
              <w:rPr>
                <w:rFonts w:hint="eastAsia" w:ascii="Times New Roman" w:hAnsi="Times New Roman" w:eastAsia="宋体"/>
                <w:color w:val="auto"/>
                <w:sz w:val="24"/>
                <w:szCs w:val="24"/>
                <w:highlight w:val="none"/>
                <w:vertAlign w:val="superscript"/>
                <w:lang w:val="en-US" w:eastAsia="zh-CN"/>
              </w:rPr>
              <w:t>3</w:t>
            </w:r>
            <w:r>
              <w:rPr>
                <w:rFonts w:hint="eastAsia" w:ascii="Times New Roman" w:hAnsi="Times New Roman" w:eastAsia="宋体"/>
                <w:color w:val="auto"/>
                <w:sz w:val="24"/>
                <w:szCs w:val="24"/>
                <w:highlight w:val="none"/>
                <w:lang w:val="en-US" w:eastAsia="zh-CN"/>
              </w:rPr>
              <w:t>/d。类比相关资料，污染物浓度约为：SS2000 mg/L、石油类30 mg/L、pH值6~8。根据《安徽省行业用水定额》（DB43/T 679─2014）中的相关内容，房屋建筑业采用商品混凝土的养护用水定额为0.5~0.7m</w:t>
            </w:r>
            <w:r>
              <w:rPr>
                <w:rFonts w:hint="eastAsia" w:ascii="Times New Roman" w:hAnsi="Times New Roman" w:eastAsia="宋体"/>
                <w:color w:val="auto"/>
                <w:sz w:val="24"/>
                <w:szCs w:val="24"/>
                <w:highlight w:val="none"/>
                <w:vertAlign w:val="superscript"/>
                <w:lang w:val="en-US" w:eastAsia="zh-CN"/>
              </w:rPr>
              <w:t>3</w:t>
            </w:r>
            <w:r>
              <w:rPr>
                <w:rFonts w:hint="eastAsia" w:ascii="Times New Roman" w:hAnsi="Times New Roman" w:eastAsia="宋体"/>
                <w:color w:val="auto"/>
                <w:sz w:val="24"/>
                <w:szCs w:val="24"/>
                <w:highlight w:val="none"/>
                <w:lang w:val="en-US" w:eastAsia="zh-CN"/>
              </w:rPr>
              <w:t>/m</w:t>
            </w:r>
            <w:r>
              <w:rPr>
                <w:rFonts w:hint="eastAsia" w:ascii="Times New Roman" w:hAnsi="Times New Roman" w:eastAsia="宋体"/>
                <w:color w:val="auto"/>
                <w:sz w:val="24"/>
                <w:szCs w:val="24"/>
                <w:highlight w:val="none"/>
                <w:vertAlign w:val="superscript"/>
                <w:lang w:val="en-US" w:eastAsia="zh-CN"/>
              </w:rPr>
              <w:t>2</w:t>
            </w:r>
            <w:r>
              <w:rPr>
                <w:rFonts w:hint="eastAsia" w:ascii="Times New Roman" w:hAnsi="Times New Roman" w:eastAsia="宋体"/>
                <w:color w:val="auto"/>
                <w:sz w:val="24"/>
                <w:szCs w:val="24"/>
                <w:highlight w:val="none"/>
                <w:lang w:val="en-US" w:eastAsia="zh-CN"/>
              </w:rPr>
              <w:t>，本项目取0.6 m</w:t>
            </w:r>
            <w:r>
              <w:rPr>
                <w:rFonts w:hint="eastAsia" w:ascii="Times New Roman" w:hAnsi="Times New Roman" w:eastAsia="宋体"/>
                <w:color w:val="auto"/>
                <w:sz w:val="24"/>
                <w:szCs w:val="24"/>
                <w:highlight w:val="none"/>
                <w:vertAlign w:val="superscript"/>
                <w:lang w:val="en-US" w:eastAsia="zh-CN"/>
              </w:rPr>
              <w:t>3</w:t>
            </w:r>
            <w:r>
              <w:rPr>
                <w:rFonts w:hint="eastAsia" w:ascii="Times New Roman" w:hAnsi="Times New Roman" w:eastAsia="宋体"/>
                <w:color w:val="auto"/>
                <w:sz w:val="24"/>
                <w:szCs w:val="24"/>
                <w:highlight w:val="none"/>
                <w:lang w:val="en-US" w:eastAsia="zh-CN"/>
              </w:rPr>
              <w:t>/m</w:t>
            </w:r>
            <w:r>
              <w:rPr>
                <w:rFonts w:hint="eastAsia" w:ascii="Times New Roman" w:hAnsi="Times New Roman" w:eastAsia="宋体"/>
                <w:color w:val="auto"/>
                <w:sz w:val="24"/>
                <w:szCs w:val="24"/>
                <w:highlight w:val="none"/>
                <w:vertAlign w:val="superscript"/>
                <w:lang w:val="en-US" w:eastAsia="zh-CN"/>
              </w:rPr>
              <w:t>2</w:t>
            </w:r>
            <w:r>
              <w:rPr>
                <w:rFonts w:hint="eastAsia" w:ascii="Times New Roman" w:hAnsi="Times New Roman" w:eastAsia="宋体"/>
                <w:color w:val="auto"/>
                <w:sz w:val="24"/>
                <w:szCs w:val="24"/>
                <w:highlight w:val="none"/>
                <w:lang w:val="en-US" w:eastAsia="zh-CN"/>
              </w:rPr>
              <w:t>，建设面积为23645.53m</w:t>
            </w:r>
            <w:r>
              <w:rPr>
                <w:rFonts w:hint="eastAsia" w:ascii="Times New Roman" w:hAnsi="Times New Roman" w:eastAsia="宋体"/>
                <w:color w:val="auto"/>
                <w:sz w:val="24"/>
                <w:szCs w:val="24"/>
                <w:highlight w:val="none"/>
                <w:vertAlign w:val="superscript"/>
                <w:lang w:val="en-US" w:eastAsia="zh-CN"/>
              </w:rPr>
              <w:t>2</w:t>
            </w:r>
            <w:r>
              <w:rPr>
                <w:rFonts w:hint="eastAsia" w:ascii="Times New Roman" w:hAnsi="Times New Roman" w:eastAsia="宋体"/>
                <w:color w:val="auto"/>
                <w:sz w:val="24"/>
                <w:szCs w:val="24"/>
                <w:highlight w:val="none"/>
                <w:lang w:val="en-US" w:eastAsia="zh-CN"/>
              </w:rPr>
              <w:t>，则用水量为14187.318 m</w:t>
            </w:r>
            <w:r>
              <w:rPr>
                <w:rFonts w:hint="eastAsia" w:ascii="Times New Roman" w:hAnsi="Times New Roman" w:eastAsia="宋体"/>
                <w:color w:val="auto"/>
                <w:sz w:val="24"/>
                <w:szCs w:val="24"/>
                <w:highlight w:val="none"/>
                <w:vertAlign w:val="superscript"/>
                <w:lang w:val="en-US" w:eastAsia="zh-CN"/>
              </w:rPr>
              <w:t>3</w:t>
            </w:r>
            <w:r>
              <w:rPr>
                <w:rFonts w:hint="eastAsia" w:ascii="Times New Roman" w:hAnsi="Times New Roman" w:eastAsia="宋体"/>
                <w:color w:val="auto"/>
                <w:sz w:val="24"/>
                <w:szCs w:val="24"/>
                <w:highlight w:val="none"/>
                <w:lang w:val="en-US" w:eastAsia="zh-CN"/>
              </w:rPr>
              <w:t>。</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混凝土养护水自然蒸发消耗，施工场地主出入口设在阳天路一侧，并在出入口处设置清洗点1个，供建设过程清洗运输车辆及施工机械设备，在清洗点附近设置沉淀池，容积约2 m</w:t>
            </w:r>
            <w:r>
              <w:rPr>
                <w:rFonts w:hint="eastAsia" w:ascii="Times New Roman" w:hAnsi="Times New Roman" w:eastAsia="宋体"/>
                <w:color w:val="auto"/>
                <w:sz w:val="24"/>
                <w:szCs w:val="24"/>
                <w:highlight w:val="none"/>
                <w:vertAlign w:val="superscript"/>
                <w:lang w:val="en-US" w:eastAsia="zh-CN"/>
              </w:rPr>
              <w:t>3</w:t>
            </w:r>
            <w:r>
              <w:rPr>
                <w:rFonts w:hint="eastAsia" w:ascii="Times New Roman" w:hAnsi="Times New Roman" w:eastAsia="宋体"/>
                <w:color w:val="auto"/>
                <w:sz w:val="24"/>
                <w:szCs w:val="24"/>
                <w:highlight w:val="none"/>
                <w:lang w:val="en-US" w:eastAsia="zh-CN"/>
              </w:rPr>
              <w:t>，收集清洗废水，沉淀处理后循环利用，多次循环后再沉淀用于场地洒水降尘。</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②生活污水</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据建设方提供，施工人员最多为50人，其中管理人员2人，除管理人员外均不在施工场地内住宿，租住于附近民房内，三餐外购盒饭，施工人员如厕依托附近公厕。</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施工人员洗手用水量约为15L/d，管理人员用水量约为30 L/d，则施工期施工场地内员工生活用水为0.81 m</w:t>
            </w:r>
            <w:r>
              <w:rPr>
                <w:rFonts w:hint="eastAsia" w:ascii="Times New Roman" w:hAnsi="Times New Roman" w:eastAsia="宋体"/>
                <w:color w:val="auto"/>
                <w:sz w:val="24"/>
                <w:szCs w:val="24"/>
                <w:highlight w:val="none"/>
                <w:vertAlign w:val="superscript"/>
                <w:lang w:val="en-US" w:eastAsia="zh-CN"/>
              </w:rPr>
              <w:t>3</w:t>
            </w:r>
            <w:r>
              <w:rPr>
                <w:rFonts w:hint="eastAsia" w:ascii="Times New Roman" w:hAnsi="Times New Roman" w:eastAsia="宋体"/>
                <w:color w:val="auto"/>
                <w:sz w:val="24"/>
                <w:szCs w:val="24"/>
                <w:highlight w:val="none"/>
                <w:lang w:val="en-US" w:eastAsia="zh-CN"/>
              </w:rPr>
              <w:t>/d，废水产生系数为0.8，则废水产生量为0.65 m3/d，设置生活废水收集池进行收集，容积不小于0.78 m</w:t>
            </w:r>
            <w:r>
              <w:rPr>
                <w:rFonts w:hint="eastAsia" w:ascii="Times New Roman" w:hAnsi="Times New Roman" w:eastAsia="宋体"/>
                <w:color w:val="auto"/>
                <w:sz w:val="24"/>
                <w:szCs w:val="24"/>
                <w:highlight w:val="none"/>
                <w:vertAlign w:val="superscript"/>
                <w:lang w:val="en-US" w:eastAsia="zh-CN"/>
              </w:rPr>
              <w:t>3</w:t>
            </w:r>
            <w:r>
              <w:rPr>
                <w:rFonts w:hint="eastAsia" w:ascii="Times New Roman" w:hAnsi="Times New Roman" w:eastAsia="宋体"/>
                <w:color w:val="auto"/>
                <w:sz w:val="24"/>
                <w:szCs w:val="24"/>
                <w:highlight w:val="none"/>
                <w:lang w:val="en-US" w:eastAsia="zh-CN"/>
              </w:rPr>
              <w:t>。</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③降雨径流</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项目场区雨天径流含有大量泥沙，直接外排会使周围水体的悬浮物含量增加，甚至还会阻塞排水管网。</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施工时应设置临时排水沟及临时沉淀池。为防止场地内部地表径流对施工场地造成冲刷，在施工期间，沿项目区用地周边布设临时砖砌排水沟，并在施工场地主出入口设置清洗点1个，供施工过程清洗运输车辆及施工机械设备，并在清洗点附近设置隔油池、沉淀池，容积分别为2 m</w:t>
            </w:r>
            <w:r>
              <w:rPr>
                <w:rFonts w:hint="eastAsia" w:ascii="Times New Roman" w:hAnsi="Times New Roman" w:eastAsia="宋体"/>
                <w:color w:val="auto"/>
                <w:sz w:val="24"/>
                <w:szCs w:val="24"/>
                <w:highlight w:val="none"/>
                <w:vertAlign w:val="superscript"/>
                <w:lang w:val="en-US" w:eastAsia="zh-CN"/>
              </w:rPr>
              <w:t>3</w:t>
            </w:r>
            <w:r>
              <w:rPr>
                <w:rFonts w:hint="eastAsia" w:ascii="Times New Roman" w:hAnsi="Times New Roman" w:eastAsia="宋体"/>
                <w:color w:val="auto"/>
                <w:sz w:val="24"/>
                <w:szCs w:val="24"/>
                <w:highlight w:val="none"/>
                <w:lang w:val="en-US" w:eastAsia="zh-CN"/>
              </w:rPr>
              <w:t>、4 m</w:t>
            </w:r>
            <w:r>
              <w:rPr>
                <w:rFonts w:hint="eastAsia" w:ascii="Times New Roman" w:hAnsi="Times New Roman" w:eastAsia="宋体"/>
                <w:color w:val="auto"/>
                <w:sz w:val="24"/>
                <w:szCs w:val="24"/>
                <w:highlight w:val="none"/>
                <w:vertAlign w:val="superscript"/>
                <w:lang w:val="en-US" w:eastAsia="zh-CN"/>
              </w:rPr>
              <w:t>3</w:t>
            </w:r>
            <w:r>
              <w:rPr>
                <w:rFonts w:hint="eastAsia" w:ascii="Times New Roman" w:hAnsi="Times New Roman" w:eastAsia="宋体"/>
                <w:color w:val="auto"/>
                <w:sz w:val="24"/>
                <w:szCs w:val="24"/>
                <w:highlight w:val="none"/>
                <w:lang w:val="en-US" w:eastAsia="zh-CN"/>
              </w:rPr>
              <w:t>，收集清洗废水和雨水，隔油、沉淀处理后循环利用，多次循环使用后再沉淀全部用于场地洒水降尘，这样，废水全部得到有效处置、利用。</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 xml:space="preserve">（3）噪声污染： </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 xml:space="preserve">噪声主要是各类机械设备噪声及物料运输的交通噪声。 </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主要来源包括施工现场的各类机械设备和物料运输的交通噪声。施工场地噪声主要是施工机械设备噪声，物料装卸碰撞及施工人员的活动噪声。</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土石方工程阶段的主要噪声源是挖掘机、推土机、装载机及各种运输车辆；基础施工阶段的主要噪声源是各种钻孔机、风镐、输送泵、空压机等。这些声源基本是固定声源，其中以空压机为最主要的声源；结构施工阶段是建筑施工中周期最长的阶段，使用的设备品种较多，主要声源有各种运输设备、结构工程设备及一些辅助设备；装修阶段占总施工时间比例较长，主要噪声源包括角磨机、电锯电钻、切割机等，噪声较大。</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根据《环境噪声与振动控制工程技术导则》（HJ2034-2013）中附录A.2 常见施工机械噪声源强及本项目特征，本项目主要噪声污染源强分析见下表。</w:t>
            </w:r>
          </w:p>
          <w:p>
            <w:pPr>
              <w:keepNext w:val="0"/>
              <w:keepLines w:val="0"/>
              <w:suppressLineNumbers w:val="0"/>
              <w:spacing w:before="0" w:beforeAutospacing="0" w:after="0" w:afterAutospacing="0" w:line="360" w:lineRule="auto"/>
              <w:ind w:left="0" w:right="0" w:firstLine="361" w:firstLineChars="150"/>
              <w:jc w:val="center"/>
              <w:rPr>
                <w:rFonts w:hint="eastAsia" w:ascii="Times New Roman" w:hAnsi="Times New Roman" w:eastAsia="宋体"/>
                <w:b/>
                <w:color w:val="auto"/>
                <w:sz w:val="24"/>
                <w:highlight w:val="none"/>
                <w:lang w:val="en-US" w:eastAsia="zh-CN"/>
              </w:rPr>
            </w:pPr>
            <w:r>
              <w:rPr>
                <w:rFonts w:hint="eastAsia" w:ascii="Times New Roman" w:hAnsi="Times New Roman" w:eastAsia="宋体"/>
                <w:b/>
                <w:color w:val="auto"/>
                <w:sz w:val="24"/>
                <w:highlight w:val="none"/>
                <w:lang w:val="en-US" w:eastAsia="zh-CN"/>
              </w:rPr>
              <w:t>表5-1 常见施工设备噪声源不同距离声压级</w:t>
            </w:r>
            <w:r>
              <w:rPr>
                <w:rFonts w:hint="default" w:ascii="Times New Roman" w:hAnsi="Times New Roman" w:eastAsia="宋体"/>
                <w:b/>
                <w:color w:val="auto"/>
                <w:sz w:val="24"/>
                <w:highlight w:val="none"/>
                <w:lang w:val="en-US" w:eastAsia="zh-CN"/>
              </w:rPr>
              <w:t>dB（A</w:t>
            </w:r>
            <w:r>
              <w:rPr>
                <w:rFonts w:hint="eastAsia" w:ascii="Times New Roman" w:hAnsi="Times New Roman" w:eastAsia="宋体"/>
                <w:b/>
                <w:color w:val="auto"/>
                <w:sz w:val="24"/>
                <w:highlight w:val="none"/>
                <w:lang w:val="en-US" w:eastAsia="zh-CN"/>
              </w:rPr>
              <w:t>）</w:t>
            </w:r>
          </w:p>
          <w:tbl>
            <w:tblPr>
              <w:tblStyle w:val="22"/>
              <w:tblW w:w="8858"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78"/>
              <w:gridCol w:w="3405"/>
              <w:gridCol w:w="2038"/>
              <w:gridCol w:w="273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8" w:type="dxa"/>
                  <w:noWrap w:val="0"/>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olor w:val="auto"/>
                      <w:highlight w:val="none"/>
                    </w:rPr>
                  </w:pPr>
                  <w:r>
                    <w:rPr>
                      <w:rFonts w:hint="default" w:ascii="Times New Roman" w:hAnsi="Times New Roman" w:eastAsia="宋体"/>
                      <w:color w:val="auto"/>
                      <w:highlight w:val="none"/>
                    </w:rPr>
                    <w:t>序号</w:t>
                  </w:r>
                </w:p>
              </w:tc>
              <w:tc>
                <w:tcPr>
                  <w:tcW w:w="3405" w:type="dxa"/>
                  <w:noWrap w:val="0"/>
                  <w:vAlign w:val="center"/>
                </w:tcPr>
                <w:p>
                  <w:pPr>
                    <w:keepNext w:val="0"/>
                    <w:keepLines w:val="0"/>
                    <w:suppressLineNumbers w:val="0"/>
                    <w:spacing w:before="0" w:beforeAutospacing="0" w:after="0" w:afterAutospacing="0" w:line="320" w:lineRule="exact"/>
                    <w:ind w:left="110" w:right="0"/>
                    <w:jc w:val="center"/>
                    <w:rPr>
                      <w:rFonts w:hint="eastAsia" w:ascii="Times New Roman" w:hAnsi="Times New Roman" w:eastAsia="宋体"/>
                      <w:color w:val="auto"/>
                      <w:highlight w:val="none"/>
                      <w:lang w:eastAsia="zh-CN"/>
                    </w:rPr>
                  </w:pPr>
                  <w:r>
                    <w:rPr>
                      <w:rFonts w:hint="eastAsia" w:ascii="Times New Roman" w:hAnsi="Times New Roman" w:eastAsia="宋体"/>
                      <w:color w:val="auto"/>
                      <w:highlight w:val="none"/>
                      <w:lang w:val="en-US" w:eastAsia="zh-CN"/>
                    </w:rPr>
                    <w:t>施工设备名称</w:t>
                  </w:r>
                </w:p>
              </w:tc>
              <w:tc>
                <w:tcPr>
                  <w:tcW w:w="2038" w:type="dxa"/>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eastAsia="zh-CN"/>
                    </w:rPr>
                  </w:pPr>
                  <w:r>
                    <w:rPr>
                      <w:rFonts w:hint="eastAsia" w:ascii="Times New Roman" w:hAnsi="Times New Roman" w:eastAsia="宋体"/>
                      <w:color w:val="auto"/>
                      <w:highlight w:val="none"/>
                      <w:lang w:val="en-US" w:eastAsia="zh-CN"/>
                    </w:rPr>
                    <w:t>距声源10 m</w:t>
                  </w:r>
                </w:p>
              </w:tc>
              <w:tc>
                <w:tcPr>
                  <w:tcW w:w="2737" w:type="dxa"/>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eastAsia="zh-CN"/>
                    </w:rPr>
                  </w:pPr>
                  <w:r>
                    <w:rPr>
                      <w:rFonts w:hint="eastAsia" w:ascii="Times New Roman" w:hAnsi="Times New Roman" w:eastAsia="宋体"/>
                      <w:color w:val="auto"/>
                      <w:highlight w:val="none"/>
                      <w:lang w:val="en-US" w:eastAsia="zh-CN"/>
                    </w:rPr>
                    <w:t>施工阶段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8" w:type="dxa"/>
                  <w:noWrap w:val="0"/>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olor w:val="auto"/>
                      <w:highlight w:val="none"/>
                    </w:rPr>
                  </w:pPr>
                  <w:r>
                    <w:rPr>
                      <w:rFonts w:hint="default" w:ascii="Times New Roman" w:hAnsi="Times New Roman" w:eastAsia="宋体"/>
                      <w:color w:val="auto"/>
                      <w:highlight w:val="none"/>
                    </w:rPr>
                    <w:t>1</w:t>
                  </w:r>
                </w:p>
              </w:tc>
              <w:tc>
                <w:tcPr>
                  <w:tcW w:w="3405" w:type="dxa"/>
                  <w:noWrap w:val="0"/>
                  <w:vAlign w:val="center"/>
                </w:tcPr>
                <w:p>
                  <w:pPr>
                    <w:keepNext w:val="0"/>
                    <w:keepLines w:val="0"/>
                    <w:suppressLineNumbers w:val="0"/>
                    <w:spacing w:before="0" w:beforeAutospacing="0" w:after="0" w:afterAutospacing="0" w:line="320" w:lineRule="exact"/>
                    <w:ind w:left="0" w:right="0" w:hanging="23"/>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液压挖掘机</w:t>
                  </w:r>
                </w:p>
              </w:tc>
              <w:tc>
                <w:tcPr>
                  <w:tcW w:w="2038"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default" w:ascii="Times New Roman" w:hAnsi="Times New Roman" w:eastAsia="宋体"/>
                      <w:color w:val="auto"/>
                      <w:highlight w:val="none"/>
                    </w:rPr>
                  </w:pPr>
                  <w:r>
                    <w:rPr>
                      <w:rFonts w:hint="eastAsia" w:ascii="Times New Roman" w:hAnsi="Times New Roman" w:eastAsia="宋体"/>
                      <w:color w:val="auto"/>
                      <w:highlight w:val="none"/>
                      <w:lang w:val="en-US" w:eastAsia="zh-CN"/>
                    </w:rPr>
                    <w:t>86</w:t>
                  </w:r>
                </w:p>
              </w:tc>
              <w:tc>
                <w:tcPr>
                  <w:tcW w:w="2737" w:type="dxa"/>
                  <w:vMerge w:val="restart"/>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土石方阶段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8" w:type="dxa"/>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2</w:t>
                  </w:r>
                </w:p>
              </w:tc>
              <w:tc>
                <w:tcPr>
                  <w:tcW w:w="3405" w:type="dxa"/>
                  <w:noWrap w:val="0"/>
                  <w:vAlign w:val="center"/>
                </w:tcPr>
                <w:p>
                  <w:pPr>
                    <w:keepNext w:val="0"/>
                    <w:keepLines w:val="0"/>
                    <w:suppressLineNumbers w:val="0"/>
                    <w:spacing w:before="0" w:beforeAutospacing="0" w:after="0" w:afterAutospacing="0" w:line="320" w:lineRule="exact"/>
                    <w:ind w:left="0" w:right="0" w:hanging="23"/>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轮式装载机</w:t>
                  </w:r>
                </w:p>
              </w:tc>
              <w:tc>
                <w:tcPr>
                  <w:tcW w:w="2038"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91</w:t>
                  </w:r>
                </w:p>
              </w:tc>
              <w:tc>
                <w:tcPr>
                  <w:tcW w:w="2737" w:type="dxa"/>
                  <w:vMerge w:val="continue"/>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8" w:type="dxa"/>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3</w:t>
                  </w:r>
                </w:p>
              </w:tc>
              <w:tc>
                <w:tcPr>
                  <w:tcW w:w="3405" w:type="dxa"/>
                  <w:noWrap w:val="0"/>
                  <w:vAlign w:val="center"/>
                </w:tcPr>
                <w:p>
                  <w:pPr>
                    <w:keepNext w:val="0"/>
                    <w:keepLines w:val="0"/>
                    <w:suppressLineNumbers w:val="0"/>
                    <w:spacing w:before="0" w:beforeAutospacing="0" w:after="0" w:afterAutospacing="0" w:line="320" w:lineRule="exact"/>
                    <w:ind w:left="0" w:right="0" w:hanging="23"/>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推土机</w:t>
                  </w:r>
                </w:p>
              </w:tc>
              <w:tc>
                <w:tcPr>
                  <w:tcW w:w="2038"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85</w:t>
                  </w:r>
                </w:p>
              </w:tc>
              <w:tc>
                <w:tcPr>
                  <w:tcW w:w="2737" w:type="dxa"/>
                  <w:vMerge w:val="continue"/>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8" w:type="dxa"/>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4</w:t>
                  </w:r>
                </w:p>
              </w:tc>
              <w:tc>
                <w:tcPr>
                  <w:tcW w:w="3405"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重型运输机</w:t>
                  </w:r>
                </w:p>
              </w:tc>
              <w:tc>
                <w:tcPr>
                  <w:tcW w:w="2038"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86</w:t>
                  </w:r>
                </w:p>
              </w:tc>
              <w:tc>
                <w:tcPr>
                  <w:tcW w:w="2737" w:type="dxa"/>
                  <w:vMerge w:val="continue"/>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8" w:type="dxa"/>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5</w:t>
                  </w:r>
                </w:p>
              </w:tc>
              <w:tc>
                <w:tcPr>
                  <w:tcW w:w="3405"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钻孔机</w:t>
                  </w:r>
                </w:p>
              </w:tc>
              <w:tc>
                <w:tcPr>
                  <w:tcW w:w="2038"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83</w:t>
                  </w:r>
                </w:p>
              </w:tc>
              <w:tc>
                <w:tcPr>
                  <w:tcW w:w="2737" w:type="dxa"/>
                  <w:vMerge w:val="restart"/>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基础施工</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8" w:type="dxa"/>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6</w:t>
                  </w:r>
                </w:p>
              </w:tc>
              <w:tc>
                <w:tcPr>
                  <w:tcW w:w="3405"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风镐</w:t>
                  </w:r>
                </w:p>
              </w:tc>
              <w:tc>
                <w:tcPr>
                  <w:tcW w:w="2038"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87</w:t>
                  </w:r>
                </w:p>
              </w:tc>
              <w:tc>
                <w:tcPr>
                  <w:tcW w:w="2737" w:type="dxa"/>
                  <w:vMerge w:val="continue"/>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8" w:type="dxa"/>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7</w:t>
                  </w:r>
                </w:p>
              </w:tc>
              <w:tc>
                <w:tcPr>
                  <w:tcW w:w="3405"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混凝土输送泵</w:t>
                  </w:r>
                </w:p>
              </w:tc>
              <w:tc>
                <w:tcPr>
                  <w:tcW w:w="2038"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90</w:t>
                  </w:r>
                </w:p>
              </w:tc>
              <w:tc>
                <w:tcPr>
                  <w:tcW w:w="2737" w:type="dxa"/>
                  <w:vMerge w:val="continue"/>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8" w:type="dxa"/>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8</w:t>
                  </w:r>
                </w:p>
              </w:tc>
              <w:tc>
                <w:tcPr>
                  <w:tcW w:w="3405"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空压机</w:t>
                  </w:r>
                </w:p>
              </w:tc>
              <w:tc>
                <w:tcPr>
                  <w:tcW w:w="2038"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88</w:t>
                  </w:r>
                </w:p>
              </w:tc>
              <w:tc>
                <w:tcPr>
                  <w:tcW w:w="2737" w:type="dxa"/>
                  <w:vMerge w:val="continue"/>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8" w:type="dxa"/>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9</w:t>
                  </w:r>
                </w:p>
              </w:tc>
              <w:tc>
                <w:tcPr>
                  <w:tcW w:w="3405"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吊塔</w:t>
                  </w:r>
                </w:p>
              </w:tc>
              <w:tc>
                <w:tcPr>
                  <w:tcW w:w="2038"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77</w:t>
                  </w:r>
                </w:p>
              </w:tc>
              <w:tc>
                <w:tcPr>
                  <w:tcW w:w="2737" w:type="dxa"/>
                  <w:vMerge w:val="restart"/>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结构施工</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8" w:type="dxa"/>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10</w:t>
                  </w:r>
                </w:p>
              </w:tc>
              <w:tc>
                <w:tcPr>
                  <w:tcW w:w="3405"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振捣器</w:t>
                  </w:r>
                </w:p>
              </w:tc>
              <w:tc>
                <w:tcPr>
                  <w:tcW w:w="2038"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82</w:t>
                  </w:r>
                </w:p>
              </w:tc>
              <w:tc>
                <w:tcPr>
                  <w:tcW w:w="2737" w:type="dxa"/>
                  <w:vMerge w:val="continue"/>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8" w:type="dxa"/>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11</w:t>
                  </w:r>
                </w:p>
              </w:tc>
              <w:tc>
                <w:tcPr>
                  <w:tcW w:w="3405"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混凝土输送泵</w:t>
                  </w:r>
                </w:p>
              </w:tc>
              <w:tc>
                <w:tcPr>
                  <w:tcW w:w="2038"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90</w:t>
                  </w:r>
                </w:p>
              </w:tc>
              <w:tc>
                <w:tcPr>
                  <w:tcW w:w="2737" w:type="dxa"/>
                  <w:vMerge w:val="continue"/>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8" w:type="dxa"/>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12</w:t>
                  </w:r>
                </w:p>
              </w:tc>
              <w:tc>
                <w:tcPr>
                  <w:tcW w:w="3405"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钢筋加工设备</w:t>
                  </w:r>
                </w:p>
              </w:tc>
              <w:tc>
                <w:tcPr>
                  <w:tcW w:w="2038"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90</w:t>
                  </w:r>
                </w:p>
              </w:tc>
              <w:tc>
                <w:tcPr>
                  <w:tcW w:w="2737" w:type="dxa"/>
                  <w:vMerge w:val="continue"/>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8" w:type="dxa"/>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13</w:t>
                  </w:r>
                </w:p>
              </w:tc>
              <w:tc>
                <w:tcPr>
                  <w:tcW w:w="3405"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角磨机</w:t>
                  </w:r>
                </w:p>
              </w:tc>
              <w:tc>
                <w:tcPr>
                  <w:tcW w:w="2038"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90</w:t>
                  </w:r>
                </w:p>
              </w:tc>
              <w:tc>
                <w:tcPr>
                  <w:tcW w:w="2737" w:type="dxa"/>
                  <w:vMerge w:val="restart"/>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装修阶段</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8" w:type="dxa"/>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14</w:t>
                  </w:r>
                </w:p>
              </w:tc>
              <w:tc>
                <w:tcPr>
                  <w:tcW w:w="3405"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电锯电钻</w:t>
                  </w:r>
                </w:p>
              </w:tc>
              <w:tc>
                <w:tcPr>
                  <w:tcW w:w="2038"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90</w:t>
                  </w:r>
                </w:p>
              </w:tc>
              <w:tc>
                <w:tcPr>
                  <w:tcW w:w="2737" w:type="dxa"/>
                  <w:vMerge w:val="continue"/>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678" w:type="dxa"/>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15</w:t>
                  </w:r>
                </w:p>
              </w:tc>
              <w:tc>
                <w:tcPr>
                  <w:tcW w:w="3405"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切割机</w:t>
                  </w:r>
                </w:p>
              </w:tc>
              <w:tc>
                <w:tcPr>
                  <w:tcW w:w="2038"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90</w:t>
                  </w:r>
                </w:p>
              </w:tc>
              <w:tc>
                <w:tcPr>
                  <w:tcW w:w="2737" w:type="dxa"/>
                  <w:vMerge w:val="continue"/>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p>
              </w:tc>
            </w:tr>
          </w:tbl>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lang w:val="en-US" w:eastAsia="zh-CN"/>
              </w:rPr>
              <w:t>4</w:t>
            </w:r>
            <w:r>
              <w:rPr>
                <w:rFonts w:hint="eastAsia" w:ascii="Times New Roman" w:hAnsi="Times New Roman" w:eastAsia="宋体"/>
                <w:color w:val="auto"/>
                <w:sz w:val="24"/>
                <w:szCs w:val="24"/>
                <w:highlight w:val="none"/>
                <w:lang w:eastAsia="zh-CN"/>
              </w:rPr>
              <w:t>）</w:t>
            </w:r>
            <w:r>
              <w:rPr>
                <w:rFonts w:hint="eastAsia" w:ascii="Times New Roman" w:hAnsi="Times New Roman" w:eastAsia="宋体"/>
                <w:color w:val="auto"/>
                <w:sz w:val="24"/>
                <w:szCs w:val="24"/>
                <w:highlight w:val="none"/>
                <w:lang w:val="en-US" w:eastAsia="zh-CN"/>
              </w:rPr>
              <w:t>固废污染</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施工期间的固体废弃物主要是施工人员日常生活产生的生活垃圾、一些建筑废渣及土方开挖产生的弃土。</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①生活垃圾</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施工人员不在施工场内食宿，因此施工期生活垃圾产生量小，生活垃圾以人均每天产生</w:t>
            </w:r>
            <w:r>
              <w:rPr>
                <w:rFonts w:hint="default" w:ascii="Times New Roman" w:hAnsi="Times New Roman" w:eastAsia="宋体"/>
                <w:color w:val="auto"/>
                <w:sz w:val="24"/>
                <w:szCs w:val="24"/>
                <w:highlight w:val="none"/>
                <w:lang w:val="en-US" w:eastAsia="zh-CN"/>
              </w:rPr>
              <w:t>0.5</w:t>
            </w:r>
            <w:r>
              <w:rPr>
                <w:rFonts w:hint="eastAsia" w:ascii="Times New Roman" w:hAnsi="Times New Roman" w:eastAsia="宋体"/>
                <w:color w:val="auto"/>
                <w:sz w:val="24"/>
                <w:szCs w:val="24"/>
                <w:highlight w:val="none"/>
                <w:lang w:val="en-US" w:eastAsia="zh-CN"/>
              </w:rPr>
              <w:t xml:space="preserve"> </w:t>
            </w:r>
            <w:r>
              <w:rPr>
                <w:rFonts w:hint="default" w:ascii="Times New Roman" w:hAnsi="Times New Roman" w:eastAsia="宋体"/>
                <w:color w:val="auto"/>
                <w:sz w:val="24"/>
                <w:szCs w:val="24"/>
                <w:highlight w:val="none"/>
                <w:lang w:val="en-US" w:eastAsia="zh-CN"/>
              </w:rPr>
              <w:t>kg</w:t>
            </w:r>
            <w:r>
              <w:rPr>
                <w:rFonts w:hint="eastAsia" w:ascii="Times New Roman" w:hAnsi="Times New Roman" w:eastAsia="宋体"/>
                <w:color w:val="auto"/>
                <w:sz w:val="24"/>
                <w:szCs w:val="24"/>
                <w:highlight w:val="none"/>
                <w:lang w:val="en-US" w:eastAsia="zh-CN"/>
              </w:rPr>
              <w:t>计算，施工人数</w:t>
            </w:r>
            <w:r>
              <w:rPr>
                <w:rFonts w:hint="default" w:ascii="Times New Roman" w:hAnsi="Times New Roman" w:eastAsia="宋体"/>
                <w:color w:val="auto"/>
                <w:sz w:val="24"/>
                <w:szCs w:val="24"/>
                <w:highlight w:val="none"/>
                <w:lang w:val="en-US" w:eastAsia="zh-CN"/>
              </w:rPr>
              <w:t>50</w:t>
            </w:r>
            <w:r>
              <w:rPr>
                <w:rFonts w:hint="eastAsia" w:ascii="Times New Roman" w:hAnsi="Times New Roman" w:eastAsia="宋体"/>
                <w:color w:val="auto"/>
                <w:sz w:val="24"/>
                <w:szCs w:val="24"/>
                <w:highlight w:val="none"/>
                <w:lang w:val="en-US" w:eastAsia="zh-CN"/>
              </w:rPr>
              <w:t>人，预计本项目施工期为</w:t>
            </w:r>
            <w:r>
              <w:rPr>
                <w:rFonts w:hint="default" w:ascii="Times New Roman" w:hAnsi="Times New Roman" w:eastAsia="宋体"/>
                <w:color w:val="auto"/>
                <w:sz w:val="24"/>
                <w:szCs w:val="24"/>
                <w:highlight w:val="none"/>
                <w:lang w:val="en-US" w:eastAsia="zh-CN"/>
              </w:rPr>
              <w:t>12</w:t>
            </w:r>
            <w:r>
              <w:rPr>
                <w:rFonts w:hint="eastAsia" w:ascii="Times New Roman" w:hAnsi="Times New Roman" w:eastAsia="宋体"/>
                <w:color w:val="auto"/>
                <w:sz w:val="24"/>
                <w:szCs w:val="24"/>
                <w:highlight w:val="none"/>
                <w:lang w:val="en-US" w:eastAsia="zh-CN"/>
              </w:rPr>
              <w:t>个月，月施工日以</w:t>
            </w:r>
            <w:r>
              <w:rPr>
                <w:rFonts w:hint="default" w:ascii="Times New Roman" w:hAnsi="Times New Roman" w:eastAsia="宋体"/>
                <w:color w:val="auto"/>
                <w:sz w:val="24"/>
                <w:szCs w:val="24"/>
                <w:highlight w:val="none"/>
                <w:lang w:val="en-US" w:eastAsia="zh-CN"/>
              </w:rPr>
              <w:t>25</w:t>
            </w:r>
            <w:r>
              <w:rPr>
                <w:rFonts w:hint="eastAsia" w:ascii="Times New Roman" w:hAnsi="Times New Roman" w:eastAsia="宋体"/>
                <w:color w:val="auto"/>
                <w:sz w:val="24"/>
                <w:szCs w:val="24"/>
                <w:highlight w:val="none"/>
                <w:lang w:val="en-US" w:eastAsia="zh-CN"/>
              </w:rPr>
              <w:t>日计，则施工期产生的生活垃圾约</w:t>
            </w:r>
            <w:r>
              <w:rPr>
                <w:rFonts w:hint="default" w:ascii="Times New Roman" w:hAnsi="Times New Roman" w:eastAsia="宋体"/>
                <w:color w:val="auto"/>
                <w:sz w:val="24"/>
                <w:szCs w:val="24"/>
                <w:highlight w:val="none"/>
                <w:lang w:val="en-US" w:eastAsia="zh-CN"/>
              </w:rPr>
              <w:t>7.5</w:t>
            </w:r>
            <w:r>
              <w:rPr>
                <w:rFonts w:hint="eastAsia" w:ascii="Times New Roman" w:hAnsi="Times New Roman" w:eastAsia="宋体"/>
                <w:color w:val="auto"/>
                <w:sz w:val="24"/>
                <w:szCs w:val="24"/>
                <w:highlight w:val="none"/>
                <w:lang w:val="en-US" w:eastAsia="zh-CN"/>
              </w:rPr>
              <w:t xml:space="preserve"> </w:t>
            </w:r>
            <w:r>
              <w:rPr>
                <w:rFonts w:hint="default" w:ascii="Times New Roman" w:hAnsi="Times New Roman" w:eastAsia="宋体"/>
                <w:color w:val="auto"/>
                <w:sz w:val="24"/>
                <w:szCs w:val="24"/>
                <w:highlight w:val="none"/>
                <w:lang w:val="en-US" w:eastAsia="zh-CN"/>
              </w:rPr>
              <w:t>t</w:t>
            </w:r>
            <w:r>
              <w:rPr>
                <w:rFonts w:hint="eastAsia" w:ascii="Times New Roman" w:hAnsi="Times New Roman" w:eastAsia="宋体"/>
                <w:color w:val="auto"/>
                <w:sz w:val="24"/>
                <w:szCs w:val="24"/>
                <w:highlight w:val="none"/>
                <w:lang w:val="en-US" w:eastAsia="zh-CN"/>
              </w:rPr>
              <w:t>，统一收集后由环卫部门统一清运。</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②建筑垃圾</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 xml:space="preserve">采用建筑面积发展预测，预测模型为： </w:t>
            </w:r>
          </w:p>
          <w:p>
            <w:pPr>
              <w:keepNext w:val="0"/>
              <w:keepLines w:val="0"/>
              <w:suppressLineNumbers w:val="0"/>
              <w:spacing w:before="0" w:beforeAutospacing="0" w:after="0" w:afterAutospacing="0" w:line="360" w:lineRule="auto"/>
              <w:ind w:left="0" w:right="0" w:firstLine="480" w:firstLineChars="200"/>
              <w:jc w:val="center"/>
              <w:textAlignment w:val="baseline"/>
              <w:rPr>
                <w:rFonts w:hint="default" w:ascii="Times New Roman" w:hAnsi="Times New Roman" w:eastAsia="宋体"/>
                <w:color w:val="auto"/>
                <w:sz w:val="24"/>
                <w:szCs w:val="24"/>
                <w:highlight w:val="none"/>
                <w:lang w:val="en-US" w:eastAsia="zh-CN"/>
              </w:rPr>
            </w:pPr>
            <w:r>
              <w:rPr>
                <w:rFonts w:hint="default" w:ascii="Times New Roman" w:hAnsi="Times New Roman" w:eastAsia="宋体"/>
                <w:color w:val="auto"/>
                <w:sz w:val="24"/>
                <w:szCs w:val="24"/>
                <w:highlight w:val="none"/>
                <w:lang w:val="en-US" w:eastAsia="zh-CN"/>
              </w:rPr>
              <w:t>Js=Qs×Cs</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式中：</w:t>
            </w:r>
            <w:r>
              <w:rPr>
                <w:rFonts w:hint="default" w:ascii="Times New Roman" w:hAnsi="Times New Roman" w:eastAsia="宋体"/>
                <w:color w:val="auto"/>
                <w:sz w:val="24"/>
                <w:szCs w:val="24"/>
                <w:highlight w:val="none"/>
                <w:lang w:val="en-US" w:eastAsia="zh-CN"/>
              </w:rPr>
              <w:t>Js—</w:t>
            </w:r>
            <w:r>
              <w:rPr>
                <w:rFonts w:hint="eastAsia" w:ascii="Times New Roman" w:hAnsi="Times New Roman" w:eastAsia="宋体"/>
                <w:color w:val="auto"/>
                <w:sz w:val="24"/>
                <w:szCs w:val="24"/>
                <w:highlight w:val="none"/>
                <w:lang w:val="en-US" w:eastAsia="zh-CN"/>
              </w:rPr>
              <w:t xml:space="preserve">年建筑垃圾产生量（吨/年）， </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default" w:ascii="Times New Roman" w:hAnsi="Times New Roman" w:eastAsia="宋体"/>
                <w:color w:val="auto"/>
                <w:sz w:val="24"/>
                <w:szCs w:val="24"/>
                <w:highlight w:val="none"/>
                <w:lang w:val="en-US" w:eastAsia="zh-CN"/>
              </w:rPr>
              <w:t>Qs—</w:t>
            </w:r>
            <w:r>
              <w:rPr>
                <w:rFonts w:hint="eastAsia" w:ascii="Times New Roman" w:hAnsi="Times New Roman" w:eastAsia="宋体"/>
                <w:color w:val="auto"/>
                <w:sz w:val="24"/>
                <w:szCs w:val="24"/>
                <w:highlight w:val="none"/>
                <w:lang w:val="en-US" w:eastAsia="zh-CN"/>
              </w:rPr>
              <w:t>年建筑面积（</w:t>
            </w:r>
            <w:r>
              <w:rPr>
                <w:rFonts w:hint="default" w:ascii="Times New Roman" w:hAnsi="Times New Roman" w:eastAsia="宋体"/>
                <w:color w:val="auto"/>
                <w:sz w:val="24"/>
                <w:szCs w:val="24"/>
                <w:highlight w:val="none"/>
                <w:lang w:val="en-US" w:eastAsia="zh-CN"/>
              </w:rPr>
              <w:t>㎡</w:t>
            </w:r>
            <w:r>
              <w:rPr>
                <w:rFonts w:hint="eastAsia" w:ascii="Times New Roman" w:hAnsi="Times New Roman" w:eastAsia="宋体"/>
                <w:color w:val="auto"/>
                <w:sz w:val="24"/>
                <w:szCs w:val="24"/>
                <w:highlight w:val="none"/>
                <w:lang w:val="en-US" w:eastAsia="zh-CN"/>
              </w:rPr>
              <w:t xml:space="preserve">）， </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default" w:ascii="Times New Roman" w:hAnsi="Times New Roman" w:eastAsia="宋体"/>
                <w:color w:val="auto"/>
                <w:sz w:val="24"/>
                <w:szCs w:val="24"/>
                <w:highlight w:val="none"/>
                <w:lang w:val="en-US" w:eastAsia="zh-CN"/>
              </w:rPr>
              <w:t>Cs—</w:t>
            </w:r>
            <w:r>
              <w:rPr>
                <w:rFonts w:hint="eastAsia" w:ascii="Times New Roman" w:hAnsi="Times New Roman" w:eastAsia="宋体"/>
                <w:color w:val="auto"/>
                <w:sz w:val="24"/>
                <w:szCs w:val="24"/>
                <w:highlight w:val="none"/>
                <w:lang w:val="en-US" w:eastAsia="zh-CN"/>
              </w:rPr>
              <w:t>年平均每平方米建筑面积垃圾产生量（吨/年·</w:t>
            </w:r>
            <w:r>
              <w:rPr>
                <w:rFonts w:hint="default" w:ascii="Times New Roman" w:hAnsi="Times New Roman" w:eastAsia="宋体"/>
                <w:color w:val="auto"/>
                <w:sz w:val="24"/>
                <w:szCs w:val="24"/>
                <w:highlight w:val="none"/>
                <w:lang w:val="en-US" w:eastAsia="zh-CN"/>
              </w:rPr>
              <w:t>㎡</w:t>
            </w:r>
            <w:r>
              <w:rPr>
                <w:rFonts w:hint="eastAsia" w:ascii="Times New Roman" w:hAnsi="Times New Roman" w:eastAsia="宋体"/>
                <w:color w:val="auto"/>
                <w:sz w:val="24"/>
                <w:szCs w:val="24"/>
                <w:highlight w:val="none"/>
                <w:lang w:val="en-US" w:eastAsia="zh-CN"/>
              </w:rPr>
              <w:t>）。</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由于建筑过程中固体废弃物的产生量与施工水平、建筑类型等多种因素有关，本项目为标准厂房建设，建筑项目比较集中，项目建筑垃圾产生量不大。项目总建筑面积23645.53平方米，根据同类项目类比，本报告按</w:t>
            </w:r>
            <w:r>
              <w:rPr>
                <w:rFonts w:hint="default" w:ascii="Times New Roman" w:hAnsi="Times New Roman" w:eastAsia="宋体"/>
                <w:color w:val="auto"/>
                <w:sz w:val="24"/>
                <w:szCs w:val="24"/>
                <w:highlight w:val="none"/>
                <w:lang w:val="en-US" w:eastAsia="zh-CN"/>
              </w:rPr>
              <w:t>50</w:t>
            </w:r>
            <w:r>
              <w:rPr>
                <w:rFonts w:hint="eastAsia" w:ascii="Times New Roman" w:hAnsi="Times New Roman" w:eastAsia="宋体"/>
                <w:color w:val="auto"/>
                <w:sz w:val="24"/>
                <w:szCs w:val="24"/>
                <w:highlight w:val="none"/>
                <w:lang w:val="en-US" w:eastAsia="zh-CN"/>
              </w:rPr>
              <w:t xml:space="preserve"> </w:t>
            </w:r>
            <w:r>
              <w:rPr>
                <w:rFonts w:hint="default" w:ascii="Times New Roman" w:hAnsi="Times New Roman" w:eastAsia="宋体"/>
                <w:color w:val="auto"/>
                <w:sz w:val="24"/>
                <w:szCs w:val="24"/>
                <w:highlight w:val="none"/>
                <w:lang w:val="en-US" w:eastAsia="zh-CN"/>
              </w:rPr>
              <w:t>kg</w:t>
            </w:r>
            <w:r>
              <w:rPr>
                <w:rFonts w:hint="eastAsia" w:ascii="Times New Roman" w:hAnsi="Times New Roman" w:eastAsia="宋体"/>
                <w:color w:val="auto"/>
                <w:sz w:val="24"/>
                <w:szCs w:val="24"/>
                <w:highlight w:val="none"/>
                <w:lang w:val="en-US" w:eastAsia="zh-CN"/>
              </w:rPr>
              <w:t>/（</w:t>
            </w:r>
            <w:r>
              <w:rPr>
                <w:rFonts w:hint="default" w:ascii="Times New Roman" w:hAnsi="Times New Roman" w:eastAsia="宋体"/>
                <w:color w:val="auto"/>
                <w:sz w:val="24"/>
                <w:szCs w:val="24"/>
                <w:highlight w:val="none"/>
                <w:lang w:val="en-US" w:eastAsia="zh-CN"/>
              </w:rPr>
              <w:t>m</w:t>
            </w:r>
            <w:r>
              <w:rPr>
                <w:rFonts w:hint="default" w:ascii="Times New Roman" w:hAnsi="Times New Roman" w:eastAsia="宋体"/>
                <w:color w:val="auto"/>
                <w:sz w:val="24"/>
                <w:szCs w:val="24"/>
                <w:highlight w:val="none"/>
                <w:vertAlign w:val="superscript"/>
                <w:lang w:val="en-US" w:eastAsia="zh-CN"/>
              </w:rPr>
              <w:t>2</w:t>
            </w:r>
            <w:r>
              <w:rPr>
                <w:rFonts w:hint="eastAsia" w:ascii="Times New Roman" w:hAnsi="Times New Roman" w:eastAsia="宋体"/>
                <w:color w:val="auto"/>
                <w:sz w:val="24"/>
                <w:szCs w:val="24"/>
                <w:highlight w:val="none"/>
                <w:lang w:val="en-US" w:eastAsia="zh-CN"/>
              </w:rPr>
              <w:t xml:space="preserve">）的建筑垃圾进行估算得整个施工建筑垃圾产生量为1182.2765 </w:t>
            </w:r>
            <w:r>
              <w:rPr>
                <w:rFonts w:hint="default" w:ascii="Times New Roman" w:hAnsi="Times New Roman" w:eastAsia="宋体"/>
                <w:color w:val="auto"/>
                <w:sz w:val="24"/>
                <w:szCs w:val="24"/>
                <w:highlight w:val="none"/>
                <w:lang w:val="en-US" w:eastAsia="zh-CN"/>
              </w:rPr>
              <w:t>t</w:t>
            </w:r>
            <w:r>
              <w:rPr>
                <w:rFonts w:hint="eastAsia" w:ascii="Times New Roman" w:hAnsi="Times New Roman" w:eastAsia="宋体"/>
                <w:color w:val="auto"/>
                <w:sz w:val="24"/>
                <w:szCs w:val="24"/>
                <w:highlight w:val="none"/>
                <w:lang w:val="en-US" w:eastAsia="zh-CN"/>
              </w:rPr>
              <w:t>。</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对于生活垃圾统一收集后由环卫部门统一清运，此外装修期间产生的如废油漆、废涂料及其内包装物等属于危险废物，由专人、专用容器进行收集，并定期交送有资质的专业部门处置。建筑垃圾按照市政管理部门要求，运送至指定地点堆放。</w:t>
            </w:r>
          </w:p>
          <w:p>
            <w:pPr>
              <w:keepNext w:val="0"/>
              <w:keepLines w:val="0"/>
              <w:numPr>
                <w:ilvl w:val="0"/>
                <w:numId w:val="0"/>
              </w:numPr>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③施工弃土：施工过程中产生大量开挖的土石方，项目建设主要的挖方和填方产生于地基、场地垫层、道路及景观绿化等处，根据建设方提供资料，并结合现场调查及类比分析，该项目主要工程土石方平衡情况及土石料的来源及去向详见下表。</w:t>
            </w:r>
          </w:p>
          <w:p>
            <w:pPr>
              <w:keepNext w:val="0"/>
              <w:keepLines w:val="0"/>
              <w:suppressLineNumbers w:val="0"/>
              <w:spacing w:before="0" w:beforeAutospacing="0" w:after="0" w:afterAutospacing="0" w:line="360" w:lineRule="auto"/>
              <w:ind w:left="0" w:right="0" w:firstLine="361" w:firstLineChars="150"/>
              <w:jc w:val="center"/>
              <w:rPr>
                <w:rFonts w:hint="eastAsia" w:ascii="Times New Roman" w:hAnsi="Times New Roman" w:eastAsia="宋体"/>
                <w:b/>
                <w:color w:val="auto"/>
                <w:sz w:val="24"/>
                <w:highlight w:val="none"/>
                <w:lang w:val="en-US" w:eastAsia="zh-CN"/>
              </w:rPr>
            </w:pPr>
            <w:r>
              <w:rPr>
                <w:rFonts w:hint="eastAsia" w:ascii="Times New Roman" w:hAnsi="Times New Roman" w:eastAsia="宋体"/>
                <w:b/>
                <w:color w:val="auto"/>
                <w:sz w:val="24"/>
                <w:highlight w:val="none"/>
                <w:lang w:val="en-US" w:eastAsia="zh-CN"/>
              </w:rPr>
              <w:t>表5-2 常见施工设备噪声源不同距离声压级</w:t>
            </w:r>
            <w:r>
              <w:rPr>
                <w:rFonts w:hint="default" w:ascii="Times New Roman" w:hAnsi="Times New Roman" w:eastAsia="宋体"/>
                <w:b/>
                <w:color w:val="auto"/>
                <w:sz w:val="24"/>
                <w:highlight w:val="none"/>
                <w:lang w:val="en-US" w:eastAsia="zh-CN"/>
              </w:rPr>
              <w:t>dB（A</w:t>
            </w:r>
            <w:r>
              <w:rPr>
                <w:rFonts w:hint="eastAsia" w:ascii="Times New Roman" w:hAnsi="Times New Roman" w:eastAsia="宋体"/>
                <w:b/>
                <w:color w:val="auto"/>
                <w:sz w:val="24"/>
                <w:highlight w:val="none"/>
                <w:lang w:val="en-US" w:eastAsia="zh-CN"/>
              </w:rPr>
              <w:t>）</w:t>
            </w:r>
          </w:p>
          <w:tbl>
            <w:tblPr>
              <w:tblStyle w:val="22"/>
              <w:tblW w:w="8808"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808"/>
              <w:gridCol w:w="2725"/>
              <w:gridCol w:w="1588"/>
              <w:gridCol w:w="2687"/>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808" w:type="dxa"/>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施工项目</w:t>
                  </w:r>
                </w:p>
              </w:tc>
              <w:tc>
                <w:tcPr>
                  <w:tcW w:w="2725" w:type="dxa"/>
                  <w:noWrap w:val="0"/>
                  <w:vAlign w:val="center"/>
                </w:tcPr>
                <w:p>
                  <w:pPr>
                    <w:keepNext w:val="0"/>
                    <w:keepLines w:val="0"/>
                    <w:suppressLineNumbers w:val="0"/>
                    <w:spacing w:before="0" w:beforeAutospacing="0" w:after="0" w:afterAutospacing="0" w:line="320" w:lineRule="exact"/>
                    <w:ind w:left="110" w:right="0"/>
                    <w:jc w:val="center"/>
                    <w:rPr>
                      <w:rFonts w:hint="eastAsia" w:ascii="Times New Roman" w:hAnsi="Times New Roman" w:eastAsia="宋体"/>
                      <w:color w:val="auto"/>
                      <w:highlight w:val="none"/>
                      <w:lang w:eastAsia="zh-CN"/>
                    </w:rPr>
                  </w:pPr>
                  <w:r>
                    <w:rPr>
                      <w:rFonts w:hint="eastAsia" w:ascii="Times New Roman" w:hAnsi="Times New Roman" w:eastAsia="宋体"/>
                      <w:color w:val="auto"/>
                      <w:highlight w:val="none"/>
                      <w:lang w:val="en-US" w:eastAsia="zh-CN"/>
                    </w:rPr>
                    <w:t>挖方量（m</w:t>
                  </w:r>
                  <w:r>
                    <w:rPr>
                      <w:rFonts w:hint="eastAsia" w:ascii="Times New Roman" w:hAnsi="Times New Roman" w:eastAsia="宋体"/>
                      <w:color w:val="auto"/>
                      <w:highlight w:val="none"/>
                      <w:vertAlign w:val="superscript"/>
                      <w:lang w:val="en-US" w:eastAsia="zh-CN"/>
                    </w:rPr>
                    <w:t>3</w:t>
                  </w:r>
                  <w:r>
                    <w:rPr>
                      <w:rFonts w:hint="eastAsia" w:ascii="Times New Roman" w:hAnsi="Times New Roman" w:eastAsia="宋体"/>
                      <w:color w:val="auto"/>
                      <w:highlight w:val="none"/>
                      <w:lang w:val="en-US" w:eastAsia="zh-CN"/>
                    </w:rPr>
                    <w:t>）</w:t>
                  </w:r>
                </w:p>
              </w:tc>
              <w:tc>
                <w:tcPr>
                  <w:tcW w:w="1588" w:type="dxa"/>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eastAsia="zh-CN"/>
                    </w:rPr>
                  </w:pPr>
                  <w:r>
                    <w:rPr>
                      <w:rFonts w:hint="eastAsia" w:ascii="Times New Roman" w:hAnsi="Times New Roman" w:eastAsia="宋体"/>
                      <w:color w:val="auto"/>
                      <w:highlight w:val="none"/>
                      <w:lang w:val="en-US" w:eastAsia="zh-CN"/>
                    </w:rPr>
                    <w:t>填方量（m</w:t>
                  </w:r>
                  <w:r>
                    <w:rPr>
                      <w:rFonts w:hint="eastAsia" w:ascii="Times New Roman" w:hAnsi="Times New Roman" w:eastAsia="宋体"/>
                      <w:color w:val="auto"/>
                      <w:highlight w:val="none"/>
                      <w:vertAlign w:val="superscript"/>
                      <w:lang w:val="en-US" w:eastAsia="zh-CN"/>
                    </w:rPr>
                    <w:t>3</w:t>
                  </w:r>
                  <w:r>
                    <w:rPr>
                      <w:rFonts w:hint="eastAsia" w:ascii="Times New Roman" w:hAnsi="Times New Roman" w:eastAsia="宋体"/>
                      <w:color w:val="auto"/>
                      <w:highlight w:val="none"/>
                      <w:lang w:val="en-US" w:eastAsia="zh-CN"/>
                    </w:rPr>
                    <w:t>）</w:t>
                  </w:r>
                </w:p>
              </w:tc>
              <w:tc>
                <w:tcPr>
                  <w:tcW w:w="2687" w:type="dxa"/>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土石方平衡情况（m</w:t>
                  </w:r>
                  <w:r>
                    <w:rPr>
                      <w:rFonts w:hint="eastAsia" w:ascii="Times New Roman" w:hAnsi="Times New Roman" w:eastAsia="宋体"/>
                      <w:color w:val="auto"/>
                      <w:highlight w:val="none"/>
                      <w:vertAlign w:val="superscript"/>
                      <w:lang w:val="en-US" w:eastAsia="zh-CN"/>
                    </w:rPr>
                    <w:t>3</w:t>
                  </w:r>
                  <w:r>
                    <w:rPr>
                      <w:rFonts w:hint="eastAsia" w:ascii="Times New Roman" w:hAnsi="Times New Roman" w:eastAsia="宋体"/>
                      <w:color w:val="auto"/>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808" w:type="dxa"/>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eastAsia="zh-CN"/>
                    </w:rPr>
                  </w:pPr>
                  <w:r>
                    <w:rPr>
                      <w:rFonts w:hint="eastAsia" w:ascii="Times New Roman" w:hAnsi="Times New Roman" w:eastAsia="宋体"/>
                      <w:color w:val="auto"/>
                      <w:highlight w:val="none"/>
                      <w:lang w:val="en-US" w:eastAsia="zh-CN"/>
                    </w:rPr>
                    <w:t>地基</w:t>
                  </w:r>
                </w:p>
              </w:tc>
              <w:tc>
                <w:tcPr>
                  <w:tcW w:w="2725" w:type="dxa"/>
                  <w:noWrap w:val="0"/>
                  <w:vAlign w:val="center"/>
                </w:tcPr>
                <w:p>
                  <w:pPr>
                    <w:keepNext w:val="0"/>
                    <w:keepLines w:val="0"/>
                    <w:suppressLineNumbers w:val="0"/>
                    <w:spacing w:before="0" w:beforeAutospacing="0" w:after="0" w:afterAutospacing="0" w:line="320" w:lineRule="exact"/>
                    <w:ind w:left="0" w:right="0" w:hanging="23"/>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3080</w:t>
                  </w:r>
                </w:p>
              </w:tc>
              <w:tc>
                <w:tcPr>
                  <w:tcW w:w="1588"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default" w:ascii="Times New Roman" w:hAnsi="Times New Roman" w:eastAsia="宋体"/>
                      <w:color w:val="auto"/>
                      <w:highlight w:val="none"/>
                    </w:rPr>
                  </w:pPr>
                  <w:r>
                    <w:rPr>
                      <w:rFonts w:hint="eastAsia" w:ascii="Times New Roman" w:hAnsi="Times New Roman" w:eastAsia="宋体"/>
                      <w:color w:val="auto"/>
                      <w:highlight w:val="none"/>
                      <w:lang w:val="en-US" w:eastAsia="zh-CN"/>
                    </w:rPr>
                    <w:t>1609</w:t>
                  </w:r>
                </w:p>
              </w:tc>
              <w:tc>
                <w:tcPr>
                  <w:tcW w:w="2687"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挖方&gt;填方，需弃方</w:t>
                  </w:r>
                  <w:r>
                    <w:rPr>
                      <w:rFonts w:hint="default" w:ascii="Times New Roman" w:hAnsi="Times New Roman" w:eastAsia="宋体"/>
                      <w:color w:val="auto"/>
                      <w:highlight w:val="none"/>
                      <w:lang w:val="en-US" w:eastAsia="zh-CN"/>
                    </w:rPr>
                    <w:t>1471</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808" w:type="dxa"/>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雨污管网</w:t>
                  </w:r>
                </w:p>
              </w:tc>
              <w:tc>
                <w:tcPr>
                  <w:tcW w:w="2725" w:type="dxa"/>
                  <w:noWrap w:val="0"/>
                  <w:vAlign w:val="center"/>
                </w:tcPr>
                <w:p>
                  <w:pPr>
                    <w:keepNext w:val="0"/>
                    <w:keepLines w:val="0"/>
                    <w:suppressLineNumbers w:val="0"/>
                    <w:spacing w:before="0" w:beforeAutospacing="0" w:after="0" w:afterAutospacing="0" w:line="320" w:lineRule="exact"/>
                    <w:ind w:left="0" w:right="0" w:hanging="23"/>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223</w:t>
                  </w:r>
                </w:p>
              </w:tc>
              <w:tc>
                <w:tcPr>
                  <w:tcW w:w="1588"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167</w:t>
                  </w:r>
                </w:p>
              </w:tc>
              <w:tc>
                <w:tcPr>
                  <w:tcW w:w="2687"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挖方&gt;填方，需弃方56</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808" w:type="dxa"/>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场地垫层</w:t>
                  </w:r>
                </w:p>
              </w:tc>
              <w:tc>
                <w:tcPr>
                  <w:tcW w:w="2725" w:type="dxa"/>
                  <w:noWrap w:val="0"/>
                  <w:vAlign w:val="center"/>
                </w:tcPr>
                <w:p>
                  <w:pPr>
                    <w:keepNext w:val="0"/>
                    <w:keepLines w:val="0"/>
                    <w:suppressLineNumbers w:val="0"/>
                    <w:spacing w:before="0" w:beforeAutospacing="0" w:after="0" w:afterAutospacing="0" w:line="320" w:lineRule="exact"/>
                    <w:ind w:left="0" w:right="0" w:hanging="23"/>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0</w:t>
                  </w:r>
                </w:p>
              </w:tc>
              <w:tc>
                <w:tcPr>
                  <w:tcW w:w="1588"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1418</w:t>
                  </w:r>
                </w:p>
              </w:tc>
              <w:tc>
                <w:tcPr>
                  <w:tcW w:w="2687"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挖方&lt;填方，需借方</w:t>
                  </w:r>
                  <w:r>
                    <w:rPr>
                      <w:rFonts w:hint="default" w:ascii="Times New Roman" w:hAnsi="Times New Roman" w:eastAsia="宋体"/>
                      <w:color w:val="auto"/>
                      <w:highlight w:val="none"/>
                      <w:lang w:val="en-US" w:eastAsia="zh-CN"/>
                    </w:rPr>
                    <w:t>14</w:t>
                  </w:r>
                  <w:r>
                    <w:rPr>
                      <w:rFonts w:hint="eastAsia" w:ascii="Times New Roman" w:hAnsi="Times New Roman" w:eastAsia="宋体"/>
                      <w:color w:val="auto"/>
                      <w:highlight w:val="none"/>
                      <w:lang w:val="en-US" w:eastAsia="zh-CN"/>
                    </w:rPr>
                    <w:t>18</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808" w:type="dxa"/>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道路及景观绿化</w:t>
                  </w:r>
                </w:p>
              </w:tc>
              <w:tc>
                <w:tcPr>
                  <w:tcW w:w="2725"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371</w:t>
                  </w:r>
                </w:p>
              </w:tc>
              <w:tc>
                <w:tcPr>
                  <w:tcW w:w="1588"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480</w:t>
                  </w:r>
                </w:p>
              </w:tc>
              <w:tc>
                <w:tcPr>
                  <w:tcW w:w="2687"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挖方&lt;填方，需借方</w:t>
                  </w:r>
                  <w:r>
                    <w:rPr>
                      <w:rFonts w:hint="default" w:ascii="Times New Roman" w:hAnsi="Times New Roman" w:eastAsia="宋体"/>
                      <w:color w:val="auto"/>
                      <w:highlight w:val="none"/>
                      <w:lang w:val="en-US" w:eastAsia="zh-CN"/>
                    </w:rPr>
                    <w:t>1</w:t>
                  </w:r>
                  <w:r>
                    <w:rPr>
                      <w:rFonts w:hint="eastAsia" w:ascii="Times New Roman" w:hAnsi="Times New Roman" w:eastAsia="宋体"/>
                      <w:color w:val="auto"/>
                      <w:highlight w:val="none"/>
                      <w:lang w:val="en-US" w:eastAsia="zh-CN"/>
                    </w:rPr>
                    <w:t>09</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67" w:hRule="atLeast"/>
              </w:trPr>
              <w:tc>
                <w:tcPr>
                  <w:tcW w:w="1808" w:type="dxa"/>
                  <w:noWrap w:val="0"/>
                  <w:vAlign w:val="center"/>
                </w:tcPr>
                <w:p>
                  <w:pPr>
                    <w:keepNext w:val="0"/>
                    <w:keepLines w:val="0"/>
                    <w:suppressLineNumbers w:val="0"/>
                    <w:spacing w:before="0" w:beforeAutospacing="0" w:after="0" w:afterAutospacing="0" w:line="320" w:lineRule="exact"/>
                    <w:ind w:left="0" w:right="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合计</w:t>
                  </w:r>
                </w:p>
              </w:tc>
              <w:tc>
                <w:tcPr>
                  <w:tcW w:w="2725"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3674</w:t>
                  </w:r>
                </w:p>
              </w:tc>
              <w:tc>
                <w:tcPr>
                  <w:tcW w:w="1588"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3674</w:t>
                  </w:r>
                </w:p>
              </w:tc>
              <w:tc>
                <w:tcPr>
                  <w:tcW w:w="2687" w:type="dxa"/>
                  <w:noWrap w:val="0"/>
                  <w:vAlign w:val="center"/>
                </w:tcPr>
                <w:p>
                  <w:pPr>
                    <w:keepNext w:val="0"/>
                    <w:keepLines w:val="0"/>
                    <w:suppressLineNumbers w:val="0"/>
                    <w:spacing w:before="0" w:beforeAutospacing="0" w:after="0" w:afterAutospacing="0" w:line="320" w:lineRule="exact"/>
                    <w:ind w:left="0" w:right="0" w:hanging="23" w:firstLineChars="0"/>
                    <w:jc w:val="center"/>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挖方=填方，无弃方</w:t>
                  </w:r>
                </w:p>
              </w:tc>
            </w:tr>
          </w:tbl>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根据上述分析，项目产生的挖方量约为</w:t>
            </w:r>
            <w:r>
              <w:rPr>
                <w:rFonts w:hint="default" w:ascii="Times New Roman" w:hAnsi="Times New Roman" w:eastAsia="宋体"/>
                <w:color w:val="auto"/>
                <w:sz w:val="24"/>
                <w:szCs w:val="24"/>
                <w:highlight w:val="none"/>
                <w:lang w:val="en-US" w:eastAsia="zh-CN"/>
              </w:rPr>
              <w:t>3674m</w:t>
            </w:r>
            <w:r>
              <w:rPr>
                <w:rFonts w:hint="default" w:ascii="Times New Roman" w:hAnsi="Times New Roman" w:eastAsia="宋体"/>
                <w:color w:val="auto"/>
                <w:sz w:val="24"/>
                <w:szCs w:val="24"/>
                <w:highlight w:val="none"/>
                <w:vertAlign w:val="superscript"/>
                <w:lang w:val="en-US" w:eastAsia="zh-CN"/>
              </w:rPr>
              <w:t>3</w:t>
            </w:r>
            <w:r>
              <w:rPr>
                <w:rFonts w:hint="eastAsia" w:ascii="Times New Roman" w:hAnsi="Times New Roman" w:eastAsia="宋体"/>
                <w:color w:val="auto"/>
                <w:sz w:val="24"/>
                <w:szCs w:val="24"/>
                <w:highlight w:val="none"/>
                <w:lang w:val="en-US" w:eastAsia="zh-CN"/>
              </w:rPr>
              <w:t>，填方量约</w:t>
            </w:r>
            <w:r>
              <w:rPr>
                <w:rFonts w:hint="default" w:ascii="Times New Roman" w:hAnsi="Times New Roman" w:eastAsia="宋体"/>
                <w:color w:val="auto"/>
                <w:sz w:val="24"/>
                <w:szCs w:val="24"/>
                <w:highlight w:val="none"/>
                <w:lang w:val="en-US" w:eastAsia="zh-CN"/>
              </w:rPr>
              <w:t>3674m</w:t>
            </w:r>
            <w:r>
              <w:rPr>
                <w:rFonts w:hint="default" w:ascii="Times New Roman" w:hAnsi="Times New Roman" w:eastAsia="宋体"/>
                <w:color w:val="auto"/>
                <w:sz w:val="24"/>
                <w:szCs w:val="24"/>
                <w:highlight w:val="none"/>
                <w:vertAlign w:val="superscript"/>
                <w:lang w:val="en-US" w:eastAsia="zh-CN"/>
              </w:rPr>
              <w:t>3</w:t>
            </w:r>
            <w:r>
              <w:rPr>
                <w:rFonts w:hint="eastAsia" w:ascii="Times New Roman" w:hAnsi="Times New Roman" w:eastAsia="宋体"/>
                <w:color w:val="auto"/>
                <w:sz w:val="24"/>
                <w:szCs w:val="24"/>
                <w:highlight w:val="none"/>
                <w:lang w:val="en-US" w:eastAsia="zh-CN"/>
              </w:rPr>
              <w:t>，项目无弃方。但根据施工进度，场地内会设置临时堆土场，临时堆土场需设施挡墙，截排沟等，并进行覆盖。</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w:t>
            </w:r>
            <w:r>
              <w:rPr>
                <w:rFonts w:hint="default" w:ascii="Times New Roman" w:hAnsi="Times New Roman" w:eastAsia="宋体"/>
                <w:color w:val="auto"/>
                <w:sz w:val="24"/>
                <w:szCs w:val="24"/>
                <w:highlight w:val="none"/>
                <w:lang w:val="en-US" w:eastAsia="zh-CN"/>
              </w:rPr>
              <w:t>5</w:t>
            </w:r>
            <w:r>
              <w:rPr>
                <w:rFonts w:hint="eastAsia" w:ascii="Times New Roman" w:hAnsi="Times New Roman" w:eastAsia="宋体"/>
                <w:color w:val="auto"/>
                <w:sz w:val="24"/>
                <w:szCs w:val="24"/>
                <w:highlight w:val="none"/>
                <w:lang w:val="en-US" w:eastAsia="zh-CN"/>
              </w:rPr>
              <w:t>）生态环境</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项目建设占地类型为工业用地，拟建项目建设施工范围相对较小，周围开发程度较高，项目区及周围并无原始植被生长和珍贵野生动物活动。区域生态系统敏感程度较低，项目的建设实施不会对生物栖息环境造成影响，主要生态影响为水土流失。</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①植被和土壤的破坏</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施工过程，各种施工机械的碾压和施工人员的践踏及土石的堆放，会对植被造成破坏；由于机械的辗压及施工人员的践踏，在施工作业区周围的土壤将被严重压实，部分施工区域的表土将被铲去，另一些区域的表土将可能被填埋，从而使施工完成后的土壤表土层缺乏原有土壤的肥力，不利于植物的生长和植被恢复。</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②对水土流失的影响</w:t>
            </w:r>
          </w:p>
          <w:p>
            <w:pPr>
              <w:keepNext w:val="0"/>
              <w:keepLines w:val="0"/>
              <w:suppressLineNumbers w:val="0"/>
              <w:spacing w:before="0" w:beforeAutospacing="0" w:after="0" w:afterAutospacing="0" w:line="360" w:lineRule="auto"/>
              <w:ind w:left="0" w:right="0" w:firstLine="480" w:firstLineChars="200"/>
              <w:textAlignment w:val="baseline"/>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施工期可能导致水土流失的主要原因是降雨、地表开挖和弃土堆放等，项目所在地夏季暴雨较集中，降雨量大，降雨时间长。在施工过程中，土壤暴露在雨、风和其它的干扰之下，另外，大量的土方挖填和弃土的堆放，都会使土壤暴露情况加剧。施工过程中，泥土转运装卸作业过程中和堆放时，都可能出现散落和水土流失。</w:t>
            </w:r>
          </w:p>
          <w:p>
            <w:pPr>
              <w:spacing w:line="360" w:lineRule="auto"/>
              <w:rPr>
                <w:rFonts w:ascii="Times New Roman" w:hAnsi="Times New Roman" w:eastAsia="宋体"/>
                <w:b/>
                <w:color w:val="auto"/>
                <w:sz w:val="28"/>
              </w:rPr>
            </w:pPr>
            <w:r>
              <w:rPr>
                <w:rFonts w:ascii="Times New Roman" w:hAnsi="Times New Roman" w:eastAsia="宋体"/>
                <w:b/>
                <w:color w:val="auto"/>
                <w:sz w:val="28"/>
              </w:rPr>
              <w:t>运行期主要污染工序：</w:t>
            </w:r>
          </w:p>
          <w:p>
            <w:pPr>
              <w:numPr>
                <w:ilvl w:val="0"/>
                <w:numId w:val="3"/>
              </w:numPr>
              <w:spacing w:line="360" w:lineRule="auto"/>
              <w:ind w:firstLine="482" w:firstLineChars="200"/>
              <w:rPr>
                <w:rFonts w:ascii="Times New Roman" w:hAnsi="Times New Roman" w:eastAsia="宋体"/>
                <w:b/>
                <w:bCs/>
                <w:color w:val="auto"/>
                <w:sz w:val="24"/>
                <w:szCs w:val="24"/>
              </w:rPr>
            </w:pPr>
            <w:r>
              <w:rPr>
                <w:rFonts w:ascii="Times New Roman" w:hAnsi="Times New Roman" w:eastAsia="宋体"/>
                <w:b/>
                <w:bCs/>
                <w:color w:val="auto"/>
                <w:sz w:val="24"/>
                <w:szCs w:val="24"/>
              </w:rPr>
              <w:t>废水</w:t>
            </w:r>
          </w:p>
          <w:p>
            <w:pPr>
              <w:spacing w:line="360" w:lineRule="auto"/>
              <w:ind w:firstLine="480" w:firstLineChars="200"/>
              <w:rPr>
                <w:rFonts w:ascii="Times New Roman" w:hAnsi="Times New Roman" w:eastAsia="宋体"/>
                <w:sz w:val="24"/>
                <w:highlight w:val="none"/>
              </w:rPr>
            </w:pPr>
            <w:bookmarkStart w:id="5" w:name="_Hlk507536064"/>
            <w:r>
              <w:rPr>
                <w:rFonts w:ascii="Times New Roman" w:hAnsi="Times New Roman" w:eastAsia="宋体"/>
                <w:sz w:val="24"/>
                <w:highlight w:val="none"/>
              </w:rPr>
              <w:t>项目用水主要来自生活用水</w:t>
            </w:r>
            <w:r>
              <w:rPr>
                <w:rFonts w:hint="eastAsia" w:ascii="Times New Roman" w:hAnsi="Times New Roman" w:eastAsia="宋体"/>
                <w:sz w:val="24"/>
                <w:highlight w:val="none"/>
                <w:lang w:eastAsia="zh-CN"/>
              </w:rPr>
              <w:t>，</w:t>
            </w:r>
            <w:r>
              <w:rPr>
                <w:rFonts w:hint="eastAsia" w:ascii="Times New Roman" w:hAnsi="Times New Roman" w:eastAsia="宋体"/>
                <w:sz w:val="24"/>
                <w:highlight w:val="none"/>
                <w:lang w:val="en-US" w:eastAsia="zh-CN"/>
              </w:rPr>
              <w:t>水压用水，砂浆制备用水，内磨用水，水泥涂衬用水，设备清洗用水</w:t>
            </w:r>
            <w:r>
              <w:rPr>
                <w:rFonts w:ascii="Times New Roman" w:hAnsi="Times New Roman" w:eastAsia="宋体"/>
                <w:sz w:val="24"/>
                <w:highlight w:val="none"/>
              </w:rPr>
              <w:t>。具体用水量分析见下表。</w:t>
            </w:r>
          </w:p>
          <w:p>
            <w:pPr>
              <w:spacing w:line="360" w:lineRule="auto"/>
              <w:ind w:firstLine="480" w:firstLineChars="200"/>
              <w:rPr>
                <w:rFonts w:ascii="Times New Roman" w:hAnsi="Times New Roman" w:eastAsia="宋体"/>
                <w:color w:val="000000"/>
                <w:sz w:val="24"/>
                <w:highlight w:val="none"/>
              </w:rPr>
            </w:pPr>
            <w:r>
              <w:rPr>
                <w:rFonts w:ascii="Times New Roman" w:hAnsi="Times New Roman" w:eastAsia="宋体"/>
                <w:color w:val="000000"/>
                <w:sz w:val="24"/>
                <w:highlight w:val="none"/>
              </w:rPr>
              <w:t>项目</w:t>
            </w:r>
            <w:r>
              <w:rPr>
                <w:rFonts w:hint="eastAsia" w:ascii="Times New Roman" w:hAnsi="Times New Roman" w:eastAsia="宋体"/>
                <w:color w:val="000000"/>
                <w:sz w:val="24"/>
                <w:highlight w:val="none"/>
                <w:lang w:val="en-US" w:eastAsia="zh-CN"/>
              </w:rPr>
              <w:t>技术改造</w:t>
            </w:r>
            <w:r>
              <w:rPr>
                <w:rFonts w:ascii="Times New Roman" w:hAnsi="Times New Roman" w:eastAsia="宋体"/>
                <w:color w:val="000000"/>
                <w:sz w:val="24"/>
                <w:highlight w:val="none"/>
              </w:rPr>
              <w:t>后</w:t>
            </w:r>
            <w:r>
              <w:rPr>
                <w:rFonts w:hint="eastAsia" w:ascii="Times New Roman" w:hAnsi="Times New Roman" w:eastAsia="宋体"/>
                <w:color w:val="000000"/>
                <w:sz w:val="24"/>
                <w:highlight w:val="none"/>
                <w:lang w:val="en-US" w:eastAsia="zh-CN"/>
              </w:rPr>
              <w:t>新增</w:t>
            </w:r>
            <w:r>
              <w:rPr>
                <w:rFonts w:ascii="Times New Roman" w:hAnsi="Times New Roman" w:eastAsia="宋体"/>
                <w:color w:val="000000"/>
                <w:sz w:val="24"/>
                <w:highlight w:val="none"/>
              </w:rPr>
              <w:t>职工人数</w:t>
            </w:r>
            <w:r>
              <w:rPr>
                <w:rFonts w:hint="eastAsia" w:ascii="Times New Roman" w:hAnsi="Times New Roman" w:eastAsia="宋体"/>
                <w:color w:val="000000"/>
                <w:sz w:val="24"/>
                <w:highlight w:val="none"/>
                <w:lang w:val="en-US" w:eastAsia="zh-CN"/>
              </w:rPr>
              <w:t>18</w:t>
            </w:r>
            <w:r>
              <w:rPr>
                <w:rFonts w:ascii="Times New Roman" w:hAnsi="Times New Roman" w:eastAsia="宋体"/>
                <w:color w:val="000000"/>
                <w:sz w:val="24"/>
                <w:highlight w:val="none"/>
              </w:rPr>
              <w:t>人，根据《安徽省行业用水定额》（DB34/T 679-2014），员工用水量按每人每天50L计，则</w:t>
            </w:r>
            <w:r>
              <w:rPr>
                <w:rFonts w:hint="eastAsia" w:ascii="Times New Roman" w:hAnsi="Times New Roman" w:eastAsia="宋体"/>
                <w:color w:val="000000"/>
                <w:sz w:val="24"/>
                <w:highlight w:val="none"/>
                <w:lang w:val="en-US" w:eastAsia="zh-CN"/>
              </w:rPr>
              <w:t>新增</w:t>
            </w:r>
            <w:r>
              <w:rPr>
                <w:rFonts w:ascii="Times New Roman" w:hAnsi="Times New Roman" w:eastAsia="宋体"/>
                <w:color w:val="000000"/>
                <w:sz w:val="24"/>
                <w:highlight w:val="none"/>
              </w:rPr>
              <w:t>员工生活用水量为</w:t>
            </w:r>
            <w:r>
              <w:rPr>
                <w:rFonts w:hint="eastAsia" w:ascii="Times New Roman" w:hAnsi="Times New Roman" w:eastAsia="宋体"/>
                <w:color w:val="000000"/>
                <w:sz w:val="24"/>
                <w:highlight w:val="none"/>
                <w:lang w:val="en-US" w:eastAsia="zh-CN"/>
              </w:rPr>
              <w:t>0.9</w:t>
            </w:r>
            <w:r>
              <w:rPr>
                <w:rFonts w:ascii="Times New Roman" w:hAnsi="Times New Roman" w:eastAsia="宋体"/>
                <w:color w:val="000000"/>
                <w:sz w:val="24"/>
                <w:highlight w:val="none"/>
              </w:rPr>
              <w:t>t/d，</w:t>
            </w:r>
            <w:r>
              <w:rPr>
                <w:rFonts w:hint="eastAsia" w:ascii="Times New Roman" w:hAnsi="Times New Roman" w:eastAsia="宋体"/>
                <w:color w:val="000000"/>
                <w:sz w:val="24"/>
                <w:highlight w:val="none"/>
                <w:lang w:val="en-US" w:eastAsia="zh-CN"/>
              </w:rPr>
              <w:t>328.5</w:t>
            </w:r>
            <w:r>
              <w:rPr>
                <w:rFonts w:ascii="Times New Roman" w:hAnsi="Times New Roman" w:eastAsia="宋体"/>
                <w:color w:val="000000"/>
                <w:sz w:val="24"/>
                <w:highlight w:val="none"/>
              </w:rPr>
              <w:t>t/a（工作天数一年以3</w:t>
            </w:r>
            <w:r>
              <w:rPr>
                <w:rFonts w:hint="eastAsia" w:ascii="Times New Roman" w:hAnsi="Times New Roman" w:eastAsia="宋体"/>
                <w:color w:val="000000"/>
                <w:sz w:val="24"/>
                <w:highlight w:val="none"/>
                <w:lang w:val="en-US" w:eastAsia="zh-CN"/>
              </w:rPr>
              <w:t>65</w:t>
            </w:r>
            <w:r>
              <w:rPr>
                <w:rFonts w:ascii="Times New Roman" w:hAnsi="Times New Roman" w:eastAsia="宋体"/>
                <w:color w:val="000000"/>
                <w:sz w:val="24"/>
                <w:highlight w:val="none"/>
              </w:rPr>
              <w:t>天计）。排水系数以0.8计，则生活污水排放量为</w:t>
            </w:r>
            <w:r>
              <w:rPr>
                <w:rFonts w:hint="eastAsia" w:ascii="Times New Roman" w:hAnsi="Times New Roman" w:eastAsia="宋体"/>
                <w:color w:val="000000"/>
                <w:sz w:val="24"/>
                <w:highlight w:val="none"/>
                <w:lang w:val="en-US" w:eastAsia="zh-CN"/>
              </w:rPr>
              <w:t>0.72</w:t>
            </w:r>
            <w:r>
              <w:rPr>
                <w:rFonts w:ascii="Times New Roman" w:hAnsi="Times New Roman" w:eastAsia="宋体"/>
                <w:color w:val="000000"/>
                <w:sz w:val="24"/>
                <w:highlight w:val="none"/>
              </w:rPr>
              <w:t>t/d，</w:t>
            </w:r>
            <w:r>
              <w:rPr>
                <w:rFonts w:hint="eastAsia" w:ascii="Times New Roman" w:hAnsi="Times New Roman" w:eastAsia="宋体"/>
                <w:color w:val="000000"/>
                <w:sz w:val="24"/>
                <w:highlight w:val="none"/>
                <w:lang w:val="en-US" w:eastAsia="zh-CN"/>
              </w:rPr>
              <w:t>262.8</w:t>
            </w:r>
            <w:r>
              <w:rPr>
                <w:rFonts w:ascii="Times New Roman" w:hAnsi="Times New Roman" w:eastAsia="宋体"/>
                <w:color w:val="000000"/>
                <w:sz w:val="24"/>
                <w:highlight w:val="none"/>
              </w:rPr>
              <w:t>t/a。主要污染物COD：400mg/L，NH</w:t>
            </w:r>
            <w:r>
              <w:rPr>
                <w:rFonts w:ascii="Times New Roman" w:hAnsi="Times New Roman" w:eastAsia="宋体"/>
                <w:color w:val="000000"/>
                <w:sz w:val="24"/>
                <w:highlight w:val="none"/>
                <w:vertAlign w:val="subscript"/>
              </w:rPr>
              <w:t>3</w:t>
            </w:r>
            <w:r>
              <w:rPr>
                <w:rFonts w:ascii="Times New Roman" w:hAnsi="Times New Roman" w:eastAsia="宋体"/>
                <w:color w:val="000000"/>
                <w:sz w:val="24"/>
                <w:highlight w:val="none"/>
              </w:rPr>
              <w:t>-N：25mg/L，BOD</w:t>
            </w:r>
            <w:r>
              <w:rPr>
                <w:rFonts w:ascii="Times New Roman" w:hAnsi="Times New Roman" w:eastAsia="宋体"/>
                <w:color w:val="000000"/>
                <w:sz w:val="24"/>
                <w:highlight w:val="none"/>
                <w:vertAlign w:val="subscript"/>
              </w:rPr>
              <w:t>5</w:t>
            </w:r>
            <w:r>
              <w:rPr>
                <w:rFonts w:ascii="Times New Roman" w:hAnsi="Times New Roman" w:eastAsia="宋体"/>
                <w:color w:val="000000"/>
                <w:sz w:val="24"/>
                <w:highlight w:val="none"/>
              </w:rPr>
              <w:t>：250mg/L ，SS：200 mg/L。</w:t>
            </w:r>
          </w:p>
          <w:p>
            <w:pPr>
              <w:spacing w:line="360" w:lineRule="auto"/>
              <w:ind w:firstLine="480" w:firstLineChars="200"/>
              <w:rPr>
                <w:rFonts w:hint="default" w:ascii="Times New Roman" w:hAnsi="Times New Roman" w:eastAsia="宋体"/>
                <w:color w:val="000000"/>
                <w:sz w:val="24"/>
                <w:szCs w:val="22"/>
                <w:highlight w:val="none"/>
                <w:lang w:val="en-US" w:eastAsia="zh-CN"/>
              </w:rPr>
            </w:pPr>
            <w:r>
              <w:rPr>
                <w:rFonts w:hint="eastAsia" w:ascii="Times New Roman" w:hAnsi="Times New Roman" w:eastAsia="宋体"/>
                <w:color w:val="000000"/>
                <w:sz w:val="24"/>
                <w:szCs w:val="22"/>
                <w:highlight w:val="none"/>
                <w:lang w:val="en-US" w:eastAsia="zh-CN"/>
              </w:rPr>
              <w:t>本次技术改造项目水压用水量约为1872</w:t>
            </w:r>
            <w:r>
              <w:rPr>
                <w:rFonts w:hint="eastAsia" w:ascii="Times New Roman" w:hAnsi="Times New Roman" w:eastAsia="宋体"/>
                <w:b w:val="0"/>
                <w:bCs/>
                <w:color w:val="auto"/>
                <w:sz w:val="21"/>
                <w:szCs w:val="21"/>
                <w:vertAlign w:val="baseline"/>
                <w:lang w:val="en-US" w:eastAsia="zh-CN"/>
              </w:rPr>
              <w:t>m</w:t>
            </w:r>
            <w:r>
              <w:rPr>
                <w:rFonts w:hint="eastAsia" w:ascii="Times New Roman" w:hAnsi="Times New Roman" w:eastAsia="宋体"/>
                <w:b w:val="0"/>
                <w:bCs/>
                <w:color w:val="auto"/>
                <w:sz w:val="21"/>
                <w:szCs w:val="21"/>
                <w:vertAlign w:val="superscript"/>
                <w:lang w:val="en-US" w:eastAsia="zh-CN"/>
              </w:rPr>
              <w:t>3</w:t>
            </w:r>
            <w:r>
              <w:rPr>
                <w:rFonts w:hint="eastAsia" w:ascii="Times New Roman" w:hAnsi="Times New Roman" w:eastAsia="宋体"/>
                <w:b w:val="0"/>
                <w:bCs/>
                <w:color w:val="auto"/>
                <w:sz w:val="21"/>
                <w:szCs w:val="21"/>
                <w:vertAlign w:val="baseline"/>
                <w:lang w:val="en-US" w:eastAsia="zh-CN"/>
              </w:rPr>
              <w:t>/a，</w:t>
            </w:r>
            <w:r>
              <w:rPr>
                <w:rFonts w:hint="eastAsia" w:ascii="Times New Roman" w:hAnsi="Times New Roman" w:eastAsia="宋体"/>
                <w:b w:val="0"/>
                <w:bCs/>
                <w:color w:val="auto"/>
                <w:sz w:val="24"/>
                <w:szCs w:val="24"/>
                <w:vertAlign w:val="baseline"/>
                <w:lang w:val="en-US" w:eastAsia="zh-CN"/>
              </w:rPr>
              <w:t>砂浆制备</w:t>
            </w:r>
            <w:r>
              <w:rPr>
                <w:rFonts w:hint="eastAsia" w:ascii="Times New Roman" w:hAnsi="Times New Roman" w:eastAsia="宋体"/>
                <w:color w:val="000000"/>
                <w:sz w:val="24"/>
                <w:szCs w:val="22"/>
                <w:highlight w:val="none"/>
                <w:lang w:val="en-US" w:eastAsia="zh-CN"/>
              </w:rPr>
              <w:t>用水量约为</w:t>
            </w:r>
            <w:r>
              <w:rPr>
                <w:rFonts w:hint="eastAsia" w:ascii="Times New Roman" w:hAnsi="Times New Roman" w:eastAsia="宋体"/>
                <w:color w:val="000000"/>
                <w:sz w:val="24"/>
                <w:szCs w:val="22"/>
                <w:highlight w:val="none"/>
                <w:lang w:val="en-US" w:eastAsia="zh-CN"/>
              </w:rPr>
              <w:t>5400</w:t>
            </w:r>
            <w:r>
              <w:rPr>
                <w:rFonts w:hint="eastAsia" w:ascii="Times New Roman" w:hAnsi="Times New Roman" w:eastAsia="宋体"/>
                <w:b w:val="0"/>
                <w:bCs/>
                <w:color w:val="auto"/>
                <w:sz w:val="21"/>
                <w:szCs w:val="21"/>
                <w:vertAlign w:val="baseline"/>
                <w:lang w:val="en-US" w:eastAsia="zh-CN"/>
              </w:rPr>
              <w:t>m</w:t>
            </w:r>
            <w:r>
              <w:rPr>
                <w:rFonts w:hint="eastAsia" w:ascii="Times New Roman" w:hAnsi="Times New Roman" w:eastAsia="宋体"/>
                <w:b w:val="0"/>
                <w:bCs/>
                <w:color w:val="auto"/>
                <w:sz w:val="21"/>
                <w:szCs w:val="21"/>
                <w:vertAlign w:val="superscript"/>
                <w:lang w:val="en-US" w:eastAsia="zh-CN"/>
              </w:rPr>
              <w:t>3</w:t>
            </w:r>
            <w:r>
              <w:rPr>
                <w:rFonts w:hint="eastAsia" w:ascii="Times New Roman" w:hAnsi="Times New Roman" w:eastAsia="宋体"/>
                <w:b w:val="0"/>
                <w:bCs/>
                <w:color w:val="auto"/>
                <w:sz w:val="21"/>
                <w:szCs w:val="21"/>
                <w:vertAlign w:val="baseline"/>
                <w:lang w:val="en-US" w:eastAsia="zh-CN"/>
              </w:rPr>
              <w:t>/a，</w:t>
            </w:r>
            <w:r>
              <w:rPr>
                <w:rFonts w:hint="eastAsia" w:ascii="Times New Roman" w:hAnsi="Times New Roman" w:eastAsia="宋体"/>
                <w:sz w:val="24"/>
                <w:highlight w:val="none"/>
                <w:lang w:val="en-US" w:eastAsia="zh-CN"/>
              </w:rPr>
              <w:t>内磨用水，水泥涂衬用水，设备清洗用水</w:t>
            </w:r>
            <w:r>
              <w:rPr>
                <w:rFonts w:hint="eastAsia" w:ascii="Times New Roman" w:hAnsi="Times New Roman" w:eastAsia="宋体"/>
                <w:sz w:val="24"/>
                <w:highlight w:val="none"/>
                <w:lang w:val="en-US" w:eastAsia="zh-CN"/>
              </w:rPr>
              <w:t>用水量</w:t>
            </w:r>
            <w:r>
              <w:rPr>
                <w:rFonts w:hint="eastAsia" w:ascii="Times New Roman" w:hAnsi="Times New Roman" w:eastAsia="宋体"/>
                <w:color w:val="000000"/>
                <w:sz w:val="24"/>
                <w:szCs w:val="22"/>
                <w:highlight w:val="none"/>
                <w:lang w:val="en-US" w:eastAsia="zh-CN"/>
              </w:rPr>
              <w:t>约为</w:t>
            </w:r>
            <w:r>
              <w:rPr>
                <w:rFonts w:hint="eastAsia" w:ascii="Times New Roman" w:hAnsi="Times New Roman" w:eastAsia="宋体"/>
                <w:color w:val="000000"/>
                <w:sz w:val="24"/>
                <w:szCs w:val="22"/>
                <w:highlight w:val="none"/>
                <w:lang w:val="en-US" w:eastAsia="zh-CN"/>
              </w:rPr>
              <w:t>45900</w:t>
            </w:r>
            <w:r>
              <w:rPr>
                <w:rFonts w:hint="eastAsia" w:ascii="Times New Roman" w:hAnsi="Times New Roman" w:eastAsia="宋体"/>
                <w:b w:val="0"/>
                <w:bCs/>
                <w:color w:val="auto"/>
                <w:sz w:val="21"/>
                <w:szCs w:val="21"/>
                <w:vertAlign w:val="baseline"/>
                <w:lang w:val="en-US" w:eastAsia="zh-CN"/>
              </w:rPr>
              <w:t>m</w:t>
            </w:r>
            <w:r>
              <w:rPr>
                <w:rFonts w:hint="eastAsia" w:ascii="Times New Roman" w:hAnsi="Times New Roman" w:eastAsia="宋体"/>
                <w:b w:val="0"/>
                <w:bCs/>
                <w:color w:val="auto"/>
                <w:sz w:val="21"/>
                <w:szCs w:val="21"/>
                <w:vertAlign w:val="superscript"/>
                <w:lang w:val="en-US" w:eastAsia="zh-CN"/>
              </w:rPr>
              <w:t>3</w:t>
            </w:r>
            <w:r>
              <w:rPr>
                <w:rFonts w:hint="eastAsia" w:ascii="Times New Roman" w:hAnsi="Times New Roman" w:eastAsia="宋体"/>
                <w:b w:val="0"/>
                <w:bCs/>
                <w:color w:val="auto"/>
                <w:sz w:val="21"/>
                <w:szCs w:val="21"/>
                <w:vertAlign w:val="baseline"/>
                <w:lang w:val="en-US" w:eastAsia="zh-CN"/>
              </w:rPr>
              <w:t>/a。</w:t>
            </w:r>
          </w:p>
          <w:p>
            <w:pPr>
              <w:spacing w:line="440" w:lineRule="exact"/>
              <w:ind w:firstLine="480" w:firstLineChars="200"/>
              <w:rPr>
                <w:rFonts w:hint="default" w:ascii="Times New Roman" w:hAnsi="Times New Roman" w:eastAsia="宋体"/>
                <w:color w:val="auto"/>
                <w:sz w:val="24"/>
                <w:lang w:val="en-US" w:eastAsia="zh-CN"/>
              </w:rPr>
            </w:pPr>
            <w:r>
              <w:rPr>
                <w:rFonts w:hint="eastAsia" w:ascii="Times New Roman" w:hAnsi="Times New Roman" w:eastAsia="宋体"/>
                <w:color w:val="000000"/>
                <w:sz w:val="24"/>
                <w:szCs w:val="22"/>
                <w:highlight w:val="none"/>
                <w:lang w:val="en-US" w:eastAsia="zh-CN"/>
              </w:rPr>
              <w:t>本次技改项目生活、生产废水均进入厂内污水处理站处理后循环使用，不外排。</w:t>
            </w:r>
          </w:p>
          <w:p>
            <w:pPr>
              <w:spacing w:line="360" w:lineRule="auto"/>
              <w:ind w:firstLine="500" w:firstLineChars="200"/>
              <w:rPr>
                <w:rFonts w:hint="eastAsia" w:ascii="Times New Roman" w:hAnsi="Times New Roman" w:eastAsia="宋体"/>
                <w:b/>
                <w:bCs/>
                <w:color w:val="auto"/>
                <w:sz w:val="24"/>
                <w:szCs w:val="24"/>
                <w:lang w:val="en-US" w:eastAsia="zh-CN"/>
              </w:rPr>
            </w:pPr>
            <w:r>
              <w:rPr>
                <w:rFonts w:ascii="Times New Roman" w:hAnsi="Times New Roman" w:eastAsia="宋体"/>
                <w:color w:val="auto"/>
                <w:spacing w:val="5"/>
                <w:sz w:val="24"/>
              </w:rPr>
              <w:tab/>
            </w:r>
            <w:r>
              <w:rPr>
                <w:rFonts w:hint="eastAsia" w:ascii="Times New Roman" w:hAnsi="Times New Roman" w:eastAsia="宋体"/>
                <w:b/>
                <w:bCs/>
                <w:color w:val="auto"/>
                <w:sz w:val="24"/>
                <w:szCs w:val="24"/>
                <w:lang w:val="en-US" w:eastAsia="zh-CN"/>
              </w:rPr>
              <w:t>2</w:t>
            </w:r>
            <w:r>
              <w:rPr>
                <w:rFonts w:ascii="Times New Roman" w:hAnsi="Times New Roman" w:eastAsia="宋体"/>
                <w:b/>
                <w:bCs/>
                <w:color w:val="auto"/>
                <w:sz w:val="24"/>
                <w:szCs w:val="24"/>
              </w:rPr>
              <w:t>、</w:t>
            </w:r>
            <w:r>
              <w:rPr>
                <w:rFonts w:hint="eastAsia" w:ascii="Times New Roman" w:hAnsi="Times New Roman" w:eastAsia="宋体"/>
                <w:b/>
                <w:bCs/>
                <w:color w:val="auto"/>
                <w:sz w:val="24"/>
                <w:szCs w:val="24"/>
                <w:lang w:val="en-US" w:eastAsia="zh-CN"/>
              </w:rPr>
              <w:t>废气</w:t>
            </w:r>
          </w:p>
          <w:bookmarkEnd w:id="5"/>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outlineLvl w:val="9"/>
              <w:rPr>
                <w:rFonts w:hint="default" w:ascii="Times New Roman" w:hAnsi="Times New Roman" w:eastAsia="宋体" w:cs="Times New Roman"/>
                <w:color w:val="auto"/>
                <w:sz w:val="24"/>
              </w:rPr>
            </w:pPr>
            <w:r>
              <w:rPr>
                <w:rFonts w:hint="default" w:ascii="Times New Roman" w:hAnsi="Times New Roman" w:eastAsia="宋体" w:cs="Times New Roman"/>
                <w:color w:val="auto"/>
                <w:sz w:val="24"/>
              </w:rPr>
              <w:t>本项目产生的废气主要为</w:t>
            </w:r>
            <w:r>
              <w:rPr>
                <w:rFonts w:hint="eastAsia" w:ascii="Times New Roman" w:hAnsi="Times New Roman" w:eastAsia="宋体" w:cs="Times New Roman"/>
                <w:color w:val="auto"/>
                <w:sz w:val="24"/>
                <w:lang w:val="en-US" w:eastAsia="zh-CN"/>
              </w:rPr>
              <w:t>三磨过程中产生的颗粒物，喷锌过程中产生的颗粒物，喷漆过程中产生的</w:t>
            </w:r>
            <w:r>
              <w:rPr>
                <w:rFonts w:hint="eastAsia" w:ascii="Times New Roman" w:hAnsi="Times New Roman" w:eastAsia="宋体" w:cs="Times New Roman"/>
                <w:color w:val="auto"/>
                <w:sz w:val="24"/>
                <w:lang w:val="en-US" w:eastAsia="zh-CN"/>
              </w:rPr>
              <w:t>非甲烷总烃。</w:t>
            </w:r>
          </w:p>
          <w:p>
            <w:pPr>
              <w:keepNext w:val="0"/>
              <w:keepLines w:val="0"/>
              <w:numPr>
                <w:ilvl w:val="0"/>
                <w:numId w:val="4"/>
              </w:numPr>
              <w:suppressLineNumbers w:val="0"/>
              <w:spacing w:before="0" w:beforeAutospacing="0" w:after="0" w:afterAutospacing="0" w:line="440" w:lineRule="exact"/>
              <w:ind w:left="0" w:right="0" w:firstLine="480" w:firstLineChars="200"/>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val="en-US" w:eastAsia="zh-CN"/>
              </w:rPr>
              <w:t>三磨</w:t>
            </w:r>
          </w:p>
          <w:p>
            <w:pPr>
              <w:keepNext w:val="0"/>
              <w:keepLines w:val="0"/>
              <w:numPr>
                <w:ilvl w:val="0"/>
                <w:numId w:val="0"/>
              </w:numPr>
              <w:suppressLineNumbers w:val="0"/>
              <w:spacing w:before="0" w:beforeAutospacing="0" w:after="0" w:afterAutospacing="0" w:line="360" w:lineRule="auto"/>
              <w:ind w:left="0" w:right="0" w:firstLine="480" w:firstLineChars="200"/>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技改项目半成品铸管切环、倒角、承插口打磨过程中有间歇性粉尘产生；配套一套脉冲布袋除尘收集处理这些环节产生的粉尘，每个打磨工位设置一个侧吸罩捕集粉尘，各点收集的粉尘汇集到除尘器总管中进入除尘器处理，工程设计粉尘捕集率≥88%；根据设计资料确定各除尘器的粉尘产生浓度、再计算粉尘产生量；三磨除尘器的参数及除尘效率见</w:t>
            </w:r>
            <w:r>
              <w:rPr>
                <w:rFonts w:hint="eastAsia" w:ascii="Times New Roman" w:hAnsi="Times New Roman" w:eastAsia="宋体"/>
                <w:color w:val="auto"/>
                <w:sz w:val="24"/>
                <w:szCs w:val="24"/>
                <w:highlight w:val="none"/>
                <w:lang w:val="en-US" w:eastAsia="zh-CN"/>
              </w:rPr>
              <w:t>下表；</w:t>
            </w:r>
          </w:p>
          <w:p>
            <w:pPr>
              <w:keepNext w:val="0"/>
              <w:keepLines w:val="0"/>
              <w:numPr>
                <w:ilvl w:val="0"/>
                <w:numId w:val="4"/>
              </w:numPr>
              <w:suppressLineNumbers w:val="0"/>
              <w:spacing w:before="0" w:beforeAutospacing="0" w:after="0" w:afterAutospacing="0" w:line="440" w:lineRule="exact"/>
              <w:ind w:left="0" w:right="0" w:firstLine="480" w:firstLineChars="200"/>
              <w:rPr>
                <w:rFonts w:hint="eastAsia" w:ascii="Times New Roman" w:hAnsi="Times New Roman" w:eastAsia="宋体" w:cs="Times New Roman"/>
                <w:color w:val="auto"/>
                <w:sz w:val="24"/>
                <w:lang w:eastAsia="zh-CN"/>
              </w:rPr>
            </w:pPr>
            <w:r>
              <w:rPr>
                <w:rFonts w:hint="eastAsia" w:ascii="Times New Roman" w:hAnsi="Times New Roman" w:eastAsia="宋体" w:cs="Times New Roman"/>
                <w:color w:val="auto"/>
                <w:sz w:val="24"/>
                <w:lang w:val="en-US" w:eastAsia="zh-CN"/>
              </w:rPr>
              <w:t>喷锌</w:t>
            </w:r>
          </w:p>
          <w:p>
            <w:pPr>
              <w:keepNext w:val="0"/>
              <w:keepLines w:val="0"/>
              <w:numPr>
                <w:ilvl w:val="0"/>
                <w:numId w:val="0"/>
              </w:numPr>
              <w:suppressLineNumbers w:val="0"/>
              <w:spacing w:before="0" w:beforeAutospacing="0" w:after="0" w:afterAutospacing="0" w:line="360" w:lineRule="auto"/>
              <w:ind w:left="0" w:right="0" w:firstLine="480" w:firstLineChars="200"/>
              <w:rPr>
                <w:rFonts w:hint="eastAsia" w:ascii="Times New Roman" w:hAnsi="Times New Roman" w:eastAsia="宋体"/>
                <w:color w:val="auto"/>
                <w:sz w:val="24"/>
                <w:szCs w:val="24"/>
                <w:highlight w:val="none"/>
                <w:lang w:val="en-US" w:eastAsia="zh-CN"/>
              </w:rPr>
            </w:pPr>
            <w:r>
              <w:rPr>
                <w:rFonts w:hint="eastAsia" w:ascii="Times New Roman" w:hAnsi="Times New Roman" w:eastAsia="宋体"/>
                <w:color w:val="auto"/>
                <w:sz w:val="24"/>
                <w:szCs w:val="24"/>
                <w:highlight w:val="none"/>
                <w:lang w:val="en-US" w:eastAsia="zh-CN"/>
              </w:rPr>
              <w:t>技改项目</w:t>
            </w:r>
            <w:r>
              <w:rPr>
                <w:rFonts w:hint="eastAsia" w:ascii="Times New Roman" w:hAnsi="Times New Roman" w:eastAsia="宋体"/>
                <w:color w:val="auto"/>
                <w:sz w:val="24"/>
                <w:szCs w:val="24"/>
                <w:highlight w:val="none"/>
                <w:lang w:val="en-US" w:eastAsia="zh-CN"/>
              </w:rPr>
              <w:t>有部分</w:t>
            </w:r>
            <w:r>
              <w:rPr>
                <w:rFonts w:hint="eastAsia" w:ascii="Times New Roman" w:hAnsi="Times New Roman" w:eastAsia="宋体"/>
                <w:color w:val="auto"/>
                <w:sz w:val="24"/>
                <w:szCs w:val="24"/>
                <w:highlight w:val="none"/>
                <w:lang w:val="en-US" w:eastAsia="zh-CN"/>
              </w:rPr>
              <w:t>半成品铸管需要在技改项目区表面喷锌。喷锌机配套移动式顶吸罩捕集粉尘、工程设计粉尘捕集率≥90%，粉尘通过1套脉冲布袋除尘器处理，工程设计除尘效率≥99%；过滤后的废气通过</w:t>
            </w:r>
            <w:r>
              <w:rPr>
                <w:rFonts w:hint="eastAsia" w:ascii="Times New Roman" w:hAnsi="Times New Roman" w:eastAsia="宋体"/>
                <w:color w:val="auto"/>
                <w:sz w:val="24"/>
                <w:szCs w:val="24"/>
                <w:highlight w:val="none"/>
                <w:lang w:val="en-US" w:eastAsia="zh-CN"/>
              </w:rPr>
              <w:t>18</w:t>
            </w:r>
            <w:r>
              <w:rPr>
                <w:rFonts w:hint="eastAsia" w:ascii="Times New Roman" w:hAnsi="Times New Roman" w:eastAsia="宋体"/>
                <w:color w:val="auto"/>
                <w:sz w:val="24"/>
                <w:szCs w:val="24"/>
                <w:highlight w:val="none"/>
                <w:lang w:val="en-US" w:eastAsia="zh-CN"/>
              </w:rPr>
              <w:t>米高的排气筒外排，回收的锌粉由供应商再利用。除尘器的参数及除尘效率见</w:t>
            </w:r>
            <w:r>
              <w:rPr>
                <w:rFonts w:hint="eastAsia" w:ascii="Times New Roman" w:hAnsi="Times New Roman" w:eastAsia="宋体"/>
                <w:color w:val="auto"/>
                <w:sz w:val="24"/>
                <w:szCs w:val="24"/>
                <w:highlight w:val="none"/>
                <w:lang w:val="en-US" w:eastAsia="zh-CN"/>
              </w:rPr>
              <w:t>下表；</w:t>
            </w:r>
          </w:p>
          <w:p>
            <w:pPr>
              <w:keepNext w:val="0"/>
              <w:keepLines w:val="0"/>
              <w:numPr>
                <w:ilvl w:val="0"/>
                <w:numId w:val="4"/>
              </w:numPr>
              <w:suppressLineNumbers w:val="0"/>
              <w:spacing w:before="0" w:beforeAutospacing="0" w:after="0" w:afterAutospacing="0" w:line="440" w:lineRule="exact"/>
              <w:ind w:left="0" w:leftChars="0" w:right="0" w:rightChars="0" w:firstLine="480" w:firstLineChars="200"/>
              <w:rPr>
                <w:rFonts w:hint="eastAsia" w:ascii="Times New Roman" w:hAnsi="Times New Roman" w:eastAsia="宋体" w:cs="Times New Roman"/>
                <w:color w:val="auto"/>
                <w:sz w:val="24"/>
                <w:highlight w:val="none"/>
                <w:lang w:val="en-US" w:eastAsia="zh-CN"/>
              </w:rPr>
            </w:pPr>
            <w:r>
              <w:rPr>
                <w:rFonts w:hint="eastAsia" w:ascii="Times New Roman" w:hAnsi="Times New Roman" w:eastAsia="宋体" w:cs="Times New Roman"/>
                <w:color w:val="auto"/>
                <w:sz w:val="24"/>
                <w:highlight w:val="none"/>
                <w:lang w:val="en-US" w:eastAsia="zh-CN"/>
              </w:rPr>
              <w:t>喷漆</w:t>
            </w:r>
          </w:p>
          <w:p>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eastAsia="宋体"/>
                <w:sz w:val="24"/>
                <w:vertAlign w:val="baseline"/>
                <w:lang w:val="en-US" w:eastAsia="zh-CN"/>
              </w:rPr>
            </w:pPr>
            <w:r>
              <w:rPr>
                <w:rFonts w:hint="eastAsia" w:ascii="Times New Roman" w:hAnsi="Times New Roman" w:eastAsia="宋体"/>
                <w:sz w:val="24"/>
                <w:vertAlign w:val="baseline"/>
                <w:lang w:val="en-US" w:eastAsia="zh-CN"/>
              </w:rPr>
              <w:t>①</w:t>
            </w:r>
            <w:r>
              <w:rPr>
                <w:rFonts w:hint="eastAsia" w:ascii="Times New Roman" w:hAnsi="Times New Roman" w:eastAsia="宋体"/>
                <w:sz w:val="24"/>
                <w:vertAlign w:val="baseline"/>
                <w:lang w:val="en-US" w:eastAsia="zh-CN"/>
              </w:rPr>
              <w:t>喷涂废气：</w:t>
            </w:r>
            <w:r>
              <w:rPr>
                <w:rFonts w:hint="eastAsia" w:ascii="Times New Roman" w:hAnsi="Times New Roman" w:eastAsia="宋体"/>
                <w:sz w:val="24"/>
                <w:vertAlign w:val="baseline"/>
                <w:lang w:val="en-US" w:eastAsia="zh-CN"/>
              </w:rPr>
              <w:t>铸管</w:t>
            </w:r>
            <w:r>
              <w:rPr>
                <w:rFonts w:hint="eastAsia" w:ascii="Times New Roman" w:hAnsi="Times New Roman" w:eastAsia="宋体"/>
                <w:sz w:val="24"/>
                <w:vertAlign w:val="baseline"/>
                <w:lang w:val="en-US" w:eastAsia="zh-CN"/>
              </w:rPr>
              <w:t>内外表面都要喷涂防腐涂料。其中：内表面主要喷涂环氧陶瓷（80%）或聚氨酯（20%），外壁主要喷涂铝粉漆（80%）或沥青漆（10%）或聚氨酯（10%）等防腐涂层。喷涂作业区全封闭、采用顶吸罩收集喷涂废气、设计的废气捕集率≥9</w:t>
            </w:r>
            <w:r>
              <w:rPr>
                <w:rFonts w:hint="eastAsia" w:ascii="Times New Roman" w:hAnsi="Times New Roman" w:eastAsia="宋体"/>
                <w:sz w:val="24"/>
                <w:vertAlign w:val="baseline"/>
                <w:lang w:val="en-US" w:eastAsia="zh-CN"/>
              </w:rPr>
              <w:t>0</w:t>
            </w:r>
            <w:r>
              <w:rPr>
                <w:rFonts w:hint="eastAsia" w:ascii="Times New Roman" w:hAnsi="Times New Roman" w:eastAsia="宋体"/>
                <w:sz w:val="24"/>
                <w:vertAlign w:val="baseline"/>
                <w:lang w:val="en-US" w:eastAsia="zh-CN"/>
              </w:rPr>
              <w:t>%，喷涂工位配套有1套过滤棉过滤和2套活性炭吸附的喷涂废气净化装置，环评按照活性炭净化效率</w:t>
            </w:r>
            <w:r>
              <w:rPr>
                <w:rFonts w:hint="eastAsia" w:ascii="Times New Roman" w:hAnsi="Times New Roman" w:eastAsia="宋体"/>
                <w:sz w:val="24"/>
                <w:vertAlign w:val="baseline"/>
                <w:lang w:val="en-US" w:eastAsia="zh-CN"/>
              </w:rPr>
              <w:t>9</w:t>
            </w:r>
            <w:r>
              <w:rPr>
                <w:rFonts w:hint="eastAsia" w:ascii="Times New Roman" w:hAnsi="Times New Roman" w:eastAsia="宋体"/>
                <w:sz w:val="24"/>
                <w:vertAlign w:val="baseline"/>
                <w:lang w:val="en-US" w:eastAsia="zh-CN"/>
              </w:rPr>
              <w:t>0%估算污染物排放情况；净化后的废气经18米高排气筒外排。喷涂废气的净化效率见</w:t>
            </w:r>
            <w:r>
              <w:rPr>
                <w:rFonts w:hint="eastAsia" w:ascii="Times New Roman" w:hAnsi="Times New Roman" w:eastAsia="宋体"/>
                <w:sz w:val="24"/>
                <w:vertAlign w:val="baseline"/>
                <w:lang w:val="en-US" w:eastAsia="zh-CN"/>
              </w:rPr>
              <w:t>下表</w:t>
            </w:r>
            <w:r>
              <w:rPr>
                <w:rFonts w:hint="eastAsia" w:ascii="Times New Roman" w:hAnsi="Times New Roman" w:eastAsia="宋体"/>
                <w:sz w:val="24"/>
                <w:vertAlign w:val="baseline"/>
                <w:lang w:val="en-US" w:eastAsia="zh-CN"/>
              </w:rPr>
              <w:t>。</w:t>
            </w:r>
          </w:p>
          <w:p>
            <w:pPr>
              <w:keepNext w:val="0"/>
              <w:keepLines w:val="0"/>
              <w:suppressLineNumbers w:val="0"/>
              <w:spacing w:before="0" w:beforeAutospacing="0" w:after="0" w:afterAutospacing="0" w:line="440" w:lineRule="exact"/>
              <w:ind w:left="0" w:right="0" w:firstLine="480" w:firstLineChars="200"/>
              <w:rPr>
                <w:rFonts w:hint="eastAsia" w:ascii="Times New Roman" w:hAnsi="Times New Roman" w:eastAsia="宋体"/>
                <w:sz w:val="24"/>
                <w:vertAlign w:val="baseline"/>
                <w:lang w:val="en-US" w:eastAsia="zh-CN"/>
              </w:rPr>
            </w:pPr>
            <w:r>
              <w:rPr>
                <w:rFonts w:hint="eastAsia" w:ascii="Times New Roman" w:hAnsi="Times New Roman" w:eastAsia="宋体"/>
                <w:sz w:val="24"/>
                <w:vertAlign w:val="baseline"/>
                <w:lang w:val="en-US" w:eastAsia="zh-CN"/>
              </w:rPr>
              <w:t>②铸管</w:t>
            </w:r>
            <w:r>
              <w:rPr>
                <w:rFonts w:hint="eastAsia" w:ascii="Times New Roman" w:hAnsi="Times New Roman" w:eastAsia="宋体"/>
                <w:sz w:val="24"/>
                <w:vertAlign w:val="baseline"/>
                <w:lang w:val="en-US" w:eastAsia="zh-CN"/>
              </w:rPr>
              <w:t>喷涂后的烘干废气：内、外壁喷涂防腐涂料后的特喷管要经过烘干炉烘干。铝粉漆、沥青漆、环氧陶瓷、聚氨酯的主要挥发性成分是</w:t>
            </w:r>
            <w:r>
              <w:rPr>
                <w:rFonts w:hint="eastAsia" w:ascii="Times New Roman" w:hAnsi="Times New Roman" w:eastAsia="宋体"/>
                <w:sz w:val="24"/>
                <w:vertAlign w:val="baseline"/>
                <w:lang w:val="en-US" w:eastAsia="zh-CN"/>
              </w:rPr>
              <w:t>非甲烷总烃</w:t>
            </w:r>
            <w:r>
              <w:rPr>
                <w:rFonts w:hint="eastAsia" w:ascii="Times New Roman" w:hAnsi="Times New Roman" w:eastAsia="宋体"/>
                <w:sz w:val="24"/>
                <w:vertAlign w:val="baseline"/>
                <w:lang w:val="en-US" w:eastAsia="zh-CN"/>
              </w:rPr>
              <w:t>；烘干过程中产生的挥发性有机物全部由管道引至加热炉在焦炉煤气助燃下分解成CO</w:t>
            </w:r>
            <w:r>
              <w:rPr>
                <w:rFonts w:hint="eastAsia" w:ascii="Times New Roman" w:hAnsi="Times New Roman" w:eastAsia="宋体"/>
                <w:sz w:val="24"/>
                <w:vertAlign w:val="subscript"/>
                <w:lang w:val="en-US" w:eastAsia="zh-CN"/>
              </w:rPr>
              <w:t>2</w:t>
            </w:r>
            <w:r>
              <w:rPr>
                <w:rFonts w:hint="eastAsia" w:ascii="Times New Roman" w:hAnsi="Times New Roman" w:eastAsia="宋体"/>
                <w:sz w:val="24"/>
                <w:vertAlign w:val="baseline"/>
                <w:lang w:val="en-US" w:eastAsia="zh-CN"/>
              </w:rPr>
              <w:t>和水以后外排，燃烧后的污染物主要是烟尘</w:t>
            </w:r>
            <w:r>
              <w:rPr>
                <w:rFonts w:hint="eastAsia" w:ascii="Times New Roman" w:hAnsi="Times New Roman" w:eastAsia="宋体"/>
                <w:b w:val="0"/>
                <w:bCs w:val="0"/>
                <w:color w:val="auto"/>
                <w:sz w:val="24"/>
                <w:szCs w:val="24"/>
              </w:rPr>
              <w:t>、SO</w:t>
            </w:r>
            <w:r>
              <w:rPr>
                <w:rFonts w:hint="eastAsia" w:ascii="Times New Roman" w:hAnsi="Times New Roman" w:eastAsia="宋体"/>
                <w:b w:val="0"/>
                <w:bCs w:val="0"/>
                <w:color w:val="auto"/>
                <w:sz w:val="24"/>
                <w:szCs w:val="24"/>
                <w:vertAlign w:val="subscript"/>
              </w:rPr>
              <w:t>2</w:t>
            </w:r>
            <w:r>
              <w:rPr>
                <w:rFonts w:hint="eastAsia" w:ascii="Times New Roman" w:hAnsi="Times New Roman" w:eastAsia="宋体"/>
                <w:b w:val="0"/>
                <w:bCs w:val="0"/>
                <w:color w:val="auto"/>
                <w:sz w:val="24"/>
                <w:szCs w:val="24"/>
              </w:rPr>
              <w:t>、NOx</w:t>
            </w:r>
            <w:r>
              <w:rPr>
                <w:rFonts w:hint="eastAsia" w:ascii="Times New Roman" w:hAnsi="Times New Roman" w:eastAsia="宋体"/>
                <w:sz w:val="24"/>
                <w:vertAlign w:val="baseline"/>
                <w:lang w:val="en-US" w:eastAsia="zh-CN"/>
              </w:rPr>
              <w:t>。</w:t>
            </w:r>
          </w:p>
          <w:p>
            <w:pPr>
              <w:spacing w:line="360" w:lineRule="auto"/>
              <w:ind w:firstLine="480" w:firstLineChars="200"/>
              <w:rPr>
                <w:rFonts w:hint="eastAsia" w:ascii="Times New Roman" w:hAnsi="Times New Roman" w:eastAsia="宋体"/>
                <w:b w:val="0"/>
                <w:bCs w:val="0"/>
                <w:color w:val="auto"/>
                <w:sz w:val="24"/>
                <w:szCs w:val="24"/>
              </w:rPr>
            </w:pPr>
            <w:r>
              <w:rPr>
                <w:rFonts w:hint="eastAsia" w:ascii="Times New Roman" w:hAnsi="Times New Roman" w:eastAsia="宋体"/>
                <w:b w:val="0"/>
                <w:bCs w:val="0"/>
                <w:color w:val="auto"/>
                <w:sz w:val="24"/>
                <w:szCs w:val="24"/>
                <w:lang w:eastAsia="zh-CN"/>
              </w:rPr>
              <w:t>（</w:t>
            </w:r>
            <w:r>
              <w:rPr>
                <w:rFonts w:hint="eastAsia" w:ascii="Times New Roman" w:hAnsi="Times New Roman" w:eastAsia="宋体"/>
                <w:b w:val="0"/>
                <w:bCs w:val="0"/>
                <w:color w:val="auto"/>
                <w:sz w:val="24"/>
                <w:szCs w:val="24"/>
                <w:lang w:val="en-US" w:eastAsia="zh-CN"/>
              </w:rPr>
              <w:t>4</w:t>
            </w:r>
            <w:r>
              <w:rPr>
                <w:rFonts w:hint="eastAsia" w:ascii="Times New Roman" w:hAnsi="Times New Roman" w:eastAsia="宋体"/>
                <w:b w:val="0"/>
                <w:bCs w:val="0"/>
                <w:color w:val="auto"/>
                <w:sz w:val="24"/>
                <w:szCs w:val="24"/>
                <w:lang w:eastAsia="zh-CN"/>
              </w:rPr>
              <w:t>）</w:t>
            </w:r>
            <w:r>
              <w:rPr>
                <w:rFonts w:hint="eastAsia" w:ascii="Times New Roman" w:hAnsi="Times New Roman" w:eastAsia="宋体"/>
                <w:b w:val="0"/>
                <w:bCs w:val="0"/>
                <w:color w:val="auto"/>
                <w:sz w:val="24"/>
                <w:szCs w:val="24"/>
              </w:rPr>
              <w:t>焦炉煤气燃烧废气</w:t>
            </w:r>
          </w:p>
          <w:p>
            <w:pPr>
              <w:spacing w:line="360" w:lineRule="auto"/>
              <w:ind w:firstLine="480" w:firstLineChars="200"/>
              <w:rPr>
                <w:rFonts w:hint="eastAsia" w:ascii="Times New Roman" w:hAnsi="Times New Roman" w:eastAsia="宋体"/>
                <w:b w:val="0"/>
                <w:bCs w:val="0"/>
                <w:color w:val="auto"/>
                <w:sz w:val="24"/>
                <w:szCs w:val="24"/>
              </w:rPr>
            </w:pPr>
            <w:r>
              <w:rPr>
                <w:rFonts w:hint="eastAsia" w:ascii="Times New Roman" w:hAnsi="Times New Roman" w:eastAsia="宋体"/>
                <w:b w:val="0"/>
                <w:bCs w:val="0"/>
                <w:color w:val="auto"/>
                <w:sz w:val="24"/>
                <w:szCs w:val="24"/>
              </w:rPr>
              <w:t>技改项目铸管内外壁喷涂前的预热、加热、喷涂后的烘干（通过焦炉煤气燃烧产生的热空气直接烘干）过程中都使用现有项目自产的焦炉煤气作燃料。该公司通过净化处理后的焦炉煤气属于清洁的二次能源，燃烧后烟尘、SO</w:t>
            </w:r>
            <w:r>
              <w:rPr>
                <w:rFonts w:hint="eastAsia" w:ascii="Times New Roman" w:hAnsi="Times New Roman" w:eastAsia="宋体"/>
                <w:b w:val="0"/>
                <w:bCs w:val="0"/>
                <w:color w:val="auto"/>
                <w:sz w:val="24"/>
                <w:szCs w:val="24"/>
                <w:vertAlign w:val="subscript"/>
              </w:rPr>
              <w:t>2</w:t>
            </w:r>
            <w:r>
              <w:rPr>
                <w:rFonts w:hint="eastAsia" w:ascii="Times New Roman" w:hAnsi="Times New Roman" w:eastAsia="宋体"/>
                <w:b w:val="0"/>
                <w:bCs w:val="0"/>
                <w:color w:val="auto"/>
                <w:sz w:val="24"/>
                <w:szCs w:val="24"/>
              </w:rPr>
              <w:t>、NOx的排放量都非常少；类比安徽基越环境检测有限公司为《芜湖新兴铸管有限责任公司搬迁技术改造项目竣工环保验收监测报告》中的“铸管退火炉”（与技改项目的燃料结构相同）外排烟气的监测结果：烟尘15mg/m</w:t>
            </w:r>
            <w:r>
              <w:rPr>
                <w:rFonts w:hint="eastAsia" w:ascii="Times New Roman" w:hAnsi="Times New Roman" w:eastAsia="宋体"/>
                <w:b w:val="0"/>
                <w:bCs w:val="0"/>
                <w:color w:val="auto"/>
                <w:sz w:val="24"/>
                <w:szCs w:val="24"/>
                <w:vertAlign w:val="superscript"/>
              </w:rPr>
              <w:t>3</w:t>
            </w:r>
            <w:r>
              <w:rPr>
                <w:rFonts w:hint="eastAsia" w:ascii="Times New Roman" w:hAnsi="Times New Roman" w:eastAsia="宋体"/>
                <w:b w:val="0"/>
                <w:bCs w:val="0"/>
                <w:color w:val="auto"/>
                <w:sz w:val="24"/>
                <w:szCs w:val="24"/>
              </w:rPr>
              <w:t>、SO</w:t>
            </w:r>
            <w:r>
              <w:rPr>
                <w:rFonts w:hint="eastAsia" w:ascii="Times New Roman" w:hAnsi="Times New Roman" w:eastAsia="宋体"/>
                <w:b w:val="0"/>
                <w:bCs w:val="0"/>
                <w:color w:val="auto"/>
                <w:sz w:val="24"/>
                <w:szCs w:val="24"/>
                <w:vertAlign w:val="subscript"/>
              </w:rPr>
              <w:t>2</w:t>
            </w:r>
            <w:r>
              <w:rPr>
                <w:rFonts w:hint="eastAsia" w:ascii="Times New Roman" w:hAnsi="Times New Roman" w:eastAsia="宋体"/>
                <w:b w:val="0"/>
                <w:bCs w:val="0"/>
                <w:color w:val="auto"/>
                <w:sz w:val="24"/>
                <w:szCs w:val="24"/>
              </w:rPr>
              <w:t xml:space="preserve"> 52mg/m</w:t>
            </w:r>
            <w:r>
              <w:rPr>
                <w:rFonts w:hint="eastAsia" w:ascii="Times New Roman" w:hAnsi="Times New Roman" w:eastAsia="宋体"/>
                <w:b w:val="0"/>
                <w:bCs w:val="0"/>
                <w:color w:val="auto"/>
                <w:sz w:val="24"/>
                <w:szCs w:val="24"/>
                <w:vertAlign w:val="superscript"/>
              </w:rPr>
              <w:t>3</w:t>
            </w:r>
            <w:r>
              <w:rPr>
                <w:rFonts w:hint="eastAsia" w:ascii="Times New Roman" w:hAnsi="Times New Roman" w:eastAsia="宋体"/>
                <w:b w:val="0"/>
                <w:bCs w:val="0"/>
                <w:color w:val="auto"/>
                <w:sz w:val="24"/>
                <w:szCs w:val="24"/>
              </w:rPr>
              <w:t>、NOx 35mg/m</w:t>
            </w:r>
            <w:r>
              <w:rPr>
                <w:rFonts w:hint="eastAsia" w:ascii="Times New Roman" w:hAnsi="Times New Roman" w:eastAsia="宋体"/>
                <w:b w:val="0"/>
                <w:bCs w:val="0"/>
                <w:color w:val="auto"/>
                <w:sz w:val="24"/>
                <w:szCs w:val="24"/>
                <w:vertAlign w:val="superscript"/>
              </w:rPr>
              <w:t>3</w:t>
            </w:r>
            <w:r>
              <w:rPr>
                <w:rFonts w:hint="eastAsia" w:ascii="Times New Roman" w:hAnsi="Times New Roman" w:eastAsia="宋体"/>
                <w:b w:val="0"/>
                <w:bCs w:val="0"/>
                <w:color w:val="auto"/>
                <w:sz w:val="24"/>
                <w:szCs w:val="24"/>
              </w:rPr>
              <w:t>，据此计算技改项目预热炉、加热炉、烘干炉废气中烟尘、SO</w:t>
            </w:r>
            <w:r>
              <w:rPr>
                <w:rFonts w:hint="eastAsia" w:ascii="Times New Roman" w:hAnsi="Times New Roman" w:eastAsia="宋体"/>
                <w:b w:val="0"/>
                <w:bCs w:val="0"/>
                <w:color w:val="auto"/>
                <w:sz w:val="24"/>
                <w:szCs w:val="24"/>
                <w:vertAlign w:val="subscript"/>
              </w:rPr>
              <w:t>2</w:t>
            </w:r>
            <w:r>
              <w:rPr>
                <w:rFonts w:hint="eastAsia" w:ascii="Times New Roman" w:hAnsi="Times New Roman" w:eastAsia="宋体"/>
                <w:b w:val="0"/>
                <w:bCs w:val="0"/>
                <w:color w:val="auto"/>
                <w:sz w:val="24"/>
                <w:szCs w:val="24"/>
              </w:rPr>
              <w:t>、NOx的排放情况。计算的结果见</w:t>
            </w:r>
            <w:r>
              <w:rPr>
                <w:rFonts w:hint="eastAsia" w:ascii="Times New Roman" w:hAnsi="Times New Roman" w:eastAsia="宋体"/>
                <w:b w:val="0"/>
                <w:bCs w:val="0"/>
                <w:color w:val="auto"/>
                <w:sz w:val="24"/>
                <w:szCs w:val="24"/>
                <w:lang w:val="en-US" w:eastAsia="zh-CN"/>
              </w:rPr>
              <w:t>下表</w:t>
            </w:r>
            <w:r>
              <w:rPr>
                <w:rFonts w:hint="eastAsia" w:ascii="Times New Roman" w:hAnsi="Times New Roman" w:eastAsia="宋体"/>
                <w:b w:val="0"/>
                <w:bCs w:val="0"/>
                <w:color w:val="auto"/>
                <w:sz w:val="24"/>
                <w:szCs w:val="24"/>
              </w:rPr>
              <w:t>。</w:t>
            </w:r>
          </w:p>
          <w:p>
            <w:pPr>
              <w:spacing w:line="460" w:lineRule="exact"/>
              <w:jc w:val="center"/>
              <w:rPr>
                <w:rFonts w:ascii="Times New Roman" w:hAnsi="Times New Roman" w:eastAsia="宋体"/>
                <w:b/>
                <w:bCs/>
                <w:color w:val="000000"/>
                <w:sz w:val="24"/>
              </w:rPr>
            </w:pPr>
            <w:r>
              <w:rPr>
                <w:rFonts w:hint="eastAsia" w:ascii="Times New Roman" w:hAnsi="Times New Roman" w:eastAsia="宋体"/>
                <w:b/>
                <w:bCs/>
                <w:color w:val="000000"/>
                <w:sz w:val="24"/>
              </w:rPr>
              <w:t>表</w:t>
            </w:r>
            <w:r>
              <w:rPr>
                <w:rFonts w:hint="eastAsia" w:ascii="Times New Roman" w:hAnsi="Times New Roman" w:eastAsia="宋体"/>
                <w:b/>
                <w:bCs/>
                <w:color w:val="000000"/>
                <w:sz w:val="24"/>
                <w:lang w:val="en-US" w:eastAsia="zh-CN"/>
              </w:rPr>
              <w:t>5-3</w:t>
            </w:r>
            <w:r>
              <w:rPr>
                <w:rFonts w:hint="eastAsia" w:ascii="Times New Roman" w:hAnsi="Times New Roman" w:eastAsia="宋体"/>
                <w:b/>
                <w:bCs/>
                <w:color w:val="000000"/>
                <w:sz w:val="24"/>
              </w:rPr>
              <w:t xml:space="preserve">   主要大气污染源及污染物排放情况</w:t>
            </w:r>
          </w:p>
          <w:tbl>
            <w:tblPr>
              <w:tblStyle w:val="22"/>
              <w:tblW w:w="476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3"/>
              <w:gridCol w:w="569"/>
              <w:gridCol w:w="770"/>
              <w:gridCol w:w="664"/>
              <w:gridCol w:w="877"/>
              <w:gridCol w:w="553"/>
              <w:gridCol w:w="678"/>
              <w:gridCol w:w="665"/>
              <w:gridCol w:w="774"/>
              <w:gridCol w:w="774"/>
              <w:gridCol w:w="774"/>
              <w:gridCol w:w="795"/>
              <w:gridCol w:w="7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4" w:type="pct"/>
                  <w:noWrap w:val="0"/>
                  <w:vAlign w:val="center"/>
                </w:tcPr>
                <w:p>
                  <w:pPr>
                    <w:ind w:left="-105" w:leftChars="-50" w:right="-105" w:rightChars="-50"/>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序号</w:t>
                  </w:r>
                </w:p>
              </w:tc>
              <w:tc>
                <w:tcPr>
                  <w:tcW w:w="313" w:type="pct"/>
                  <w:noWrap w:val="0"/>
                  <w:vAlign w:val="center"/>
                </w:tcPr>
                <w:p>
                  <w:pPr>
                    <w:ind w:left="-105" w:leftChars="-50" w:right="-105" w:rightChars="-50"/>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污染源名称</w:t>
                  </w:r>
                </w:p>
              </w:tc>
              <w:tc>
                <w:tcPr>
                  <w:tcW w:w="423" w:type="pct"/>
                  <w:noWrap w:val="0"/>
                  <w:vAlign w:val="center"/>
                </w:tcPr>
                <w:p>
                  <w:pPr>
                    <w:ind w:left="-105" w:leftChars="-50" w:right="-105" w:rightChars="-50"/>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烟囱高</w:t>
                  </w:r>
                </w:p>
                <w:p>
                  <w:pPr>
                    <w:ind w:left="-105" w:leftChars="-50" w:right="-105" w:rightChars="-50"/>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度</w:t>
                  </w:r>
                  <w:r>
                    <w:rPr>
                      <w:rFonts w:ascii="Times New Roman" w:hAnsi="Times New Roman" w:eastAsia="宋体"/>
                      <w:color w:val="000000" w:themeColor="text1"/>
                      <w:szCs w:val="21"/>
                      <w14:textFill>
                        <w14:solidFill>
                          <w14:schemeClr w14:val="tx1"/>
                        </w14:solidFill>
                      </w14:textFill>
                    </w:rPr>
                    <w:t>(m)</w:t>
                  </w:r>
                </w:p>
              </w:tc>
              <w:tc>
                <w:tcPr>
                  <w:tcW w:w="365" w:type="pct"/>
                  <w:noWrap w:val="0"/>
                  <w:vAlign w:val="center"/>
                </w:tcPr>
                <w:p>
                  <w:pPr>
                    <w:ind w:left="-105" w:leftChars="-50" w:right="-105" w:rightChars="-50"/>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烟囱内</w:t>
                  </w:r>
                </w:p>
                <w:p>
                  <w:pPr>
                    <w:ind w:left="-105" w:leftChars="-50" w:right="-105" w:rightChars="-50"/>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径</w:t>
                  </w:r>
                  <w:r>
                    <w:rPr>
                      <w:rFonts w:ascii="Times New Roman" w:hAnsi="Times New Roman" w:eastAsia="宋体"/>
                      <w:color w:val="000000" w:themeColor="text1"/>
                      <w:szCs w:val="21"/>
                      <w14:textFill>
                        <w14:solidFill>
                          <w14:schemeClr w14:val="tx1"/>
                        </w14:solidFill>
                      </w14:textFill>
                    </w:rPr>
                    <w:t>(</w:t>
                  </w:r>
                  <w:r>
                    <w:rPr>
                      <w:rFonts w:hint="eastAsia" w:ascii="Times New Roman" w:hAnsi="Times New Roman" w:eastAsia="宋体"/>
                      <w:color w:val="000000" w:themeColor="text1"/>
                      <w:szCs w:val="21"/>
                      <w14:textFill>
                        <w14:solidFill>
                          <w14:schemeClr w14:val="tx1"/>
                        </w14:solidFill>
                      </w14:textFill>
                    </w:rPr>
                    <w:t>m</w:t>
                  </w:r>
                  <w:r>
                    <w:rPr>
                      <w:rFonts w:ascii="Times New Roman" w:hAnsi="Times New Roman" w:eastAsia="宋体"/>
                      <w:color w:val="000000" w:themeColor="text1"/>
                      <w:szCs w:val="21"/>
                      <w14:textFill>
                        <w14:solidFill>
                          <w14:schemeClr w14:val="tx1"/>
                        </w14:solidFill>
                      </w14:textFill>
                    </w:rPr>
                    <w:t>)</w:t>
                  </w:r>
                </w:p>
              </w:tc>
              <w:tc>
                <w:tcPr>
                  <w:tcW w:w="482" w:type="pct"/>
                  <w:noWrap w:val="0"/>
                  <w:vAlign w:val="center"/>
                </w:tcPr>
                <w:p>
                  <w:pPr>
                    <w:ind w:left="-105" w:leftChars="-50" w:right="-105" w:rightChars="-50"/>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标况烟气</w:t>
                  </w:r>
                </w:p>
                <w:p>
                  <w:pPr>
                    <w:ind w:left="-105" w:leftChars="-50" w:right="-105" w:rightChars="-50"/>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量</w:t>
                  </w:r>
                  <w:r>
                    <w:rPr>
                      <w:rFonts w:ascii="Times New Roman" w:hAnsi="Times New Roman" w:eastAsia="宋体"/>
                      <w:color w:val="000000" w:themeColor="text1"/>
                      <w:szCs w:val="21"/>
                      <w14:textFill>
                        <w14:solidFill>
                          <w14:schemeClr w14:val="tx1"/>
                        </w14:solidFill>
                      </w14:textFill>
                    </w:rPr>
                    <w:t>(m</w:t>
                  </w:r>
                  <w:r>
                    <w:rPr>
                      <w:rFonts w:ascii="Times New Roman" w:hAnsi="Times New Roman" w:eastAsia="宋体"/>
                      <w:color w:val="000000" w:themeColor="text1"/>
                      <w:szCs w:val="21"/>
                      <w:vertAlign w:val="superscript"/>
                      <w14:textFill>
                        <w14:solidFill>
                          <w14:schemeClr w14:val="tx1"/>
                        </w14:solidFill>
                      </w14:textFill>
                    </w:rPr>
                    <w:t>3</w:t>
                  </w:r>
                  <w:r>
                    <w:rPr>
                      <w:rFonts w:ascii="Times New Roman" w:hAnsi="Times New Roman" w:eastAsia="宋体"/>
                      <w:color w:val="000000" w:themeColor="text1"/>
                      <w:szCs w:val="21"/>
                      <w14:textFill>
                        <w14:solidFill>
                          <w14:schemeClr w14:val="tx1"/>
                        </w14:solidFill>
                      </w14:textFill>
                    </w:rPr>
                    <w:t>/h)</w:t>
                  </w:r>
                </w:p>
              </w:tc>
              <w:tc>
                <w:tcPr>
                  <w:tcW w:w="304" w:type="pct"/>
                  <w:noWrap w:val="0"/>
                  <w:vAlign w:val="center"/>
                </w:tcPr>
                <w:p>
                  <w:pPr>
                    <w:ind w:left="-105" w:leftChars="-50" w:right="-105" w:rightChars="-50"/>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烟气温</w:t>
                  </w:r>
                </w:p>
                <w:p>
                  <w:pPr>
                    <w:ind w:left="-105" w:leftChars="-50" w:right="-105" w:rightChars="-50"/>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度</w:t>
                  </w:r>
                  <w:r>
                    <w:rPr>
                      <w:rFonts w:ascii="Times New Roman" w:hAnsi="Times New Roman" w:eastAsia="宋体"/>
                      <w:color w:val="000000" w:themeColor="text1"/>
                      <w:szCs w:val="21"/>
                      <w14:textFill>
                        <w14:solidFill>
                          <w14:schemeClr w14:val="tx1"/>
                        </w14:solidFill>
                      </w14:textFill>
                    </w:rPr>
                    <w:t>(</w:t>
                  </w:r>
                  <w:r>
                    <w:rPr>
                      <w:rFonts w:hint="eastAsia" w:ascii="Times New Roman" w:hAnsi="Times New Roman" w:eastAsia="宋体"/>
                      <w:color w:val="000000" w:themeColor="text1"/>
                      <w:szCs w:val="21"/>
                      <w14:textFill>
                        <w14:solidFill>
                          <w14:schemeClr w14:val="tx1"/>
                        </w14:solidFill>
                      </w14:textFill>
                    </w:rPr>
                    <w:t>℃</w:t>
                  </w:r>
                  <w:r>
                    <w:rPr>
                      <w:rFonts w:ascii="Times New Roman" w:hAnsi="Times New Roman" w:eastAsia="宋体"/>
                      <w:color w:val="000000" w:themeColor="text1"/>
                      <w:szCs w:val="21"/>
                      <w14:textFill>
                        <w14:solidFill>
                          <w14:schemeClr w14:val="tx1"/>
                        </w14:solidFill>
                      </w14:textFill>
                    </w:rPr>
                    <w:t>)</w:t>
                  </w:r>
                </w:p>
              </w:tc>
              <w:tc>
                <w:tcPr>
                  <w:tcW w:w="372" w:type="pct"/>
                  <w:noWrap w:val="0"/>
                  <w:vAlign w:val="center"/>
                </w:tcPr>
                <w:p>
                  <w:pPr>
                    <w:ind w:left="-105" w:leftChars="-50" w:right="-105" w:rightChars="-50"/>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年工作</w:t>
                  </w:r>
                </w:p>
                <w:p>
                  <w:pPr>
                    <w:ind w:left="-105" w:leftChars="-50" w:right="-105" w:rightChars="-50"/>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时间</w:t>
                  </w:r>
                  <w:r>
                    <w:rPr>
                      <w:rFonts w:ascii="Times New Roman" w:hAnsi="Times New Roman" w:eastAsia="宋体"/>
                      <w:color w:val="000000" w:themeColor="text1"/>
                      <w:szCs w:val="21"/>
                      <w14:textFill>
                        <w14:solidFill>
                          <w14:schemeClr w14:val="tx1"/>
                        </w14:solidFill>
                      </w14:textFill>
                    </w:rPr>
                    <w:t>(h)</w:t>
                  </w:r>
                </w:p>
              </w:tc>
              <w:tc>
                <w:tcPr>
                  <w:tcW w:w="365" w:type="pct"/>
                  <w:noWrap w:val="0"/>
                  <w:vAlign w:val="center"/>
                </w:tcPr>
                <w:p>
                  <w:pPr>
                    <w:ind w:left="-105" w:leftChars="-50" w:right="-105" w:rightChars="-50"/>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污染物</w:t>
                  </w:r>
                </w:p>
                <w:p>
                  <w:pPr>
                    <w:ind w:left="-105" w:leftChars="-50" w:right="-105" w:rightChars="-50"/>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种类</w:t>
                  </w:r>
                </w:p>
              </w:tc>
              <w:tc>
                <w:tcPr>
                  <w:tcW w:w="425" w:type="pct"/>
                  <w:noWrap w:val="0"/>
                  <w:vAlign w:val="center"/>
                </w:tcPr>
                <w:p>
                  <w:pPr>
                    <w:ind w:left="-105" w:leftChars="-50" w:right="-105" w:rightChars="-50"/>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排放浓度</w:t>
                  </w:r>
                  <w:r>
                    <w:rPr>
                      <w:rFonts w:ascii="Times New Roman" w:hAnsi="Times New Roman" w:eastAsia="宋体"/>
                      <w:color w:val="000000" w:themeColor="text1"/>
                      <w:szCs w:val="21"/>
                      <w14:textFill>
                        <w14:solidFill>
                          <w14:schemeClr w14:val="tx1"/>
                        </w14:solidFill>
                      </w14:textFill>
                    </w:rPr>
                    <w:t>(mg/m</w:t>
                  </w:r>
                  <w:r>
                    <w:rPr>
                      <w:rFonts w:ascii="Times New Roman" w:hAnsi="Times New Roman" w:eastAsia="宋体"/>
                      <w:color w:val="000000" w:themeColor="text1"/>
                      <w:szCs w:val="21"/>
                      <w:vertAlign w:val="superscript"/>
                      <w14:textFill>
                        <w14:solidFill>
                          <w14:schemeClr w14:val="tx1"/>
                        </w14:solidFill>
                      </w14:textFill>
                    </w:rPr>
                    <w:t>3</w:t>
                  </w:r>
                  <w:r>
                    <w:rPr>
                      <w:rFonts w:ascii="Times New Roman" w:hAnsi="Times New Roman" w:eastAsia="宋体"/>
                      <w:color w:val="000000" w:themeColor="text1"/>
                      <w:szCs w:val="21"/>
                      <w14:textFill>
                        <w14:solidFill>
                          <w14:schemeClr w14:val="tx1"/>
                        </w14:solidFill>
                      </w14:textFill>
                    </w:rPr>
                    <w:t>)</w:t>
                  </w:r>
                </w:p>
              </w:tc>
              <w:tc>
                <w:tcPr>
                  <w:tcW w:w="425" w:type="pct"/>
                  <w:noWrap w:val="0"/>
                  <w:vAlign w:val="center"/>
                </w:tcPr>
                <w:p>
                  <w:pPr>
                    <w:ind w:left="-105" w:leftChars="-50" w:right="-105" w:rightChars="-50"/>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排放速率</w:t>
                  </w:r>
                  <w:r>
                    <w:rPr>
                      <w:rFonts w:ascii="Times New Roman" w:hAnsi="Times New Roman" w:eastAsia="宋体"/>
                      <w:color w:val="000000" w:themeColor="text1"/>
                      <w:szCs w:val="21"/>
                      <w14:textFill>
                        <w14:solidFill>
                          <w14:schemeClr w14:val="tx1"/>
                        </w14:solidFill>
                      </w14:textFill>
                    </w:rPr>
                    <w:t>(kg/h)</w:t>
                  </w:r>
                </w:p>
              </w:tc>
              <w:tc>
                <w:tcPr>
                  <w:tcW w:w="425" w:type="pct"/>
                  <w:noWrap w:val="0"/>
                  <w:vAlign w:val="center"/>
                </w:tcPr>
                <w:p>
                  <w:pPr>
                    <w:ind w:left="-105" w:leftChars="-50" w:right="-105" w:rightChars="-50"/>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排放量</w:t>
                  </w:r>
                  <w:r>
                    <w:rPr>
                      <w:rFonts w:ascii="Times New Roman" w:hAnsi="Times New Roman" w:eastAsia="宋体"/>
                      <w:color w:val="000000" w:themeColor="text1"/>
                      <w:szCs w:val="21"/>
                      <w14:textFill>
                        <w14:solidFill>
                          <w14:schemeClr w14:val="tx1"/>
                        </w14:solidFill>
                      </w14:textFill>
                    </w:rPr>
                    <w:t>(t/a)</w:t>
                  </w:r>
                </w:p>
              </w:tc>
              <w:tc>
                <w:tcPr>
                  <w:tcW w:w="425" w:type="pct"/>
                  <w:noWrap w:val="0"/>
                  <w:vAlign w:val="center"/>
                </w:tcPr>
                <w:p>
                  <w:pPr>
                    <w:ind w:left="-105" w:leftChars="-50" w:right="-105" w:rightChars="-50"/>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产生浓度</w:t>
                  </w:r>
                </w:p>
                <w:p>
                  <w:pPr>
                    <w:ind w:left="-105" w:leftChars="-50" w:right="-105" w:rightChars="-50"/>
                    <w:jc w:val="center"/>
                    <w:rPr>
                      <w:rFonts w:ascii="Times New Roman" w:hAnsi="Times New Roman" w:eastAsia="宋体"/>
                      <w:color w:val="000000" w:themeColor="text1"/>
                      <w:szCs w:val="21"/>
                      <w14:textFill>
                        <w14:solidFill>
                          <w14:schemeClr w14:val="tx1"/>
                        </w14:solidFill>
                      </w14:textFill>
                    </w:rPr>
                  </w:pPr>
                  <w:r>
                    <w:rPr>
                      <w:rFonts w:ascii="Times New Roman" w:hAnsi="Times New Roman" w:eastAsia="宋体"/>
                      <w:color w:val="000000" w:themeColor="text1"/>
                      <w:szCs w:val="21"/>
                      <w14:textFill>
                        <w14:solidFill>
                          <w14:schemeClr w14:val="tx1"/>
                        </w14:solidFill>
                      </w14:textFill>
                    </w:rPr>
                    <w:t>(</w:t>
                  </w:r>
                  <w:r>
                    <w:rPr>
                      <w:rFonts w:hint="eastAsia" w:ascii="Times New Roman" w:hAnsi="Times New Roman" w:eastAsia="宋体"/>
                      <w:color w:val="000000" w:themeColor="text1"/>
                      <w:szCs w:val="21"/>
                      <w14:textFill>
                        <w14:solidFill>
                          <w14:schemeClr w14:val="tx1"/>
                        </w14:solidFill>
                      </w14:textFill>
                    </w:rPr>
                    <w:t>m</w:t>
                  </w:r>
                  <w:r>
                    <w:rPr>
                      <w:rFonts w:ascii="Times New Roman" w:hAnsi="Times New Roman" w:eastAsia="宋体"/>
                      <w:color w:val="000000" w:themeColor="text1"/>
                      <w:szCs w:val="21"/>
                      <w14:textFill>
                        <w14:solidFill>
                          <w14:schemeClr w14:val="tx1"/>
                        </w14:solidFill>
                      </w14:textFill>
                    </w:rPr>
                    <w:t>g/m</w:t>
                  </w:r>
                  <w:r>
                    <w:rPr>
                      <w:rFonts w:ascii="Times New Roman" w:hAnsi="Times New Roman" w:eastAsia="宋体"/>
                      <w:color w:val="000000" w:themeColor="text1"/>
                      <w:szCs w:val="21"/>
                      <w:vertAlign w:val="superscript"/>
                      <w14:textFill>
                        <w14:solidFill>
                          <w14:schemeClr w14:val="tx1"/>
                        </w14:solidFill>
                      </w14:textFill>
                    </w:rPr>
                    <w:t>3</w:t>
                  </w:r>
                  <w:r>
                    <w:rPr>
                      <w:rFonts w:ascii="Times New Roman" w:hAnsi="Times New Roman" w:eastAsia="宋体"/>
                      <w:color w:val="000000" w:themeColor="text1"/>
                      <w:szCs w:val="21"/>
                      <w14:textFill>
                        <w14:solidFill>
                          <w14:schemeClr w14:val="tx1"/>
                        </w14:solidFill>
                      </w14:textFill>
                    </w:rPr>
                    <w:t>)</w:t>
                  </w:r>
                </w:p>
              </w:tc>
              <w:tc>
                <w:tcPr>
                  <w:tcW w:w="427" w:type="pct"/>
                  <w:noWrap w:val="0"/>
                  <w:vAlign w:val="center"/>
                </w:tcPr>
                <w:p>
                  <w:pPr>
                    <w:ind w:left="-105" w:leftChars="-50" w:right="-105" w:rightChars="-50"/>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产生量</w:t>
                  </w:r>
                </w:p>
                <w:p>
                  <w:pPr>
                    <w:ind w:left="-105" w:leftChars="-50" w:right="-105" w:rightChars="-50"/>
                    <w:jc w:val="center"/>
                    <w:rPr>
                      <w:rFonts w:ascii="Times New Roman" w:hAnsi="Times New Roman" w:eastAsia="宋体"/>
                      <w:color w:val="000000" w:themeColor="text1"/>
                      <w:szCs w:val="21"/>
                      <w14:textFill>
                        <w14:solidFill>
                          <w14:schemeClr w14:val="tx1"/>
                        </w14:solidFill>
                      </w14:textFill>
                    </w:rPr>
                  </w:pPr>
                  <w:r>
                    <w:rPr>
                      <w:rFonts w:ascii="Times New Roman" w:hAnsi="Times New Roman" w:eastAsia="宋体"/>
                      <w:color w:val="000000" w:themeColor="text1"/>
                      <w:szCs w:val="21"/>
                      <w14:textFill>
                        <w14:solidFill>
                          <w14:schemeClr w14:val="tx1"/>
                        </w14:solidFill>
                      </w14:textFill>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ascii="Times New Roman" w:hAnsi="Times New Roman" w:eastAsia="宋体"/>
                      <w:color w:val="000000" w:themeColor="text1"/>
                      <w:szCs w:val="21"/>
                      <w14:textFill>
                        <w14:solidFill>
                          <w14:schemeClr w14:val="tx1"/>
                        </w14:solidFill>
                      </w14:textFill>
                    </w:rPr>
                    <w:t>1</w:t>
                  </w:r>
                </w:p>
              </w:tc>
              <w:tc>
                <w:tcPr>
                  <w:tcW w:w="313"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三磨</w:t>
                  </w:r>
                </w:p>
              </w:tc>
              <w:tc>
                <w:tcPr>
                  <w:tcW w:w="423"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18m</w:t>
                  </w:r>
                </w:p>
              </w:tc>
              <w:tc>
                <w:tcPr>
                  <w:tcW w:w="36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1.2m</w:t>
                  </w:r>
                </w:p>
              </w:tc>
              <w:tc>
                <w:tcPr>
                  <w:tcW w:w="48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55000</w:t>
                  </w:r>
                </w:p>
              </w:tc>
              <w:tc>
                <w:tcPr>
                  <w:tcW w:w="30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20</w:t>
                  </w:r>
                </w:p>
              </w:tc>
              <w:tc>
                <w:tcPr>
                  <w:tcW w:w="37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1200</w:t>
                  </w:r>
                </w:p>
              </w:tc>
              <w:tc>
                <w:tcPr>
                  <w:tcW w:w="36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粉尘</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27</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1.485</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1.782</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1350</w:t>
                  </w:r>
                </w:p>
              </w:tc>
              <w:tc>
                <w:tcPr>
                  <w:tcW w:w="427"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89.1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4"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宋体"/>
                      <w:color w:val="000000" w:themeColor="text1"/>
                      <w:szCs w:val="21"/>
                      <w:lang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2</w:t>
                  </w:r>
                </w:p>
              </w:tc>
              <w:tc>
                <w:tcPr>
                  <w:tcW w:w="313"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喷锌</w:t>
                  </w:r>
                </w:p>
              </w:tc>
              <w:tc>
                <w:tcPr>
                  <w:tcW w:w="423"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18</w:t>
                  </w:r>
                  <w:r>
                    <w:rPr>
                      <w:rFonts w:hint="eastAsia" w:ascii="Times New Roman" w:hAnsi="Times New Roman" w:eastAsia="宋体"/>
                      <w:color w:val="000000" w:themeColor="text1"/>
                      <w:szCs w:val="21"/>
                      <w14:textFill>
                        <w14:solidFill>
                          <w14:schemeClr w14:val="tx1"/>
                        </w14:solidFill>
                      </w14:textFill>
                    </w:rPr>
                    <w:t>m</w:t>
                  </w:r>
                </w:p>
              </w:tc>
              <w:tc>
                <w:tcPr>
                  <w:tcW w:w="36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1.2m</w:t>
                  </w:r>
                </w:p>
              </w:tc>
              <w:tc>
                <w:tcPr>
                  <w:tcW w:w="48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58570</w:t>
                  </w:r>
                </w:p>
              </w:tc>
              <w:tc>
                <w:tcPr>
                  <w:tcW w:w="304"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20</w:t>
                  </w:r>
                </w:p>
              </w:tc>
              <w:tc>
                <w:tcPr>
                  <w:tcW w:w="372"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1800</w:t>
                  </w:r>
                </w:p>
              </w:tc>
              <w:tc>
                <w:tcPr>
                  <w:tcW w:w="36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粉尘</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1.349</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0.079</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0.142</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67.498</w:t>
                  </w:r>
                </w:p>
              </w:tc>
              <w:tc>
                <w:tcPr>
                  <w:tcW w:w="427"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7.116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4" w:type="pct"/>
                  <w:vMerge w:val="restart"/>
                  <w:tcBorders>
                    <w:top w:val="single" w:color="auto" w:sz="4" w:space="0"/>
                    <w:left w:val="single" w:color="auto" w:sz="4" w:space="0"/>
                    <w:right w:val="single" w:color="auto" w:sz="4" w:space="0"/>
                  </w:tcBorders>
                  <w:noWrap w:val="0"/>
                  <w:vAlign w:val="center"/>
                </w:tcPr>
                <w:p>
                  <w:pPr>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3</w:t>
                  </w:r>
                </w:p>
              </w:tc>
              <w:tc>
                <w:tcPr>
                  <w:tcW w:w="313" w:type="pct"/>
                  <w:vMerge w:val="restart"/>
                  <w:tcBorders>
                    <w:top w:val="single" w:color="auto" w:sz="4" w:space="0"/>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喷涂</w:t>
                  </w:r>
                </w:p>
              </w:tc>
              <w:tc>
                <w:tcPr>
                  <w:tcW w:w="423" w:type="pct"/>
                  <w:vMerge w:val="restart"/>
                  <w:tcBorders>
                    <w:top w:val="single" w:color="auto" w:sz="4" w:space="0"/>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18</w:t>
                  </w:r>
                  <w:r>
                    <w:rPr>
                      <w:rFonts w:hint="eastAsia" w:ascii="Times New Roman" w:hAnsi="Times New Roman" w:eastAsia="宋体"/>
                      <w:color w:val="000000" w:themeColor="text1"/>
                      <w:szCs w:val="21"/>
                      <w14:textFill>
                        <w14:solidFill>
                          <w14:schemeClr w14:val="tx1"/>
                        </w14:solidFill>
                      </w14:textFill>
                    </w:rPr>
                    <w:t>m</w:t>
                  </w:r>
                </w:p>
              </w:tc>
              <w:tc>
                <w:tcPr>
                  <w:tcW w:w="365" w:type="pct"/>
                  <w:vMerge w:val="restart"/>
                  <w:tcBorders>
                    <w:top w:val="single" w:color="auto" w:sz="4" w:space="0"/>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1.2</w:t>
                  </w:r>
                </w:p>
              </w:tc>
              <w:tc>
                <w:tcPr>
                  <w:tcW w:w="482" w:type="pct"/>
                  <w:vMerge w:val="restart"/>
                  <w:tcBorders>
                    <w:top w:val="single" w:color="auto" w:sz="4" w:space="0"/>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60000</w:t>
                  </w:r>
                </w:p>
              </w:tc>
              <w:tc>
                <w:tcPr>
                  <w:tcW w:w="304" w:type="pct"/>
                  <w:vMerge w:val="restart"/>
                  <w:tcBorders>
                    <w:top w:val="single" w:color="auto" w:sz="4" w:space="0"/>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20</w:t>
                  </w:r>
                </w:p>
              </w:tc>
              <w:tc>
                <w:tcPr>
                  <w:tcW w:w="372" w:type="pct"/>
                  <w:vMerge w:val="restart"/>
                  <w:tcBorders>
                    <w:top w:val="single" w:color="auto" w:sz="4" w:space="0"/>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3600</w:t>
                  </w:r>
                </w:p>
              </w:tc>
              <w:tc>
                <w:tcPr>
                  <w:tcW w:w="36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漆雾</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10.74</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0.644</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2.32</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40</w:t>
                  </w:r>
                </w:p>
              </w:tc>
              <w:tc>
                <w:tcPr>
                  <w:tcW w:w="42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8.64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blHeader/>
                <w:jc w:val="center"/>
              </w:trPr>
              <w:tc>
                <w:tcPr>
                  <w:tcW w:w="244"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13"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423"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65"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482"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04"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72"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65" w:type="pct"/>
                  <w:tcBorders>
                    <w:top w:val="single" w:color="auto" w:sz="4" w:space="0"/>
                    <w:left w:val="single" w:color="auto" w:sz="4" w:space="0"/>
                    <w:right w:val="single" w:color="auto" w:sz="4" w:space="0"/>
                  </w:tcBorders>
                  <w:noWrap w:val="0"/>
                  <w:vAlign w:val="center"/>
                </w:tcPr>
                <w:p>
                  <w:pPr>
                    <w:jc w:val="center"/>
                    <w:rPr>
                      <w:rFonts w:hint="eastAsia" w:ascii="Times New Roman" w:hAnsi="Times New Roman" w:eastAsia="宋体"/>
                      <w:color w:val="000000" w:themeColor="text1"/>
                      <w:szCs w:val="21"/>
                      <w:lang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非甲烷总烃</w:t>
                  </w:r>
                </w:p>
              </w:tc>
              <w:tc>
                <w:tcPr>
                  <w:tcW w:w="425" w:type="pct"/>
                  <w:tcBorders>
                    <w:top w:val="single" w:color="auto" w:sz="4" w:space="0"/>
                    <w:left w:val="single" w:color="auto" w:sz="4" w:space="0"/>
                    <w:right w:val="single" w:color="auto" w:sz="4" w:space="0"/>
                  </w:tcBorders>
                  <w:noWrap w:val="0"/>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21</w:t>
                  </w:r>
                </w:p>
              </w:tc>
              <w:tc>
                <w:tcPr>
                  <w:tcW w:w="425" w:type="pct"/>
                  <w:tcBorders>
                    <w:top w:val="single" w:color="auto" w:sz="4" w:space="0"/>
                    <w:left w:val="single" w:color="auto" w:sz="4" w:space="0"/>
                    <w:right w:val="single" w:color="auto" w:sz="4" w:space="0"/>
                  </w:tcBorders>
                  <w:noWrap w:val="0"/>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1.26</w:t>
                  </w:r>
                </w:p>
              </w:tc>
              <w:tc>
                <w:tcPr>
                  <w:tcW w:w="425" w:type="pct"/>
                  <w:tcBorders>
                    <w:top w:val="single" w:color="auto" w:sz="4" w:space="0"/>
                    <w:left w:val="single" w:color="auto" w:sz="4" w:space="0"/>
                    <w:right w:val="single" w:color="auto" w:sz="4" w:space="0"/>
                  </w:tcBorders>
                  <w:noWrap w:val="0"/>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4.536</w:t>
                  </w:r>
                </w:p>
              </w:tc>
              <w:tc>
                <w:tcPr>
                  <w:tcW w:w="425" w:type="pct"/>
                  <w:tcBorders>
                    <w:top w:val="single" w:color="auto" w:sz="4" w:space="0"/>
                    <w:left w:val="single" w:color="auto" w:sz="4" w:space="0"/>
                    <w:right w:val="single" w:color="auto" w:sz="4" w:space="0"/>
                  </w:tcBorders>
                  <w:noWrap w:val="0"/>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210</w:t>
                  </w:r>
                </w:p>
              </w:tc>
              <w:tc>
                <w:tcPr>
                  <w:tcW w:w="427" w:type="pct"/>
                  <w:tcBorders>
                    <w:top w:val="single" w:color="auto" w:sz="4" w:space="0"/>
                    <w:left w:val="single" w:color="auto" w:sz="4" w:space="0"/>
                    <w:right w:val="single" w:color="auto" w:sz="4" w:space="0"/>
                  </w:tcBorders>
                  <w:noWrap w:val="0"/>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45.36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4" w:type="pct"/>
                  <w:vMerge w:val="restart"/>
                  <w:tcBorders>
                    <w:top w:val="single" w:color="auto" w:sz="4" w:space="0"/>
                    <w:left w:val="single" w:color="auto" w:sz="4" w:space="0"/>
                    <w:right w:val="single" w:color="auto" w:sz="4" w:space="0"/>
                  </w:tcBorders>
                  <w:noWrap w:val="0"/>
                  <w:vAlign w:val="center"/>
                </w:tcPr>
                <w:p>
                  <w:pPr>
                    <w:jc w:val="center"/>
                    <w:rPr>
                      <w:rFonts w:hint="eastAsia" w:ascii="Times New Roman" w:hAnsi="Times New Roman" w:eastAsia="宋体"/>
                      <w:color w:val="000000" w:themeColor="text1"/>
                      <w:szCs w:val="21"/>
                      <w:lang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4</w:t>
                  </w:r>
                </w:p>
              </w:tc>
              <w:tc>
                <w:tcPr>
                  <w:tcW w:w="313" w:type="pct"/>
                  <w:vMerge w:val="restart"/>
                  <w:tcBorders>
                    <w:top w:val="single" w:color="auto" w:sz="4" w:space="0"/>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预热炉</w:t>
                  </w:r>
                </w:p>
              </w:tc>
              <w:tc>
                <w:tcPr>
                  <w:tcW w:w="423" w:type="pct"/>
                  <w:vMerge w:val="restart"/>
                  <w:tcBorders>
                    <w:top w:val="single" w:color="auto" w:sz="4" w:space="0"/>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18</w:t>
                  </w:r>
                  <w:r>
                    <w:rPr>
                      <w:rFonts w:hint="eastAsia" w:ascii="Times New Roman" w:hAnsi="Times New Roman" w:eastAsia="宋体"/>
                      <w:color w:val="000000" w:themeColor="text1"/>
                      <w:szCs w:val="21"/>
                      <w14:textFill>
                        <w14:solidFill>
                          <w14:schemeClr w14:val="tx1"/>
                        </w14:solidFill>
                      </w14:textFill>
                    </w:rPr>
                    <w:t>m</w:t>
                  </w:r>
                </w:p>
              </w:tc>
              <w:tc>
                <w:tcPr>
                  <w:tcW w:w="365" w:type="pct"/>
                  <w:vMerge w:val="restart"/>
                  <w:tcBorders>
                    <w:top w:val="single" w:color="auto" w:sz="4" w:space="0"/>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0.5</w:t>
                  </w:r>
                </w:p>
              </w:tc>
              <w:tc>
                <w:tcPr>
                  <w:tcW w:w="482" w:type="pct"/>
                  <w:vMerge w:val="restart"/>
                  <w:tcBorders>
                    <w:top w:val="single" w:color="auto" w:sz="4" w:space="0"/>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6000</w:t>
                  </w:r>
                </w:p>
              </w:tc>
              <w:tc>
                <w:tcPr>
                  <w:tcW w:w="304" w:type="pct"/>
                  <w:vMerge w:val="restart"/>
                  <w:tcBorders>
                    <w:top w:val="single" w:color="auto" w:sz="4" w:space="0"/>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200</w:t>
                  </w:r>
                </w:p>
              </w:tc>
              <w:tc>
                <w:tcPr>
                  <w:tcW w:w="372" w:type="pct"/>
                  <w:vMerge w:val="restart"/>
                  <w:tcBorders>
                    <w:top w:val="single" w:color="auto" w:sz="4" w:space="0"/>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3600</w:t>
                  </w:r>
                </w:p>
              </w:tc>
              <w:tc>
                <w:tcPr>
                  <w:tcW w:w="36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烟尘</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15</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0.09</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0.324</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15</w:t>
                  </w:r>
                </w:p>
              </w:tc>
              <w:tc>
                <w:tcPr>
                  <w:tcW w:w="42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4"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13"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423"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65"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482"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04"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72"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6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ascii="Times New Roman" w:hAnsi="Times New Roman" w:eastAsia="宋体"/>
                      <w:color w:val="000000" w:themeColor="text1"/>
                      <w:szCs w:val="21"/>
                      <w14:textFill>
                        <w14:solidFill>
                          <w14:schemeClr w14:val="tx1"/>
                        </w14:solidFill>
                      </w14:textFill>
                    </w:rPr>
                    <w:t>SO</w:t>
                  </w:r>
                  <w:r>
                    <w:rPr>
                      <w:rFonts w:ascii="Times New Roman" w:hAnsi="Times New Roman" w:eastAsia="宋体"/>
                      <w:color w:val="000000" w:themeColor="text1"/>
                      <w:szCs w:val="21"/>
                      <w:vertAlign w:val="subscript"/>
                      <w14:textFill>
                        <w14:solidFill>
                          <w14:schemeClr w14:val="tx1"/>
                        </w14:solidFill>
                      </w14:textFill>
                    </w:rPr>
                    <w:t>2</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52</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0.312</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1.123</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52</w:t>
                  </w:r>
                </w:p>
              </w:tc>
              <w:tc>
                <w:tcPr>
                  <w:tcW w:w="42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1.123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4"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13"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423"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65"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482"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04"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72"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6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ascii="Times New Roman" w:hAnsi="Times New Roman" w:eastAsia="宋体"/>
                      <w:color w:val="000000" w:themeColor="text1"/>
                      <w:szCs w:val="21"/>
                      <w14:textFill>
                        <w14:solidFill>
                          <w14:schemeClr w14:val="tx1"/>
                        </w14:solidFill>
                      </w14:textFill>
                    </w:rPr>
                    <w:t>NOx</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35</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0.21</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0.756</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35</w:t>
                  </w:r>
                </w:p>
              </w:tc>
              <w:tc>
                <w:tcPr>
                  <w:tcW w:w="42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0.756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4" w:type="pct"/>
                  <w:vMerge w:val="restart"/>
                  <w:tcBorders>
                    <w:left w:val="single" w:color="auto" w:sz="4" w:space="0"/>
                    <w:right w:val="single" w:color="auto" w:sz="4" w:space="0"/>
                  </w:tcBorders>
                  <w:noWrap w:val="0"/>
                  <w:vAlign w:val="center"/>
                </w:tcPr>
                <w:p>
                  <w:pPr>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5</w:t>
                  </w:r>
                </w:p>
              </w:tc>
              <w:tc>
                <w:tcPr>
                  <w:tcW w:w="313" w:type="pct"/>
                  <w:vMerge w:val="restart"/>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加热炉</w:t>
                  </w:r>
                </w:p>
              </w:tc>
              <w:tc>
                <w:tcPr>
                  <w:tcW w:w="423" w:type="pct"/>
                  <w:vMerge w:val="restart"/>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18</w:t>
                  </w:r>
                  <w:r>
                    <w:rPr>
                      <w:rFonts w:hint="eastAsia" w:ascii="Times New Roman" w:hAnsi="Times New Roman" w:eastAsia="宋体"/>
                      <w:color w:val="000000" w:themeColor="text1"/>
                      <w:szCs w:val="21"/>
                      <w14:textFill>
                        <w14:solidFill>
                          <w14:schemeClr w14:val="tx1"/>
                        </w14:solidFill>
                      </w14:textFill>
                    </w:rPr>
                    <w:t>m</w:t>
                  </w:r>
                </w:p>
              </w:tc>
              <w:tc>
                <w:tcPr>
                  <w:tcW w:w="365" w:type="pct"/>
                  <w:vMerge w:val="restart"/>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0.5</w:t>
                  </w:r>
                </w:p>
              </w:tc>
              <w:tc>
                <w:tcPr>
                  <w:tcW w:w="482" w:type="pct"/>
                  <w:vMerge w:val="restart"/>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6000</w:t>
                  </w:r>
                </w:p>
              </w:tc>
              <w:tc>
                <w:tcPr>
                  <w:tcW w:w="304" w:type="pct"/>
                  <w:vMerge w:val="restart"/>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200</w:t>
                  </w:r>
                </w:p>
              </w:tc>
              <w:tc>
                <w:tcPr>
                  <w:tcW w:w="372" w:type="pct"/>
                  <w:vMerge w:val="restart"/>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3600</w:t>
                  </w:r>
                </w:p>
              </w:tc>
              <w:tc>
                <w:tcPr>
                  <w:tcW w:w="36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烟尘</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15</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0.09</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0.324</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15</w:t>
                  </w:r>
                </w:p>
              </w:tc>
              <w:tc>
                <w:tcPr>
                  <w:tcW w:w="42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4"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13"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423"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65"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482"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04"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72"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6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ascii="Times New Roman" w:hAnsi="Times New Roman" w:eastAsia="宋体"/>
                      <w:color w:val="000000" w:themeColor="text1"/>
                      <w:szCs w:val="21"/>
                      <w14:textFill>
                        <w14:solidFill>
                          <w14:schemeClr w14:val="tx1"/>
                        </w14:solidFill>
                      </w14:textFill>
                    </w:rPr>
                    <w:t>SO</w:t>
                  </w:r>
                  <w:r>
                    <w:rPr>
                      <w:rFonts w:ascii="Times New Roman" w:hAnsi="Times New Roman" w:eastAsia="宋体"/>
                      <w:color w:val="000000" w:themeColor="text1"/>
                      <w:szCs w:val="21"/>
                      <w:vertAlign w:val="subscript"/>
                      <w14:textFill>
                        <w14:solidFill>
                          <w14:schemeClr w14:val="tx1"/>
                        </w14:solidFill>
                      </w14:textFill>
                    </w:rPr>
                    <w:t>2</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52</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0.312</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1.123</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52</w:t>
                  </w:r>
                </w:p>
              </w:tc>
              <w:tc>
                <w:tcPr>
                  <w:tcW w:w="42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1.123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4"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13"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423"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65"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482"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04"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72"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6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ascii="Times New Roman" w:hAnsi="Times New Roman" w:eastAsia="宋体"/>
                      <w:color w:val="000000" w:themeColor="text1"/>
                      <w:szCs w:val="21"/>
                      <w14:textFill>
                        <w14:solidFill>
                          <w14:schemeClr w14:val="tx1"/>
                        </w14:solidFill>
                      </w14:textFill>
                    </w:rPr>
                    <w:t>NOx</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35</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0.21</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0.756</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35</w:t>
                  </w:r>
                </w:p>
              </w:tc>
              <w:tc>
                <w:tcPr>
                  <w:tcW w:w="42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0.756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4" w:type="pct"/>
                  <w:vMerge w:val="restart"/>
                  <w:tcBorders>
                    <w:left w:val="single" w:color="auto" w:sz="4" w:space="0"/>
                    <w:right w:val="single" w:color="auto" w:sz="4" w:space="0"/>
                  </w:tcBorders>
                  <w:noWrap w:val="0"/>
                  <w:vAlign w:val="center"/>
                </w:tcPr>
                <w:p>
                  <w:pPr>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6</w:t>
                  </w:r>
                </w:p>
              </w:tc>
              <w:tc>
                <w:tcPr>
                  <w:tcW w:w="313" w:type="pct"/>
                  <w:vMerge w:val="restart"/>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烘干炉</w:t>
                  </w:r>
                </w:p>
              </w:tc>
              <w:tc>
                <w:tcPr>
                  <w:tcW w:w="423" w:type="pct"/>
                  <w:vMerge w:val="restart"/>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18</w:t>
                  </w:r>
                  <w:r>
                    <w:rPr>
                      <w:rFonts w:hint="eastAsia" w:ascii="Times New Roman" w:hAnsi="Times New Roman" w:eastAsia="宋体"/>
                      <w:color w:val="000000" w:themeColor="text1"/>
                      <w:szCs w:val="21"/>
                      <w14:textFill>
                        <w14:solidFill>
                          <w14:schemeClr w14:val="tx1"/>
                        </w14:solidFill>
                      </w14:textFill>
                    </w:rPr>
                    <w:t>m</w:t>
                  </w:r>
                </w:p>
              </w:tc>
              <w:tc>
                <w:tcPr>
                  <w:tcW w:w="365" w:type="pct"/>
                  <w:vMerge w:val="restart"/>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0.5</w:t>
                  </w:r>
                </w:p>
              </w:tc>
              <w:tc>
                <w:tcPr>
                  <w:tcW w:w="482" w:type="pct"/>
                  <w:vMerge w:val="restart"/>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6000</w:t>
                  </w:r>
                </w:p>
              </w:tc>
              <w:tc>
                <w:tcPr>
                  <w:tcW w:w="304" w:type="pct"/>
                  <w:vMerge w:val="restart"/>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200</w:t>
                  </w:r>
                </w:p>
              </w:tc>
              <w:tc>
                <w:tcPr>
                  <w:tcW w:w="372" w:type="pct"/>
                  <w:vMerge w:val="restart"/>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3600</w:t>
                  </w:r>
                </w:p>
              </w:tc>
              <w:tc>
                <w:tcPr>
                  <w:tcW w:w="36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烟尘</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15</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0.09</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0.324</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15</w:t>
                  </w:r>
                </w:p>
              </w:tc>
              <w:tc>
                <w:tcPr>
                  <w:tcW w:w="42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4"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13"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423"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65"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482"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04"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72"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6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ascii="Times New Roman" w:hAnsi="Times New Roman" w:eastAsia="宋体"/>
                      <w:color w:val="000000" w:themeColor="text1"/>
                      <w:szCs w:val="21"/>
                      <w14:textFill>
                        <w14:solidFill>
                          <w14:schemeClr w14:val="tx1"/>
                        </w14:solidFill>
                      </w14:textFill>
                    </w:rPr>
                    <w:t>SO</w:t>
                  </w:r>
                  <w:r>
                    <w:rPr>
                      <w:rFonts w:ascii="Times New Roman" w:hAnsi="Times New Roman" w:eastAsia="宋体"/>
                      <w:color w:val="000000" w:themeColor="text1"/>
                      <w:szCs w:val="21"/>
                      <w:vertAlign w:val="subscript"/>
                      <w14:textFill>
                        <w14:solidFill>
                          <w14:schemeClr w14:val="tx1"/>
                        </w14:solidFill>
                      </w14:textFill>
                    </w:rPr>
                    <w:t>2</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52</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0.312</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1.123</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52</w:t>
                  </w:r>
                </w:p>
              </w:tc>
              <w:tc>
                <w:tcPr>
                  <w:tcW w:w="42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1.123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4"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13"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423"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65"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482"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04"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72"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6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ascii="Times New Roman" w:hAnsi="Times New Roman" w:eastAsia="宋体"/>
                      <w:color w:val="000000" w:themeColor="text1"/>
                      <w:szCs w:val="21"/>
                      <w14:textFill>
                        <w14:solidFill>
                          <w14:schemeClr w14:val="tx1"/>
                        </w14:solidFill>
                      </w14:textFill>
                    </w:rPr>
                    <w:t>NOx</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35</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0.21</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0.756</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35</w:t>
                  </w:r>
                </w:p>
              </w:tc>
              <w:tc>
                <w:tcPr>
                  <w:tcW w:w="427"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0.756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4" w:type="pct"/>
                  <w:vMerge w:val="restart"/>
                  <w:tcBorders>
                    <w:left w:val="single" w:color="auto" w:sz="4" w:space="0"/>
                    <w:right w:val="single" w:color="auto" w:sz="4" w:space="0"/>
                  </w:tcBorders>
                  <w:noWrap w:val="0"/>
                  <w:vAlign w:val="center"/>
                </w:tcPr>
                <w:p>
                  <w:pPr>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7</w:t>
                  </w:r>
                </w:p>
              </w:tc>
              <w:tc>
                <w:tcPr>
                  <w:tcW w:w="313" w:type="pct"/>
                  <w:vMerge w:val="restart"/>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无组织</w:t>
                  </w:r>
                </w:p>
              </w:tc>
              <w:tc>
                <w:tcPr>
                  <w:tcW w:w="1947" w:type="pct"/>
                  <w:gridSpan w:val="5"/>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面源：</w:t>
                  </w:r>
                  <w:r>
                    <w:rPr>
                      <w:rFonts w:hint="eastAsia" w:ascii="Times New Roman" w:hAnsi="Times New Roman" w:eastAsia="宋体"/>
                      <w:color w:val="000000" w:themeColor="text1"/>
                      <w:szCs w:val="21"/>
                      <w:lang w:val="en-US" w:eastAsia="zh-CN"/>
                      <w14:textFill>
                        <w14:solidFill>
                          <w14:schemeClr w14:val="tx1"/>
                        </w14:solidFill>
                      </w14:textFill>
                    </w:rPr>
                    <w:t>100</w:t>
                  </w:r>
                  <w:r>
                    <w:rPr>
                      <w:rFonts w:hint="eastAsia" w:ascii="Times New Roman" w:hAnsi="Times New Roman" w:eastAsia="宋体"/>
                      <w:color w:val="000000" w:themeColor="text1"/>
                      <w:szCs w:val="21"/>
                      <w14:textFill>
                        <w14:solidFill>
                          <w14:schemeClr w14:val="tx1"/>
                        </w14:solidFill>
                      </w14:textFill>
                    </w:rPr>
                    <w:t>×</w:t>
                  </w:r>
                  <w:r>
                    <w:rPr>
                      <w:rFonts w:hint="eastAsia" w:ascii="Times New Roman" w:hAnsi="Times New Roman" w:eastAsia="宋体"/>
                      <w:color w:val="000000" w:themeColor="text1"/>
                      <w:szCs w:val="21"/>
                      <w:lang w:val="en-US" w:eastAsia="zh-CN"/>
                      <w14:textFill>
                        <w14:solidFill>
                          <w14:schemeClr w14:val="tx1"/>
                        </w14:solidFill>
                      </w14:textFill>
                    </w:rPr>
                    <w:t>20</w:t>
                  </w:r>
                  <w:r>
                    <w:rPr>
                      <w:rFonts w:hint="eastAsia" w:ascii="Times New Roman" w:hAnsi="Times New Roman" w:eastAsia="宋体"/>
                      <w:color w:val="000000" w:themeColor="text1"/>
                      <w:szCs w:val="21"/>
                      <w14:textFill>
                        <w14:solidFill>
                          <w14:schemeClr w14:val="tx1"/>
                        </w14:solidFill>
                      </w14:textFill>
                    </w:rPr>
                    <w:t>㎡</w:t>
                  </w:r>
                </w:p>
              </w:tc>
              <w:tc>
                <w:tcPr>
                  <w:tcW w:w="36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粉尘</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0.083</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0.3</w:t>
                  </w:r>
                </w:p>
              </w:tc>
              <w:tc>
                <w:tcPr>
                  <w:tcW w:w="74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0.083</w:t>
                  </w:r>
                </w:p>
              </w:tc>
              <w:tc>
                <w:tcPr>
                  <w:tcW w:w="7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244"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313" w:type="pct"/>
                  <w:vMerge w:val="continue"/>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p>
              </w:tc>
              <w:tc>
                <w:tcPr>
                  <w:tcW w:w="1947" w:type="pct"/>
                  <w:gridSpan w:val="5"/>
                  <w:tcBorders>
                    <w:left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面源：</w:t>
                  </w:r>
                  <w:r>
                    <w:rPr>
                      <w:rFonts w:hint="eastAsia" w:ascii="Times New Roman" w:hAnsi="Times New Roman" w:eastAsia="宋体"/>
                      <w:color w:val="000000" w:themeColor="text1"/>
                      <w:szCs w:val="21"/>
                      <w:lang w:val="en-US" w:eastAsia="zh-CN"/>
                      <w14:textFill>
                        <w14:solidFill>
                          <w14:schemeClr w14:val="tx1"/>
                        </w14:solidFill>
                      </w14:textFill>
                    </w:rPr>
                    <w:t>100</w:t>
                  </w:r>
                  <w:r>
                    <w:rPr>
                      <w:rFonts w:hint="eastAsia" w:ascii="Times New Roman" w:hAnsi="Times New Roman" w:eastAsia="宋体"/>
                      <w:color w:val="000000" w:themeColor="text1"/>
                      <w:szCs w:val="21"/>
                      <w14:textFill>
                        <w14:solidFill>
                          <w14:schemeClr w14:val="tx1"/>
                        </w14:solidFill>
                      </w14:textFill>
                    </w:rPr>
                    <w:t>×</w:t>
                  </w:r>
                  <w:r>
                    <w:rPr>
                      <w:rFonts w:hint="eastAsia" w:ascii="Times New Roman" w:hAnsi="Times New Roman" w:eastAsia="宋体"/>
                      <w:color w:val="000000" w:themeColor="text1"/>
                      <w:szCs w:val="21"/>
                      <w:lang w:val="en-US" w:eastAsia="zh-CN"/>
                      <w14:textFill>
                        <w14:solidFill>
                          <w14:schemeClr w14:val="tx1"/>
                        </w14:solidFill>
                      </w14:textFill>
                    </w:rPr>
                    <w:t>20</w:t>
                  </w:r>
                  <w:r>
                    <w:rPr>
                      <w:rFonts w:hint="eastAsia" w:ascii="Times New Roman" w:hAnsi="Times New Roman" w:eastAsia="宋体"/>
                      <w:color w:val="000000" w:themeColor="text1"/>
                      <w:szCs w:val="21"/>
                      <w14:textFill>
                        <w14:solidFill>
                          <w14:schemeClr w14:val="tx1"/>
                        </w14:solidFill>
                      </w14:textFill>
                    </w:rPr>
                    <w:t>㎡</w:t>
                  </w:r>
                </w:p>
              </w:tc>
              <w:tc>
                <w:tcPr>
                  <w:tcW w:w="36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非甲烷总烃</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1.4</w:t>
                  </w:r>
                </w:p>
              </w:tc>
              <w:tc>
                <w:tcPr>
                  <w:tcW w:w="425" w:type="pct"/>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5.04</w:t>
                  </w:r>
                </w:p>
              </w:tc>
              <w:tc>
                <w:tcPr>
                  <w:tcW w:w="74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1.4</w:t>
                  </w:r>
                </w:p>
              </w:tc>
              <w:tc>
                <w:tcPr>
                  <w:tcW w:w="744"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5.04</w:t>
                  </w:r>
                </w:p>
              </w:tc>
            </w:tr>
          </w:tbl>
          <w:p>
            <w:pPr>
              <w:spacing w:line="360" w:lineRule="auto"/>
              <w:ind w:firstLine="482" w:firstLineChars="200"/>
              <w:rPr>
                <w:rFonts w:ascii="Times New Roman" w:hAnsi="Times New Roman" w:eastAsia="宋体"/>
                <w:b/>
                <w:bCs/>
                <w:color w:val="auto"/>
                <w:sz w:val="24"/>
                <w:szCs w:val="24"/>
              </w:rPr>
            </w:pPr>
            <w:r>
              <w:rPr>
                <w:rFonts w:ascii="Times New Roman" w:hAnsi="Times New Roman" w:eastAsia="宋体"/>
                <w:b/>
                <w:bCs/>
                <w:color w:val="auto"/>
                <w:sz w:val="24"/>
                <w:szCs w:val="24"/>
              </w:rPr>
              <w:t>3、噪声</w:t>
            </w:r>
          </w:p>
          <w:p>
            <w:pPr>
              <w:widowControl/>
              <w:spacing w:line="360" w:lineRule="auto"/>
              <w:ind w:firstLine="480" w:firstLineChars="200"/>
              <w:rPr>
                <w:rFonts w:ascii="Times New Roman" w:hAnsi="Times New Roman" w:eastAsia="宋体"/>
                <w:b/>
                <w:color w:val="auto"/>
                <w:sz w:val="24"/>
                <w:szCs w:val="22"/>
              </w:rPr>
            </w:pPr>
            <w:r>
              <w:rPr>
                <w:rFonts w:ascii="Times New Roman" w:hAnsi="Times New Roman" w:eastAsia="宋体"/>
                <w:color w:val="auto"/>
                <w:sz w:val="24"/>
              </w:rPr>
              <w:t>本项目产生的噪声主要来自于</w:t>
            </w:r>
            <w:r>
              <w:rPr>
                <w:rFonts w:hint="eastAsia" w:ascii="Times New Roman" w:hAnsi="Times New Roman" w:eastAsia="宋体"/>
                <w:color w:val="auto"/>
                <w:sz w:val="24"/>
                <w:lang w:val="en-US" w:eastAsia="zh-CN"/>
              </w:rPr>
              <w:t>喷锌机</w:t>
            </w:r>
            <w:r>
              <w:rPr>
                <w:rFonts w:hint="eastAsia" w:ascii="Times New Roman" w:hAnsi="Times New Roman" w:eastAsia="宋体"/>
                <w:color w:val="auto"/>
                <w:sz w:val="24"/>
              </w:rPr>
              <w:t>、涂衬机</w:t>
            </w:r>
            <w:r>
              <w:rPr>
                <w:rFonts w:hint="eastAsia" w:ascii="Times New Roman" w:hAnsi="Times New Roman" w:eastAsia="宋体"/>
                <w:color w:val="auto"/>
                <w:sz w:val="24"/>
                <w:lang w:eastAsia="zh-CN"/>
              </w:rPr>
              <w:t>、</w:t>
            </w:r>
            <w:r>
              <w:rPr>
                <w:rFonts w:hint="eastAsia" w:ascii="Times New Roman" w:hAnsi="Times New Roman" w:eastAsia="宋体"/>
                <w:color w:val="auto"/>
                <w:sz w:val="24"/>
                <w:lang w:val="en-US" w:eastAsia="zh-CN"/>
              </w:rPr>
              <w:t>内磨机</w:t>
            </w:r>
            <w:r>
              <w:rPr>
                <w:rFonts w:hint="eastAsia" w:ascii="Times New Roman" w:hAnsi="Times New Roman" w:eastAsia="宋体"/>
                <w:color w:val="auto"/>
                <w:sz w:val="24"/>
              </w:rPr>
              <w:t>等设备</w:t>
            </w:r>
            <w:r>
              <w:rPr>
                <w:rFonts w:ascii="Times New Roman" w:hAnsi="Times New Roman" w:eastAsia="宋体"/>
                <w:color w:val="auto"/>
                <w:sz w:val="24"/>
              </w:rPr>
              <w:t>，据同类型厂的设备调研，声级值为</w:t>
            </w:r>
            <w:r>
              <w:rPr>
                <w:rFonts w:hint="eastAsia" w:ascii="Times New Roman" w:hAnsi="Times New Roman" w:eastAsia="宋体"/>
                <w:color w:val="auto"/>
                <w:sz w:val="24"/>
                <w:lang w:val="en-US" w:eastAsia="zh-CN"/>
              </w:rPr>
              <w:t>65</w:t>
            </w:r>
            <w:r>
              <w:rPr>
                <w:rFonts w:ascii="Times New Roman" w:hAnsi="Times New Roman" w:eastAsia="宋体"/>
                <w:color w:val="auto"/>
                <w:sz w:val="24"/>
              </w:rPr>
              <w:t>dB(A)～</w:t>
            </w:r>
            <w:r>
              <w:rPr>
                <w:rFonts w:hint="eastAsia" w:ascii="Times New Roman" w:hAnsi="Times New Roman" w:eastAsia="宋体"/>
                <w:color w:val="auto"/>
                <w:sz w:val="24"/>
                <w:lang w:val="en-US" w:eastAsia="zh-CN"/>
              </w:rPr>
              <w:t>95</w:t>
            </w:r>
            <w:r>
              <w:rPr>
                <w:rFonts w:ascii="Times New Roman" w:hAnsi="Times New Roman" w:eastAsia="宋体"/>
                <w:color w:val="auto"/>
                <w:sz w:val="24"/>
              </w:rPr>
              <w:t>dB(A)。生产时利用墙壁的作用，使噪声受到不同程度的隔绝和吸收，做到尽可能屏蔽声源，减少对环境的影响。同时在工厂总体布置上利用建筑物、构筑物来阻隔声波的传播。本项目主要设备噪声源强见下表。</w:t>
            </w:r>
          </w:p>
          <w:p>
            <w:pPr>
              <w:pStyle w:val="5"/>
              <w:tabs>
                <w:tab w:val="left" w:pos="2559"/>
                <w:tab w:val="left" w:pos="6171"/>
              </w:tabs>
              <w:spacing w:beforeLines="0" w:afterLines="0" w:line="360" w:lineRule="auto"/>
              <w:jc w:val="center"/>
              <w:rPr>
                <w:rFonts w:ascii="Times New Roman" w:hAnsi="Times New Roman" w:eastAsia="宋体"/>
                <w:b/>
                <w:bCs w:val="0"/>
                <w:color w:val="auto"/>
                <w:szCs w:val="22"/>
              </w:rPr>
            </w:pPr>
            <w:r>
              <w:rPr>
                <w:rFonts w:ascii="Times New Roman" w:hAnsi="Times New Roman" w:eastAsia="宋体"/>
                <w:b/>
                <w:bCs w:val="0"/>
                <w:color w:val="auto"/>
                <w:szCs w:val="22"/>
              </w:rPr>
              <w:t>表5-</w:t>
            </w:r>
            <w:r>
              <w:rPr>
                <w:rFonts w:hint="eastAsia" w:ascii="Times New Roman" w:hAnsi="Times New Roman" w:eastAsia="宋体"/>
                <w:b/>
                <w:bCs w:val="0"/>
                <w:color w:val="auto"/>
                <w:szCs w:val="22"/>
                <w:lang w:val="en-US" w:eastAsia="zh-CN"/>
              </w:rPr>
              <w:t>4</w:t>
            </w:r>
            <w:r>
              <w:rPr>
                <w:rFonts w:ascii="Times New Roman" w:hAnsi="Times New Roman" w:eastAsia="宋体"/>
                <w:b/>
                <w:bCs w:val="0"/>
                <w:color w:val="auto"/>
                <w:szCs w:val="22"/>
              </w:rPr>
              <w:t xml:space="preserve">  营运期间噪声污染源强  单位 dB（A）</w:t>
            </w:r>
          </w:p>
          <w:tbl>
            <w:tblPr>
              <w:tblStyle w:val="22"/>
              <w:tblW w:w="9146" w:type="dxa"/>
              <w:jc w:val="center"/>
              <w:tblLayout w:type="autofit"/>
              <w:tblCellMar>
                <w:top w:w="0" w:type="dxa"/>
                <w:left w:w="0" w:type="dxa"/>
                <w:bottom w:w="0" w:type="dxa"/>
                <w:right w:w="0" w:type="dxa"/>
              </w:tblCellMar>
            </w:tblPr>
            <w:tblGrid>
              <w:gridCol w:w="961"/>
              <w:gridCol w:w="2321"/>
              <w:gridCol w:w="1935"/>
              <w:gridCol w:w="2307"/>
              <w:gridCol w:w="1622"/>
            </w:tblGrid>
            <w:tr>
              <w:tblPrEx>
                <w:tblCellMar>
                  <w:top w:w="0" w:type="dxa"/>
                  <w:left w:w="0" w:type="dxa"/>
                  <w:bottom w:w="0" w:type="dxa"/>
                  <w:right w:w="0" w:type="dxa"/>
                </w:tblCellMar>
              </w:tblPrEx>
              <w:trPr>
                <w:trHeight w:val="330" w:hRule="exact"/>
                <w:jc w:val="center"/>
              </w:trPr>
              <w:tc>
                <w:tcPr>
                  <w:tcW w:w="525" w:type="pct"/>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olor w:val="auto"/>
                      <w:szCs w:val="21"/>
                    </w:rPr>
                  </w:pPr>
                  <w:r>
                    <w:rPr>
                      <w:rFonts w:ascii="Times New Roman" w:hAnsi="Times New Roman" w:eastAsia="宋体"/>
                      <w:color w:val="auto"/>
                      <w:szCs w:val="21"/>
                    </w:rPr>
                    <w:t>编号</w:t>
                  </w:r>
                </w:p>
              </w:tc>
              <w:tc>
                <w:tcPr>
                  <w:tcW w:w="1268" w:type="pct"/>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olor w:val="auto"/>
                      <w:szCs w:val="21"/>
                    </w:rPr>
                  </w:pPr>
                  <w:r>
                    <w:rPr>
                      <w:rFonts w:ascii="Times New Roman" w:hAnsi="Times New Roman" w:eastAsia="宋体"/>
                      <w:color w:val="auto"/>
                      <w:szCs w:val="21"/>
                    </w:rPr>
                    <w:t>设备名称</w:t>
                  </w:r>
                </w:p>
              </w:tc>
              <w:tc>
                <w:tcPr>
                  <w:tcW w:w="1057" w:type="pct"/>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olor w:val="auto"/>
                      <w:szCs w:val="21"/>
                    </w:rPr>
                  </w:pPr>
                  <w:r>
                    <w:rPr>
                      <w:rFonts w:ascii="Times New Roman" w:hAnsi="Times New Roman" w:eastAsia="宋体"/>
                      <w:color w:val="auto"/>
                      <w:szCs w:val="21"/>
                    </w:rPr>
                    <w:t>治理前等效声级[dB(A)]</w:t>
                  </w:r>
                </w:p>
              </w:tc>
              <w:tc>
                <w:tcPr>
                  <w:tcW w:w="1260" w:type="pct"/>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olor w:val="auto"/>
                      <w:szCs w:val="21"/>
                    </w:rPr>
                  </w:pPr>
                  <w:r>
                    <w:rPr>
                      <w:rFonts w:ascii="Times New Roman" w:hAnsi="Times New Roman" w:eastAsia="宋体"/>
                      <w:color w:val="auto"/>
                      <w:szCs w:val="21"/>
                    </w:rPr>
                    <w:t>数量（台/套）</w:t>
                  </w:r>
                </w:p>
              </w:tc>
              <w:tc>
                <w:tcPr>
                  <w:tcW w:w="886" w:type="pct"/>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eastAsia="宋体"/>
                      <w:color w:val="auto"/>
                      <w:szCs w:val="21"/>
                    </w:rPr>
                  </w:pPr>
                  <w:r>
                    <w:rPr>
                      <w:rFonts w:ascii="Times New Roman" w:hAnsi="Times New Roman" w:eastAsia="宋体"/>
                      <w:color w:val="auto"/>
                      <w:szCs w:val="21"/>
                    </w:rPr>
                    <w:t>治理措施</w:t>
                  </w:r>
                </w:p>
              </w:tc>
            </w:tr>
            <w:tr>
              <w:tblPrEx>
                <w:tblCellMar>
                  <w:top w:w="0" w:type="dxa"/>
                  <w:left w:w="0" w:type="dxa"/>
                  <w:bottom w:w="0" w:type="dxa"/>
                  <w:right w:w="0" w:type="dxa"/>
                </w:tblCellMar>
              </w:tblPrEx>
              <w:trPr>
                <w:trHeight w:val="322" w:hRule="exact"/>
                <w:jc w:val="center"/>
              </w:trPr>
              <w:tc>
                <w:tcPr>
                  <w:tcW w:w="525" w:type="pct"/>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olor w:val="auto"/>
                      <w:szCs w:val="21"/>
                    </w:rPr>
                  </w:pPr>
                  <w:r>
                    <w:rPr>
                      <w:rFonts w:ascii="Times New Roman" w:hAnsi="Times New Roman" w:eastAsia="宋体"/>
                      <w:color w:val="auto"/>
                      <w:szCs w:val="21"/>
                    </w:rPr>
                    <w:t>1</w:t>
                  </w:r>
                </w:p>
              </w:tc>
              <w:tc>
                <w:tcPr>
                  <w:tcW w:w="1268"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rFonts w:hint="eastAsia" w:ascii="Times New Roman" w:hAnsi="Times New Roman" w:eastAsia="宋体"/>
                      <w:bCs/>
                      <w:color w:val="auto"/>
                      <w:szCs w:val="22"/>
                      <w:lang w:eastAsia="zh-CN"/>
                    </w:rPr>
                  </w:pPr>
                  <w:r>
                    <w:rPr>
                      <w:rFonts w:hint="eastAsia" w:ascii="Times New Roman" w:hAnsi="Times New Roman" w:eastAsia="宋体"/>
                      <w:color w:val="auto"/>
                      <w:szCs w:val="21"/>
                      <w:lang w:val="en-US" w:eastAsia="zh-CN"/>
                    </w:rPr>
                    <w:t>喷锌机</w:t>
                  </w:r>
                </w:p>
              </w:tc>
              <w:tc>
                <w:tcPr>
                  <w:tcW w:w="1057" w:type="pct"/>
                  <w:tcBorders>
                    <w:top w:val="single" w:color="000000" w:sz="4" w:space="0"/>
                    <w:left w:val="single" w:color="000000" w:sz="4" w:space="0"/>
                    <w:bottom w:val="single" w:color="000000" w:sz="4" w:space="0"/>
                    <w:right w:val="single" w:color="000000" w:sz="4" w:space="0"/>
                  </w:tcBorders>
                  <w:vAlign w:val="top"/>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rPr>
                    <w:t>70~8</w:t>
                  </w:r>
                  <w:r>
                    <w:rPr>
                      <w:rFonts w:hint="eastAsia" w:ascii="Times New Roman" w:hAnsi="Times New Roman" w:eastAsia="宋体"/>
                      <w:color w:val="auto"/>
                      <w:szCs w:val="21"/>
                      <w:lang w:val="en-US" w:eastAsia="zh-CN"/>
                    </w:rPr>
                    <w:t>5</w:t>
                  </w:r>
                </w:p>
              </w:tc>
              <w:tc>
                <w:tcPr>
                  <w:tcW w:w="1260"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rFonts w:ascii="Times New Roman" w:hAnsi="Times New Roman" w:eastAsia="宋体"/>
                      <w:color w:val="auto"/>
                      <w:szCs w:val="21"/>
                    </w:rPr>
                  </w:pPr>
                  <w:r>
                    <w:rPr>
                      <w:rFonts w:hint="eastAsia" w:ascii="Times New Roman" w:hAnsi="Times New Roman" w:eastAsia="宋体"/>
                      <w:color w:val="auto"/>
                      <w:szCs w:val="21"/>
                    </w:rPr>
                    <w:t>1</w:t>
                  </w:r>
                </w:p>
              </w:tc>
              <w:tc>
                <w:tcPr>
                  <w:tcW w:w="886" w:type="pct"/>
                  <w:vMerge w:val="restart"/>
                  <w:tcBorders>
                    <w:top w:val="single" w:color="000000" w:sz="4" w:space="0"/>
                    <w:left w:val="single" w:color="000000" w:sz="4" w:space="0"/>
                    <w:right w:val="single" w:color="auto" w:sz="4" w:space="0"/>
                  </w:tcBorders>
                  <w:vAlign w:val="center"/>
                </w:tcPr>
                <w:p>
                  <w:pPr>
                    <w:jc w:val="center"/>
                    <w:rPr>
                      <w:rFonts w:ascii="Times New Roman" w:hAnsi="Times New Roman" w:eastAsia="宋体"/>
                      <w:color w:val="auto"/>
                      <w:szCs w:val="21"/>
                    </w:rPr>
                  </w:pPr>
                  <w:r>
                    <w:rPr>
                      <w:rFonts w:ascii="Times New Roman" w:hAnsi="Times New Roman" w:eastAsia="宋体"/>
                      <w:color w:val="auto"/>
                      <w:szCs w:val="21"/>
                    </w:rPr>
                    <w:t>基础固定、减震、隔声</w:t>
                  </w:r>
                </w:p>
              </w:tc>
            </w:tr>
            <w:tr>
              <w:tblPrEx>
                <w:tblCellMar>
                  <w:top w:w="0" w:type="dxa"/>
                  <w:left w:w="0" w:type="dxa"/>
                  <w:bottom w:w="0" w:type="dxa"/>
                  <w:right w:w="0" w:type="dxa"/>
                </w:tblCellMar>
              </w:tblPrEx>
              <w:trPr>
                <w:trHeight w:val="322" w:hRule="exact"/>
                <w:jc w:val="center"/>
              </w:trPr>
              <w:tc>
                <w:tcPr>
                  <w:tcW w:w="525" w:type="pct"/>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olor w:val="auto"/>
                      <w:szCs w:val="21"/>
                    </w:rPr>
                  </w:pPr>
                  <w:r>
                    <w:rPr>
                      <w:rFonts w:ascii="Times New Roman" w:hAnsi="Times New Roman" w:eastAsia="宋体"/>
                      <w:color w:val="auto"/>
                      <w:szCs w:val="21"/>
                    </w:rPr>
                    <w:t>2</w:t>
                  </w:r>
                </w:p>
              </w:tc>
              <w:tc>
                <w:tcPr>
                  <w:tcW w:w="1268"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rFonts w:hint="eastAsia" w:ascii="Times New Roman" w:hAnsi="Times New Roman" w:eastAsia="宋体"/>
                      <w:bCs/>
                      <w:color w:val="auto"/>
                      <w:szCs w:val="22"/>
                      <w:lang w:val="en-US" w:eastAsia="zh-CN"/>
                    </w:rPr>
                  </w:pPr>
                  <w:r>
                    <w:rPr>
                      <w:rFonts w:hint="eastAsia" w:ascii="Times New Roman" w:hAnsi="Times New Roman" w:eastAsia="宋体"/>
                      <w:bCs/>
                      <w:color w:val="auto"/>
                      <w:szCs w:val="22"/>
                      <w:lang w:val="en-US" w:eastAsia="zh-CN"/>
                    </w:rPr>
                    <w:t>涂衬机</w:t>
                  </w:r>
                </w:p>
              </w:tc>
              <w:tc>
                <w:tcPr>
                  <w:tcW w:w="1057" w:type="pct"/>
                  <w:tcBorders>
                    <w:top w:val="single" w:color="000000" w:sz="4" w:space="0"/>
                    <w:left w:val="single" w:color="000000" w:sz="4" w:space="0"/>
                    <w:bottom w:val="single" w:color="000000" w:sz="4" w:space="0"/>
                    <w:right w:val="single" w:color="000000" w:sz="4" w:space="0"/>
                  </w:tcBorders>
                  <w:vAlign w:val="top"/>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85</w:t>
                  </w:r>
                  <w:r>
                    <w:rPr>
                      <w:rFonts w:ascii="Times New Roman" w:hAnsi="Times New Roman" w:eastAsia="宋体"/>
                      <w:color w:val="auto"/>
                      <w:szCs w:val="21"/>
                    </w:rPr>
                    <w:t>~</w:t>
                  </w:r>
                  <w:r>
                    <w:rPr>
                      <w:rFonts w:hint="eastAsia" w:ascii="Times New Roman" w:hAnsi="Times New Roman" w:eastAsia="宋体"/>
                      <w:color w:val="auto"/>
                      <w:szCs w:val="21"/>
                      <w:lang w:val="en-US" w:eastAsia="zh-CN"/>
                    </w:rPr>
                    <w:t>95</w:t>
                  </w:r>
                </w:p>
              </w:tc>
              <w:tc>
                <w:tcPr>
                  <w:tcW w:w="1260"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val="en-US" w:eastAsia="zh-CN"/>
                    </w:rPr>
                    <w:t>1</w:t>
                  </w:r>
                </w:p>
              </w:tc>
              <w:tc>
                <w:tcPr>
                  <w:tcW w:w="886" w:type="pct"/>
                  <w:vMerge w:val="continue"/>
                  <w:tcBorders>
                    <w:left w:val="single" w:color="000000" w:sz="4" w:space="0"/>
                    <w:right w:val="single" w:color="auto" w:sz="4" w:space="0"/>
                  </w:tcBorders>
                  <w:vAlign w:val="center"/>
                </w:tcPr>
                <w:p>
                  <w:pPr>
                    <w:jc w:val="center"/>
                    <w:rPr>
                      <w:rFonts w:ascii="Times New Roman" w:hAnsi="Times New Roman" w:eastAsia="宋体"/>
                      <w:color w:val="auto"/>
                      <w:szCs w:val="21"/>
                    </w:rPr>
                  </w:pPr>
                </w:p>
              </w:tc>
            </w:tr>
            <w:tr>
              <w:tblPrEx>
                <w:tblCellMar>
                  <w:top w:w="0" w:type="dxa"/>
                  <w:left w:w="0" w:type="dxa"/>
                  <w:bottom w:w="0" w:type="dxa"/>
                  <w:right w:w="0" w:type="dxa"/>
                </w:tblCellMar>
              </w:tblPrEx>
              <w:trPr>
                <w:trHeight w:val="322" w:hRule="exact"/>
                <w:jc w:val="center"/>
              </w:trPr>
              <w:tc>
                <w:tcPr>
                  <w:tcW w:w="525" w:type="pct"/>
                  <w:tcBorders>
                    <w:top w:val="single" w:color="000000" w:sz="4" w:space="0"/>
                    <w:left w:val="single" w:color="000000" w:sz="4" w:space="0"/>
                    <w:bottom w:val="single" w:color="000000" w:sz="4" w:space="0"/>
                    <w:right w:val="single" w:color="000000" w:sz="4" w:space="0"/>
                  </w:tcBorders>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3</w:t>
                  </w:r>
                </w:p>
              </w:tc>
              <w:tc>
                <w:tcPr>
                  <w:tcW w:w="1268"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rFonts w:hint="default" w:ascii="Times New Roman" w:hAnsi="Times New Roman" w:eastAsia="宋体"/>
                      <w:bCs/>
                      <w:color w:val="auto"/>
                      <w:szCs w:val="22"/>
                      <w:lang w:val="en-US" w:eastAsia="zh-CN"/>
                    </w:rPr>
                  </w:pPr>
                  <w:r>
                    <w:rPr>
                      <w:rFonts w:hint="eastAsia" w:ascii="Times New Roman" w:hAnsi="Times New Roman" w:eastAsia="宋体"/>
                      <w:bCs/>
                      <w:color w:val="auto"/>
                      <w:szCs w:val="22"/>
                      <w:lang w:val="en-US" w:eastAsia="zh-CN"/>
                    </w:rPr>
                    <w:t>水压机</w:t>
                  </w:r>
                </w:p>
              </w:tc>
              <w:tc>
                <w:tcPr>
                  <w:tcW w:w="1057" w:type="pct"/>
                  <w:tcBorders>
                    <w:top w:val="single" w:color="000000" w:sz="4" w:space="0"/>
                    <w:left w:val="single" w:color="000000" w:sz="4" w:space="0"/>
                    <w:bottom w:val="single" w:color="000000" w:sz="4" w:space="0"/>
                    <w:right w:val="single" w:color="000000" w:sz="4" w:space="0"/>
                  </w:tcBorders>
                  <w:vAlign w:val="top"/>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65~75</w:t>
                  </w:r>
                </w:p>
              </w:tc>
              <w:tc>
                <w:tcPr>
                  <w:tcW w:w="1260"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w:t>
                  </w:r>
                </w:p>
              </w:tc>
              <w:tc>
                <w:tcPr>
                  <w:tcW w:w="886" w:type="pct"/>
                  <w:vMerge w:val="continue"/>
                  <w:tcBorders>
                    <w:left w:val="single" w:color="000000" w:sz="4" w:space="0"/>
                    <w:right w:val="single" w:color="auto" w:sz="4" w:space="0"/>
                  </w:tcBorders>
                  <w:vAlign w:val="center"/>
                </w:tcPr>
                <w:p>
                  <w:pPr>
                    <w:jc w:val="center"/>
                    <w:rPr>
                      <w:rFonts w:ascii="Times New Roman" w:hAnsi="Times New Roman" w:eastAsia="宋体"/>
                      <w:color w:val="auto"/>
                      <w:szCs w:val="21"/>
                    </w:rPr>
                  </w:pPr>
                </w:p>
              </w:tc>
            </w:tr>
            <w:tr>
              <w:tblPrEx>
                <w:tblCellMar>
                  <w:top w:w="0" w:type="dxa"/>
                  <w:left w:w="0" w:type="dxa"/>
                  <w:bottom w:w="0" w:type="dxa"/>
                  <w:right w:w="0" w:type="dxa"/>
                </w:tblCellMar>
              </w:tblPrEx>
              <w:trPr>
                <w:trHeight w:val="322" w:hRule="exact"/>
                <w:jc w:val="center"/>
              </w:trPr>
              <w:tc>
                <w:tcPr>
                  <w:tcW w:w="525" w:type="pct"/>
                  <w:tcBorders>
                    <w:top w:val="single" w:color="000000" w:sz="4" w:space="0"/>
                    <w:left w:val="single" w:color="000000" w:sz="4" w:space="0"/>
                    <w:bottom w:val="single" w:color="000000" w:sz="4" w:space="0"/>
                    <w:right w:val="single" w:color="000000" w:sz="4" w:space="0"/>
                  </w:tcBorders>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4</w:t>
                  </w:r>
                </w:p>
              </w:tc>
              <w:tc>
                <w:tcPr>
                  <w:tcW w:w="1268"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rFonts w:hint="default" w:ascii="Times New Roman" w:hAnsi="Times New Roman" w:eastAsia="宋体"/>
                      <w:bCs/>
                      <w:color w:val="auto"/>
                      <w:szCs w:val="22"/>
                      <w:lang w:val="en-US" w:eastAsia="zh-CN"/>
                    </w:rPr>
                  </w:pPr>
                  <w:r>
                    <w:rPr>
                      <w:rFonts w:hint="eastAsia" w:ascii="Times New Roman" w:hAnsi="Times New Roman" w:eastAsia="宋体"/>
                      <w:bCs/>
                      <w:color w:val="auto"/>
                      <w:szCs w:val="22"/>
                      <w:lang w:val="en-US" w:eastAsia="zh-CN"/>
                    </w:rPr>
                    <w:t>内磨机</w:t>
                  </w:r>
                </w:p>
              </w:tc>
              <w:tc>
                <w:tcPr>
                  <w:tcW w:w="1057" w:type="pct"/>
                  <w:tcBorders>
                    <w:top w:val="single" w:color="000000" w:sz="4" w:space="0"/>
                    <w:left w:val="single" w:color="000000" w:sz="4" w:space="0"/>
                    <w:bottom w:val="single" w:color="000000" w:sz="4" w:space="0"/>
                    <w:right w:val="single" w:color="000000" w:sz="4" w:space="0"/>
                  </w:tcBorders>
                  <w:vAlign w:val="top"/>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80</w:t>
                  </w:r>
                  <w:r>
                    <w:rPr>
                      <w:rFonts w:hint="eastAsia" w:ascii="Times New Roman" w:hAnsi="Times New Roman" w:eastAsia="宋体"/>
                      <w:color w:val="auto"/>
                      <w:szCs w:val="21"/>
                    </w:rPr>
                    <w:t>~</w:t>
                  </w:r>
                  <w:r>
                    <w:rPr>
                      <w:rFonts w:hint="eastAsia" w:ascii="Times New Roman" w:hAnsi="Times New Roman" w:eastAsia="宋体"/>
                      <w:color w:val="auto"/>
                      <w:szCs w:val="21"/>
                      <w:lang w:val="en-US" w:eastAsia="zh-CN"/>
                    </w:rPr>
                    <w:t>90</w:t>
                  </w:r>
                </w:p>
              </w:tc>
              <w:tc>
                <w:tcPr>
                  <w:tcW w:w="1260"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w:t>
                  </w:r>
                </w:p>
              </w:tc>
              <w:tc>
                <w:tcPr>
                  <w:tcW w:w="886" w:type="pct"/>
                  <w:vMerge w:val="continue"/>
                  <w:tcBorders>
                    <w:left w:val="single" w:color="000000" w:sz="4" w:space="0"/>
                    <w:bottom w:val="single" w:color="auto" w:sz="4" w:space="0"/>
                    <w:right w:val="single" w:color="auto" w:sz="4" w:space="0"/>
                  </w:tcBorders>
                  <w:vAlign w:val="center"/>
                </w:tcPr>
                <w:p>
                  <w:pPr>
                    <w:jc w:val="center"/>
                    <w:rPr>
                      <w:rFonts w:ascii="Times New Roman" w:hAnsi="Times New Roman" w:eastAsia="宋体"/>
                      <w:color w:val="auto"/>
                      <w:szCs w:val="21"/>
                    </w:rPr>
                  </w:pPr>
                </w:p>
              </w:tc>
            </w:tr>
          </w:tbl>
          <w:p>
            <w:pPr>
              <w:spacing w:line="360" w:lineRule="auto"/>
              <w:ind w:firstLine="482" w:firstLineChars="200"/>
              <w:rPr>
                <w:rFonts w:ascii="Times New Roman" w:hAnsi="Times New Roman" w:eastAsia="宋体"/>
                <w:b/>
                <w:bCs/>
                <w:color w:val="auto"/>
                <w:sz w:val="24"/>
                <w:szCs w:val="24"/>
              </w:rPr>
            </w:pPr>
            <w:r>
              <w:rPr>
                <w:rFonts w:ascii="Times New Roman" w:hAnsi="Times New Roman" w:eastAsia="宋体"/>
                <w:b/>
                <w:bCs/>
                <w:color w:val="auto"/>
                <w:sz w:val="24"/>
                <w:szCs w:val="24"/>
              </w:rPr>
              <w:t>4、固体废物</w:t>
            </w:r>
          </w:p>
          <w:p>
            <w:pPr>
              <w:spacing w:line="460" w:lineRule="exact"/>
              <w:jc w:val="center"/>
              <w:rPr>
                <w:rFonts w:ascii="Times New Roman" w:hAnsi="Times New Roman" w:eastAsia="宋体"/>
                <w:color w:val="000000"/>
                <w:sz w:val="24"/>
              </w:rPr>
            </w:pPr>
            <w:r>
              <w:rPr>
                <w:rFonts w:hint="eastAsia" w:ascii="Times New Roman" w:hAnsi="Times New Roman" w:eastAsia="宋体"/>
                <w:b/>
                <w:bCs/>
                <w:color w:val="000000"/>
                <w:sz w:val="24"/>
              </w:rPr>
              <w:t>表</w:t>
            </w:r>
            <w:r>
              <w:rPr>
                <w:rFonts w:hint="eastAsia" w:ascii="Times New Roman" w:hAnsi="Times New Roman" w:eastAsia="宋体"/>
                <w:b/>
                <w:bCs/>
                <w:color w:val="000000"/>
                <w:sz w:val="24"/>
                <w:lang w:val="en-US" w:eastAsia="zh-CN"/>
              </w:rPr>
              <w:t>5-</w:t>
            </w:r>
            <w:r>
              <w:rPr>
                <w:rFonts w:hint="eastAsia" w:ascii="Times New Roman" w:hAnsi="Times New Roman" w:eastAsia="宋体"/>
                <w:b/>
                <w:bCs/>
                <w:color w:val="000000"/>
                <w:sz w:val="24"/>
              </w:rPr>
              <w:t>5    固体废物源强及其处理处置情况</w:t>
            </w:r>
          </w:p>
          <w:tbl>
            <w:tblPr>
              <w:tblStyle w:val="22"/>
              <w:tblW w:w="95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8"/>
              <w:gridCol w:w="1574"/>
              <w:gridCol w:w="1701"/>
              <w:gridCol w:w="709"/>
              <w:gridCol w:w="992"/>
              <w:gridCol w:w="992"/>
              <w:gridCol w:w="2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序号</w:t>
                  </w:r>
                </w:p>
              </w:tc>
              <w:tc>
                <w:tcPr>
                  <w:tcW w:w="1574" w:type="dxa"/>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固废名称</w:t>
                  </w:r>
                </w:p>
              </w:tc>
              <w:tc>
                <w:tcPr>
                  <w:tcW w:w="1701" w:type="dxa"/>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分类</w:t>
                  </w:r>
                </w:p>
              </w:tc>
              <w:tc>
                <w:tcPr>
                  <w:tcW w:w="709" w:type="dxa"/>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性状</w:t>
                  </w:r>
                </w:p>
              </w:tc>
              <w:tc>
                <w:tcPr>
                  <w:tcW w:w="992" w:type="dxa"/>
                  <w:noWrap w:val="0"/>
                  <w:vAlign w:val="top"/>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产生量</w:t>
                  </w:r>
                  <w:r>
                    <w:rPr>
                      <w:rFonts w:ascii="Times New Roman" w:hAnsi="Times New Roman" w:eastAsia="宋体"/>
                      <w:color w:val="000000" w:themeColor="text1"/>
                      <w:szCs w:val="21"/>
                      <w14:textFill>
                        <w14:solidFill>
                          <w14:schemeClr w14:val="tx1"/>
                        </w14:solidFill>
                      </w14:textFill>
                    </w:rPr>
                    <w:t>t/a</w:t>
                  </w:r>
                </w:p>
              </w:tc>
              <w:tc>
                <w:tcPr>
                  <w:tcW w:w="992" w:type="dxa"/>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处置量</w:t>
                  </w:r>
                  <w:r>
                    <w:rPr>
                      <w:rFonts w:ascii="Times New Roman" w:hAnsi="Times New Roman" w:eastAsia="宋体"/>
                      <w:color w:val="000000" w:themeColor="text1"/>
                      <w:szCs w:val="21"/>
                      <w14:textFill>
                        <w14:solidFill>
                          <w14:schemeClr w14:val="tx1"/>
                        </w14:solidFill>
                      </w14:textFill>
                    </w:rPr>
                    <w:t>t/a</w:t>
                  </w:r>
                </w:p>
              </w:tc>
              <w:tc>
                <w:tcPr>
                  <w:tcW w:w="2938" w:type="dxa"/>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处理或处置方式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1</w:t>
                  </w:r>
                </w:p>
              </w:tc>
              <w:tc>
                <w:tcPr>
                  <w:tcW w:w="1574" w:type="dxa"/>
                  <w:noWrap w:val="0"/>
                  <w:vAlign w:val="center"/>
                </w:tcPr>
                <w:p>
                  <w:pPr>
                    <w:jc w:val="center"/>
                    <w:rPr>
                      <w:rFonts w:hint="eastAsia"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不合格</w:t>
                  </w:r>
                  <w:r>
                    <w:rPr>
                      <w:rFonts w:hint="eastAsia" w:ascii="Times New Roman" w:hAnsi="Times New Roman" w:eastAsia="宋体"/>
                      <w:color w:val="000000" w:themeColor="text1"/>
                      <w:szCs w:val="21"/>
                      <w:lang w:val="en-US" w:eastAsia="zh-CN"/>
                      <w14:textFill>
                        <w14:solidFill>
                          <w14:schemeClr w14:val="tx1"/>
                        </w14:solidFill>
                      </w14:textFill>
                    </w:rPr>
                    <w:t>铸</w:t>
                  </w:r>
                  <w:r>
                    <w:rPr>
                      <w:rFonts w:hint="eastAsia" w:ascii="Times New Roman" w:hAnsi="Times New Roman" w:eastAsia="宋体"/>
                      <w:color w:val="000000" w:themeColor="text1"/>
                      <w:szCs w:val="21"/>
                      <w14:textFill>
                        <w14:solidFill>
                          <w14:schemeClr w14:val="tx1"/>
                        </w14:solidFill>
                      </w14:textFill>
                    </w:rPr>
                    <w:t>管</w:t>
                  </w:r>
                </w:p>
              </w:tc>
              <w:tc>
                <w:tcPr>
                  <w:tcW w:w="1701" w:type="dxa"/>
                  <w:noWrap w:val="0"/>
                  <w:vAlign w:val="center"/>
                </w:tcPr>
                <w:p>
                  <w:pPr>
                    <w:jc w:val="center"/>
                    <w:rPr>
                      <w:rFonts w:hint="eastAsia"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一般固废</w:t>
                  </w:r>
                </w:p>
              </w:tc>
              <w:tc>
                <w:tcPr>
                  <w:tcW w:w="709" w:type="dxa"/>
                  <w:noWrap w:val="0"/>
                  <w:vAlign w:val="center"/>
                </w:tcPr>
                <w:p>
                  <w:pPr>
                    <w:jc w:val="center"/>
                    <w:rPr>
                      <w:rFonts w:hint="eastAsia"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固态</w:t>
                  </w:r>
                </w:p>
              </w:tc>
              <w:tc>
                <w:tcPr>
                  <w:tcW w:w="992" w:type="dxa"/>
                  <w:noWrap w:val="0"/>
                  <w:vAlign w:val="top"/>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810</w:t>
                  </w:r>
                </w:p>
              </w:tc>
              <w:tc>
                <w:tcPr>
                  <w:tcW w:w="992" w:type="dxa"/>
                  <w:noWrap w:val="0"/>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810</w:t>
                  </w:r>
                </w:p>
              </w:tc>
              <w:tc>
                <w:tcPr>
                  <w:tcW w:w="2938" w:type="dxa"/>
                  <w:noWrap w:val="0"/>
                  <w:vAlign w:val="center"/>
                </w:tcPr>
                <w:p>
                  <w:pPr>
                    <w:jc w:val="center"/>
                    <w:rPr>
                      <w:rFonts w:hint="eastAsia"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回炉熔炼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2</w:t>
                  </w:r>
                </w:p>
              </w:tc>
              <w:tc>
                <w:tcPr>
                  <w:tcW w:w="1574" w:type="dxa"/>
                  <w:noWrap w:val="0"/>
                  <w:vAlign w:val="center"/>
                </w:tcPr>
                <w:p>
                  <w:pPr>
                    <w:jc w:val="center"/>
                    <w:rPr>
                      <w:rFonts w:hint="eastAsia"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铸管边角料</w:t>
                  </w:r>
                </w:p>
              </w:tc>
              <w:tc>
                <w:tcPr>
                  <w:tcW w:w="1701" w:type="dxa"/>
                  <w:noWrap w:val="0"/>
                  <w:vAlign w:val="center"/>
                </w:tcPr>
                <w:p>
                  <w:pPr>
                    <w:jc w:val="center"/>
                    <w:rPr>
                      <w:rFonts w:hint="eastAsia"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一般固废</w:t>
                  </w:r>
                </w:p>
              </w:tc>
              <w:tc>
                <w:tcPr>
                  <w:tcW w:w="709" w:type="dxa"/>
                  <w:noWrap w:val="0"/>
                  <w:vAlign w:val="center"/>
                </w:tcPr>
                <w:p>
                  <w:pPr>
                    <w:jc w:val="center"/>
                    <w:rPr>
                      <w:rFonts w:hint="eastAsia"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固态</w:t>
                  </w:r>
                </w:p>
              </w:tc>
              <w:tc>
                <w:tcPr>
                  <w:tcW w:w="992" w:type="dxa"/>
                  <w:noWrap w:val="0"/>
                  <w:vAlign w:val="top"/>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270</w:t>
                  </w:r>
                </w:p>
              </w:tc>
              <w:tc>
                <w:tcPr>
                  <w:tcW w:w="992" w:type="dxa"/>
                  <w:noWrap w:val="0"/>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270</w:t>
                  </w:r>
                </w:p>
              </w:tc>
              <w:tc>
                <w:tcPr>
                  <w:tcW w:w="2938" w:type="dxa"/>
                  <w:noWrap w:val="0"/>
                  <w:vAlign w:val="center"/>
                </w:tcPr>
                <w:p>
                  <w:pPr>
                    <w:jc w:val="center"/>
                    <w:rPr>
                      <w:rFonts w:hint="eastAsia"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回炉熔炼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3</w:t>
                  </w:r>
                </w:p>
              </w:tc>
              <w:tc>
                <w:tcPr>
                  <w:tcW w:w="1574" w:type="dxa"/>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铁屑</w:t>
                  </w:r>
                </w:p>
              </w:tc>
              <w:tc>
                <w:tcPr>
                  <w:tcW w:w="1701" w:type="dxa"/>
                  <w:noWrap w:val="0"/>
                  <w:vAlign w:val="top"/>
                </w:tcPr>
                <w:p>
                  <w:pPr>
                    <w:jc w:val="center"/>
                    <w:rPr>
                      <w:rFonts w:ascii="Times New Roman" w:hAnsi="Times New Roman" w:eastAsia="宋体"/>
                      <w:color w:val="000000" w:themeColor="text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一般固废</w:t>
                  </w:r>
                </w:p>
              </w:tc>
              <w:tc>
                <w:tcPr>
                  <w:tcW w:w="709" w:type="dxa"/>
                  <w:noWrap w:val="0"/>
                  <w:vAlign w:val="top"/>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固态</w:t>
                  </w:r>
                </w:p>
              </w:tc>
              <w:tc>
                <w:tcPr>
                  <w:tcW w:w="992" w:type="dxa"/>
                  <w:noWrap w:val="0"/>
                  <w:vAlign w:val="top"/>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1041</w:t>
                  </w:r>
                </w:p>
              </w:tc>
              <w:tc>
                <w:tcPr>
                  <w:tcW w:w="992" w:type="dxa"/>
                  <w:noWrap w:val="0"/>
                  <w:vAlign w:val="top"/>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1041</w:t>
                  </w:r>
                </w:p>
              </w:tc>
              <w:tc>
                <w:tcPr>
                  <w:tcW w:w="2938" w:type="dxa"/>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作高炉炼铁原料使用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shd w:val="clear" w:color="auto" w:fill="auto"/>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4</w:t>
                  </w:r>
                </w:p>
              </w:tc>
              <w:tc>
                <w:tcPr>
                  <w:tcW w:w="1574" w:type="dxa"/>
                  <w:shd w:val="clear" w:color="auto" w:fill="auto"/>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含铁除尘灰</w:t>
                  </w:r>
                </w:p>
              </w:tc>
              <w:tc>
                <w:tcPr>
                  <w:tcW w:w="1701" w:type="dxa"/>
                  <w:shd w:val="clear" w:color="auto" w:fill="auto"/>
                  <w:noWrap w:val="0"/>
                  <w:vAlign w:val="top"/>
                </w:tcPr>
                <w:p>
                  <w:pPr>
                    <w:jc w:val="center"/>
                    <w:rPr>
                      <w:rFonts w:ascii="Times New Roman" w:hAnsi="Times New Roman" w:eastAsia="宋体"/>
                      <w:color w:val="000000" w:themeColor="text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一般固废</w:t>
                  </w:r>
                </w:p>
              </w:tc>
              <w:tc>
                <w:tcPr>
                  <w:tcW w:w="709" w:type="dxa"/>
                  <w:shd w:val="clear" w:color="auto" w:fill="auto"/>
                  <w:noWrap w:val="0"/>
                  <w:vAlign w:val="top"/>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固态</w:t>
                  </w:r>
                </w:p>
              </w:tc>
              <w:tc>
                <w:tcPr>
                  <w:tcW w:w="992" w:type="dxa"/>
                  <w:shd w:val="clear" w:color="auto" w:fill="auto"/>
                  <w:noWrap w:val="0"/>
                  <w:vAlign w:val="top"/>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579.1</w:t>
                  </w:r>
                </w:p>
              </w:tc>
              <w:tc>
                <w:tcPr>
                  <w:tcW w:w="992" w:type="dxa"/>
                  <w:shd w:val="clear" w:color="auto" w:fill="auto"/>
                  <w:noWrap w:val="0"/>
                  <w:vAlign w:val="top"/>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579.1</w:t>
                  </w:r>
                </w:p>
              </w:tc>
              <w:tc>
                <w:tcPr>
                  <w:tcW w:w="2938" w:type="dxa"/>
                  <w:shd w:val="clear" w:color="auto" w:fill="auto"/>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作烧结原料使用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shd w:val="clear" w:color="auto" w:fill="auto"/>
                  <w:noWrap w:val="0"/>
                  <w:vAlign w:val="center"/>
                </w:tcPr>
                <w:p>
                  <w:pPr>
                    <w:jc w:val="center"/>
                    <w:rPr>
                      <w:rFonts w:hint="eastAsia"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5</w:t>
                  </w:r>
                </w:p>
              </w:tc>
              <w:tc>
                <w:tcPr>
                  <w:tcW w:w="1574" w:type="dxa"/>
                  <w:shd w:val="clear" w:color="auto" w:fill="auto"/>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喷锌除尘灰</w:t>
                  </w:r>
                </w:p>
              </w:tc>
              <w:tc>
                <w:tcPr>
                  <w:tcW w:w="1701" w:type="dxa"/>
                  <w:shd w:val="clear" w:color="auto" w:fill="auto"/>
                  <w:noWrap w:val="0"/>
                  <w:vAlign w:val="top"/>
                </w:tcPr>
                <w:p>
                  <w:pPr>
                    <w:jc w:val="center"/>
                    <w:rPr>
                      <w:rFonts w:ascii="Times New Roman" w:hAnsi="Times New Roman" w:eastAsia="宋体"/>
                      <w:color w:val="000000" w:themeColor="text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危废</w:t>
                  </w:r>
                  <w:r>
                    <w:rPr>
                      <w:rFonts w:ascii="Times New Roman" w:hAnsi="Times New Roman" w:eastAsia="宋体"/>
                      <w:color w:val="000000" w:themeColor="text1"/>
                      <w:szCs w:val="21"/>
                      <w14:textFill>
                        <w14:solidFill>
                          <w14:schemeClr w14:val="tx1"/>
                        </w14:solidFill>
                      </w14:textFill>
                    </w:rPr>
                    <w:t>HW23</w:t>
                  </w:r>
                </w:p>
              </w:tc>
              <w:tc>
                <w:tcPr>
                  <w:tcW w:w="709" w:type="dxa"/>
                  <w:shd w:val="clear" w:color="auto" w:fill="auto"/>
                  <w:noWrap w:val="0"/>
                  <w:vAlign w:val="top"/>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固态</w:t>
                  </w:r>
                </w:p>
              </w:tc>
              <w:tc>
                <w:tcPr>
                  <w:tcW w:w="992" w:type="dxa"/>
                  <w:shd w:val="clear" w:color="auto" w:fill="auto"/>
                  <w:noWrap w:val="0"/>
                  <w:vAlign w:val="top"/>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6.83</w:t>
                  </w:r>
                </w:p>
              </w:tc>
              <w:tc>
                <w:tcPr>
                  <w:tcW w:w="992" w:type="dxa"/>
                  <w:shd w:val="clear" w:color="auto" w:fill="auto"/>
                  <w:noWrap w:val="0"/>
                  <w:vAlign w:val="top"/>
                </w:tcPr>
                <w:p>
                  <w:pPr>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6.83</w:t>
                  </w:r>
                </w:p>
              </w:tc>
              <w:tc>
                <w:tcPr>
                  <w:tcW w:w="2938" w:type="dxa"/>
                  <w:shd w:val="clear" w:color="auto" w:fill="auto"/>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交有资质单位处置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shd w:val="clear" w:color="auto" w:fill="auto"/>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6</w:t>
                  </w:r>
                </w:p>
              </w:tc>
              <w:tc>
                <w:tcPr>
                  <w:tcW w:w="1574" w:type="dxa"/>
                  <w:shd w:val="clear" w:color="auto" w:fill="auto"/>
                  <w:noWrap w:val="0"/>
                  <w:vAlign w:val="center"/>
                </w:tcPr>
                <w:p>
                  <w:pPr>
                    <w:jc w:val="center"/>
                    <w:rPr>
                      <w:rFonts w:hint="eastAsia"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涂料渣</w:t>
                  </w:r>
                </w:p>
              </w:tc>
              <w:tc>
                <w:tcPr>
                  <w:tcW w:w="1701" w:type="dxa"/>
                  <w:shd w:val="clear" w:color="auto" w:fill="auto"/>
                  <w:noWrap w:val="0"/>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危废HW</w:t>
                  </w:r>
                  <w:r>
                    <w:rPr>
                      <w:rFonts w:hint="eastAsia" w:ascii="Times New Roman" w:hAnsi="Times New Roman" w:eastAsia="宋体"/>
                      <w:color w:val="000000" w:themeColor="text1"/>
                      <w:szCs w:val="21"/>
                      <w:lang w:val="en-US" w:eastAsia="zh-CN"/>
                      <w14:textFill>
                        <w14:solidFill>
                          <w14:schemeClr w14:val="tx1"/>
                        </w14:solidFill>
                      </w14:textFill>
                    </w:rPr>
                    <w:t>12</w:t>
                  </w:r>
                </w:p>
              </w:tc>
              <w:tc>
                <w:tcPr>
                  <w:tcW w:w="709" w:type="dxa"/>
                  <w:shd w:val="clear" w:color="auto" w:fill="auto"/>
                  <w:noWrap w:val="0"/>
                  <w:vAlign w:val="center"/>
                </w:tcPr>
                <w:p>
                  <w:pPr>
                    <w:jc w:val="center"/>
                    <w:rPr>
                      <w:rFonts w:hint="eastAsia"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固态</w:t>
                  </w:r>
                </w:p>
              </w:tc>
              <w:tc>
                <w:tcPr>
                  <w:tcW w:w="992" w:type="dxa"/>
                  <w:shd w:val="clear" w:color="auto" w:fill="auto"/>
                  <w:noWrap w:val="0"/>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50.4</w:t>
                  </w:r>
                </w:p>
              </w:tc>
              <w:tc>
                <w:tcPr>
                  <w:tcW w:w="992" w:type="dxa"/>
                  <w:shd w:val="clear" w:color="auto" w:fill="auto"/>
                  <w:noWrap w:val="0"/>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50.4</w:t>
                  </w:r>
                </w:p>
              </w:tc>
              <w:tc>
                <w:tcPr>
                  <w:tcW w:w="2938" w:type="dxa"/>
                  <w:shd w:val="clear" w:color="auto" w:fill="auto"/>
                  <w:noWrap w:val="0"/>
                  <w:vAlign w:val="center"/>
                </w:tcPr>
                <w:p>
                  <w:pPr>
                    <w:jc w:val="center"/>
                    <w:rPr>
                      <w:rFonts w:hint="eastAsia"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铝粉漆渣作腻子使用、其它漆渣交危废处置单位处置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shd w:val="clear" w:color="auto" w:fill="auto"/>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7</w:t>
                  </w:r>
                </w:p>
              </w:tc>
              <w:tc>
                <w:tcPr>
                  <w:tcW w:w="1574" w:type="dxa"/>
                  <w:shd w:val="clear" w:color="auto" w:fill="auto"/>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废油漆桶</w:t>
                  </w:r>
                </w:p>
              </w:tc>
              <w:tc>
                <w:tcPr>
                  <w:tcW w:w="1701" w:type="dxa"/>
                  <w:shd w:val="clear" w:color="auto" w:fill="auto"/>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危废HW49</w:t>
                  </w:r>
                </w:p>
              </w:tc>
              <w:tc>
                <w:tcPr>
                  <w:tcW w:w="709" w:type="dxa"/>
                  <w:shd w:val="clear" w:color="auto" w:fill="auto"/>
                  <w:noWrap w:val="0"/>
                  <w:vAlign w:val="top"/>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固态</w:t>
                  </w:r>
                </w:p>
              </w:tc>
              <w:tc>
                <w:tcPr>
                  <w:tcW w:w="992" w:type="dxa"/>
                  <w:shd w:val="clear" w:color="auto" w:fill="auto"/>
                  <w:noWrap w:val="0"/>
                  <w:vAlign w:val="top"/>
                </w:tcPr>
                <w:p>
                  <w:pPr>
                    <w:jc w:val="center"/>
                    <w:rPr>
                      <w:rFonts w:hint="eastAsia" w:ascii="Times New Roman" w:hAnsi="Times New Roman" w:eastAsia="宋体"/>
                      <w:color w:val="000000" w:themeColor="text1"/>
                      <w:szCs w:val="21"/>
                      <w:lang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3</w:t>
                  </w:r>
                </w:p>
              </w:tc>
              <w:tc>
                <w:tcPr>
                  <w:tcW w:w="992" w:type="dxa"/>
                  <w:shd w:val="clear" w:color="auto" w:fill="auto"/>
                  <w:noWrap w:val="0"/>
                  <w:vAlign w:val="top"/>
                </w:tcPr>
                <w:p>
                  <w:pPr>
                    <w:jc w:val="center"/>
                    <w:rPr>
                      <w:rFonts w:hint="eastAsia" w:ascii="Times New Roman" w:hAnsi="Times New Roman" w:eastAsia="宋体"/>
                      <w:color w:val="000000" w:themeColor="text1"/>
                      <w:szCs w:val="21"/>
                      <w:lang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3</w:t>
                  </w:r>
                </w:p>
              </w:tc>
              <w:tc>
                <w:tcPr>
                  <w:tcW w:w="2938" w:type="dxa"/>
                  <w:shd w:val="clear" w:color="auto" w:fill="auto"/>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交有资质单位处置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shd w:val="clear" w:color="auto" w:fill="auto"/>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8</w:t>
                  </w:r>
                </w:p>
              </w:tc>
              <w:tc>
                <w:tcPr>
                  <w:tcW w:w="1574" w:type="dxa"/>
                  <w:shd w:val="clear" w:color="auto" w:fill="auto"/>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废活性炭</w:t>
                  </w:r>
                </w:p>
              </w:tc>
              <w:tc>
                <w:tcPr>
                  <w:tcW w:w="1701" w:type="dxa"/>
                  <w:shd w:val="clear" w:color="auto" w:fill="auto"/>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危废HW49</w:t>
                  </w:r>
                </w:p>
              </w:tc>
              <w:tc>
                <w:tcPr>
                  <w:tcW w:w="709" w:type="dxa"/>
                  <w:shd w:val="clear" w:color="auto" w:fill="auto"/>
                  <w:noWrap w:val="0"/>
                  <w:vAlign w:val="top"/>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固态</w:t>
                  </w:r>
                </w:p>
              </w:tc>
              <w:tc>
                <w:tcPr>
                  <w:tcW w:w="992" w:type="dxa"/>
                  <w:shd w:val="clear" w:color="auto" w:fill="auto"/>
                  <w:noWrap w:val="0"/>
                  <w:vAlign w:val="top"/>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56.8</w:t>
                  </w:r>
                </w:p>
              </w:tc>
              <w:tc>
                <w:tcPr>
                  <w:tcW w:w="992" w:type="dxa"/>
                  <w:shd w:val="clear" w:color="auto" w:fill="auto"/>
                  <w:noWrap w:val="0"/>
                  <w:vAlign w:val="top"/>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56.8</w:t>
                  </w:r>
                </w:p>
              </w:tc>
              <w:tc>
                <w:tcPr>
                  <w:tcW w:w="2938" w:type="dxa"/>
                  <w:shd w:val="clear" w:color="auto" w:fill="auto"/>
                  <w:noWrap w:val="0"/>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作炼铁燃料使用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58" w:type="dxa"/>
                  <w:shd w:val="clear" w:color="auto" w:fill="auto"/>
                  <w:noWrap w:val="0"/>
                  <w:vAlign w:val="center"/>
                </w:tcPr>
                <w:p>
                  <w:pPr>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9</w:t>
                  </w:r>
                </w:p>
              </w:tc>
              <w:tc>
                <w:tcPr>
                  <w:tcW w:w="1574" w:type="dxa"/>
                  <w:shd w:val="clear" w:color="auto" w:fill="auto"/>
                  <w:noWrap w:val="0"/>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生活垃圾</w:t>
                  </w:r>
                </w:p>
              </w:tc>
              <w:tc>
                <w:tcPr>
                  <w:tcW w:w="1701" w:type="dxa"/>
                  <w:shd w:val="clear" w:color="auto" w:fill="auto"/>
                  <w:noWrap w:val="0"/>
                  <w:vAlign w:val="center"/>
                </w:tcPr>
                <w:p>
                  <w:pPr>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一般固废</w:t>
                  </w:r>
                </w:p>
              </w:tc>
              <w:tc>
                <w:tcPr>
                  <w:tcW w:w="709" w:type="dxa"/>
                  <w:shd w:val="clear" w:color="auto" w:fill="auto"/>
                  <w:noWrap w:val="0"/>
                  <w:vAlign w:val="top"/>
                </w:tcPr>
                <w:p>
                  <w:pPr>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固态</w:t>
                  </w:r>
                </w:p>
              </w:tc>
              <w:tc>
                <w:tcPr>
                  <w:tcW w:w="992" w:type="dxa"/>
                  <w:shd w:val="clear" w:color="auto" w:fill="auto"/>
                  <w:noWrap w:val="0"/>
                  <w:vAlign w:val="top"/>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3.285</w:t>
                  </w:r>
                </w:p>
              </w:tc>
              <w:tc>
                <w:tcPr>
                  <w:tcW w:w="992" w:type="dxa"/>
                  <w:shd w:val="clear" w:color="auto" w:fill="auto"/>
                  <w:noWrap w:val="0"/>
                  <w:vAlign w:val="top"/>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3.285</w:t>
                  </w:r>
                </w:p>
              </w:tc>
              <w:tc>
                <w:tcPr>
                  <w:tcW w:w="2938" w:type="dxa"/>
                  <w:shd w:val="clear" w:color="auto" w:fill="auto"/>
                  <w:noWrap w:val="0"/>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环卫清运</w:t>
                  </w:r>
                </w:p>
              </w:tc>
            </w:tr>
          </w:tbl>
          <w:p>
            <w:pPr>
              <w:pStyle w:val="10"/>
              <w:spacing w:line="360" w:lineRule="auto"/>
              <w:ind w:firstLine="482" w:firstLineChars="200"/>
              <w:rPr>
                <w:rFonts w:ascii="Times New Roman" w:hAnsi="Times New Roman" w:eastAsia="宋体"/>
                <w:b/>
                <w:bCs/>
                <w:color w:val="auto"/>
                <w:sz w:val="24"/>
              </w:rPr>
            </w:pPr>
            <w:r>
              <w:rPr>
                <w:rFonts w:ascii="Times New Roman" w:hAnsi="Times New Roman" w:eastAsia="宋体"/>
                <w:b/>
                <w:bCs/>
                <w:color w:val="auto"/>
                <w:sz w:val="24"/>
              </w:rPr>
              <w:t>5、项目</w:t>
            </w:r>
            <w:r>
              <w:rPr>
                <w:rFonts w:hint="eastAsia" w:ascii="Times New Roman" w:hAnsi="Times New Roman" w:eastAsia="宋体"/>
                <w:b/>
                <w:bCs/>
                <w:color w:val="auto"/>
                <w:sz w:val="24"/>
              </w:rPr>
              <w:t>技改</w:t>
            </w:r>
            <w:r>
              <w:rPr>
                <w:rFonts w:ascii="Times New Roman" w:hAnsi="Times New Roman" w:eastAsia="宋体"/>
                <w:b/>
                <w:bCs/>
                <w:color w:val="auto"/>
                <w:sz w:val="24"/>
              </w:rPr>
              <w:t>前后污染物排放情况</w:t>
            </w:r>
          </w:p>
          <w:p>
            <w:pPr>
              <w:widowControl/>
              <w:spacing w:line="360" w:lineRule="auto"/>
              <w:jc w:val="center"/>
              <w:rPr>
                <w:rFonts w:ascii="Times New Roman" w:hAnsi="Times New Roman" w:eastAsia="宋体"/>
                <w:b/>
                <w:color w:val="auto"/>
                <w:sz w:val="24"/>
                <w:szCs w:val="24"/>
              </w:rPr>
            </w:pPr>
            <w:r>
              <w:rPr>
                <w:rFonts w:ascii="Times New Roman" w:hAnsi="Times New Roman" w:eastAsia="宋体"/>
                <w:b/>
                <w:bCs/>
                <w:color w:val="auto"/>
                <w:sz w:val="24"/>
                <w:szCs w:val="22"/>
              </w:rPr>
              <w:t>表5-</w:t>
            </w:r>
            <w:r>
              <w:rPr>
                <w:rFonts w:hint="eastAsia" w:ascii="Times New Roman" w:hAnsi="Times New Roman" w:eastAsia="宋体"/>
                <w:b/>
                <w:bCs/>
                <w:color w:val="auto"/>
                <w:sz w:val="24"/>
                <w:szCs w:val="22"/>
                <w:lang w:val="en-US" w:eastAsia="zh-CN"/>
              </w:rPr>
              <w:t>6</w:t>
            </w:r>
            <w:r>
              <w:rPr>
                <w:rFonts w:ascii="Times New Roman" w:hAnsi="Times New Roman" w:eastAsia="宋体"/>
                <w:b/>
                <w:bCs/>
                <w:color w:val="auto"/>
                <w:sz w:val="24"/>
                <w:szCs w:val="22"/>
              </w:rPr>
              <w:t xml:space="preserve"> 项目</w:t>
            </w:r>
            <w:r>
              <w:rPr>
                <w:rFonts w:hint="eastAsia" w:ascii="Times New Roman" w:hAnsi="Times New Roman" w:eastAsia="宋体"/>
                <w:b/>
                <w:bCs/>
                <w:color w:val="auto"/>
                <w:sz w:val="24"/>
                <w:szCs w:val="22"/>
              </w:rPr>
              <w:t>技改</w:t>
            </w:r>
            <w:r>
              <w:rPr>
                <w:rFonts w:ascii="Times New Roman" w:hAnsi="Times New Roman" w:eastAsia="宋体"/>
                <w:b/>
                <w:bCs/>
                <w:color w:val="auto"/>
                <w:sz w:val="24"/>
                <w:szCs w:val="22"/>
              </w:rPr>
              <w:t>前后</w:t>
            </w:r>
            <w:r>
              <w:rPr>
                <w:rFonts w:ascii="Times New Roman" w:hAnsi="Times New Roman" w:eastAsia="宋体"/>
                <w:b/>
                <w:color w:val="auto"/>
                <w:sz w:val="24"/>
                <w:szCs w:val="24"/>
              </w:rPr>
              <w:t>主要污染物产生及排放情况表 （单位：t/a）</w:t>
            </w:r>
          </w:p>
          <w:tbl>
            <w:tblPr>
              <w:tblStyle w:val="22"/>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660"/>
              <w:gridCol w:w="1088"/>
              <w:gridCol w:w="890"/>
              <w:gridCol w:w="1038"/>
              <w:gridCol w:w="986"/>
              <w:gridCol w:w="986"/>
              <w:gridCol w:w="890"/>
              <w:gridCol w:w="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426" w:type="dxa"/>
                  <w:vMerge w:val="restart"/>
                  <w:vAlign w:val="center"/>
                </w:tcPr>
                <w:p>
                  <w:pPr>
                    <w:adjustRightInd w:val="0"/>
                    <w:snapToGrid w:val="0"/>
                    <w:jc w:val="center"/>
                    <w:rPr>
                      <w:rFonts w:ascii="Times New Roman" w:hAnsi="Times New Roman" w:eastAsia="宋体"/>
                      <w:color w:val="000000" w:themeColor="text1"/>
                      <w14:textFill>
                        <w14:solidFill>
                          <w14:schemeClr w14:val="tx1"/>
                        </w14:solidFill>
                      </w14:textFill>
                    </w:rPr>
                  </w:pPr>
                  <w:r>
                    <w:rPr>
                      <w:rFonts w:ascii="Times New Roman" w:hAnsi="Times New Roman" w:eastAsia="宋体"/>
                      <w:color w:val="000000" w:themeColor="text1"/>
                      <w14:textFill>
                        <w14:solidFill>
                          <w14:schemeClr w14:val="tx1"/>
                        </w14:solidFill>
                      </w14:textFill>
                    </w:rPr>
                    <w:t>种</w:t>
                  </w:r>
                </w:p>
                <w:p>
                  <w:pPr>
                    <w:adjustRightInd w:val="0"/>
                    <w:snapToGrid w:val="0"/>
                    <w:jc w:val="center"/>
                    <w:rPr>
                      <w:rFonts w:ascii="Times New Roman" w:hAnsi="Times New Roman" w:eastAsia="宋体"/>
                      <w:color w:val="000000" w:themeColor="text1"/>
                      <w14:textFill>
                        <w14:solidFill>
                          <w14:schemeClr w14:val="tx1"/>
                        </w14:solidFill>
                      </w14:textFill>
                    </w:rPr>
                  </w:pPr>
                  <w:r>
                    <w:rPr>
                      <w:rFonts w:ascii="Times New Roman" w:hAnsi="Times New Roman" w:eastAsia="宋体"/>
                      <w:color w:val="000000" w:themeColor="text1"/>
                      <w14:textFill>
                        <w14:solidFill>
                          <w14:schemeClr w14:val="tx1"/>
                        </w14:solidFill>
                      </w14:textFill>
                    </w:rPr>
                    <w:t>类</w:t>
                  </w:r>
                </w:p>
              </w:tc>
              <w:tc>
                <w:tcPr>
                  <w:tcW w:w="1660" w:type="dxa"/>
                  <w:vMerge w:val="restart"/>
                  <w:vAlign w:val="center"/>
                </w:tcPr>
                <w:p>
                  <w:pPr>
                    <w:adjustRightInd w:val="0"/>
                    <w:snapToGrid w:val="0"/>
                    <w:jc w:val="center"/>
                    <w:rPr>
                      <w:rFonts w:ascii="Times New Roman" w:hAnsi="Times New Roman" w:eastAsia="宋体"/>
                      <w:color w:val="000000" w:themeColor="text1"/>
                      <w14:textFill>
                        <w14:solidFill>
                          <w14:schemeClr w14:val="tx1"/>
                        </w14:solidFill>
                      </w14:textFill>
                    </w:rPr>
                  </w:pPr>
                  <w:r>
                    <w:rPr>
                      <w:rFonts w:ascii="Times New Roman" w:hAnsi="Times New Roman" w:eastAsia="宋体"/>
                      <w:color w:val="000000" w:themeColor="text1"/>
                      <w14:textFill>
                        <w14:solidFill>
                          <w14:schemeClr w14:val="tx1"/>
                        </w14:solidFill>
                      </w14:textFill>
                    </w:rPr>
                    <w:t>污染物名称</w:t>
                  </w:r>
                </w:p>
              </w:tc>
              <w:tc>
                <w:tcPr>
                  <w:tcW w:w="3016" w:type="dxa"/>
                  <w:gridSpan w:val="3"/>
                  <w:vAlign w:val="center"/>
                </w:tcPr>
                <w:p>
                  <w:pPr>
                    <w:adjustRightInd w:val="0"/>
                    <w:snapToGrid w:val="0"/>
                    <w:jc w:val="center"/>
                    <w:rPr>
                      <w:rFonts w:ascii="Times New Roman" w:hAnsi="Times New Roman" w:eastAsia="宋体"/>
                      <w:color w:val="000000" w:themeColor="text1"/>
                      <w14:textFill>
                        <w14:solidFill>
                          <w14:schemeClr w14:val="tx1"/>
                        </w14:solidFill>
                      </w14:textFill>
                    </w:rPr>
                  </w:pPr>
                  <w:r>
                    <w:rPr>
                      <w:rFonts w:ascii="Times New Roman" w:hAnsi="Times New Roman" w:eastAsia="宋体"/>
                      <w:color w:val="000000" w:themeColor="text1"/>
                      <w14:textFill>
                        <w14:solidFill>
                          <w14:schemeClr w14:val="tx1"/>
                        </w14:solidFill>
                      </w14:textFill>
                    </w:rPr>
                    <w:t>项目</w:t>
                  </w:r>
                  <w:r>
                    <w:rPr>
                      <w:rFonts w:hint="eastAsia" w:ascii="Times New Roman" w:hAnsi="Times New Roman" w:eastAsia="宋体"/>
                      <w:color w:val="000000" w:themeColor="text1"/>
                      <w14:textFill>
                        <w14:solidFill>
                          <w14:schemeClr w14:val="tx1"/>
                        </w14:solidFill>
                      </w14:textFill>
                    </w:rPr>
                    <w:t>技改</w:t>
                  </w:r>
                  <w:r>
                    <w:rPr>
                      <w:rFonts w:ascii="Times New Roman" w:hAnsi="Times New Roman" w:eastAsia="宋体"/>
                      <w:color w:val="000000" w:themeColor="text1"/>
                      <w14:textFill>
                        <w14:solidFill>
                          <w14:schemeClr w14:val="tx1"/>
                        </w14:solidFill>
                      </w14:textFill>
                    </w:rPr>
                    <w:t>前</w:t>
                  </w:r>
                </w:p>
              </w:tc>
              <w:tc>
                <w:tcPr>
                  <w:tcW w:w="2862" w:type="dxa"/>
                  <w:gridSpan w:val="3"/>
                  <w:vAlign w:val="center"/>
                </w:tcPr>
                <w:p>
                  <w:pPr>
                    <w:adjustRightInd w:val="0"/>
                    <w:snapToGrid w:val="0"/>
                    <w:jc w:val="center"/>
                    <w:rPr>
                      <w:rFonts w:ascii="Times New Roman" w:hAnsi="Times New Roman" w:eastAsia="宋体"/>
                      <w:color w:val="000000" w:themeColor="text1"/>
                      <w14:textFill>
                        <w14:solidFill>
                          <w14:schemeClr w14:val="tx1"/>
                        </w14:solidFill>
                      </w14:textFill>
                    </w:rPr>
                  </w:pPr>
                  <w:r>
                    <w:rPr>
                      <w:rFonts w:ascii="Times New Roman" w:hAnsi="Times New Roman" w:eastAsia="宋体"/>
                      <w:color w:val="000000" w:themeColor="text1"/>
                      <w14:textFill>
                        <w14:solidFill>
                          <w14:schemeClr w14:val="tx1"/>
                        </w14:solidFill>
                      </w14:textFill>
                    </w:rPr>
                    <w:t>项目</w:t>
                  </w:r>
                  <w:r>
                    <w:rPr>
                      <w:rFonts w:hint="eastAsia" w:ascii="Times New Roman" w:hAnsi="Times New Roman" w:eastAsia="宋体"/>
                      <w:color w:val="000000" w:themeColor="text1"/>
                      <w14:textFill>
                        <w14:solidFill>
                          <w14:schemeClr w14:val="tx1"/>
                        </w14:solidFill>
                      </w14:textFill>
                    </w:rPr>
                    <w:t>技改</w:t>
                  </w:r>
                  <w:r>
                    <w:rPr>
                      <w:rFonts w:ascii="Times New Roman" w:hAnsi="Times New Roman" w:eastAsia="宋体"/>
                      <w:color w:val="000000" w:themeColor="text1"/>
                      <w14:textFill>
                        <w14:solidFill>
                          <w14:schemeClr w14:val="tx1"/>
                        </w14:solidFill>
                      </w14:textFill>
                    </w:rPr>
                    <w:t>后</w:t>
                  </w:r>
                </w:p>
              </w:tc>
              <w:tc>
                <w:tcPr>
                  <w:tcW w:w="880" w:type="dxa"/>
                  <w:vMerge w:val="restart"/>
                  <w:vAlign w:val="center"/>
                </w:tcPr>
                <w:p>
                  <w:pPr>
                    <w:adjustRightInd w:val="0"/>
                    <w:snapToGrid w:val="0"/>
                    <w:jc w:val="center"/>
                    <w:rPr>
                      <w:rFonts w:ascii="Times New Roman" w:hAnsi="Times New Roman" w:eastAsia="宋体"/>
                      <w:color w:val="000000" w:themeColor="text1"/>
                      <w14:textFill>
                        <w14:solidFill>
                          <w14:schemeClr w14:val="tx1"/>
                        </w14:solidFill>
                      </w14:textFill>
                    </w:rPr>
                  </w:pPr>
                  <w:r>
                    <w:rPr>
                      <w:rFonts w:ascii="Times New Roman" w:hAnsi="Times New Roman" w:eastAsia="宋体"/>
                      <w:color w:val="000000" w:themeColor="text1"/>
                      <w:szCs w:val="21"/>
                      <w14:textFill>
                        <w14:solidFill>
                          <w14:schemeClr w14:val="tx1"/>
                        </w14:solidFill>
                      </w14:textFill>
                    </w:rPr>
                    <w:t>排放增减量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426" w:type="dxa"/>
                  <w:vMerge w:val="continue"/>
                  <w:vAlign w:val="center"/>
                </w:tcPr>
                <w:p>
                  <w:pPr>
                    <w:adjustRightInd w:val="0"/>
                    <w:snapToGrid w:val="0"/>
                    <w:jc w:val="center"/>
                    <w:rPr>
                      <w:rFonts w:ascii="Times New Roman" w:hAnsi="Times New Roman" w:eastAsia="宋体"/>
                      <w:color w:val="000000" w:themeColor="text1"/>
                      <w14:textFill>
                        <w14:solidFill>
                          <w14:schemeClr w14:val="tx1"/>
                        </w14:solidFill>
                      </w14:textFill>
                    </w:rPr>
                  </w:pPr>
                </w:p>
              </w:tc>
              <w:tc>
                <w:tcPr>
                  <w:tcW w:w="1660" w:type="dxa"/>
                  <w:vMerge w:val="continue"/>
                  <w:vAlign w:val="center"/>
                </w:tcPr>
                <w:p>
                  <w:pPr>
                    <w:adjustRightInd w:val="0"/>
                    <w:snapToGrid w:val="0"/>
                    <w:jc w:val="center"/>
                    <w:rPr>
                      <w:rFonts w:ascii="Times New Roman" w:hAnsi="Times New Roman" w:eastAsia="宋体"/>
                      <w:color w:val="000000" w:themeColor="text1"/>
                      <w14:textFill>
                        <w14:solidFill>
                          <w14:schemeClr w14:val="tx1"/>
                        </w14:solidFill>
                      </w14:textFill>
                    </w:rPr>
                  </w:pPr>
                </w:p>
              </w:tc>
              <w:tc>
                <w:tcPr>
                  <w:tcW w:w="1088" w:type="dxa"/>
                  <w:vAlign w:val="center"/>
                </w:tcPr>
                <w:p>
                  <w:pPr>
                    <w:adjustRightInd w:val="0"/>
                    <w:snapToGrid w:val="0"/>
                    <w:ind w:left="-107" w:leftChars="-51" w:right="-107" w:rightChars="-51"/>
                    <w:jc w:val="center"/>
                    <w:rPr>
                      <w:rFonts w:ascii="Times New Roman" w:hAnsi="Times New Roman" w:eastAsia="宋体"/>
                      <w:color w:val="000000" w:themeColor="text1"/>
                      <w14:textFill>
                        <w14:solidFill>
                          <w14:schemeClr w14:val="tx1"/>
                        </w14:solidFill>
                      </w14:textFill>
                    </w:rPr>
                  </w:pPr>
                  <w:r>
                    <w:rPr>
                      <w:rFonts w:ascii="Times New Roman" w:hAnsi="Times New Roman" w:eastAsia="宋体"/>
                      <w:color w:val="000000" w:themeColor="text1"/>
                      <w14:textFill>
                        <w14:solidFill>
                          <w14:schemeClr w14:val="tx1"/>
                        </w14:solidFill>
                      </w14:textFill>
                    </w:rPr>
                    <w:t>产生量</w:t>
                  </w:r>
                </w:p>
              </w:tc>
              <w:tc>
                <w:tcPr>
                  <w:tcW w:w="890" w:type="dxa"/>
                  <w:vAlign w:val="center"/>
                </w:tcPr>
                <w:p>
                  <w:pPr>
                    <w:adjustRightInd w:val="0"/>
                    <w:snapToGrid w:val="0"/>
                    <w:ind w:left="-107" w:leftChars="-51" w:right="-107" w:rightChars="-51"/>
                    <w:jc w:val="center"/>
                    <w:rPr>
                      <w:rFonts w:ascii="Times New Roman" w:hAnsi="Times New Roman" w:eastAsia="宋体"/>
                      <w:color w:val="000000" w:themeColor="text1"/>
                      <w14:textFill>
                        <w14:solidFill>
                          <w14:schemeClr w14:val="tx1"/>
                        </w14:solidFill>
                      </w14:textFill>
                    </w:rPr>
                  </w:pPr>
                  <w:r>
                    <w:rPr>
                      <w:rFonts w:ascii="Times New Roman" w:hAnsi="Times New Roman" w:eastAsia="宋体"/>
                      <w:color w:val="000000" w:themeColor="text1"/>
                      <w14:textFill>
                        <w14:solidFill>
                          <w14:schemeClr w14:val="tx1"/>
                        </w14:solidFill>
                      </w14:textFill>
                    </w:rPr>
                    <w:t>削减量</w:t>
                  </w:r>
                </w:p>
              </w:tc>
              <w:tc>
                <w:tcPr>
                  <w:tcW w:w="1038" w:type="dxa"/>
                  <w:vAlign w:val="center"/>
                </w:tcPr>
                <w:p>
                  <w:pPr>
                    <w:adjustRightInd w:val="0"/>
                    <w:snapToGrid w:val="0"/>
                    <w:ind w:left="-107" w:leftChars="-51" w:right="-107" w:rightChars="-51"/>
                    <w:jc w:val="center"/>
                    <w:rPr>
                      <w:rFonts w:ascii="Times New Roman" w:hAnsi="Times New Roman" w:eastAsia="宋体"/>
                      <w:color w:val="000000" w:themeColor="text1"/>
                      <w14:textFill>
                        <w14:solidFill>
                          <w14:schemeClr w14:val="tx1"/>
                        </w14:solidFill>
                      </w14:textFill>
                    </w:rPr>
                  </w:pPr>
                  <w:r>
                    <w:rPr>
                      <w:rFonts w:ascii="Times New Roman" w:hAnsi="Times New Roman" w:eastAsia="宋体"/>
                      <w:color w:val="000000" w:themeColor="text1"/>
                      <w14:textFill>
                        <w14:solidFill>
                          <w14:schemeClr w14:val="tx1"/>
                        </w14:solidFill>
                      </w14:textFill>
                    </w:rPr>
                    <w:t>排放量</w:t>
                  </w:r>
                </w:p>
              </w:tc>
              <w:tc>
                <w:tcPr>
                  <w:tcW w:w="986" w:type="dxa"/>
                  <w:vAlign w:val="center"/>
                </w:tcPr>
                <w:p>
                  <w:pPr>
                    <w:adjustRightInd w:val="0"/>
                    <w:snapToGrid w:val="0"/>
                    <w:ind w:left="-107" w:leftChars="-51" w:right="-107" w:rightChars="-51"/>
                    <w:jc w:val="center"/>
                    <w:rPr>
                      <w:rFonts w:ascii="Times New Roman" w:hAnsi="Times New Roman" w:eastAsia="宋体"/>
                      <w:color w:val="000000" w:themeColor="text1"/>
                      <w14:textFill>
                        <w14:solidFill>
                          <w14:schemeClr w14:val="tx1"/>
                        </w14:solidFill>
                      </w14:textFill>
                    </w:rPr>
                  </w:pPr>
                  <w:r>
                    <w:rPr>
                      <w:rFonts w:ascii="Times New Roman" w:hAnsi="Times New Roman" w:eastAsia="宋体"/>
                      <w:color w:val="000000" w:themeColor="text1"/>
                      <w14:textFill>
                        <w14:solidFill>
                          <w14:schemeClr w14:val="tx1"/>
                        </w14:solidFill>
                      </w14:textFill>
                    </w:rPr>
                    <w:t>产生量</w:t>
                  </w:r>
                </w:p>
              </w:tc>
              <w:tc>
                <w:tcPr>
                  <w:tcW w:w="986" w:type="dxa"/>
                  <w:vAlign w:val="center"/>
                </w:tcPr>
                <w:p>
                  <w:pPr>
                    <w:adjustRightInd w:val="0"/>
                    <w:snapToGrid w:val="0"/>
                    <w:ind w:left="-107" w:leftChars="-51" w:right="-107" w:rightChars="-51"/>
                    <w:jc w:val="center"/>
                    <w:rPr>
                      <w:rFonts w:ascii="Times New Roman" w:hAnsi="Times New Roman" w:eastAsia="宋体"/>
                      <w:color w:val="000000" w:themeColor="text1"/>
                      <w14:textFill>
                        <w14:solidFill>
                          <w14:schemeClr w14:val="tx1"/>
                        </w14:solidFill>
                      </w14:textFill>
                    </w:rPr>
                  </w:pPr>
                  <w:r>
                    <w:rPr>
                      <w:rFonts w:ascii="Times New Roman" w:hAnsi="Times New Roman" w:eastAsia="宋体"/>
                      <w:color w:val="000000" w:themeColor="text1"/>
                      <w14:textFill>
                        <w14:solidFill>
                          <w14:schemeClr w14:val="tx1"/>
                        </w14:solidFill>
                      </w14:textFill>
                    </w:rPr>
                    <w:t>削减量</w:t>
                  </w:r>
                </w:p>
              </w:tc>
              <w:tc>
                <w:tcPr>
                  <w:tcW w:w="890" w:type="dxa"/>
                  <w:vAlign w:val="center"/>
                </w:tcPr>
                <w:p>
                  <w:pPr>
                    <w:adjustRightInd w:val="0"/>
                    <w:snapToGrid w:val="0"/>
                    <w:ind w:left="-107" w:leftChars="-51" w:right="-84" w:rightChars="-40"/>
                    <w:jc w:val="center"/>
                    <w:rPr>
                      <w:rFonts w:ascii="Times New Roman" w:hAnsi="Times New Roman" w:eastAsia="宋体"/>
                      <w:color w:val="000000" w:themeColor="text1"/>
                      <w14:textFill>
                        <w14:solidFill>
                          <w14:schemeClr w14:val="tx1"/>
                        </w14:solidFill>
                      </w14:textFill>
                    </w:rPr>
                  </w:pPr>
                  <w:r>
                    <w:rPr>
                      <w:rFonts w:ascii="Times New Roman" w:hAnsi="Times New Roman" w:eastAsia="宋体"/>
                      <w:color w:val="000000" w:themeColor="text1"/>
                      <w14:textFill>
                        <w14:solidFill>
                          <w14:schemeClr w14:val="tx1"/>
                        </w14:solidFill>
                      </w14:textFill>
                    </w:rPr>
                    <w:t>排放量</w:t>
                  </w:r>
                </w:p>
              </w:tc>
              <w:tc>
                <w:tcPr>
                  <w:tcW w:w="880" w:type="dxa"/>
                  <w:vMerge w:val="continue"/>
                  <w:vAlign w:val="center"/>
                </w:tcPr>
                <w:p>
                  <w:pPr>
                    <w:adjustRightInd w:val="0"/>
                    <w:snapToGrid w:val="0"/>
                    <w:jc w:val="center"/>
                    <w:rPr>
                      <w:rFonts w:ascii="Times New Roman" w:hAnsi="Times New Roman" w:eastAsia="宋体"/>
                      <w:color w:val="000000" w:themeColor="text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restart"/>
                  <w:vAlign w:val="center"/>
                </w:tcPr>
                <w:p>
                  <w:pPr>
                    <w:adjustRightInd w:val="0"/>
                    <w:snapToGrid w:val="0"/>
                    <w:jc w:val="center"/>
                    <w:rPr>
                      <w:rFonts w:hint="eastAsia" w:ascii="Times New Roman" w:hAnsi="Times New Roman" w:eastAsia="宋体"/>
                      <w:color w:val="000000" w:themeColor="text1"/>
                      <w:lang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废气</w:t>
                  </w:r>
                </w:p>
              </w:tc>
              <w:tc>
                <w:tcPr>
                  <w:tcW w:w="1660" w:type="dxa"/>
                  <w:vAlign w:val="center"/>
                </w:tcPr>
                <w:p>
                  <w:pPr>
                    <w:adjustRightInd w:val="0"/>
                    <w:snapToGrid w:val="0"/>
                    <w:jc w:val="center"/>
                    <w:rPr>
                      <w:rFonts w:hint="eastAsia" w:ascii="Times New Roman" w:hAnsi="Times New Roman" w:eastAsia="宋体"/>
                      <w:color w:val="000000" w:themeColor="text1"/>
                      <w:vertAlign w:val="subscript"/>
                      <w:lang w:val="en-US" w:eastAsia="zh-CN"/>
                      <w14:textFill>
                        <w14:solidFill>
                          <w14:schemeClr w14:val="tx1"/>
                        </w14:solidFill>
                      </w14:textFill>
                    </w:rPr>
                  </w:pPr>
                  <w:r>
                    <w:rPr>
                      <w:rFonts w:hint="eastAsia" w:ascii="Times New Roman" w:hAnsi="Times New Roman" w:eastAsia="宋体"/>
                      <w:color w:val="000000" w:themeColor="text1"/>
                      <w:vertAlign w:val="baseline"/>
                      <w:lang w:val="en-US" w:eastAsia="zh-CN"/>
                      <w14:textFill>
                        <w14:solidFill>
                          <w14:schemeClr w14:val="tx1"/>
                        </w14:solidFill>
                      </w14:textFill>
                    </w:rPr>
                    <w:t>颗粒物</w:t>
                  </w:r>
                </w:p>
              </w:tc>
              <w:tc>
                <w:tcPr>
                  <w:tcW w:w="1088" w:type="dxa"/>
                  <w:vAlign w:val="center"/>
                </w:tcPr>
                <w:p>
                  <w:pPr>
                    <w:adjustRightInd w:val="0"/>
                    <w:snapToGrid w:val="0"/>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81.183</w:t>
                  </w:r>
                </w:p>
              </w:tc>
              <w:tc>
                <w:tcPr>
                  <w:tcW w:w="890" w:type="dxa"/>
                  <w:vAlign w:val="center"/>
                </w:tcPr>
                <w:p>
                  <w:pPr>
                    <w:adjustRightInd w:val="0"/>
                    <w:snapToGrid w:val="0"/>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74.163</w:t>
                  </w:r>
                </w:p>
              </w:tc>
              <w:tc>
                <w:tcPr>
                  <w:tcW w:w="1038" w:type="dxa"/>
                  <w:vAlign w:val="center"/>
                </w:tcPr>
                <w:p>
                  <w:pPr>
                    <w:adjustRightInd w:val="0"/>
                    <w:snapToGrid w:val="0"/>
                    <w:ind w:left="-107" w:leftChars="-51" w:right="-107" w:rightChars="-51"/>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7.02</w:t>
                  </w:r>
                </w:p>
              </w:tc>
              <w:tc>
                <w:tcPr>
                  <w:tcW w:w="986" w:type="dxa"/>
                  <w:vAlign w:val="center"/>
                </w:tcPr>
                <w:p>
                  <w:pPr>
                    <w:adjustRightInd w:val="0"/>
                    <w:snapToGrid w:val="0"/>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187.311</w:t>
                  </w:r>
                </w:p>
              </w:tc>
              <w:tc>
                <w:tcPr>
                  <w:tcW w:w="986" w:type="dxa"/>
                  <w:vAlign w:val="center"/>
                </w:tcPr>
                <w:p>
                  <w:pPr>
                    <w:adjustRightInd w:val="0"/>
                    <w:snapToGrid w:val="0"/>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175.075</w:t>
                  </w:r>
                </w:p>
              </w:tc>
              <w:tc>
                <w:tcPr>
                  <w:tcW w:w="890" w:type="dxa"/>
                  <w:vAlign w:val="center"/>
                </w:tcPr>
                <w:p>
                  <w:pPr>
                    <w:adjustRightInd w:val="0"/>
                    <w:snapToGrid w:val="0"/>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12.236</w:t>
                  </w:r>
                </w:p>
              </w:tc>
              <w:tc>
                <w:tcPr>
                  <w:tcW w:w="880" w:type="dxa"/>
                  <w:vAlign w:val="center"/>
                </w:tcPr>
                <w:p>
                  <w:pPr>
                    <w:adjustRightInd w:val="0"/>
                    <w:snapToGrid w:val="0"/>
                    <w:jc w:val="center"/>
                    <w:rPr>
                      <w:rFonts w:hint="default" w:ascii="Times New Roman" w:hAnsi="Times New Roman" w:eastAsia="宋体"/>
                      <w:color w:val="000000" w:themeColor="text1"/>
                      <w:lang w:val="en-US"/>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+5.216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continue"/>
                  <w:tcBorders/>
                  <w:vAlign w:val="center"/>
                </w:tcPr>
                <w:p>
                  <w:pPr>
                    <w:adjustRightInd w:val="0"/>
                    <w:snapToGrid w:val="0"/>
                    <w:jc w:val="center"/>
                    <w:rPr>
                      <w:rFonts w:hint="eastAsia" w:ascii="Times New Roman" w:hAnsi="Times New Roman" w:eastAsia="宋体"/>
                      <w:color w:val="000000" w:themeColor="text1"/>
                      <w14:textFill>
                        <w14:solidFill>
                          <w14:schemeClr w14:val="tx1"/>
                        </w14:solidFill>
                      </w14:textFill>
                    </w:rPr>
                  </w:pPr>
                </w:p>
              </w:tc>
              <w:tc>
                <w:tcPr>
                  <w:tcW w:w="1660" w:type="dxa"/>
                  <w:vAlign w:val="center"/>
                </w:tcPr>
                <w:p>
                  <w:pPr>
                    <w:adjustRightInd w:val="0"/>
                    <w:snapToGrid w:val="0"/>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非甲烷总烃</w:t>
                  </w:r>
                </w:p>
              </w:tc>
              <w:tc>
                <w:tcPr>
                  <w:tcW w:w="1088" w:type="dxa"/>
                  <w:vAlign w:val="center"/>
                </w:tcPr>
                <w:p>
                  <w:pPr>
                    <w:adjustRightInd w:val="0"/>
                    <w:snapToGrid w:val="0"/>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7.838</w:t>
                  </w:r>
                </w:p>
              </w:tc>
              <w:tc>
                <w:tcPr>
                  <w:tcW w:w="890" w:type="dxa"/>
                  <w:vAlign w:val="center"/>
                </w:tcPr>
                <w:p>
                  <w:pPr>
                    <w:adjustRightInd w:val="0"/>
                    <w:snapToGrid w:val="0"/>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5.8</w:t>
                  </w:r>
                </w:p>
              </w:tc>
              <w:tc>
                <w:tcPr>
                  <w:tcW w:w="1038" w:type="dxa"/>
                  <w:vAlign w:val="center"/>
                </w:tcPr>
                <w:p>
                  <w:pPr>
                    <w:adjustRightInd w:val="0"/>
                    <w:snapToGrid w:val="0"/>
                    <w:ind w:left="-107" w:leftChars="-51" w:right="-107" w:rightChars="-51"/>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2.038</w:t>
                  </w:r>
                </w:p>
              </w:tc>
              <w:tc>
                <w:tcPr>
                  <w:tcW w:w="986" w:type="dxa"/>
                  <w:vAlign w:val="center"/>
                </w:tcPr>
                <w:p>
                  <w:pPr>
                    <w:adjustRightInd w:val="0"/>
                    <w:snapToGrid w:val="0"/>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58.238</w:t>
                  </w:r>
                </w:p>
              </w:tc>
              <w:tc>
                <w:tcPr>
                  <w:tcW w:w="986" w:type="dxa"/>
                  <w:vAlign w:val="center"/>
                </w:tcPr>
                <w:p>
                  <w:pPr>
                    <w:adjustRightInd w:val="0"/>
                    <w:snapToGrid w:val="0"/>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46.624</w:t>
                  </w:r>
                </w:p>
              </w:tc>
              <w:tc>
                <w:tcPr>
                  <w:tcW w:w="890" w:type="dxa"/>
                  <w:vAlign w:val="center"/>
                </w:tcPr>
                <w:p>
                  <w:pPr>
                    <w:adjustRightInd w:val="0"/>
                    <w:snapToGrid w:val="0"/>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11.614</w:t>
                  </w:r>
                </w:p>
              </w:tc>
              <w:tc>
                <w:tcPr>
                  <w:tcW w:w="880" w:type="dxa"/>
                  <w:vAlign w:val="center"/>
                </w:tcPr>
                <w:p>
                  <w:pPr>
                    <w:adjustRightInd w:val="0"/>
                    <w:snapToGrid w:val="0"/>
                    <w:jc w:val="center"/>
                    <w:rPr>
                      <w:rFonts w:hint="default" w:ascii="Times New Roman" w:hAnsi="Times New Roman" w:eastAsia="宋体"/>
                      <w:color w:val="000000" w:themeColor="text1"/>
                      <w:lang w:val="en-US"/>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+9.576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continue"/>
                  <w:tcBorders/>
                  <w:vAlign w:val="center"/>
                </w:tcPr>
                <w:p>
                  <w:pPr>
                    <w:adjustRightInd w:val="0"/>
                    <w:snapToGrid w:val="0"/>
                    <w:jc w:val="center"/>
                    <w:rPr>
                      <w:rFonts w:hint="eastAsia" w:ascii="Times New Roman" w:hAnsi="Times New Roman" w:eastAsia="宋体"/>
                      <w:color w:val="000000" w:themeColor="text1"/>
                      <w14:textFill>
                        <w14:solidFill>
                          <w14:schemeClr w14:val="tx1"/>
                        </w14:solidFill>
                      </w14:textFill>
                    </w:rPr>
                  </w:pPr>
                </w:p>
              </w:tc>
              <w:tc>
                <w:tcPr>
                  <w:tcW w:w="1660" w:type="dxa"/>
                  <w:vAlign w:val="center"/>
                </w:tcPr>
                <w:p>
                  <w:pPr>
                    <w:jc w:val="center"/>
                    <w:rPr>
                      <w:rFonts w:hint="eastAsia" w:ascii="Times New Roman" w:hAnsi="Times New Roman" w:eastAsia="宋体"/>
                      <w:color w:val="000000" w:themeColor="text1"/>
                      <w:lang w:val="en-US" w:eastAsia="zh-CN"/>
                      <w14:textFill>
                        <w14:solidFill>
                          <w14:schemeClr w14:val="tx1"/>
                        </w14:solidFill>
                      </w14:textFill>
                    </w:rPr>
                  </w:pPr>
                  <w:r>
                    <w:rPr>
                      <w:rFonts w:ascii="Times New Roman" w:hAnsi="Times New Roman" w:eastAsia="宋体"/>
                      <w:color w:val="000000" w:themeColor="text1"/>
                      <w:szCs w:val="21"/>
                      <w14:textFill>
                        <w14:solidFill>
                          <w14:schemeClr w14:val="tx1"/>
                        </w14:solidFill>
                      </w14:textFill>
                    </w:rPr>
                    <w:t>SO</w:t>
                  </w:r>
                  <w:r>
                    <w:rPr>
                      <w:rFonts w:ascii="Times New Roman" w:hAnsi="Times New Roman" w:eastAsia="宋体"/>
                      <w:color w:val="000000" w:themeColor="text1"/>
                      <w:szCs w:val="21"/>
                      <w:vertAlign w:val="subscript"/>
                      <w14:textFill>
                        <w14:solidFill>
                          <w14:schemeClr w14:val="tx1"/>
                        </w14:solidFill>
                      </w14:textFill>
                    </w:rPr>
                    <w:t>2</w:t>
                  </w:r>
                </w:p>
              </w:tc>
              <w:tc>
                <w:tcPr>
                  <w:tcW w:w="1088" w:type="dxa"/>
                  <w:vAlign w:val="center"/>
                </w:tcPr>
                <w:p>
                  <w:pPr>
                    <w:adjustRightInd w:val="0"/>
                    <w:snapToGrid w:val="0"/>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3.369</w:t>
                  </w:r>
                </w:p>
              </w:tc>
              <w:tc>
                <w:tcPr>
                  <w:tcW w:w="890" w:type="dxa"/>
                  <w:vAlign w:val="center"/>
                </w:tcPr>
                <w:p>
                  <w:pPr>
                    <w:adjustRightInd w:val="0"/>
                    <w:snapToGrid w:val="0"/>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c>
                <w:tcPr>
                  <w:tcW w:w="1038" w:type="dxa"/>
                  <w:vAlign w:val="center"/>
                </w:tcPr>
                <w:p>
                  <w:pPr>
                    <w:adjustRightInd w:val="0"/>
                    <w:snapToGrid w:val="0"/>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3.369</w:t>
                  </w:r>
                </w:p>
              </w:tc>
              <w:tc>
                <w:tcPr>
                  <w:tcW w:w="986" w:type="dxa"/>
                  <w:vAlign w:val="center"/>
                </w:tcPr>
                <w:p>
                  <w:pPr>
                    <w:adjustRightInd w:val="0"/>
                    <w:snapToGrid w:val="0"/>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6.738</w:t>
                  </w:r>
                </w:p>
              </w:tc>
              <w:tc>
                <w:tcPr>
                  <w:tcW w:w="986" w:type="dxa"/>
                  <w:vAlign w:val="center"/>
                </w:tcPr>
                <w:p>
                  <w:pPr>
                    <w:adjustRightInd w:val="0"/>
                    <w:snapToGrid w:val="0"/>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c>
                <w:tcPr>
                  <w:tcW w:w="890" w:type="dxa"/>
                  <w:vAlign w:val="center"/>
                </w:tcPr>
                <w:p>
                  <w:pPr>
                    <w:adjustRightInd w:val="0"/>
                    <w:snapToGrid w:val="0"/>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6.738</w:t>
                  </w:r>
                </w:p>
              </w:tc>
              <w:tc>
                <w:tcPr>
                  <w:tcW w:w="880" w:type="dxa"/>
                  <w:vAlign w:val="center"/>
                </w:tcPr>
                <w:p>
                  <w:pPr>
                    <w:adjustRightInd w:val="0"/>
                    <w:snapToGrid w:val="0"/>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+3.369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continue"/>
                  <w:tcBorders/>
                  <w:vAlign w:val="center"/>
                </w:tcPr>
                <w:p>
                  <w:pPr>
                    <w:adjustRightInd w:val="0"/>
                    <w:snapToGrid w:val="0"/>
                    <w:jc w:val="center"/>
                    <w:rPr>
                      <w:rFonts w:hint="eastAsia" w:ascii="Times New Roman" w:hAnsi="Times New Roman" w:eastAsia="宋体"/>
                      <w:color w:val="000000" w:themeColor="text1"/>
                      <w14:textFill>
                        <w14:solidFill>
                          <w14:schemeClr w14:val="tx1"/>
                        </w14:solidFill>
                      </w14:textFill>
                    </w:rPr>
                  </w:pPr>
                </w:p>
              </w:tc>
              <w:tc>
                <w:tcPr>
                  <w:tcW w:w="1660" w:type="dxa"/>
                  <w:vAlign w:val="center"/>
                </w:tcPr>
                <w:p>
                  <w:pPr>
                    <w:jc w:val="center"/>
                    <w:rPr>
                      <w:rFonts w:hint="eastAsia" w:ascii="Times New Roman" w:hAnsi="Times New Roman" w:eastAsia="宋体"/>
                      <w:color w:val="000000" w:themeColor="text1"/>
                      <w:lang w:val="en-US" w:eastAsia="zh-CN"/>
                      <w14:textFill>
                        <w14:solidFill>
                          <w14:schemeClr w14:val="tx1"/>
                        </w14:solidFill>
                      </w14:textFill>
                    </w:rPr>
                  </w:pPr>
                  <w:r>
                    <w:rPr>
                      <w:rFonts w:ascii="Times New Roman" w:hAnsi="Times New Roman" w:eastAsia="宋体"/>
                      <w:color w:val="000000" w:themeColor="text1"/>
                      <w:szCs w:val="21"/>
                      <w14:textFill>
                        <w14:solidFill>
                          <w14:schemeClr w14:val="tx1"/>
                        </w14:solidFill>
                      </w14:textFill>
                    </w:rPr>
                    <w:t>NOx</w:t>
                  </w:r>
                </w:p>
              </w:tc>
              <w:tc>
                <w:tcPr>
                  <w:tcW w:w="1088" w:type="dxa"/>
                  <w:vAlign w:val="center"/>
                </w:tcPr>
                <w:p>
                  <w:pPr>
                    <w:adjustRightInd w:val="0"/>
                    <w:snapToGrid w:val="0"/>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2.268</w:t>
                  </w:r>
                </w:p>
              </w:tc>
              <w:tc>
                <w:tcPr>
                  <w:tcW w:w="890" w:type="dxa"/>
                  <w:vAlign w:val="center"/>
                </w:tcPr>
                <w:p>
                  <w:pPr>
                    <w:adjustRightInd w:val="0"/>
                    <w:snapToGrid w:val="0"/>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c>
                <w:tcPr>
                  <w:tcW w:w="1038" w:type="dxa"/>
                  <w:vAlign w:val="center"/>
                </w:tcPr>
                <w:p>
                  <w:pPr>
                    <w:adjustRightInd w:val="0"/>
                    <w:snapToGrid w:val="0"/>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2.268</w:t>
                  </w:r>
                </w:p>
              </w:tc>
              <w:tc>
                <w:tcPr>
                  <w:tcW w:w="986" w:type="dxa"/>
                  <w:vAlign w:val="center"/>
                </w:tcPr>
                <w:p>
                  <w:pPr>
                    <w:adjustRightInd w:val="0"/>
                    <w:snapToGrid w:val="0"/>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4.536</w:t>
                  </w:r>
                </w:p>
              </w:tc>
              <w:tc>
                <w:tcPr>
                  <w:tcW w:w="986" w:type="dxa"/>
                  <w:vAlign w:val="center"/>
                </w:tcPr>
                <w:p>
                  <w:pPr>
                    <w:adjustRightInd w:val="0"/>
                    <w:snapToGrid w:val="0"/>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c>
                <w:tcPr>
                  <w:tcW w:w="890" w:type="dxa"/>
                  <w:vAlign w:val="center"/>
                </w:tcPr>
                <w:p>
                  <w:pPr>
                    <w:adjustRightInd w:val="0"/>
                    <w:snapToGrid w:val="0"/>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4.536</w:t>
                  </w:r>
                </w:p>
              </w:tc>
              <w:tc>
                <w:tcPr>
                  <w:tcW w:w="880" w:type="dxa"/>
                  <w:vAlign w:val="center"/>
                </w:tcPr>
                <w:p>
                  <w:pPr>
                    <w:adjustRightInd w:val="0"/>
                    <w:snapToGrid w:val="0"/>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+2.268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restart"/>
                  <w:vAlign w:val="center"/>
                </w:tcPr>
                <w:p>
                  <w:pPr>
                    <w:adjustRightInd w:val="0"/>
                    <w:snapToGrid w:val="0"/>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固废</w:t>
                  </w:r>
                </w:p>
              </w:tc>
              <w:tc>
                <w:tcPr>
                  <w:tcW w:w="1660" w:type="dxa"/>
                  <w:vAlign w:val="center"/>
                </w:tcPr>
                <w:p>
                  <w:pPr>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不合格</w:t>
                  </w:r>
                  <w:r>
                    <w:rPr>
                      <w:rFonts w:hint="eastAsia" w:ascii="Times New Roman" w:hAnsi="Times New Roman" w:eastAsia="宋体"/>
                      <w:color w:val="000000" w:themeColor="text1"/>
                      <w:szCs w:val="21"/>
                      <w:lang w:val="en-US" w:eastAsia="zh-CN"/>
                      <w14:textFill>
                        <w14:solidFill>
                          <w14:schemeClr w14:val="tx1"/>
                        </w14:solidFill>
                      </w14:textFill>
                    </w:rPr>
                    <w:t>铸</w:t>
                  </w:r>
                  <w:r>
                    <w:rPr>
                      <w:rFonts w:hint="eastAsia" w:ascii="Times New Roman" w:hAnsi="Times New Roman" w:eastAsia="宋体"/>
                      <w:color w:val="000000" w:themeColor="text1"/>
                      <w:szCs w:val="21"/>
                      <w14:textFill>
                        <w14:solidFill>
                          <w14:schemeClr w14:val="tx1"/>
                        </w14:solidFill>
                      </w14:textFill>
                    </w:rPr>
                    <w:t>管</w:t>
                  </w:r>
                </w:p>
              </w:tc>
              <w:tc>
                <w:tcPr>
                  <w:tcW w:w="1088" w:type="dxa"/>
                  <w:vAlign w:val="top"/>
                </w:tcPr>
                <w:p>
                  <w:pPr>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600</w:t>
                  </w:r>
                </w:p>
              </w:tc>
              <w:tc>
                <w:tcPr>
                  <w:tcW w:w="890" w:type="dxa"/>
                  <w:vAlign w:val="top"/>
                </w:tcPr>
                <w:p>
                  <w:pPr>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600</w:t>
                  </w:r>
                </w:p>
              </w:tc>
              <w:tc>
                <w:tcPr>
                  <w:tcW w:w="1038" w:type="dxa"/>
                  <w:vAlign w:val="center"/>
                </w:tcPr>
                <w:p>
                  <w:pPr>
                    <w:adjustRightInd w:val="0"/>
                    <w:snapToGrid w:val="0"/>
                    <w:ind w:left="-107" w:leftChars="-51" w:right="-107" w:rightChars="-51"/>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c>
                <w:tcPr>
                  <w:tcW w:w="986" w:type="dxa"/>
                  <w:vAlign w:val="center"/>
                </w:tcPr>
                <w:p>
                  <w:pPr>
                    <w:keepNext w:val="0"/>
                    <w:keepLines w:val="0"/>
                    <w:widowControl/>
                    <w:suppressLineNumbers w:val="0"/>
                    <w:jc w:val="right"/>
                    <w:textAlignment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s="宋体"/>
                      <w:i w:val="0"/>
                      <w:color w:val="000000" w:themeColor="text1"/>
                      <w:kern w:val="0"/>
                      <w:sz w:val="22"/>
                      <w:szCs w:val="22"/>
                      <w:u w:val="none"/>
                      <w:lang w:val="en-US" w:eastAsia="zh-CN" w:bidi="ar"/>
                      <w14:textFill>
                        <w14:solidFill>
                          <w14:schemeClr w14:val="tx1"/>
                        </w14:solidFill>
                      </w14:textFill>
                    </w:rPr>
                    <w:t>1410</w:t>
                  </w:r>
                </w:p>
              </w:tc>
              <w:tc>
                <w:tcPr>
                  <w:tcW w:w="986" w:type="dxa"/>
                  <w:vAlign w:val="center"/>
                </w:tcPr>
                <w:p>
                  <w:pPr>
                    <w:keepNext w:val="0"/>
                    <w:keepLines w:val="0"/>
                    <w:widowControl/>
                    <w:suppressLineNumbers w:val="0"/>
                    <w:jc w:val="right"/>
                    <w:textAlignment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s="宋体"/>
                      <w:i w:val="0"/>
                      <w:color w:val="000000" w:themeColor="text1"/>
                      <w:kern w:val="0"/>
                      <w:sz w:val="22"/>
                      <w:szCs w:val="22"/>
                      <w:u w:val="none"/>
                      <w:lang w:val="en-US" w:eastAsia="zh-CN" w:bidi="ar"/>
                      <w14:textFill>
                        <w14:solidFill>
                          <w14:schemeClr w14:val="tx1"/>
                        </w14:solidFill>
                      </w14:textFill>
                    </w:rPr>
                    <w:t>1410</w:t>
                  </w:r>
                </w:p>
              </w:tc>
              <w:tc>
                <w:tcPr>
                  <w:tcW w:w="890" w:type="dxa"/>
                  <w:vAlign w:val="center"/>
                </w:tcPr>
                <w:p>
                  <w:pPr>
                    <w:adjustRightInd w:val="0"/>
                    <w:snapToGrid w:val="0"/>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c>
                <w:tcPr>
                  <w:tcW w:w="880" w:type="dxa"/>
                  <w:vAlign w:val="center"/>
                </w:tcPr>
                <w:p>
                  <w:pPr>
                    <w:adjustRightInd w:val="0"/>
                    <w:snapToGrid w:val="0"/>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continue"/>
                  <w:tcBorders/>
                  <w:vAlign w:val="center"/>
                </w:tcPr>
                <w:p>
                  <w:pPr>
                    <w:adjustRightInd w:val="0"/>
                    <w:snapToGrid w:val="0"/>
                    <w:jc w:val="center"/>
                    <w:rPr>
                      <w:rFonts w:hint="eastAsia" w:ascii="Times New Roman" w:hAnsi="Times New Roman" w:eastAsia="宋体"/>
                      <w:color w:val="000000" w:themeColor="text1"/>
                      <w14:textFill>
                        <w14:solidFill>
                          <w14:schemeClr w14:val="tx1"/>
                        </w14:solidFill>
                      </w14:textFill>
                    </w:rPr>
                  </w:pPr>
                </w:p>
              </w:tc>
              <w:tc>
                <w:tcPr>
                  <w:tcW w:w="1660" w:type="dxa"/>
                  <w:vAlign w:val="center"/>
                </w:tcPr>
                <w:p>
                  <w:pPr>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铸管边角料</w:t>
                  </w:r>
                </w:p>
              </w:tc>
              <w:tc>
                <w:tcPr>
                  <w:tcW w:w="1088" w:type="dxa"/>
                  <w:vAlign w:val="top"/>
                </w:tcPr>
                <w:p>
                  <w:pPr>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200</w:t>
                  </w:r>
                </w:p>
              </w:tc>
              <w:tc>
                <w:tcPr>
                  <w:tcW w:w="890" w:type="dxa"/>
                  <w:vAlign w:val="top"/>
                </w:tcPr>
                <w:p>
                  <w:pPr>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200</w:t>
                  </w:r>
                </w:p>
              </w:tc>
              <w:tc>
                <w:tcPr>
                  <w:tcW w:w="1038" w:type="dxa"/>
                  <w:vAlign w:val="center"/>
                </w:tcPr>
                <w:p>
                  <w:pPr>
                    <w:adjustRightInd w:val="0"/>
                    <w:snapToGrid w:val="0"/>
                    <w:ind w:left="-107" w:leftChars="-51" w:right="-107" w:rightChars="-51"/>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c>
                <w:tcPr>
                  <w:tcW w:w="986" w:type="dxa"/>
                  <w:vAlign w:val="center"/>
                </w:tcPr>
                <w:p>
                  <w:pPr>
                    <w:keepNext w:val="0"/>
                    <w:keepLines w:val="0"/>
                    <w:widowControl/>
                    <w:suppressLineNumbers w:val="0"/>
                    <w:jc w:val="right"/>
                    <w:textAlignment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s="宋体"/>
                      <w:i w:val="0"/>
                      <w:color w:val="000000" w:themeColor="text1"/>
                      <w:kern w:val="0"/>
                      <w:sz w:val="22"/>
                      <w:szCs w:val="22"/>
                      <w:u w:val="none"/>
                      <w:lang w:val="en-US" w:eastAsia="zh-CN" w:bidi="ar"/>
                      <w14:textFill>
                        <w14:solidFill>
                          <w14:schemeClr w14:val="tx1"/>
                        </w14:solidFill>
                      </w14:textFill>
                    </w:rPr>
                    <w:t>470</w:t>
                  </w:r>
                </w:p>
              </w:tc>
              <w:tc>
                <w:tcPr>
                  <w:tcW w:w="986" w:type="dxa"/>
                  <w:vAlign w:val="center"/>
                </w:tcPr>
                <w:p>
                  <w:pPr>
                    <w:keepNext w:val="0"/>
                    <w:keepLines w:val="0"/>
                    <w:widowControl/>
                    <w:suppressLineNumbers w:val="0"/>
                    <w:jc w:val="right"/>
                    <w:textAlignment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s="宋体"/>
                      <w:i w:val="0"/>
                      <w:color w:val="000000" w:themeColor="text1"/>
                      <w:kern w:val="0"/>
                      <w:sz w:val="22"/>
                      <w:szCs w:val="22"/>
                      <w:u w:val="none"/>
                      <w:lang w:val="en-US" w:eastAsia="zh-CN" w:bidi="ar"/>
                      <w14:textFill>
                        <w14:solidFill>
                          <w14:schemeClr w14:val="tx1"/>
                        </w14:solidFill>
                      </w14:textFill>
                    </w:rPr>
                    <w:t>470</w:t>
                  </w:r>
                </w:p>
              </w:tc>
              <w:tc>
                <w:tcPr>
                  <w:tcW w:w="890" w:type="dxa"/>
                  <w:vAlign w:val="center"/>
                </w:tcPr>
                <w:p>
                  <w:pPr>
                    <w:adjustRightInd w:val="0"/>
                    <w:snapToGrid w:val="0"/>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c>
                <w:tcPr>
                  <w:tcW w:w="880" w:type="dxa"/>
                  <w:vAlign w:val="center"/>
                </w:tcPr>
                <w:p>
                  <w:pPr>
                    <w:adjustRightInd w:val="0"/>
                    <w:snapToGrid w:val="0"/>
                    <w:jc w:val="center"/>
                    <w:rPr>
                      <w:rFonts w:hint="default"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426" w:type="dxa"/>
                  <w:vMerge w:val="continue"/>
                  <w:tcBorders/>
                  <w:vAlign w:val="center"/>
                </w:tcPr>
                <w:p>
                  <w:pPr>
                    <w:adjustRightInd w:val="0"/>
                    <w:snapToGrid w:val="0"/>
                    <w:jc w:val="center"/>
                    <w:rPr>
                      <w:rFonts w:hint="eastAsia" w:ascii="Times New Roman" w:hAnsi="Times New Roman" w:eastAsia="宋体"/>
                      <w:color w:val="000000" w:themeColor="text1"/>
                      <w14:textFill>
                        <w14:solidFill>
                          <w14:schemeClr w14:val="tx1"/>
                        </w14:solidFill>
                      </w14:textFill>
                    </w:rPr>
                  </w:pPr>
                </w:p>
              </w:tc>
              <w:tc>
                <w:tcPr>
                  <w:tcW w:w="1660" w:type="dxa"/>
                  <w:vAlign w:val="center"/>
                </w:tcPr>
                <w:p>
                  <w:pPr>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铁屑</w:t>
                  </w:r>
                </w:p>
              </w:tc>
              <w:tc>
                <w:tcPr>
                  <w:tcW w:w="1088" w:type="dxa"/>
                  <w:vAlign w:val="top"/>
                </w:tcPr>
                <w:p>
                  <w:pPr>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771</w:t>
                  </w:r>
                </w:p>
              </w:tc>
              <w:tc>
                <w:tcPr>
                  <w:tcW w:w="890" w:type="dxa"/>
                  <w:vAlign w:val="top"/>
                </w:tcPr>
                <w:p>
                  <w:pPr>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771</w:t>
                  </w:r>
                </w:p>
              </w:tc>
              <w:tc>
                <w:tcPr>
                  <w:tcW w:w="1038" w:type="dxa"/>
                  <w:vAlign w:val="center"/>
                </w:tcPr>
                <w:p>
                  <w:pPr>
                    <w:adjustRightInd w:val="0"/>
                    <w:snapToGrid w:val="0"/>
                    <w:ind w:left="-107" w:leftChars="-51" w:right="-107" w:rightChars="-51"/>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c>
                <w:tcPr>
                  <w:tcW w:w="986" w:type="dxa"/>
                  <w:vAlign w:val="center"/>
                </w:tcPr>
                <w:p>
                  <w:pPr>
                    <w:keepNext w:val="0"/>
                    <w:keepLines w:val="0"/>
                    <w:widowControl/>
                    <w:suppressLineNumbers w:val="0"/>
                    <w:jc w:val="right"/>
                    <w:textAlignment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s="宋体"/>
                      <w:i w:val="0"/>
                      <w:color w:val="000000" w:themeColor="text1"/>
                      <w:kern w:val="0"/>
                      <w:sz w:val="22"/>
                      <w:szCs w:val="22"/>
                      <w:u w:val="none"/>
                      <w:lang w:val="en-US" w:eastAsia="zh-CN" w:bidi="ar"/>
                      <w14:textFill>
                        <w14:solidFill>
                          <w14:schemeClr w14:val="tx1"/>
                        </w14:solidFill>
                      </w14:textFill>
                    </w:rPr>
                    <w:t>1812</w:t>
                  </w:r>
                </w:p>
              </w:tc>
              <w:tc>
                <w:tcPr>
                  <w:tcW w:w="986" w:type="dxa"/>
                  <w:vAlign w:val="center"/>
                </w:tcPr>
                <w:p>
                  <w:pPr>
                    <w:keepNext w:val="0"/>
                    <w:keepLines w:val="0"/>
                    <w:widowControl/>
                    <w:suppressLineNumbers w:val="0"/>
                    <w:jc w:val="right"/>
                    <w:textAlignment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s="宋体"/>
                      <w:i w:val="0"/>
                      <w:color w:val="000000" w:themeColor="text1"/>
                      <w:kern w:val="0"/>
                      <w:sz w:val="22"/>
                      <w:szCs w:val="22"/>
                      <w:u w:val="none"/>
                      <w:lang w:val="en-US" w:eastAsia="zh-CN" w:bidi="ar"/>
                      <w14:textFill>
                        <w14:solidFill>
                          <w14:schemeClr w14:val="tx1"/>
                        </w14:solidFill>
                      </w14:textFill>
                    </w:rPr>
                    <w:t>1812</w:t>
                  </w:r>
                </w:p>
              </w:tc>
              <w:tc>
                <w:tcPr>
                  <w:tcW w:w="890" w:type="dxa"/>
                  <w:vAlign w:val="center"/>
                </w:tcPr>
                <w:p>
                  <w:pPr>
                    <w:adjustRightInd w:val="0"/>
                    <w:snapToGrid w:val="0"/>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c>
                <w:tcPr>
                  <w:tcW w:w="880" w:type="dxa"/>
                  <w:vAlign w:val="center"/>
                </w:tcPr>
                <w:p>
                  <w:pPr>
                    <w:adjustRightInd w:val="0"/>
                    <w:snapToGrid w:val="0"/>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continue"/>
                  <w:tcBorders/>
                  <w:vAlign w:val="center"/>
                </w:tcPr>
                <w:p>
                  <w:pPr>
                    <w:adjustRightInd w:val="0"/>
                    <w:snapToGrid w:val="0"/>
                    <w:jc w:val="center"/>
                    <w:rPr>
                      <w:rFonts w:hint="eastAsia" w:ascii="Times New Roman" w:hAnsi="Times New Roman" w:eastAsia="宋体"/>
                      <w:color w:val="000000" w:themeColor="text1"/>
                      <w14:textFill>
                        <w14:solidFill>
                          <w14:schemeClr w14:val="tx1"/>
                        </w14:solidFill>
                      </w14:textFill>
                    </w:rPr>
                  </w:pPr>
                </w:p>
              </w:tc>
              <w:tc>
                <w:tcPr>
                  <w:tcW w:w="1660" w:type="dxa"/>
                  <w:vAlign w:val="center"/>
                </w:tcPr>
                <w:p>
                  <w:pPr>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含铁除尘灰</w:t>
                  </w:r>
                </w:p>
              </w:tc>
              <w:tc>
                <w:tcPr>
                  <w:tcW w:w="1088" w:type="dxa"/>
                  <w:vAlign w:val="top"/>
                </w:tcPr>
                <w:p>
                  <w:pPr>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428.97</w:t>
                  </w:r>
                </w:p>
              </w:tc>
              <w:tc>
                <w:tcPr>
                  <w:tcW w:w="890" w:type="dxa"/>
                  <w:vAlign w:val="top"/>
                </w:tcPr>
                <w:p>
                  <w:pPr>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428.97</w:t>
                  </w:r>
                </w:p>
              </w:tc>
              <w:tc>
                <w:tcPr>
                  <w:tcW w:w="1038" w:type="dxa"/>
                  <w:vAlign w:val="center"/>
                </w:tcPr>
                <w:p>
                  <w:pPr>
                    <w:adjustRightInd w:val="0"/>
                    <w:snapToGrid w:val="0"/>
                    <w:ind w:left="-107" w:leftChars="-51" w:right="-107" w:rightChars="-51"/>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c>
                <w:tcPr>
                  <w:tcW w:w="986" w:type="dxa"/>
                  <w:vAlign w:val="center"/>
                </w:tcPr>
                <w:p>
                  <w:pPr>
                    <w:keepNext w:val="0"/>
                    <w:keepLines w:val="0"/>
                    <w:widowControl/>
                    <w:suppressLineNumbers w:val="0"/>
                    <w:jc w:val="right"/>
                    <w:textAlignment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s="宋体"/>
                      <w:i w:val="0"/>
                      <w:color w:val="000000" w:themeColor="text1"/>
                      <w:kern w:val="0"/>
                      <w:sz w:val="22"/>
                      <w:szCs w:val="22"/>
                      <w:u w:val="none"/>
                      <w:lang w:val="en-US" w:eastAsia="zh-CN" w:bidi="ar"/>
                      <w14:textFill>
                        <w14:solidFill>
                          <w14:schemeClr w14:val="tx1"/>
                        </w14:solidFill>
                      </w14:textFill>
                    </w:rPr>
                    <w:t>1008.07</w:t>
                  </w:r>
                </w:p>
              </w:tc>
              <w:tc>
                <w:tcPr>
                  <w:tcW w:w="986" w:type="dxa"/>
                  <w:vAlign w:val="center"/>
                </w:tcPr>
                <w:p>
                  <w:pPr>
                    <w:keepNext w:val="0"/>
                    <w:keepLines w:val="0"/>
                    <w:widowControl/>
                    <w:suppressLineNumbers w:val="0"/>
                    <w:jc w:val="right"/>
                    <w:textAlignment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s="宋体"/>
                      <w:i w:val="0"/>
                      <w:color w:val="000000" w:themeColor="text1"/>
                      <w:kern w:val="0"/>
                      <w:sz w:val="22"/>
                      <w:szCs w:val="22"/>
                      <w:u w:val="none"/>
                      <w:lang w:val="en-US" w:eastAsia="zh-CN" w:bidi="ar"/>
                      <w14:textFill>
                        <w14:solidFill>
                          <w14:schemeClr w14:val="tx1"/>
                        </w14:solidFill>
                      </w14:textFill>
                    </w:rPr>
                    <w:t>1008.07</w:t>
                  </w:r>
                </w:p>
              </w:tc>
              <w:tc>
                <w:tcPr>
                  <w:tcW w:w="890" w:type="dxa"/>
                  <w:vAlign w:val="center"/>
                </w:tcPr>
                <w:p>
                  <w:pPr>
                    <w:adjustRightInd w:val="0"/>
                    <w:snapToGrid w:val="0"/>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c>
                <w:tcPr>
                  <w:tcW w:w="880" w:type="dxa"/>
                  <w:vAlign w:val="center"/>
                </w:tcPr>
                <w:p>
                  <w:pPr>
                    <w:adjustRightInd w:val="0"/>
                    <w:snapToGrid w:val="0"/>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426" w:type="dxa"/>
                  <w:vMerge w:val="continue"/>
                  <w:tcBorders/>
                  <w:vAlign w:val="center"/>
                </w:tcPr>
                <w:p>
                  <w:pPr>
                    <w:adjustRightInd w:val="0"/>
                    <w:snapToGrid w:val="0"/>
                    <w:jc w:val="center"/>
                    <w:rPr>
                      <w:rFonts w:hint="eastAsia" w:ascii="Times New Roman" w:hAnsi="Times New Roman" w:eastAsia="宋体"/>
                      <w:color w:val="000000" w:themeColor="text1"/>
                      <w14:textFill>
                        <w14:solidFill>
                          <w14:schemeClr w14:val="tx1"/>
                        </w14:solidFill>
                      </w14:textFill>
                    </w:rPr>
                  </w:pPr>
                </w:p>
              </w:tc>
              <w:tc>
                <w:tcPr>
                  <w:tcW w:w="1660" w:type="dxa"/>
                  <w:vAlign w:val="center"/>
                </w:tcPr>
                <w:p>
                  <w:pPr>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喷锌除尘灰</w:t>
                  </w:r>
                </w:p>
              </w:tc>
              <w:tc>
                <w:tcPr>
                  <w:tcW w:w="1088" w:type="dxa"/>
                  <w:vAlign w:val="top"/>
                </w:tcPr>
                <w:p>
                  <w:pPr>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5.06</w:t>
                  </w:r>
                </w:p>
              </w:tc>
              <w:tc>
                <w:tcPr>
                  <w:tcW w:w="890" w:type="dxa"/>
                  <w:vAlign w:val="top"/>
                </w:tcPr>
                <w:p>
                  <w:pPr>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5.06</w:t>
                  </w:r>
                </w:p>
              </w:tc>
              <w:tc>
                <w:tcPr>
                  <w:tcW w:w="1038" w:type="dxa"/>
                  <w:vAlign w:val="center"/>
                </w:tcPr>
                <w:p>
                  <w:pPr>
                    <w:adjustRightInd w:val="0"/>
                    <w:snapToGrid w:val="0"/>
                    <w:ind w:left="-107" w:leftChars="-51" w:right="-107" w:rightChars="-51"/>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c>
                <w:tcPr>
                  <w:tcW w:w="986" w:type="dxa"/>
                  <w:vAlign w:val="center"/>
                </w:tcPr>
                <w:p>
                  <w:pPr>
                    <w:keepNext w:val="0"/>
                    <w:keepLines w:val="0"/>
                    <w:widowControl/>
                    <w:suppressLineNumbers w:val="0"/>
                    <w:jc w:val="right"/>
                    <w:textAlignment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s="宋体"/>
                      <w:i w:val="0"/>
                      <w:color w:val="000000" w:themeColor="text1"/>
                      <w:kern w:val="0"/>
                      <w:sz w:val="22"/>
                      <w:szCs w:val="22"/>
                      <w:u w:val="none"/>
                      <w:lang w:val="en-US" w:eastAsia="zh-CN" w:bidi="ar"/>
                      <w14:textFill>
                        <w14:solidFill>
                          <w14:schemeClr w14:val="tx1"/>
                        </w14:solidFill>
                      </w14:textFill>
                    </w:rPr>
                    <w:t>11.89</w:t>
                  </w:r>
                </w:p>
              </w:tc>
              <w:tc>
                <w:tcPr>
                  <w:tcW w:w="986" w:type="dxa"/>
                  <w:vAlign w:val="center"/>
                </w:tcPr>
                <w:p>
                  <w:pPr>
                    <w:keepNext w:val="0"/>
                    <w:keepLines w:val="0"/>
                    <w:widowControl/>
                    <w:suppressLineNumbers w:val="0"/>
                    <w:jc w:val="right"/>
                    <w:textAlignment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s="宋体"/>
                      <w:i w:val="0"/>
                      <w:color w:val="000000" w:themeColor="text1"/>
                      <w:kern w:val="0"/>
                      <w:sz w:val="22"/>
                      <w:szCs w:val="22"/>
                      <w:u w:val="none"/>
                      <w:lang w:val="en-US" w:eastAsia="zh-CN" w:bidi="ar"/>
                      <w14:textFill>
                        <w14:solidFill>
                          <w14:schemeClr w14:val="tx1"/>
                        </w14:solidFill>
                      </w14:textFill>
                    </w:rPr>
                    <w:t>11.89</w:t>
                  </w:r>
                </w:p>
              </w:tc>
              <w:tc>
                <w:tcPr>
                  <w:tcW w:w="890" w:type="dxa"/>
                  <w:vAlign w:val="center"/>
                </w:tcPr>
                <w:p>
                  <w:pPr>
                    <w:adjustRightInd w:val="0"/>
                    <w:snapToGrid w:val="0"/>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c>
                <w:tcPr>
                  <w:tcW w:w="880" w:type="dxa"/>
                  <w:vAlign w:val="center"/>
                </w:tcPr>
                <w:p>
                  <w:pPr>
                    <w:adjustRightInd w:val="0"/>
                    <w:snapToGrid w:val="0"/>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426" w:type="dxa"/>
                  <w:vMerge w:val="continue"/>
                  <w:tcBorders/>
                  <w:vAlign w:val="center"/>
                </w:tcPr>
                <w:p>
                  <w:pPr>
                    <w:adjustRightInd w:val="0"/>
                    <w:snapToGrid w:val="0"/>
                    <w:jc w:val="center"/>
                    <w:rPr>
                      <w:rFonts w:hint="eastAsia" w:ascii="Times New Roman" w:hAnsi="Times New Roman" w:eastAsia="宋体"/>
                      <w:color w:val="000000" w:themeColor="text1"/>
                      <w14:textFill>
                        <w14:solidFill>
                          <w14:schemeClr w14:val="tx1"/>
                        </w14:solidFill>
                      </w14:textFill>
                    </w:rPr>
                  </w:pPr>
                </w:p>
              </w:tc>
              <w:tc>
                <w:tcPr>
                  <w:tcW w:w="1660" w:type="dxa"/>
                  <w:vAlign w:val="center"/>
                </w:tcPr>
                <w:p>
                  <w:pPr>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涂料渣</w:t>
                  </w:r>
                </w:p>
              </w:tc>
              <w:tc>
                <w:tcPr>
                  <w:tcW w:w="1088" w:type="dxa"/>
                  <w:vAlign w:val="center"/>
                </w:tcPr>
                <w:p>
                  <w:pPr>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7.56</w:t>
                  </w:r>
                </w:p>
              </w:tc>
              <w:tc>
                <w:tcPr>
                  <w:tcW w:w="890" w:type="dxa"/>
                  <w:vAlign w:val="center"/>
                </w:tcPr>
                <w:p>
                  <w:pPr>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7.56</w:t>
                  </w:r>
                </w:p>
              </w:tc>
              <w:tc>
                <w:tcPr>
                  <w:tcW w:w="1038" w:type="dxa"/>
                  <w:vAlign w:val="center"/>
                </w:tcPr>
                <w:p>
                  <w:pPr>
                    <w:adjustRightInd w:val="0"/>
                    <w:snapToGrid w:val="0"/>
                    <w:ind w:left="-107" w:leftChars="-51" w:right="-107" w:rightChars="-51"/>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c>
                <w:tcPr>
                  <w:tcW w:w="986" w:type="dxa"/>
                  <w:vAlign w:val="center"/>
                </w:tcPr>
                <w:p>
                  <w:pPr>
                    <w:keepNext w:val="0"/>
                    <w:keepLines w:val="0"/>
                    <w:widowControl/>
                    <w:suppressLineNumbers w:val="0"/>
                    <w:jc w:val="right"/>
                    <w:textAlignment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s="宋体"/>
                      <w:i w:val="0"/>
                      <w:color w:val="000000" w:themeColor="text1"/>
                      <w:kern w:val="0"/>
                      <w:sz w:val="22"/>
                      <w:szCs w:val="22"/>
                      <w:u w:val="none"/>
                      <w:lang w:val="en-US" w:eastAsia="zh-CN" w:bidi="ar"/>
                      <w14:textFill>
                        <w14:solidFill>
                          <w14:schemeClr w14:val="tx1"/>
                        </w14:solidFill>
                      </w14:textFill>
                    </w:rPr>
                    <w:t>57.96</w:t>
                  </w:r>
                </w:p>
              </w:tc>
              <w:tc>
                <w:tcPr>
                  <w:tcW w:w="986" w:type="dxa"/>
                  <w:vAlign w:val="center"/>
                </w:tcPr>
                <w:p>
                  <w:pPr>
                    <w:keepNext w:val="0"/>
                    <w:keepLines w:val="0"/>
                    <w:widowControl/>
                    <w:suppressLineNumbers w:val="0"/>
                    <w:jc w:val="right"/>
                    <w:textAlignment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s="宋体"/>
                      <w:i w:val="0"/>
                      <w:color w:val="000000" w:themeColor="text1"/>
                      <w:kern w:val="0"/>
                      <w:sz w:val="22"/>
                      <w:szCs w:val="22"/>
                      <w:u w:val="none"/>
                      <w:lang w:val="en-US" w:eastAsia="zh-CN" w:bidi="ar"/>
                      <w14:textFill>
                        <w14:solidFill>
                          <w14:schemeClr w14:val="tx1"/>
                        </w14:solidFill>
                      </w14:textFill>
                    </w:rPr>
                    <w:t>57.96</w:t>
                  </w:r>
                </w:p>
              </w:tc>
              <w:tc>
                <w:tcPr>
                  <w:tcW w:w="890" w:type="dxa"/>
                  <w:vAlign w:val="center"/>
                </w:tcPr>
                <w:p>
                  <w:pPr>
                    <w:adjustRightInd w:val="0"/>
                    <w:snapToGrid w:val="0"/>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c>
                <w:tcPr>
                  <w:tcW w:w="880" w:type="dxa"/>
                  <w:vAlign w:val="center"/>
                </w:tcPr>
                <w:p>
                  <w:pPr>
                    <w:adjustRightInd w:val="0"/>
                    <w:snapToGrid w:val="0"/>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26" w:type="dxa"/>
                  <w:vMerge w:val="continue"/>
                  <w:tcBorders/>
                  <w:vAlign w:val="center"/>
                </w:tcPr>
                <w:p>
                  <w:pPr>
                    <w:adjustRightInd w:val="0"/>
                    <w:snapToGrid w:val="0"/>
                    <w:jc w:val="center"/>
                    <w:rPr>
                      <w:rFonts w:hint="eastAsia" w:ascii="Times New Roman" w:hAnsi="Times New Roman" w:eastAsia="宋体"/>
                      <w:color w:val="000000" w:themeColor="text1"/>
                      <w14:textFill>
                        <w14:solidFill>
                          <w14:schemeClr w14:val="tx1"/>
                        </w14:solidFill>
                      </w14:textFill>
                    </w:rPr>
                  </w:pPr>
                </w:p>
              </w:tc>
              <w:tc>
                <w:tcPr>
                  <w:tcW w:w="1660" w:type="dxa"/>
                  <w:vAlign w:val="center"/>
                </w:tcPr>
                <w:p>
                  <w:pPr>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废油漆桶</w:t>
                  </w:r>
                </w:p>
              </w:tc>
              <w:tc>
                <w:tcPr>
                  <w:tcW w:w="1088" w:type="dxa"/>
                  <w:vAlign w:val="top"/>
                </w:tcPr>
                <w:p>
                  <w:pPr>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0.45</w:t>
                  </w:r>
                </w:p>
              </w:tc>
              <w:tc>
                <w:tcPr>
                  <w:tcW w:w="890" w:type="dxa"/>
                  <w:vAlign w:val="top"/>
                </w:tcPr>
                <w:p>
                  <w:pPr>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0.45</w:t>
                  </w:r>
                </w:p>
              </w:tc>
              <w:tc>
                <w:tcPr>
                  <w:tcW w:w="1038" w:type="dxa"/>
                  <w:vAlign w:val="center"/>
                </w:tcPr>
                <w:p>
                  <w:pPr>
                    <w:adjustRightInd w:val="0"/>
                    <w:snapToGrid w:val="0"/>
                    <w:ind w:left="-107" w:leftChars="-51" w:right="-107" w:rightChars="-51"/>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c>
                <w:tcPr>
                  <w:tcW w:w="986" w:type="dxa"/>
                  <w:vAlign w:val="center"/>
                </w:tcPr>
                <w:p>
                  <w:pPr>
                    <w:keepNext w:val="0"/>
                    <w:keepLines w:val="0"/>
                    <w:widowControl/>
                    <w:suppressLineNumbers w:val="0"/>
                    <w:jc w:val="right"/>
                    <w:textAlignment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s="宋体"/>
                      <w:i w:val="0"/>
                      <w:color w:val="000000" w:themeColor="text1"/>
                      <w:kern w:val="0"/>
                      <w:sz w:val="22"/>
                      <w:szCs w:val="22"/>
                      <w:u w:val="none"/>
                      <w:lang w:val="en-US" w:eastAsia="zh-CN" w:bidi="ar"/>
                      <w14:textFill>
                        <w14:solidFill>
                          <w14:schemeClr w14:val="tx1"/>
                        </w14:solidFill>
                      </w14:textFill>
                    </w:rPr>
                    <w:t>3.45</w:t>
                  </w:r>
                </w:p>
              </w:tc>
              <w:tc>
                <w:tcPr>
                  <w:tcW w:w="986" w:type="dxa"/>
                  <w:vAlign w:val="center"/>
                </w:tcPr>
                <w:p>
                  <w:pPr>
                    <w:keepNext w:val="0"/>
                    <w:keepLines w:val="0"/>
                    <w:widowControl/>
                    <w:suppressLineNumbers w:val="0"/>
                    <w:jc w:val="right"/>
                    <w:textAlignment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s="宋体"/>
                      <w:i w:val="0"/>
                      <w:color w:val="000000" w:themeColor="text1"/>
                      <w:kern w:val="0"/>
                      <w:sz w:val="22"/>
                      <w:szCs w:val="22"/>
                      <w:u w:val="none"/>
                      <w:lang w:val="en-US" w:eastAsia="zh-CN" w:bidi="ar"/>
                      <w14:textFill>
                        <w14:solidFill>
                          <w14:schemeClr w14:val="tx1"/>
                        </w14:solidFill>
                      </w14:textFill>
                    </w:rPr>
                    <w:t>3.45</w:t>
                  </w:r>
                </w:p>
              </w:tc>
              <w:tc>
                <w:tcPr>
                  <w:tcW w:w="890" w:type="dxa"/>
                  <w:vAlign w:val="center"/>
                </w:tcPr>
                <w:p>
                  <w:pPr>
                    <w:adjustRightInd w:val="0"/>
                    <w:snapToGrid w:val="0"/>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c>
                <w:tcPr>
                  <w:tcW w:w="880" w:type="dxa"/>
                  <w:vAlign w:val="center"/>
                </w:tcPr>
                <w:p>
                  <w:pPr>
                    <w:adjustRightInd w:val="0"/>
                    <w:snapToGrid w:val="0"/>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426" w:type="dxa"/>
                  <w:vMerge w:val="continue"/>
                  <w:tcBorders/>
                  <w:vAlign w:val="center"/>
                </w:tcPr>
                <w:p>
                  <w:pPr>
                    <w:adjustRightInd w:val="0"/>
                    <w:snapToGrid w:val="0"/>
                    <w:jc w:val="center"/>
                    <w:rPr>
                      <w:rFonts w:hint="eastAsia" w:ascii="Times New Roman" w:hAnsi="Times New Roman" w:eastAsia="宋体"/>
                      <w:color w:val="000000" w:themeColor="text1"/>
                      <w14:textFill>
                        <w14:solidFill>
                          <w14:schemeClr w14:val="tx1"/>
                        </w14:solidFill>
                      </w14:textFill>
                    </w:rPr>
                  </w:pPr>
                </w:p>
              </w:tc>
              <w:tc>
                <w:tcPr>
                  <w:tcW w:w="1660" w:type="dxa"/>
                  <w:vAlign w:val="center"/>
                </w:tcPr>
                <w:p>
                  <w:pPr>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废活性炭</w:t>
                  </w:r>
                </w:p>
              </w:tc>
              <w:tc>
                <w:tcPr>
                  <w:tcW w:w="1088" w:type="dxa"/>
                  <w:vAlign w:val="top"/>
                </w:tcPr>
                <w:p>
                  <w:pPr>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8.52</w:t>
                  </w:r>
                </w:p>
              </w:tc>
              <w:tc>
                <w:tcPr>
                  <w:tcW w:w="890" w:type="dxa"/>
                  <w:vAlign w:val="top"/>
                </w:tcPr>
                <w:p>
                  <w:pPr>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8.52</w:t>
                  </w:r>
                </w:p>
              </w:tc>
              <w:tc>
                <w:tcPr>
                  <w:tcW w:w="1038" w:type="dxa"/>
                  <w:vAlign w:val="center"/>
                </w:tcPr>
                <w:p>
                  <w:pPr>
                    <w:adjustRightInd w:val="0"/>
                    <w:snapToGrid w:val="0"/>
                    <w:ind w:left="-107" w:leftChars="-51" w:right="-107" w:rightChars="-51"/>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c>
                <w:tcPr>
                  <w:tcW w:w="986" w:type="dxa"/>
                  <w:vAlign w:val="center"/>
                </w:tcPr>
                <w:p>
                  <w:pPr>
                    <w:keepNext w:val="0"/>
                    <w:keepLines w:val="0"/>
                    <w:widowControl/>
                    <w:suppressLineNumbers w:val="0"/>
                    <w:jc w:val="right"/>
                    <w:textAlignment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s="宋体"/>
                      <w:i w:val="0"/>
                      <w:color w:val="000000" w:themeColor="text1"/>
                      <w:kern w:val="0"/>
                      <w:sz w:val="22"/>
                      <w:szCs w:val="22"/>
                      <w:u w:val="none"/>
                      <w:lang w:val="en-US" w:eastAsia="zh-CN" w:bidi="ar"/>
                      <w14:textFill>
                        <w14:solidFill>
                          <w14:schemeClr w14:val="tx1"/>
                        </w14:solidFill>
                      </w14:textFill>
                    </w:rPr>
                    <w:t>65.32</w:t>
                  </w:r>
                </w:p>
              </w:tc>
              <w:tc>
                <w:tcPr>
                  <w:tcW w:w="986" w:type="dxa"/>
                  <w:vAlign w:val="center"/>
                </w:tcPr>
                <w:p>
                  <w:pPr>
                    <w:keepNext w:val="0"/>
                    <w:keepLines w:val="0"/>
                    <w:widowControl/>
                    <w:suppressLineNumbers w:val="0"/>
                    <w:jc w:val="right"/>
                    <w:textAlignment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s="宋体"/>
                      <w:i w:val="0"/>
                      <w:color w:val="000000" w:themeColor="text1"/>
                      <w:kern w:val="0"/>
                      <w:sz w:val="22"/>
                      <w:szCs w:val="22"/>
                      <w:u w:val="none"/>
                      <w:lang w:val="en-US" w:eastAsia="zh-CN" w:bidi="ar"/>
                      <w14:textFill>
                        <w14:solidFill>
                          <w14:schemeClr w14:val="tx1"/>
                        </w14:solidFill>
                      </w14:textFill>
                    </w:rPr>
                    <w:t>65.32</w:t>
                  </w:r>
                </w:p>
              </w:tc>
              <w:tc>
                <w:tcPr>
                  <w:tcW w:w="890" w:type="dxa"/>
                  <w:vAlign w:val="center"/>
                </w:tcPr>
                <w:p>
                  <w:pPr>
                    <w:adjustRightInd w:val="0"/>
                    <w:snapToGrid w:val="0"/>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c>
                <w:tcPr>
                  <w:tcW w:w="880" w:type="dxa"/>
                  <w:vAlign w:val="center"/>
                </w:tcPr>
                <w:p>
                  <w:pPr>
                    <w:adjustRightInd w:val="0"/>
                    <w:snapToGrid w:val="0"/>
                    <w:jc w:val="center"/>
                    <w:rPr>
                      <w:rFonts w:hint="eastAsia" w:ascii="Times New Roman" w:hAnsi="Times New Roman" w:eastAsia="宋体"/>
                      <w:color w:val="000000" w:themeColor="text1"/>
                      <w:lang w:val="en-US" w:eastAsia="zh-CN"/>
                      <w14:textFill>
                        <w14:solidFill>
                          <w14:schemeClr w14:val="tx1"/>
                        </w14:solidFill>
                      </w14:textFill>
                    </w:rPr>
                  </w:pPr>
                  <w:r>
                    <w:rPr>
                      <w:rFonts w:hint="eastAsia" w:ascii="Times New Roman" w:hAnsi="Times New Roman" w:eastAsia="宋体"/>
                      <w:color w:val="000000" w:themeColor="text1"/>
                      <w:lang w:val="en-US" w:eastAsia="zh-CN"/>
                      <w14:textFill>
                        <w14:solidFill>
                          <w14:schemeClr w14:val="tx1"/>
                        </w14:solidFill>
                      </w14:textFill>
                    </w:rPr>
                    <w:t>0</w:t>
                  </w:r>
                </w:p>
              </w:tc>
            </w:tr>
          </w:tbl>
          <w:p>
            <w:pPr>
              <w:widowControl/>
              <w:spacing w:line="240" w:lineRule="atLeast"/>
              <w:ind w:firstLine="480" w:firstLineChars="200"/>
              <w:rPr>
                <w:rFonts w:ascii="Times New Roman" w:hAnsi="Times New Roman" w:eastAsia="宋体"/>
                <w:color w:val="auto"/>
                <w:sz w:val="24"/>
                <w:szCs w:val="24"/>
              </w:rPr>
            </w:pPr>
          </w:p>
        </w:tc>
      </w:tr>
    </w:tbl>
    <w:p>
      <w:pPr>
        <w:pStyle w:val="3"/>
        <w:keepNext w:val="0"/>
        <w:keepLines w:val="0"/>
        <w:ind w:left="-358" w:leftChars="-256" w:hanging="180" w:hangingChars="64"/>
        <w:rPr>
          <w:rFonts w:ascii="Times New Roman" w:hAnsi="Times New Roman" w:eastAsia="宋体"/>
          <w:color w:val="auto"/>
        </w:rPr>
      </w:pPr>
      <w:r>
        <w:rPr>
          <w:rFonts w:ascii="Times New Roman" w:hAnsi="Times New Roman" w:eastAsia="宋体"/>
          <w:color w:val="auto"/>
          <w:sz w:val="28"/>
          <w:highlight w:val="yellow"/>
        </w:rPr>
        <w:br w:type="page"/>
      </w:r>
      <w:r>
        <w:rPr>
          <w:rFonts w:ascii="Times New Roman" w:hAnsi="Times New Roman" w:eastAsia="宋体"/>
          <w:color w:val="auto"/>
        </w:rPr>
        <w:t>项目主要污染物产生及预计排放情况</w:t>
      </w:r>
    </w:p>
    <w:tbl>
      <w:tblPr>
        <w:tblStyle w:val="22"/>
        <w:tblW w:w="94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14"/>
        <w:gridCol w:w="1358"/>
        <w:gridCol w:w="1821"/>
        <w:gridCol w:w="2578"/>
        <w:gridCol w:w="5"/>
        <w:gridCol w:w="277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jc w:val="center"/>
        </w:trPr>
        <w:tc>
          <w:tcPr>
            <w:tcW w:w="914" w:type="dxa"/>
            <w:tcBorders>
              <w:top w:val="single" w:color="auto" w:sz="4" w:space="0"/>
              <w:left w:val="single" w:color="auto" w:sz="4" w:space="0"/>
              <w:tl2br w:val="single" w:color="auto" w:sz="6" w:space="0"/>
            </w:tcBorders>
          </w:tcPr>
          <w:p>
            <w:pPr>
              <w:keepNext w:val="0"/>
              <w:keepLines w:val="0"/>
              <w:pageBreakBefore w:val="0"/>
              <w:widowControl w:val="0"/>
              <w:kinsoku/>
              <w:wordWrap/>
              <w:overflowPunct/>
              <w:topLinePunct w:val="0"/>
              <w:autoSpaceDE/>
              <w:autoSpaceDN/>
              <w:bidi w:val="0"/>
              <w:spacing w:line="360" w:lineRule="auto"/>
              <w:ind w:left="0" w:leftChars="0"/>
              <w:jc w:val="right"/>
              <w:textAlignment w:val="auto"/>
              <w:rPr>
                <w:rFonts w:ascii="Times New Roman" w:hAnsi="Times New Roman" w:eastAsia="宋体"/>
                <w:color w:val="auto"/>
                <w:sz w:val="24"/>
                <w:szCs w:val="24"/>
              </w:rPr>
            </w:pPr>
            <w:r>
              <w:rPr>
                <w:rFonts w:ascii="Times New Roman" w:hAnsi="Times New Roman" w:eastAsia="宋体"/>
                <w:color w:val="auto"/>
                <w:sz w:val="24"/>
                <w:szCs w:val="24"/>
              </w:rPr>
              <w:t>内容</w:t>
            </w:r>
          </w:p>
          <w:p>
            <w:pPr>
              <w:keepNext w:val="0"/>
              <w:keepLines w:val="0"/>
              <w:pageBreakBefore w:val="0"/>
              <w:widowControl w:val="0"/>
              <w:kinsoku/>
              <w:wordWrap/>
              <w:overflowPunct/>
              <w:topLinePunct w:val="0"/>
              <w:autoSpaceDE/>
              <w:autoSpaceDN/>
              <w:bidi w:val="0"/>
              <w:spacing w:line="360" w:lineRule="auto"/>
              <w:ind w:left="0" w:leftChars="0"/>
              <w:textAlignment w:val="auto"/>
              <w:rPr>
                <w:rFonts w:ascii="Times New Roman" w:hAnsi="Times New Roman" w:eastAsia="宋体"/>
                <w:color w:val="auto"/>
                <w:sz w:val="24"/>
                <w:szCs w:val="24"/>
              </w:rPr>
            </w:pPr>
            <w:r>
              <w:rPr>
                <w:rFonts w:ascii="Times New Roman" w:hAnsi="Times New Roman" w:eastAsia="宋体"/>
                <w:color w:val="auto"/>
                <w:sz w:val="24"/>
                <w:szCs w:val="24"/>
              </w:rPr>
              <w:t>类型</w:t>
            </w:r>
          </w:p>
        </w:tc>
        <w:tc>
          <w:tcPr>
            <w:tcW w:w="1358" w:type="dxa"/>
            <w:tcBorders>
              <w:top w:val="single" w:color="auto" w:sz="4" w:space="0"/>
            </w:tcBorders>
            <w:vAlign w:val="center"/>
          </w:tcPr>
          <w:p>
            <w:pPr>
              <w:keepNext w:val="0"/>
              <w:keepLines w:val="0"/>
              <w:pageBreakBefore w:val="0"/>
              <w:widowControl w:val="0"/>
              <w:kinsoku/>
              <w:wordWrap/>
              <w:overflowPunct/>
              <w:topLinePunct w:val="0"/>
              <w:autoSpaceDE/>
              <w:autoSpaceDN/>
              <w:bidi w:val="0"/>
              <w:spacing w:line="360" w:lineRule="auto"/>
              <w:ind w:left="0" w:leftChars="0"/>
              <w:jc w:val="center"/>
              <w:textAlignment w:val="auto"/>
              <w:rPr>
                <w:rFonts w:ascii="Times New Roman" w:hAnsi="Times New Roman" w:eastAsia="宋体"/>
                <w:color w:val="auto"/>
                <w:sz w:val="24"/>
                <w:szCs w:val="24"/>
              </w:rPr>
            </w:pPr>
            <w:r>
              <w:rPr>
                <w:rFonts w:ascii="Times New Roman" w:hAnsi="Times New Roman" w:eastAsia="宋体"/>
                <w:color w:val="auto"/>
                <w:sz w:val="24"/>
                <w:szCs w:val="24"/>
              </w:rPr>
              <w:t>排放源</w:t>
            </w:r>
          </w:p>
          <w:p>
            <w:pPr>
              <w:keepNext w:val="0"/>
              <w:keepLines w:val="0"/>
              <w:pageBreakBefore w:val="0"/>
              <w:widowControl w:val="0"/>
              <w:kinsoku/>
              <w:wordWrap/>
              <w:overflowPunct/>
              <w:topLinePunct w:val="0"/>
              <w:autoSpaceDE/>
              <w:autoSpaceDN/>
              <w:bidi w:val="0"/>
              <w:spacing w:line="360" w:lineRule="auto"/>
              <w:ind w:left="0" w:leftChars="0"/>
              <w:jc w:val="center"/>
              <w:textAlignment w:val="auto"/>
              <w:rPr>
                <w:rFonts w:ascii="Times New Roman" w:hAnsi="Times New Roman" w:eastAsia="宋体"/>
                <w:color w:val="auto"/>
                <w:sz w:val="24"/>
                <w:szCs w:val="24"/>
              </w:rPr>
            </w:pPr>
            <w:r>
              <w:rPr>
                <w:rFonts w:ascii="Times New Roman" w:hAnsi="Times New Roman" w:eastAsia="宋体"/>
                <w:color w:val="auto"/>
                <w:sz w:val="24"/>
                <w:szCs w:val="24"/>
              </w:rPr>
              <w:t>（编号）</w:t>
            </w:r>
          </w:p>
        </w:tc>
        <w:tc>
          <w:tcPr>
            <w:tcW w:w="1821" w:type="dxa"/>
            <w:tcBorders>
              <w:top w:val="single" w:color="auto" w:sz="4" w:space="0"/>
            </w:tcBorders>
            <w:vAlign w:val="center"/>
          </w:tcPr>
          <w:p>
            <w:pPr>
              <w:keepNext w:val="0"/>
              <w:keepLines w:val="0"/>
              <w:pageBreakBefore w:val="0"/>
              <w:widowControl w:val="0"/>
              <w:kinsoku/>
              <w:wordWrap/>
              <w:overflowPunct/>
              <w:topLinePunct w:val="0"/>
              <w:autoSpaceDE/>
              <w:autoSpaceDN/>
              <w:bidi w:val="0"/>
              <w:spacing w:line="360" w:lineRule="auto"/>
              <w:ind w:left="0" w:leftChars="0"/>
              <w:jc w:val="center"/>
              <w:textAlignment w:val="auto"/>
              <w:rPr>
                <w:rFonts w:ascii="Times New Roman" w:hAnsi="Times New Roman" w:eastAsia="宋体"/>
                <w:color w:val="auto"/>
                <w:sz w:val="24"/>
                <w:szCs w:val="24"/>
              </w:rPr>
            </w:pPr>
            <w:r>
              <w:rPr>
                <w:rFonts w:ascii="Times New Roman" w:hAnsi="Times New Roman" w:eastAsia="宋体"/>
                <w:color w:val="auto"/>
                <w:sz w:val="24"/>
                <w:szCs w:val="24"/>
              </w:rPr>
              <w:t>污染物名称</w:t>
            </w:r>
          </w:p>
        </w:tc>
        <w:tc>
          <w:tcPr>
            <w:tcW w:w="2578" w:type="dxa"/>
            <w:tcBorders>
              <w:top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r>
              <w:rPr>
                <w:rFonts w:ascii="Times New Roman" w:hAnsi="Times New Roman" w:eastAsia="宋体"/>
                <w:color w:val="auto"/>
                <w:sz w:val="24"/>
                <w:szCs w:val="24"/>
              </w:rPr>
              <w:t>处理前产生浓度及产生量</w:t>
            </w:r>
          </w:p>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r>
              <w:rPr>
                <w:rFonts w:ascii="Times New Roman" w:hAnsi="Times New Roman" w:eastAsia="宋体"/>
                <w:color w:val="auto"/>
                <w:sz w:val="24"/>
                <w:szCs w:val="24"/>
              </w:rPr>
              <w:t>（单位）</w:t>
            </w:r>
          </w:p>
        </w:tc>
        <w:tc>
          <w:tcPr>
            <w:tcW w:w="2780" w:type="dxa"/>
            <w:gridSpan w:val="2"/>
            <w:tcBorders>
              <w:top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r>
              <w:rPr>
                <w:rFonts w:ascii="Times New Roman" w:hAnsi="Times New Roman" w:eastAsia="宋体"/>
                <w:color w:val="auto"/>
                <w:sz w:val="24"/>
                <w:szCs w:val="24"/>
              </w:rPr>
              <w:t>排放浓度及排放量</w:t>
            </w:r>
          </w:p>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r>
              <w:rPr>
                <w:rFonts w:ascii="Times New Roman" w:hAnsi="Times New Roman" w:eastAsia="宋体"/>
                <w:color w:val="auto"/>
                <w:sz w:val="24"/>
                <w:szCs w:val="24"/>
              </w:rPr>
              <w:t>（单位）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restart"/>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r>
              <w:rPr>
                <w:rFonts w:ascii="Times New Roman" w:hAnsi="Times New Roman" w:eastAsia="宋体"/>
                <w:color w:val="auto"/>
                <w:sz w:val="24"/>
                <w:szCs w:val="24"/>
              </w:rPr>
              <w:t>大气污染物</w:t>
            </w:r>
          </w:p>
        </w:tc>
        <w:tc>
          <w:tcPr>
            <w:tcW w:w="1358" w:type="dxa"/>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三磨</w:t>
            </w:r>
          </w:p>
        </w:tc>
        <w:tc>
          <w:tcPr>
            <w:tcW w:w="1821" w:type="dxa"/>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粉尘</w:t>
            </w:r>
          </w:p>
        </w:tc>
        <w:tc>
          <w:tcPr>
            <w:tcW w:w="2578" w:type="dxa"/>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color w:val="auto"/>
                <w:sz w:val="24"/>
                <w:szCs w:val="24"/>
              </w:rPr>
            </w:pPr>
            <w:r>
              <w:rPr>
                <w:rFonts w:hint="eastAsia" w:ascii="Times New Roman" w:hAnsi="Times New Roman" w:eastAsia="宋体"/>
                <w:b w:val="0"/>
                <w:bCs w:val="0"/>
                <w:color w:val="auto"/>
                <w:sz w:val="24"/>
                <w:szCs w:val="24"/>
                <w:vertAlign w:val="baseline"/>
                <w:lang w:val="en-US" w:eastAsia="zh-CN"/>
              </w:rPr>
              <w:t>59.1t/a，1350mg/m</w:t>
            </w:r>
            <w:r>
              <w:rPr>
                <w:rFonts w:hint="eastAsia" w:ascii="Times New Roman" w:hAnsi="Times New Roman" w:eastAsia="宋体"/>
                <w:b w:val="0"/>
                <w:bCs w:val="0"/>
                <w:color w:val="auto"/>
                <w:sz w:val="24"/>
                <w:szCs w:val="24"/>
                <w:vertAlign w:val="superscript"/>
                <w:lang w:val="en-US" w:eastAsia="zh-CN"/>
              </w:rPr>
              <w:t>3</w:t>
            </w:r>
          </w:p>
        </w:tc>
        <w:tc>
          <w:tcPr>
            <w:tcW w:w="2780" w:type="dxa"/>
            <w:gridSpan w:val="2"/>
            <w:tcBorders>
              <w:left w:val="single" w:color="auto" w:sz="4" w:space="0"/>
              <w:bottom w:val="single" w:color="auto" w:sz="6" w:space="0"/>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color w:val="auto"/>
                <w:sz w:val="24"/>
                <w:szCs w:val="24"/>
              </w:rPr>
            </w:pPr>
            <w:r>
              <w:rPr>
                <w:rFonts w:hint="eastAsia" w:ascii="Times New Roman" w:hAnsi="Times New Roman" w:eastAsia="宋体"/>
                <w:b w:val="0"/>
                <w:bCs w:val="0"/>
                <w:color w:val="auto"/>
                <w:sz w:val="24"/>
                <w:szCs w:val="24"/>
                <w:vertAlign w:val="baseline"/>
                <w:lang w:val="en-US" w:eastAsia="zh-CN"/>
              </w:rPr>
              <w:t>1.782t/a，27mg/m</w:t>
            </w:r>
            <w:r>
              <w:rPr>
                <w:rFonts w:hint="eastAsia" w:ascii="Times New Roman" w:hAnsi="Times New Roman" w:eastAsia="宋体"/>
                <w:b w:val="0"/>
                <w:bCs w:val="0"/>
                <w:color w:val="auto"/>
                <w:sz w:val="24"/>
                <w:szCs w:val="24"/>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p>
        </w:tc>
        <w:tc>
          <w:tcPr>
            <w:tcW w:w="1358" w:type="dxa"/>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喷锌</w:t>
            </w:r>
          </w:p>
        </w:tc>
        <w:tc>
          <w:tcPr>
            <w:tcW w:w="1821" w:type="dxa"/>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粉尘</w:t>
            </w:r>
          </w:p>
        </w:tc>
        <w:tc>
          <w:tcPr>
            <w:tcW w:w="2578" w:type="dxa"/>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r>
              <w:rPr>
                <w:rFonts w:hint="eastAsia" w:ascii="Times New Roman" w:hAnsi="Times New Roman" w:eastAsia="宋体"/>
                <w:b w:val="0"/>
                <w:bCs w:val="0"/>
                <w:color w:val="auto"/>
                <w:sz w:val="24"/>
                <w:szCs w:val="24"/>
                <w:vertAlign w:val="baseline"/>
                <w:lang w:val="en-US" w:eastAsia="zh-CN"/>
              </w:rPr>
              <w:t>7.116t/a，67.498mg/m</w:t>
            </w:r>
            <w:r>
              <w:rPr>
                <w:rFonts w:hint="eastAsia" w:ascii="Times New Roman" w:hAnsi="Times New Roman" w:eastAsia="宋体"/>
                <w:b w:val="0"/>
                <w:bCs w:val="0"/>
                <w:color w:val="auto"/>
                <w:sz w:val="24"/>
                <w:szCs w:val="24"/>
                <w:vertAlign w:val="superscript"/>
                <w:lang w:val="en-US" w:eastAsia="zh-CN"/>
              </w:rPr>
              <w:t>3</w:t>
            </w:r>
          </w:p>
        </w:tc>
        <w:tc>
          <w:tcPr>
            <w:tcW w:w="2780" w:type="dxa"/>
            <w:gridSpan w:val="2"/>
            <w:tcBorders>
              <w:left w:val="single" w:color="auto" w:sz="4" w:space="0"/>
              <w:bottom w:val="single" w:color="auto" w:sz="6" w:space="0"/>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r>
              <w:rPr>
                <w:rFonts w:hint="eastAsia" w:ascii="Times New Roman" w:hAnsi="Times New Roman" w:eastAsia="宋体"/>
                <w:b w:val="0"/>
                <w:bCs w:val="0"/>
                <w:color w:val="auto"/>
                <w:sz w:val="24"/>
                <w:szCs w:val="24"/>
                <w:vertAlign w:val="baseline"/>
                <w:lang w:val="en-US" w:eastAsia="zh-CN"/>
              </w:rPr>
              <w:t>0.142t/a，1.349mg/m</w:t>
            </w:r>
            <w:r>
              <w:rPr>
                <w:rFonts w:hint="eastAsia" w:ascii="Times New Roman" w:hAnsi="Times New Roman" w:eastAsia="宋体"/>
                <w:b w:val="0"/>
                <w:bCs w:val="0"/>
                <w:color w:val="auto"/>
                <w:sz w:val="24"/>
                <w:szCs w:val="24"/>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p>
        </w:tc>
        <w:tc>
          <w:tcPr>
            <w:tcW w:w="1358" w:type="dxa"/>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喷涂</w:t>
            </w:r>
          </w:p>
        </w:tc>
        <w:tc>
          <w:tcPr>
            <w:tcW w:w="1821" w:type="dxa"/>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非甲烷总烃</w:t>
            </w:r>
          </w:p>
        </w:tc>
        <w:tc>
          <w:tcPr>
            <w:tcW w:w="2578" w:type="dxa"/>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b w:val="0"/>
                <w:bCs w:val="0"/>
                <w:color w:val="auto"/>
                <w:sz w:val="24"/>
                <w:szCs w:val="24"/>
                <w:vertAlign w:val="baseline"/>
                <w:lang w:val="en-US" w:eastAsia="zh-CN"/>
              </w:rPr>
            </w:pPr>
            <w:r>
              <w:rPr>
                <w:rFonts w:hint="eastAsia" w:ascii="Times New Roman" w:hAnsi="Times New Roman" w:eastAsia="宋体"/>
                <w:b w:val="0"/>
                <w:bCs w:val="0"/>
                <w:color w:val="auto"/>
                <w:sz w:val="24"/>
                <w:szCs w:val="24"/>
                <w:vertAlign w:val="baseline"/>
                <w:lang w:val="en-US" w:eastAsia="zh-CN"/>
              </w:rPr>
              <w:t>45.36t/a，210mg/m</w:t>
            </w:r>
            <w:r>
              <w:rPr>
                <w:rFonts w:hint="eastAsia" w:ascii="Times New Roman" w:hAnsi="Times New Roman" w:eastAsia="宋体"/>
                <w:b w:val="0"/>
                <w:bCs w:val="0"/>
                <w:color w:val="auto"/>
                <w:sz w:val="24"/>
                <w:szCs w:val="24"/>
                <w:vertAlign w:val="superscript"/>
                <w:lang w:val="en-US" w:eastAsia="zh-CN"/>
              </w:rPr>
              <w:t>3</w:t>
            </w:r>
          </w:p>
        </w:tc>
        <w:tc>
          <w:tcPr>
            <w:tcW w:w="2780" w:type="dxa"/>
            <w:gridSpan w:val="2"/>
            <w:tcBorders>
              <w:left w:val="single" w:color="auto" w:sz="4" w:space="0"/>
              <w:bottom w:val="single" w:color="auto" w:sz="6" w:space="0"/>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b w:val="0"/>
                <w:bCs w:val="0"/>
                <w:color w:val="auto"/>
                <w:sz w:val="24"/>
                <w:szCs w:val="24"/>
                <w:vertAlign w:val="baseline"/>
                <w:lang w:val="en-US" w:eastAsia="zh-CN"/>
              </w:rPr>
            </w:pPr>
            <w:r>
              <w:rPr>
                <w:rFonts w:hint="eastAsia" w:ascii="Times New Roman" w:hAnsi="Times New Roman" w:eastAsia="宋体"/>
                <w:b w:val="0"/>
                <w:bCs w:val="0"/>
                <w:color w:val="auto"/>
                <w:sz w:val="24"/>
                <w:szCs w:val="24"/>
                <w:vertAlign w:val="baseline"/>
                <w:lang w:val="en-US" w:eastAsia="zh-CN"/>
              </w:rPr>
              <w:t>4.536t/a，21mg/m</w:t>
            </w:r>
            <w:r>
              <w:rPr>
                <w:rFonts w:hint="eastAsia" w:ascii="Times New Roman" w:hAnsi="Times New Roman" w:eastAsia="宋体"/>
                <w:b w:val="0"/>
                <w:bCs w:val="0"/>
                <w:color w:val="auto"/>
                <w:sz w:val="24"/>
                <w:szCs w:val="24"/>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p>
        </w:tc>
        <w:tc>
          <w:tcPr>
            <w:tcW w:w="1358" w:type="dxa"/>
            <w:vMerge w:val="restart"/>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预热炉</w:t>
            </w:r>
          </w:p>
        </w:tc>
        <w:tc>
          <w:tcPr>
            <w:tcW w:w="1821" w:type="dxa"/>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烟尘</w:t>
            </w:r>
          </w:p>
        </w:tc>
        <w:tc>
          <w:tcPr>
            <w:tcW w:w="2578" w:type="dxa"/>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b w:val="0"/>
                <w:bCs w:val="0"/>
                <w:color w:val="auto"/>
                <w:sz w:val="24"/>
                <w:szCs w:val="24"/>
                <w:vertAlign w:val="baseline"/>
                <w:lang w:val="en-US" w:eastAsia="zh-CN"/>
              </w:rPr>
            </w:pPr>
            <w:r>
              <w:rPr>
                <w:rFonts w:hint="eastAsia" w:ascii="Times New Roman" w:hAnsi="Times New Roman" w:eastAsia="宋体"/>
                <w:b w:val="0"/>
                <w:bCs w:val="0"/>
                <w:color w:val="auto"/>
                <w:sz w:val="24"/>
                <w:szCs w:val="24"/>
                <w:vertAlign w:val="baseline"/>
                <w:lang w:val="en-US" w:eastAsia="zh-CN"/>
              </w:rPr>
              <w:t>0.324t/a，15mg/m</w:t>
            </w:r>
            <w:r>
              <w:rPr>
                <w:rFonts w:hint="eastAsia" w:ascii="Times New Roman" w:hAnsi="Times New Roman" w:eastAsia="宋体"/>
                <w:b w:val="0"/>
                <w:bCs w:val="0"/>
                <w:color w:val="auto"/>
                <w:sz w:val="24"/>
                <w:szCs w:val="24"/>
                <w:vertAlign w:val="superscript"/>
                <w:lang w:val="en-US" w:eastAsia="zh-CN"/>
              </w:rPr>
              <w:t>3</w:t>
            </w:r>
          </w:p>
        </w:tc>
        <w:tc>
          <w:tcPr>
            <w:tcW w:w="2780" w:type="dxa"/>
            <w:gridSpan w:val="2"/>
            <w:tcBorders>
              <w:left w:val="single" w:color="auto" w:sz="4" w:space="0"/>
              <w:bottom w:val="single" w:color="auto" w:sz="6" w:space="0"/>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b w:val="0"/>
                <w:bCs w:val="0"/>
                <w:color w:val="auto"/>
                <w:sz w:val="24"/>
                <w:szCs w:val="24"/>
                <w:vertAlign w:val="baseline"/>
                <w:lang w:val="en-US" w:eastAsia="zh-CN"/>
              </w:rPr>
            </w:pPr>
            <w:r>
              <w:rPr>
                <w:rFonts w:hint="eastAsia" w:ascii="Times New Roman" w:hAnsi="Times New Roman" w:eastAsia="宋体"/>
                <w:b w:val="0"/>
                <w:bCs w:val="0"/>
                <w:color w:val="auto"/>
                <w:sz w:val="24"/>
                <w:szCs w:val="24"/>
                <w:vertAlign w:val="baseline"/>
                <w:lang w:val="en-US" w:eastAsia="zh-CN"/>
              </w:rPr>
              <w:t>0.324t/a，15mg/m</w:t>
            </w:r>
            <w:r>
              <w:rPr>
                <w:rFonts w:hint="eastAsia" w:ascii="Times New Roman" w:hAnsi="Times New Roman" w:eastAsia="宋体"/>
                <w:b w:val="0"/>
                <w:bCs w:val="0"/>
                <w:color w:val="auto"/>
                <w:sz w:val="24"/>
                <w:szCs w:val="24"/>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p>
        </w:tc>
        <w:tc>
          <w:tcPr>
            <w:tcW w:w="1358"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color w:val="auto"/>
                <w:sz w:val="24"/>
                <w:szCs w:val="24"/>
                <w:lang w:val="en-US" w:eastAsia="zh-CN"/>
              </w:rPr>
            </w:pPr>
          </w:p>
        </w:tc>
        <w:tc>
          <w:tcPr>
            <w:tcW w:w="1821" w:type="dxa"/>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SO</w:t>
            </w:r>
            <w:r>
              <w:rPr>
                <w:rFonts w:hint="eastAsia" w:ascii="Times New Roman" w:hAnsi="Times New Roman" w:eastAsia="宋体"/>
                <w:color w:val="auto"/>
                <w:sz w:val="24"/>
                <w:szCs w:val="24"/>
                <w:vertAlign w:val="subscript"/>
                <w:lang w:val="en-US" w:eastAsia="zh-CN"/>
              </w:rPr>
              <w:t>2</w:t>
            </w:r>
          </w:p>
        </w:tc>
        <w:tc>
          <w:tcPr>
            <w:tcW w:w="2578" w:type="dxa"/>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b w:val="0"/>
                <w:bCs w:val="0"/>
                <w:color w:val="auto"/>
                <w:sz w:val="24"/>
                <w:szCs w:val="24"/>
                <w:vertAlign w:val="baseline"/>
                <w:lang w:val="en-US" w:eastAsia="zh-CN"/>
              </w:rPr>
            </w:pPr>
            <w:r>
              <w:rPr>
                <w:rFonts w:hint="eastAsia" w:ascii="Times New Roman" w:hAnsi="Times New Roman" w:eastAsia="宋体"/>
                <w:b w:val="0"/>
                <w:bCs w:val="0"/>
                <w:color w:val="auto"/>
                <w:sz w:val="24"/>
                <w:szCs w:val="24"/>
                <w:vertAlign w:val="baseline"/>
                <w:lang w:val="en-US" w:eastAsia="zh-CN"/>
              </w:rPr>
              <w:t>1.123t/a，52mg/m</w:t>
            </w:r>
            <w:r>
              <w:rPr>
                <w:rFonts w:hint="eastAsia" w:ascii="Times New Roman" w:hAnsi="Times New Roman" w:eastAsia="宋体"/>
                <w:b w:val="0"/>
                <w:bCs w:val="0"/>
                <w:color w:val="auto"/>
                <w:sz w:val="24"/>
                <w:szCs w:val="24"/>
                <w:vertAlign w:val="superscript"/>
                <w:lang w:val="en-US" w:eastAsia="zh-CN"/>
              </w:rPr>
              <w:t>3</w:t>
            </w:r>
          </w:p>
        </w:tc>
        <w:tc>
          <w:tcPr>
            <w:tcW w:w="2780" w:type="dxa"/>
            <w:gridSpan w:val="2"/>
            <w:tcBorders>
              <w:left w:val="single" w:color="auto" w:sz="4" w:space="0"/>
              <w:bottom w:val="single" w:color="auto" w:sz="6" w:space="0"/>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b w:val="0"/>
                <w:bCs w:val="0"/>
                <w:color w:val="auto"/>
                <w:sz w:val="24"/>
                <w:szCs w:val="24"/>
                <w:vertAlign w:val="baseline"/>
                <w:lang w:val="en-US" w:eastAsia="zh-CN"/>
              </w:rPr>
            </w:pPr>
            <w:r>
              <w:rPr>
                <w:rFonts w:hint="eastAsia" w:ascii="Times New Roman" w:hAnsi="Times New Roman" w:eastAsia="宋体"/>
                <w:b w:val="0"/>
                <w:bCs w:val="0"/>
                <w:color w:val="auto"/>
                <w:sz w:val="24"/>
                <w:szCs w:val="24"/>
                <w:vertAlign w:val="baseline"/>
                <w:lang w:val="en-US" w:eastAsia="zh-CN"/>
              </w:rPr>
              <w:t>1.123t/a，52mg/m</w:t>
            </w:r>
            <w:r>
              <w:rPr>
                <w:rFonts w:hint="eastAsia" w:ascii="Times New Roman" w:hAnsi="Times New Roman" w:eastAsia="宋体"/>
                <w:b w:val="0"/>
                <w:bCs w:val="0"/>
                <w:color w:val="auto"/>
                <w:sz w:val="24"/>
                <w:szCs w:val="24"/>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p>
        </w:tc>
        <w:tc>
          <w:tcPr>
            <w:tcW w:w="1358"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color w:val="auto"/>
                <w:sz w:val="24"/>
                <w:szCs w:val="24"/>
                <w:lang w:val="en-US" w:eastAsia="zh-CN"/>
              </w:rPr>
            </w:pPr>
          </w:p>
        </w:tc>
        <w:tc>
          <w:tcPr>
            <w:tcW w:w="1821" w:type="dxa"/>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NOx</w:t>
            </w:r>
          </w:p>
        </w:tc>
        <w:tc>
          <w:tcPr>
            <w:tcW w:w="2578" w:type="dxa"/>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b w:val="0"/>
                <w:bCs w:val="0"/>
                <w:color w:val="auto"/>
                <w:sz w:val="24"/>
                <w:szCs w:val="24"/>
                <w:vertAlign w:val="baseline"/>
                <w:lang w:val="en-US" w:eastAsia="zh-CN"/>
              </w:rPr>
            </w:pPr>
            <w:r>
              <w:rPr>
                <w:rFonts w:hint="eastAsia" w:ascii="Times New Roman" w:hAnsi="Times New Roman" w:eastAsia="宋体"/>
                <w:b w:val="0"/>
                <w:bCs w:val="0"/>
                <w:color w:val="auto"/>
                <w:sz w:val="24"/>
                <w:szCs w:val="24"/>
                <w:vertAlign w:val="baseline"/>
                <w:lang w:val="en-US" w:eastAsia="zh-CN"/>
              </w:rPr>
              <w:t>0.756t/a，35mg/m</w:t>
            </w:r>
            <w:r>
              <w:rPr>
                <w:rFonts w:hint="eastAsia" w:ascii="Times New Roman" w:hAnsi="Times New Roman" w:eastAsia="宋体"/>
                <w:b w:val="0"/>
                <w:bCs w:val="0"/>
                <w:color w:val="auto"/>
                <w:sz w:val="24"/>
                <w:szCs w:val="24"/>
                <w:vertAlign w:val="superscript"/>
                <w:lang w:val="en-US" w:eastAsia="zh-CN"/>
              </w:rPr>
              <w:t>3</w:t>
            </w:r>
          </w:p>
        </w:tc>
        <w:tc>
          <w:tcPr>
            <w:tcW w:w="2780" w:type="dxa"/>
            <w:gridSpan w:val="2"/>
            <w:tcBorders>
              <w:left w:val="single" w:color="auto" w:sz="4" w:space="0"/>
              <w:bottom w:val="single" w:color="auto" w:sz="6" w:space="0"/>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b w:val="0"/>
                <w:bCs w:val="0"/>
                <w:color w:val="auto"/>
                <w:sz w:val="24"/>
                <w:szCs w:val="24"/>
                <w:vertAlign w:val="baseline"/>
                <w:lang w:val="en-US" w:eastAsia="zh-CN"/>
              </w:rPr>
            </w:pPr>
            <w:r>
              <w:rPr>
                <w:rFonts w:hint="eastAsia" w:ascii="Times New Roman" w:hAnsi="Times New Roman" w:eastAsia="宋体"/>
                <w:b w:val="0"/>
                <w:bCs w:val="0"/>
                <w:color w:val="auto"/>
                <w:sz w:val="24"/>
                <w:szCs w:val="24"/>
                <w:vertAlign w:val="baseline"/>
                <w:lang w:val="en-US" w:eastAsia="zh-CN"/>
              </w:rPr>
              <w:t>0.756t/a，35mg/m</w:t>
            </w:r>
            <w:r>
              <w:rPr>
                <w:rFonts w:hint="eastAsia" w:ascii="Times New Roman" w:hAnsi="Times New Roman" w:eastAsia="宋体"/>
                <w:b w:val="0"/>
                <w:bCs w:val="0"/>
                <w:color w:val="auto"/>
                <w:sz w:val="24"/>
                <w:szCs w:val="24"/>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p>
        </w:tc>
        <w:tc>
          <w:tcPr>
            <w:tcW w:w="1358" w:type="dxa"/>
            <w:vMerge w:val="restart"/>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加热炉</w:t>
            </w:r>
          </w:p>
        </w:tc>
        <w:tc>
          <w:tcPr>
            <w:tcW w:w="1821" w:type="dxa"/>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烟尘</w:t>
            </w:r>
          </w:p>
        </w:tc>
        <w:tc>
          <w:tcPr>
            <w:tcW w:w="2578" w:type="dxa"/>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b w:val="0"/>
                <w:bCs w:val="0"/>
                <w:color w:val="auto"/>
                <w:sz w:val="24"/>
                <w:szCs w:val="24"/>
                <w:vertAlign w:val="baseline"/>
                <w:lang w:val="en-US" w:eastAsia="zh-CN"/>
              </w:rPr>
            </w:pPr>
            <w:r>
              <w:rPr>
                <w:rFonts w:hint="eastAsia" w:ascii="Times New Roman" w:hAnsi="Times New Roman" w:eastAsia="宋体"/>
                <w:b w:val="0"/>
                <w:bCs w:val="0"/>
                <w:color w:val="auto"/>
                <w:sz w:val="24"/>
                <w:szCs w:val="24"/>
                <w:vertAlign w:val="baseline"/>
                <w:lang w:val="en-US" w:eastAsia="zh-CN"/>
              </w:rPr>
              <w:t>0.324t/a，15mg/m</w:t>
            </w:r>
            <w:r>
              <w:rPr>
                <w:rFonts w:hint="eastAsia" w:ascii="Times New Roman" w:hAnsi="Times New Roman" w:eastAsia="宋体"/>
                <w:b w:val="0"/>
                <w:bCs w:val="0"/>
                <w:color w:val="auto"/>
                <w:sz w:val="24"/>
                <w:szCs w:val="24"/>
                <w:vertAlign w:val="superscript"/>
                <w:lang w:val="en-US" w:eastAsia="zh-CN"/>
              </w:rPr>
              <w:t>3</w:t>
            </w:r>
          </w:p>
        </w:tc>
        <w:tc>
          <w:tcPr>
            <w:tcW w:w="2780" w:type="dxa"/>
            <w:gridSpan w:val="2"/>
            <w:tcBorders>
              <w:left w:val="single" w:color="auto" w:sz="4" w:space="0"/>
              <w:bottom w:val="single" w:color="auto" w:sz="6" w:space="0"/>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b w:val="0"/>
                <w:bCs w:val="0"/>
                <w:color w:val="auto"/>
                <w:sz w:val="24"/>
                <w:szCs w:val="24"/>
                <w:vertAlign w:val="baseline"/>
                <w:lang w:val="en-US" w:eastAsia="zh-CN"/>
              </w:rPr>
            </w:pPr>
            <w:r>
              <w:rPr>
                <w:rFonts w:hint="eastAsia" w:ascii="Times New Roman" w:hAnsi="Times New Roman" w:eastAsia="宋体"/>
                <w:b w:val="0"/>
                <w:bCs w:val="0"/>
                <w:color w:val="auto"/>
                <w:sz w:val="24"/>
                <w:szCs w:val="24"/>
                <w:vertAlign w:val="baseline"/>
                <w:lang w:val="en-US" w:eastAsia="zh-CN"/>
              </w:rPr>
              <w:t>0.324t/a，15mg/m</w:t>
            </w:r>
            <w:r>
              <w:rPr>
                <w:rFonts w:hint="eastAsia" w:ascii="Times New Roman" w:hAnsi="Times New Roman" w:eastAsia="宋体"/>
                <w:b w:val="0"/>
                <w:bCs w:val="0"/>
                <w:color w:val="auto"/>
                <w:sz w:val="24"/>
                <w:szCs w:val="24"/>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p>
        </w:tc>
        <w:tc>
          <w:tcPr>
            <w:tcW w:w="1358"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color w:val="auto"/>
                <w:sz w:val="24"/>
                <w:szCs w:val="24"/>
                <w:lang w:val="en-US" w:eastAsia="zh-CN"/>
              </w:rPr>
            </w:pPr>
          </w:p>
        </w:tc>
        <w:tc>
          <w:tcPr>
            <w:tcW w:w="1821" w:type="dxa"/>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SO</w:t>
            </w:r>
            <w:r>
              <w:rPr>
                <w:rFonts w:hint="eastAsia" w:ascii="Times New Roman" w:hAnsi="Times New Roman" w:eastAsia="宋体"/>
                <w:color w:val="auto"/>
                <w:sz w:val="24"/>
                <w:szCs w:val="24"/>
                <w:vertAlign w:val="subscript"/>
                <w:lang w:val="en-US" w:eastAsia="zh-CN"/>
              </w:rPr>
              <w:t>2</w:t>
            </w:r>
          </w:p>
        </w:tc>
        <w:tc>
          <w:tcPr>
            <w:tcW w:w="2578" w:type="dxa"/>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b w:val="0"/>
                <w:bCs w:val="0"/>
                <w:color w:val="auto"/>
                <w:sz w:val="24"/>
                <w:szCs w:val="24"/>
                <w:vertAlign w:val="baseline"/>
                <w:lang w:val="en-US" w:eastAsia="zh-CN"/>
              </w:rPr>
            </w:pPr>
            <w:r>
              <w:rPr>
                <w:rFonts w:hint="eastAsia" w:ascii="Times New Roman" w:hAnsi="Times New Roman" w:eastAsia="宋体"/>
                <w:b w:val="0"/>
                <w:bCs w:val="0"/>
                <w:color w:val="auto"/>
                <w:sz w:val="24"/>
                <w:szCs w:val="24"/>
                <w:vertAlign w:val="baseline"/>
                <w:lang w:val="en-US" w:eastAsia="zh-CN"/>
              </w:rPr>
              <w:t>1.123t/a，52mg/m</w:t>
            </w:r>
            <w:r>
              <w:rPr>
                <w:rFonts w:hint="eastAsia" w:ascii="Times New Roman" w:hAnsi="Times New Roman" w:eastAsia="宋体"/>
                <w:b w:val="0"/>
                <w:bCs w:val="0"/>
                <w:color w:val="auto"/>
                <w:sz w:val="24"/>
                <w:szCs w:val="24"/>
                <w:vertAlign w:val="superscript"/>
                <w:lang w:val="en-US" w:eastAsia="zh-CN"/>
              </w:rPr>
              <w:t>3</w:t>
            </w:r>
          </w:p>
        </w:tc>
        <w:tc>
          <w:tcPr>
            <w:tcW w:w="2780" w:type="dxa"/>
            <w:gridSpan w:val="2"/>
            <w:tcBorders>
              <w:left w:val="single" w:color="auto" w:sz="4" w:space="0"/>
              <w:bottom w:val="single" w:color="auto" w:sz="6" w:space="0"/>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b w:val="0"/>
                <w:bCs w:val="0"/>
                <w:color w:val="auto"/>
                <w:sz w:val="24"/>
                <w:szCs w:val="24"/>
                <w:vertAlign w:val="baseline"/>
                <w:lang w:val="en-US" w:eastAsia="zh-CN"/>
              </w:rPr>
            </w:pPr>
            <w:r>
              <w:rPr>
                <w:rFonts w:hint="eastAsia" w:ascii="Times New Roman" w:hAnsi="Times New Roman" w:eastAsia="宋体"/>
                <w:b w:val="0"/>
                <w:bCs w:val="0"/>
                <w:color w:val="auto"/>
                <w:sz w:val="24"/>
                <w:szCs w:val="24"/>
                <w:vertAlign w:val="baseline"/>
                <w:lang w:val="en-US" w:eastAsia="zh-CN"/>
              </w:rPr>
              <w:t>1.123t/a，52mg/m</w:t>
            </w:r>
            <w:r>
              <w:rPr>
                <w:rFonts w:hint="eastAsia" w:ascii="Times New Roman" w:hAnsi="Times New Roman" w:eastAsia="宋体"/>
                <w:b w:val="0"/>
                <w:bCs w:val="0"/>
                <w:color w:val="auto"/>
                <w:sz w:val="24"/>
                <w:szCs w:val="24"/>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p>
        </w:tc>
        <w:tc>
          <w:tcPr>
            <w:tcW w:w="1358"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color w:val="auto"/>
                <w:sz w:val="24"/>
                <w:szCs w:val="24"/>
                <w:lang w:val="en-US" w:eastAsia="zh-CN"/>
              </w:rPr>
            </w:pPr>
          </w:p>
        </w:tc>
        <w:tc>
          <w:tcPr>
            <w:tcW w:w="1821" w:type="dxa"/>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NOx</w:t>
            </w:r>
          </w:p>
        </w:tc>
        <w:tc>
          <w:tcPr>
            <w:tcW w:w="2578" w:type="dxa"/>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b w:val="0"/>
                <w:bCs w:val="0"/>
                <w:color w:val="auto"/>
                <w:sz w:val="24"/>
                <w:szCs w:val="24"/>
                <w:vertAlign w:val="baseline"/>
                <w:lang w:val="en-US" w:eastAsia="zh-CN"/>
              </w:rPr>
            </w:pPr>
            <w:r>
              <w:rPr>
                <w:rFonts w:hint="eastAsia" w:ascii="Times New Roman" w:hAnsi="Times New Roman" w:eastAsia="宋体"/>
                <w:b w:val="0"/>
                <w:bCs w:val="0"/>
                <w:color w:val="auto"/>
                <w:sz w:val="24"/>
                <w:szCs w:val="24"/>
                <w:vertAlign w:val="baseline"/>
                <w:lang w:val="en-US" w:eastAsia="zh-CN"/>
              </w:rPr>
              <w:t>0.756t/a，35mg/m</w:t>
            </w:r>
            <w:r>
              <w:rPr>
                <w:rFonts w:hint="eastAsia" w:ascii="Times New Roman" w:hAnsi="Times New Roman" w:eastAsia="宋体"/>
                <w:b w:val="0"/>
                <w:bCs w:val="0"/>
                <w:color w:val="auto"/>
                <w:sz w:val="24"/>
                <w:szCs w:val="24"/>
                <w:vertAlign w:val="superscript"/>
                <w:lang w:val="en-US" w:eastAsia="zh-CN"/>
              </w:rPr>
              <w:t>3</w:t>
            </w:r>
          </w:p>
        </w:tc>
        <w:tc>
          <w:tcPr>
            <w:tcW w:w="2780" w:type="dxa"/>
            <w:gridSpan w:val="2"/>
            <w:tcBorders>
              <w:left w:val="single" w:color="auto" w:sz="4" w:space="0"/>
              <w:bottom w:val="single" w:color="auto" w:sz="6" w:space="0"/>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b w:val="0"/>
                <w:bCs w:val="0"/>
                <w:color w:val="auto"/>
                <w:sz w:val="24"/>
                <w:szCs w:val="24"/>
                <w:vertAlign w:val="baseline"/>
                <w:lang w:val="en-US" w:eastAsia="zh-CN"/>
              </w:rPr>
            </w:pPr>
            <w:r>
              <w:rPr>
                <w:rFonts w:hint="eastAsia" w:ascii="Times New Roman" w:hAnsi="Times New Roman" w:eastAsia="宋体"/>
                <w:b w:val="0"/>
                <w:bCs w:val="0"/>
                <w:color w:val="auto"/>
                <w:sz w:val="24"/>
                <w:szCs w:val="24"/>
                <w:vertAlign w:val="baseline"/>
                <w:lang w:val="en-US" w:eastAsia="zh-CN"/>
              </w:rPr>
              <w:t>0.756t/a，35mg/m</w:t>
            </w:r>
            <w:r>
              <w:rPr>
                <w:rFonts w:hint="eastAsia" w:ascii="Times New Roman" w:hAnsi="Times New Roman" w:eastAsia="宋体"/>
                <w:b w:val="0"/>
                <w:bCs w:val="0"/>
                <w:color w:val="auto"/>
                <w:sz w:val="24"/>
                <w:szCs w:val="24"/>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p>
        </w:tc>
        <w:tc>
          <w:tcPr>
            <w:tcW w:w="1358" w:type="dxa"/>
            <w:vMerge w:val="restart"/>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烘干炉</w:t>
            </w:r>
          </w:p>
        </w:tc>
        <w:tc>
          <w:tcPr>
            <w:tcW w:w="1821" w:type="dxa"/>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烟尘</w:t>
            </w:r>
          </w:p>
        </w:tc>
        <w:tc>
          <w:tcPr>
            <w:tcW w:w="2578" w:type="dxa"/>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b w:val="0"/>
                <w:bCs w:val="0"/>
                <w:color w:val="auto"/>
                <w:sz w:val="24"/>
                <w:szCs w:val="24"/>
                <w:vertAlign w:val="baseline"/>
                <w:lang w:val="en-US" w:eastAsia="zh-CN"/>
              </w:rPr>
            </w:pPr>
            <w:r>
              <w:rPr>
                <w:rFonts w:hint="eastAsia" w:ascii="Times New Roman" w:hAnsi="Times New Roman" w:eastAsia="宋体"/>
                <w:b w:val="0"/>
                <w:bCs w:val="0"/>
                <w:color w:val="auto"/>
                <w:sz w:val="24"/>
                <w:szCs w:val="24"/>
                <w:vertAlign w:val="baseline"/>
                <w:lang w:val="en-US" w:eastAsia="zh-CN"/>
              </w:rPr>
              <w:t>0.324t/a，15mg/m</w:t>
            </w:r>
            <w:r>
              <w:rPr>
                <w:rFonts w:hint="eastAsia" w:ascii="Times New Roman" w:hAnsi="Times New Roman" w:eastAsia="宋体"/>
                <w:b w:val="0"/>
                <w:bCs w:val="0"/>
                <w:color w:val="auto"/>
                <w:sz w:val="24"/>
                <w:szCs w:val="24"/>
                <w:vertAlign w:val="superscript"/>
                <w:lang w:val="en-US" w:eastAsia="zh-CN"/>
              </w:rPr>
              <w:t>3</w:t>
            </w:r>
          </w:p>
        </w:tc>
        <w:tc>
          <w:tcPr>
            <w:tcW w:w="2780" w:type="dxa"/>
            <w:gridSpan w:val="2"/>
            <w:tcBorders>
              <w:left w:val="single" w:color="auto" w:sz="4" w:space="0"/>
              <w:bottom w:val="single" w:color="auto" w:sz="6" w:space="0"/>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b w:val="0"/>
                <w:bCs w:val="0"/>
                <w:color w:val="auto"/>
                <w:sz w:val="24"/>
                <w:szCs w:val="24"/>
                <w:vertAlign w:val="baseline"/>
                <w:lang w:val="en-US" w:eastAsia="zh-CN"/>
              </w:rPr>
            </w:pPr>
            <w:r>
              <w:rPr>
                <w:rFonts w:hint="eastAsia" w:ascii="Times New Roman" w:hAnsi="Times New Roman" w:eastAsia="宋体"/>
                <w:b w:val="0"/>
                <w:bCs w:val="0"/>
                <w:color w:val="auto"/>
                <w:sz w:val="24"/>
                <w:szCs w:val="24"/>
                <w:vertAlign w:val="baseline"/>
                <w:lang w:val="en-US" w:eastAsia="zh-CN"/>
              </w:rPr>
              <w:t>0.324t/a，15mg/m</w:t>
            </w:r>
            <w:r>
              <w:rPr>
                <w:rFonts w:hint="eastAsia" w:ascii="Times New Roman" w:hAnsi="Times New Roman" w:eastAsia="宋体"/>
                <w:b w:val="0"/>
                <w:bCs w:val="0"/>
                <w:color w:val="auto"/>
                <w:sz w:val="24"/>
                <w:szCs w:val="24"/>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p>
        </w:tc>
        <w:tc>
          <w:tcPr>
            <w:tcW w:w="1358"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color w:val="auto"/>
                <w:sz w:val="24"/>
                <w:szCs w:val="24"/>
                <w:lang w:val="en-US" w:eastAsia="zh-CN"/>
              </w:rPr>
            </w:pPr>
          </w:p>
        </w:tc>
        <w:tc>
          <w:tcPr>
            <w:tcW w:w="1821" w:type="dxa"/>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SO</w:t>
            </w:r>
            <w:r>
              <w:rPr>
                <w:rFonts w:hint="eastAsia" w:ascii="Times New Roman" w:hAnsi="Times New Roman" w:eastAsia="宋体"/>
                <w:color w:val="auto"/>
                <w:sz w:val="24"/>
                <w:szCs w:val="24"/>
                <w:vertAlign w:val="subscript"/>
                <w:lang w:val="en-US" w:eastAsia="zh-CN"/>
              </w:rPr>
              <w:t>2</w:t>
            </w:r>
          </w:p>
        </w:tc>
        <w:tc>
          <w:tcPr>
            <w:tcW w:w="2578" w:type="dxa"/>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b w:val="0"/>
                <w:bCs w:val="0"/>
                <w:color w:val="auto"/>
                <w:sz w:val="24"/>
                <w:szCs w:val="24"/>
                <w:vertAlign w:val="baseline"/>
                <w:lang w:val="en-US" w:eastAsia="zh-CN"/>
              </w:rPr>
            </w:pPr>
            <w:r>
              <w:rPr>
                <w:rFonts w:hint="eastAsia" w:ascii="Times New Roman" w:hAnsi="Times New Roman" w:eastAsia="宋体"/>
                <w:b w:val="0"/>
                <w:bCs w:val="0"/>
                <w:color w:val="auto"/>
                <w:sz w:val="24"/>
                <w:szCs w:val="24"/>
                <w:vertAlign w:val="baseline"/>
                <w:lang w:val="en-US" w:eastAsia="zh-CN"/>
              </w:rPr>
              <w:t>1.123t/a，52mg/m</w:t>
            </w:r>
            <w:r>
              <w:rPr>
                <w:rFonts w:hint="eastAsia" w:ascii="Times New Roman" w:hAnsi="Times New Roman" w:eastAsia="宋体"/>
                <w:b w:val="0"/>
                <w:bCs w:val="0"/>
                <w:color w:val="auto"/>
                <w:sz w:val="24"/>
                <w:szCs w:val="24"/>
                <w:vertAlign w:val="superscript"/>
                <w:lang w:val="en-US" w:eastAsia="zh-CN"/>
              </w:rPr>
              <w:t>3</w:t>
            </w:r>
          </w:p>
        </w:tc>
        <w:tc>
          <w:tcPr>
            <w:tcW w:w="2780" w:type="dxa"/>
            <w:gridSpan w:val="2"/>
            <w:tcBorders>
              <w:left w:val="single" w:color="auto" w:sz="4" w:space="0"/>
              <w:bottom w:val="single" w:color="auto" w:sz="6" w:space="0"/>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b w:val="0"/>
                <w:bCs w:val="0"/>
                <w:color w:val="auto"/>
                <w:sz w:val="24"/>
                <w:szCs w:val="24"/>
                <w:vertAlign w:val="baseline"/>
                <w:lang w:val="en-US" w:eastAsia="zh-CN"/>
              </w:rPr>
            </w:pPr>
            <w:r>
              <w:rPr>
                <w:rFonts w:hint="eastAsia" w:ascii="Times New Roman" w:hAnsi="Times New Roman" w:eastAsia="宋体"/>
                <w:b w:val="0"/>
                <w:bCs w:val="0"/>
                <w:color w:val="auto"/>
                <w:sz w:val="24"/>
                <w:szCs w:val="24"/>
                <w:vertAlign w:val="baseline"/>
                <w:lang w:val="en-US" w:eastAsia="zh-CN"/>
              </w:rPr>
              <w:t>1.123t/a，52mg/m</w:t>
            </w:r>
            <w:r>
              <w:rPr>
                <w:rFonts w:hint="eastAsia" w:ascii="Times New Roman" w:hAnsi="Times New Roman" w:eastAsia="宋体"/>
                <w:b w:val="0"/>
                <w:bCs w:val="0"/>
                <w:color w:val="auto"/>
                <w:sz w:val="24"/>
                <w:szCs w:val="24"/>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p>
        </w:tc>
        <w:tc>
          <w:tcPr>
            <w:tcW w:w="1358"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color w:val="auto"/>
                <w:sz w:val="24"/>
                <w:szCs w:val="24"/>
                <w:lang w:val="en-US" w:eastAsia="zh-CN"/>
              </w:rPr>
            </w:pPr>
          </w:p>
        </w:tc>
        <w:tc>
          <w:tcPr>
            <w:tcW w:w="1821" w:type="dxa"/>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NOx</w:t>
            </w:r>
          </w:p>
        </w:tc>
        <w:tc>
          <w:tcPr>
            <w:tcW w:w="2578" w:type="dxa"/>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b w:val="0"/>
                <w:bCs w:val="0"/>
                <w:color w:val="auto"/>
                <w:sz w:val="24"/>
                <w:szCs w:val="24"/>
                <w:vertAlign w:val="baseline"/>
                <w:lang w:val="en-US" w:eastAsia="zh-CN"/>
              </w:rPr>
            </w:pPr>
            <w:r>
              <w:rPr>
                <w:rFonts w:hint="eastAsia" w:ascii="Times New Roman" w:hAnsi="Times New Roman" w:eastAsia="宋体"/>
                <w:b w:val="0"/>
                <w:bCs w:val="0"/>
                <w:color w:val="auto"/>
                <w:sz w:val="24"/>
                <w:szCs w:val="24"/>
                <w:vertAlign w:val="baseline"/>
                <w:lang w:val="en-US" w:eastAsia="zh-CN"/>
              </w:rPr>
              <w:t>0.756t/a，35mg/m</w:t>
            </w:r>
            <w:r>
              <w:rPr>
                <w:rFonts w:hint="eastAsia" w:ascii="Times New Roman" w:hAnsi="Times New Roman" w:eastAsia="宋体"/>
                <w:b w:val="0"/>
                <w:bCs w:val="0"/>
                <w:color w:val="auto"/>
                <w:sz w:val="24"/>
                <w:szCs w:val="24"/>
                <w:vertAlign w:val="superscript"/>
                <w:lang w:val="en-US" w:eastAsia="zh-CN"/>
              </w:rPr>
              <w:t>3</w:t>
            </w:r>
          </w:p>
        </w:tc>
        <w:tc>
          <w:tcPr>
            <w:tcW w:w="2780" w:type="dxa"/>
            <w:gridSpan w:val="2"/>
            <w:tcBorders>
              <w:left w:val="single" w:color="auto" w:sz="4" w:space="0"/>
              <w:bottom w:val="single" w:color="auto" w:sz="6" w:space="0"/>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b w:val="0"/>
                <w:bCs w:val="0"/>
                <w:color w:val="auto"/>
                <w:sz w:val="24"/>
                <w:szCs w:val="24"/>
                <w:vertAlign w:val="baseline"/>
                <w:lang w:val="en-US" w:eastAsia="zh-CN"/>
              </w:rPr>
            </w:pPr>
            <w:r>
              <w:rPr>
                <w:rFonts w:hint="eastAsia" w:ascii="Times New Roman" w:hAnsi="Times New Roman" w:eastAsia="宋体"/>
                <w:b w:val="0"/>
                <w:bCs w:val="0"/>
                <w:color w:val="auto"/>
                <w:sz w:val="24"/>
                <w:szCs w:val="24"/>
                <w:vertAlign w:val="baseline"/>
                <w:lang w:val="en-US" w:eastAsia="zh-CN"/>
              </w:rPr>
              <w:t>0.756t/a，35mg/m</w:t>
            </w:r>
            <w:r>
              <w:rPr>
                <w:rFonts w:hint="eastAsia" w:ascii="Times New Roman" w:hAnsi="Times New Roman" w:eastAsia="宋体"/>
                <w:b w:val="0"/>
                <w:bCs w:val="0"/>
                <w:color w:val="auto"/>
                <w:sz w:val="24"/>
                <w:szCs w:val="24"/>
                <w:vertAlign w:val="superscript"/>
                <w:lang w:val="en-US" w:eastAsia="zh-CN"/>
              </w:rPr>
              <w:t>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p>
        </w:tc>
        <w:tc>
          <w:tcPr>
            <w:tcW w:w="1358" w:type="dxa"/>
            <w:vMerge w:val="restart"/>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生产车间</w:t>
            </w:r>
          </w:p>
        </w:tc>
        <w:tc>
          <w:tcPr>
            <w:tcW w:w="1821" w:type="dxa"/>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粉尘</w:t>
            </w:r>
          </w:p>
        </w:tc>
        <w:tc>
          <w:tcPr>
            <w:tcW w:w="2578" w:type="dxa"/>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default" w:ascii="Times New Roman" w:hAnsi="Times New Roman" w:eastAsia="宋体"/>
                <w:b w:val="0"/>
                <w:bCs w:val="0"/>
                <w:color w:val="auto"/>
                <w:sz w:val="24"/>
                <w:szCs w:val="24"/>
                <w:vertAlign w:val="baseline"/>
                <w:lang w:val="en-US" w:eastAsia="zh-CN"/>
              </w:rPr>
            </w:pPr>
            <w:r>
              <w:rPr>
                <w:rFonts w:hint="eastAsia" w:ascii="Times New Roman" w:hAnsi="Times New Roman" w:eastAsia="宋体"/>
                <w:b w:val="0"/>
                <w:bCs w:val="0"/>
                <w:color w:val="auto"/>
                <w:sz w:val="24"/>
                <w:szCs w:val="24"/>
                <w:vertAlign w:val="baseline"/>
                <w:lang w:val="en-US" w:eastAsia="zh-CN"/>
              </w:rPr>
              <w:t>0.3t/a，0.083kg/h</w:t>
            </w:r>
          </w:p>
        </w:tc>
        <w:tc>
          <w:tcPr>
            <w:tcW w:w="2780" w:type="dxa"/>
            <w:gridSpan w:val="2"/>
            <w:tcBorders>
              <w:left w:val="single" w:color="auto" w:sz="4" w:space="0"/>
              <w:bottom w:val="single" w:color="auto" w:sz="6" w:space="0"/>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b w:val="0"/>
                <w:bCs w:val="0"/>
                <w:color w:val="auto"/>
                <w:sz w:val="24"/>
                <w:szCs w:val="24"/>
                <w:vertAlign w:val="baseline"/>
                <w:lang w:val="en-US" w:eastAsia="zh-CN"/>
              </w:rPr>
            </w:pPr>
            <w:r>
              <w:rPr>
                <w:rFonts w:hint="eastAsia" w:ascii="Times New Roman" w:hAnsi="Times New Roman" w:eastAsia="宋体"/>
                <w:b w:val="0"/>
                <w:bCs w:val="0"/>
                <w:color w:val="auto"/>
                <w:sz w:val="24"/>
                <w:szCs w:val="24"/>
                <w:vertAlign w:val="baseline"/>
                <w:lang w:val="en-US" w:eastAsia="zh-CN"/>
              </w:rPr>
              <w:t>0.3t/a，0.083kg/h</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p>
        </w:tc>
        <w:tc>
          <w:tcPr>
            <w:tcW w:w="1358" w:type="dxa"/>
            <w:vMerge w:val="continue"/>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color w:val="auto"/>
                <w:sz w:val="24"/>
                <w:szCs w:val="24"/>
                <w:lang w:val="en-US" w:eastAsia="zh-CN"/>
              </w:rPr>
            </w:pPr>
          </w:p>
        </w:tc>
        <w:tc>
          <w:tcPr>
            <w:tcW w:w="1821" w:type="dxa"/>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非甲烷总烃</w:t>
            </w:r>
          </w:p>
        </w:tc>
        <w:tc>
          <w:tcPr>
            <w:tcW w:w="2578" w:type="dxa"/>
            <w:tcBorders>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b w:val="0"/>
                <w:bCs w:val="0"/>
                <w:color w:val="auto"/>
                <w:sz w:val="24"/>
                <w:szCs w:val="24"/>
                <w:vertAlign w:val="baseline"/>
                <w:lang w:val="en-US" w:eastAsia="zh-CN"/>
              </w:rPr>
            </w:pPr>
            <w:r>
              <w:rPr>
                <w:rFonts w:hint="eastAsia" w:ascii="Times New Roman" w:hAnsi="Times New Roman" w:eastAsia="宋体"/>
                <w:b w:val="0"/>
                <w:bCs w:val="0"/>
                <w:color w:val="auto"/>
                <w:sz w:val="24"/>
                <w:szCs w:val="24"/>
                <w:vertAlign w:val="baseline"/>
                <w:lang w:val="en-US" w:eastAsia="zh-CN"/>
              </w:rPr>
              <w:t>5.04t/a，1.4kg/h</w:t>
            </w:r>
          </w:p>
        </w:tc>
        <w:tc>
          <w:tcPr>
            <w:tcW w:w="2780" w:type="dxa"/>
            <w:gridSpan w:val="2"/>
            <w:tcBorders>
              <w:left w:val="single" w:color="auto" w:sz="4" w:space="0"/>
              <w:bottom w:val="single" w:color="auto" w:sz="6" w:space="0"/>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eastAsia" w:ascii="Times New Roman" w:hAnsi="Times New Roman" w:eastAsia="宋体"/>
                <w:b w:val="0"/>
                <w:bCs w:val="0"/>
                <w:color w:val="auto"/>
                <w:sz w:val="24"/>
                <w:szCs w:val="24"/>
                <w:vertAlign w:val="baseline"/>
                <w:lang w:val="en-US" w:eastAsia="zh-CN"/>
              </w:rPr>
            </w:pPr>
            <w:r>
              <w:rPr>
                <w:rFonts w:hint="eastAsia" w:ascii="Times New Roman" w:hAnsi="Times New Roman" w:eastAsia="宋体"/>
                <w:b w:val="0"/>
                <w:bCs w:val="0"/>
                <w:color w:val="auto"/>
                <w:sz w:val="24"/>
                <w:szCs w:val="24"/>
                <w:vertAlign w:val="baseline"/>
                <w:lang w:val="en-US" w:eastAsia="zh-CN"/>
              </w:rPr>
              <w:t>5.04t/a，1.4kg/h</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tcBorders>
              <w:top w:val="single" w:color="auto" w:sz="4" w:space="0"/>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r>
              <w:rPr>
                <w:rFonts w:ascii="Times New Roman" w:hAnsi="Times New Roman" w:eastAsia="宋体"/>
                <w:color w:val="auto"/>
                <w:sz w:val="24"/>
                <w:szCs w:val="24"/>
              </w:rPr>
              <w:t>水污染物</w:t>
            </w:r>
          </w:p>
        </w:tc>
        <w:tc>
          <w:tcPr>
            <w:tcW w:w="1358" w:type="dxa"/>
            <w:tcBorders>
              <w:top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w:t>
            </w:r>
          </w:p>
        </w:tc>
        <w:tc>
          <w:tcPr>
            <w:tcW w:w="1821" w:type="dxa"/>
            <w:tcBorders>
              <w:bottom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highlight w:val="yellow"/>
              </w:rPr>
            </w:pPr>
            <w:r>
              <w:rPr>
                <w:rFonts w:hint="eastAsia" w:ascii="Times New Roman" w:hAnsi="Times New Roman" w:eastAsia="宋体"/>
                <w:color w:val="auto"/>
                <w:sz w:val="24"/>
                <w:szCs w:val="24"/>
              </w:rPr>
              <w:t>/</w:t>
            </w:r>
          </w:p>
        </w:tc>
        <w:tc>
          <w:tcPr>
            <w:tcW w:w="2578" w:type="dxa"/>
            <w:tcBorders>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highlight w:val="yellow"/>
              </w:rPr>
            </w:pPr>
            <w:r>
              <w:rPr>
                <w:rFonts w:hint="eastAsia" w:ascii="Times New Roman" w:hAnsi="Times New Roman" w:eastAsia="宋体"/>
                <w:color w:val="auto"/>
                <w:sz w:val="24"/>
                <w:szCs w:val="24"/>
              </w:rPr>
              <w:t>/</w:t>
            </w:r>
          </w:p>
        </w:tc>
        <w:tc>
          <w:tcPr>
            <w:tcW w:w="2780" w:type="dxa"/>
            <w:gridSpan w:val="2"/>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restart"/>
            <w:tcBorders>
              <w:top w:val="single" w:color="auto" w:sz="4" w:space="0"/>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r>
              <w:rPr>
                <w:rFonts w:ascii="Times New Roman" w:hAnsi="Times New Roman" w:eastAsia="宋体"/>
                <w:color w:val="auto"/>
                <w:sz w:val="24"/>
                <w:szCs w:val="24"/>
              </w:rPr>
              <w:t>固体废物</w:t>
            </w:r>
          </w:p>
        </w:tc>
        <w:tc>
          <w:tcPr>
            <w:tcW w:w="1358" w:type="dxa"/>
            <w:vMerge w:val="restart"/>
            <w:tcBorders>
              <w:top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一般固废</w:t>
            </w:r>
          </w:p>
        </w:tc>
        <w:tc>
          <w:tcPr>
            <w:tcW w:w="1821" w:type="dxa"/>
            <w:tcBorders>
              <w:top w:val="single" w:color="auto" w:sz="4" w:space="0"/>
            </w:tcBorders>
            <w:vAlign w:val="center"/>
          </w:tcPr>
          <w:p>
            <w:pPr>
              <w:jc w:val="center"/>
              <w:rPr>
                <w:rFonts w:hint="default" w:ascii="Times New Roman" w:hAnsi="Times New Roman" w:eastAsia="宋体"/>
                <w:color w:val="000000" w:themeColor="text1"/>
                <w:sz w:val="24"/>
                <w:szCs w:val="24"/>
                <w:lang w:val="en-US" w:eastAsia="zh-CN"/>
                <w14:textFill>
                  <w14:solidFill>
                    <w14:schemeClr w14:val="tx1"/>
                  </w14:solidFill>
                </w14:textFill>
              </w:rPr>
            </w:pPr>
            <w:r>
              <w:rPr>
                <w:rFonts w:hint="eastAsia" w:ascii="Times New Roman" w:hAnsi="Times New Roman" w:eastAsia="宋体"/>
                <w:color w:val="000000" w:themeColor="text1"/>
                <w:sz w:val="24"/>
                <w:szCs w:val="24"/>
                <w14:textFill>
                  <w14:solidFill>
                    <w14:schemeClr w14:val="tx1"/>
                  </w14:solidFill>
                </w14:textFill>
              </w:rPr>
              <w:t>不合格</w:t>
            </w:r>
            <w:r>
              <w:rPr>
                <w:rFonts w:hint="eastAsia" w:ascii="Times New Roman" w:hAnsi="Times New Roman" w:eastAsia="宋体"/>
                <w:color w:val="000000" w:themeColor="text1"/>
                <w:sz w:val="24"/>
                <w:szCs w:val="24"/>
                <w:lang w:val="en-US" w:eastAsia="zh-CN"/>
                <w14:textFill>
                  <w14:solidFill>
                    <w14:schemeClr w14:val="tx1"/>
                  </w14:solidFill>
                </w14:textFill>
              </w:rPr>
              <w:t>铸</w:t>
            </w:r>
            <w:r>
              <w:rPr>
                <w:rFonts w:hint="eastAsia" w:ascii="Times New Roman" w:hAnsi="Times New Roman" w:eastAsia="宋体"/>
                <w:color w:val="000000" w:themeColor="text1"/>
                <w:sz w:val="24"/>
                <w:szCs w:val="24"/>
                <w14:textFill>
                  <w14:solidFill>
                    <w14:schemeClr w14:val="tx1"/>
                  </w14:solidFill>
                </w14:textFill>
              </w:rPr>
              <w:t>管</w:t>
            </w:r>
          </w:p>
        </w:tc>
        <w:tc>
          <w:tcPr>
            <w:tcW w:w="2583" w:type="dxa"/>
            <w:gridSpan w:val="2"/>
            <w:tcBorders>
              <w:top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line="360" w:lineRule="auto"/>
              <w:ind w:left="0" w:leftChars="0"/>
              <w:jc w:val="center"/>
              <w:textAlignment w:val="auto"/>
              <w:rPr>
                <w:rFonts w:hint="default" w:ascii="Times New Roman" w:hAnsi="Times New Roman" w:eastAsia="宋体"/>
                <w:color w:val="000000" w:themeColor="text1"/>
                <w:sz w:val="24"/>
                <w:szCs w:val="24"/>
                <w:lang w:val="en-US" w:eastAsia="zh-CN"/>
                <w14:textFill>
                  <w14:solidFill>
                    <w14:schemeClr w14:val="tx1"/>
                  </w14:solidFill>
                </w14:textFill>
              </w:rPr>
            </w:pPr>
            <w:r>
              <w:rPr>
                <w:rFonts w:hint="eastAsia" w:ascii="Times New Roman" w:hAnsi="Times New Roman" w:eastAsia="宋体"/>
                <w:color w:val="000000" w:themeColor="text1"/>
                <w:sz w:val="24"/>
                <w:szCs w:val="24"/>
                <w:lang w:val="en-US" w:eastAsia="zh-CN"/>
                <w14:textFill>
                  <w14:solidFill>
                    <w14:schemeClr w14:val="tx1"/>
                  </w14:solidFill>
                </w14:textFill>
              </w:rPr>
              <w:t>810t/a</w:t>
            </w:r>
          </w:p>
        </w:tc>
        <w:tc>
          <w:tcPr>
            <w:tcW w:w="2775"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line="360" w:lineRule="auto"/>
              <w:ind w:left="0" w:leftChars="0"/>
              <w:jc w:val="center"/>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0t/a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p>
        </w:tc>
        <w:tc>
          <w:tcPr>
            <w:tcW w:w="1358" w:type="dxa"/>
            <w:vMerge w:val="continue"/>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default" w:ascii="Times New Roman" w:hAnsi="Times New Roman" w:eastAsia="宋体"/>
                <w:color w:val="auto"/>
                <w:sz w:val="24"/>
                <w:szCs w:val="24"/>
                <w:lang w:val="en-US" w:eastAsia="zh-CN"/>
              </w:rPr>
            </w:pPr>
          </w:p>
        </w:tc>
        <w:tc>
          <w:tcPr>
            <w:tcW w:w="1821" w:type="dxa"/>
            <w:tcBorders>
              <w:top w:val="single" w:color="auto" w:sz="4" w:space="0"/>
            </w:tcBorders>
            <w:vAlign w:val="center"/>
          </w:tcPr>
          <w:p>
            <w:pPr>
              <w:jc w:val="center"/>
              <w:rPr>
                <w:rFonts w:hint="eastAsia" w:ascii="Times New Roman" w:hAnsi="Times New Roman" w:eastAsia="宋体"/>
                <w:color w:val="auto"/>
                <w:sz w:val="24"/>
                <w:szCs w:val="24"/>
                <w:lang w:eastAsia="zh-CN"/>
              </w:rPr>
            </w:pPr>
            <w:r>
              <w:rPr>
                <w:rFonts w:hint="eastAsia" w:ascii="Times New Roman" w:hAnsi="Times New Roman" w:eastAsia="宋体"/>
                <w:color w:val="000000"/>
                <w:sz w:val="24"/>
                <w:szCs w:val="24"/>
              </w:rPr>
              <w:t>铸管边角料</w:t>
            </w:r>
          </w:p>
        </w:tc>
        <w:tc>
          <w:tcPr>
            <w:tcW w:w="2583" w:type="dxa"/>
            <w:gridSpan w:val="2"/>
            <w:tcBorders>
              <w:top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line="360" w:lineRule="auto"/>
              <w:ind w:left="0" w:leftChars="0"/>
              <w:jc w:val="center"/>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270</w:t>
            </w:r>
            <w:r>
              <w:rPr>
                <w:rFonts w:hint="eastAsia" w:ascii="Times New Roman" w:hAnsi="Times New Roman" w:eastAsia="宋体"/>
                <w:color w:val="auto"/>
                <w:sz w:val="24"/>
                <w:szCs w:val="24"/>
              </w:rPr>
              <w:t>t/a</w:t>
            </w:r>
          </w:p>
        </w:tc>
        <w:tc>
          <w:tcPr>
            <w:tcW w:w="2775"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line="360" w:lineRule="auto"/>
              <w:ind w:left="0" w:leftChars="0"/>
              <w:jc w:val="center"/>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0</w:t>
            </w:r>
            <w:r>
              <w:rPr>
                <w:rFonts w:ascii="Times New Roman" w:hAnsi="Times New Roman" w:eastAsia="宋体"/>
                <w:color w:val="auto"/>
                <w:sz w:val="24"/>
                <w:szCs w:val="24"/>
              </w:rPr>
              <w:t>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p>
        </w:tc>
        <w:tc>
          <w:tcPr>
            <w:tcW w:w="1358" w:type="dxa"/>
            <w:vMerge w:val="continue"/>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default" w:ascii="Times New Roman" w:hAnsi="Times New Roman" w:eastAsia="宋体"/>
                <w:color w:val="auto"/>
                <w:sz w:val="24"/>
                <w:szCs w:val="24"/>
                <w:lang w:val="en-US" w:eastAsia="zh-CN"/>
              </w:rPr>
            </w:pPr>
          </w:p>
        </w:tc>
        <w:tc>
          <w:tcPr>
            <w:tcW w:w="1821" w:type="dxa"/>
            <w:tcBorders>
              <w:top w:val="single" w:color="auto" w:sz="4" w:space="0"/>
            </w:tcBorders>
            <w:vAlign w:val="center"/>
          </w:tcPr>
          <w:p>
            <w:pPr>
              <w:jc w:val="center"/>
              <w:rPr>
                <w:rFonts w:hint="eastAsia" w:ascii="Times New Roman" w:hAnsi="Times New Roman" w:eastAsia="宋体"/>
                <w:color w:val="auto"/>
                <w:sz w:val="24"/>
                <w:szCs w:val="24"/>
                <w:lang w:val="en-US" w:eastAsia="zh-CN"/>
              </w:rPr>
            </w:pPr>
            <w:r>
              <w:rPr>
                <w:rFonts w:hint="eastAsia" w:ascii="Times New Roman" w:hAnsi="Times New Roman" w:eastAsia="宋体"/>
                <w:color w:val="000000"/>
                <w:sz w:val="24"/>
                <w:szCs w:val="24"/>
              </w:rPr>
              <w:t>铁屑</w:t>
            </w:r>
          </w:p>
        </w:tc>
        <w:tc>
          <w:tcPr>
            <w:tcW w:w="2583" w:type="dxa"/>
            <w:gridSpan w:val="2"/>
            <w:tcBorders>
              <w:top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line="360" w:lineRule="auto"/>
              <w:ind w:left="0" w:leftChars="0"/>
              <w:jc w:val="center"/>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1041t/a</w:t>
            </w:r>
          </w:p>
        </w:tc>
        <w:tc>
          <w:tcPr>
            <w:tcW w:w="2775"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line="360" w:lineRule="auto"/>
              <w:ind w:left="0" w:leftChars="0"/>
              <w:jc w:val="center"/>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0t/a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p>
        </w:tc>
        <w:tc>
          <w:tcPr>
            <w:tcW w:w="1358" w:type="dxa"/>
            <w:vMerge w:val="continue"/>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default" w:ascii="Times New Roman" w:hAnsi="Times New Roman" w:eastAsia="宋体"/>
                <w:color w:val="auto"/>
                <w:sz w:val="24"/>
                <w:szCs w:val="24"/>
                <w:lang w:val="en-US" w:eastAsia="zh-CN"/>
              </w:rPr>
            </w:pPr>
          </w:p>
        </w:tc>
        <w:tc>
          <w:tcPr>
            <w:tcW w:w="1821" w:type="dxa"/>
            <w:tcBorders>
              <w:top w:val="single" w:color="auto" w:sz="4" w:space="0"/>
            </w:tcBorders>
            <w:vAlign w:val="center"/>
          </w:tcPr>
          <w:p>
            <w:pPr>
              <w:jc w:val="center"/>
              <w:rPr>
                <w:rFonts w:hint="eastAsia" w:ascii="Times New Roman" w:hAnsi="Times New Roman" w:eastAsia="宋体"/>
                <w:color w:val="auto"/>
                <w:sz w:val="24"/>
                <w:szCs w:val="24"/>
                <w:lang w:val="en-US" w:eastAsia="zh-CN"/>
              </w:rPr>
            </w:pPr>
            <w:r>
              <w:rPr>
                <w:rFonts w:hint="eastAsia" w:ascii="Times New Roman" w:hAnsi="Times New Roman" w:eastAsia="宋体"/>
                <w:color w:val="000000"/>
                <w:sz w:val="24"/>
                <w:szCs w:val="24"/>
              </w:rPr>
              <w:t>含铁除尘灰</w:t>
            </w:r>
          </w:p>
        </w:tc>
        <w:tc>
          <w:tcPr>
            <w:tcW w:w="2583" w:type="dxa"/>
            <w:gridSpan w:val="2"/>
            <w:tcBorders>
              <w:top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line="360" w:lineRule="auto"/>
              <w:ind w:left="0" w:leftChars="0"/>
              <w:jc w:val="center"/>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579.1</w:t>
            </w:r>
            <w:r>
              <w:rPr>
                <w:rFonts w:hint="eastAsia" w:ascii="Times New Roman" w:hAnsi="Times New Roman" w:eastAsia="宋体"/>
                <w:color w:val="auto"/>
                <w:sz w:val="24"/>
                <w:szCs w:val="24"/>
              </w:rPr>
              <w:t>t/a</w:t>
            </w:r>
          </w:p>
        </w:tc>
        <w:tc>
          <w:tcPr>
            <w:tcW w:w="2775"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line="360" w:lineRule="auto"/>
              <w:ind w:left="0" w:leftChars="0"/>
              <w:jc w:val="center"/>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0t/a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p>
        </w:tc>
        <w:tc>
          <w:tcPr>
            <w:tcW w:w="1358" w:type="dxa"/>
            <w:vMerge w:val="restart"/>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危险废物</w:t>
            </w:r>
          </w:p>
        </w:tc>
        <w:tc>
          <w:tcPr>
            <w:tcW w:w="1821" w:type="dxa"/>
            <w:tcBorders>
              <w:top w:val="single" w:color="auto" w:sz="4" w:space="0"/>
            </w:tcBorders>
            <w:vAlign w:val="center"/>
          </w:tcPr>
          <w:p>
            <w:pPr>
              <w:jc w:val="center"/>
              <w:rPr>
                <w:rFonts w:hint="default" w:ascii="Times New Roman" w:hAnsi="Times New Roman" w:eastAsia="宋体"/>
                <w:color w:val="auto"/>
                <w:sz w:val="24"/>
                <w:szCs w:val="24"/>
                <w:lang w:val="en-US" w:eastAsia="zh-CN"/>
              </w:rPr>
            </w:pPr>
            <w:r>
              <w:rPr>
                <w:rFonts w:hint="default" w:ascii="Times New Roman" w:hAnsi="Times New Roman" w:eastAsia="宋体"/>
                <w:color w:val="auto"/>
                <w:sz w:val="24"/>
                <w:szCs w:val="24"/>
                <w:lang w:val="en-US" w:eastAsia="zh-CN"/>
              </w:rPr>
              <w:t>喷锌除尘灰</w:t>
            </w:r>
          </w:p>
        </w:tc>
        <w:tc>
          <w:tcPr>
            <w:tcW w:w="2583" w:type="dxa"/>
            <w:gridSpan w:val="2"/>
            <w:tcBorders>
              <w:top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line="360" w:lineRule="auto"/>
              <w:ind w:left="0" w:leftChars="0"/>
              <w:jc w:val="center"/>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6.83t/a</w:t>
            </w:r>
          </w:p>
        </w:tc>
        <w:tc>
          <w:tcPr>
            <w:tcW w:w="2775"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line="360" w:lineRule="auto"/>
              <w:ind w:left="0" w:leftChars="0"/>
              <w:jc w:val="center"/>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0t/a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p>
        </w:tc>
        <w:tc>
          <w:tcPr>
            <w:tcW w:w="1358" w:type="dxa"/>
            <w:vMerge w:val="continue"/>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default" w:ascii="Times New Roman" w:hAnsi="Times New Roman" w:eastAsia="宋体"/>
                <w:color w:val="auto"/>
                <w:sz w:val="24"/>
                <w:szCs w:val="24"/>
                <w:lang w:val="en-US" w:eastAsia="zh-CN"/>
              </w:rPr>
            </w:pPr>
          </w:p>
        </w:tc>
        <w:tc>
          <w:tcPr>
            <w:tcW w:w="1821" w:type="dxa"/>
            <w:tcBorders>
              <w:top w:val="single" w:color="auto" w:sz="4" w:space="0"/>
            </w:tcBorders>
            <w:vAlign w:val="center"/>
          </w:tcPr>
          <w:p>
            <w:pPr>
              <w:jc w:val="center"/>
              <w:rPr>
                <w:rFonts w:hint="eastAsia" w:ascii="Times New Roman" w:hAnsi="Times New Roman" w:eastAsia="宋体"/>
                <w:color w:val="auto"/>
                <w:sz w:val="24"/>
                <w:szCs w:val="24"/>
                <w:lang w:val="en-US" w:eastAsia="zh-CN"/>
              </w:rPr>
            </w:pPr>
            <w:r>
              <w:rPr>
                <w:rFonts w:hint="eastAsia" w:ascii="Times New Roman" w:hAnsi="Times New Roman" w:eastAsia="宋体"/>
                <w:color w:val="000000"/>
                <w:sz w:val="24"/>
                <w:szCs w:val="24"/>
              </w:rPr>
              <w:t>涂料渣</w:t>
            </w:r>
          </w:p>
        </w:tc>
        <w:tc>
          <w:tcPr>
            <w:tcW w:w="2583" w:type="dxa"/>
            <w:gridSpan w:val="2"/>
            <w:tcBorders>
              <w:top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line="360" w:lineRule="auto"/>
              <w:ind w:left="0" w:leftChars="0"/>
              <w:jc w:val="center"/>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50.4</w:t>
            </w:r>
            <w:r>
              <w:rPr>
                <w:rFonts w:hint="eastAsia" w:ascii="Times New Roman" w:hAnsi="Times New Roman" w:eastAsia="宋体"/>
                <w:color w:val="auto"/>
                <w:sz w:val="24"/>
                <w:szCs w:val="24"/>
              </w:rPr>
              <w:t>t/a</w:t>
            </w:r>
          </w:p>
        </w:tc>
        <w:tc>
          <w:tcPr>
            <w:tcW w:w="2775"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line="360" w:lineRule="auto"/>
              <w:ind w:left="0" w:leftChars="0"/>
              <w:jc w:val="center"/>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0t/a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p>
        </w:tc>
        <w:tc>
          <w:tcPr>
            <w:tcW w:w="1358" w:type="dxa"/>
            <w:vMerge w:val="continue"/>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default" w:ascii="Times New Roman" w:hAnsi="Times New Roman" w:eastAsia="宋体"/>
                <w:color w:val="auto"/>
                <w:sz w:val="24"/>
                <w:szCs w:val="24"/>
                <w:lang w:val="en-US" w:eastAsia="zh-CN"/>
              </w:rPr>
            </w:pPr>
          </w:p>
        </w:tc>
        <w:tc>
          <w:tcPr>
            <w:tcW w:w="1821" w:type="dxa"/>
            <w:tcBorders>
              <w:top w:val="single" w:color="auto" w:sz="4" w:space="0"/>
            </w:tcBorders>
            <w:vAlign w:val="center"/>
          </w:tcPr>
          <w:p>
            <w:pPr>
              <w:jc w:val="center"/>
              <w:rPr>
                <w:rFonts w:hint="eastAsia" w:ascii="Times New Roman" w:hAnsi="Times New Roman" w:eastAsia="宋体"/>
                <w:color w:val="auto"/>
                <w:sz w:val="24"/>
                <w:szCs w:val="24"/>
                <w:lang w:val="en-US" w:eastAsia="zh-CN"/>
              </w:rPr>
            </w:pPr>
            <w:r>
              <w:rPr>
                <w:rFonts w:hint="eastAsia" w:ascii="Times New Roman" w:hAnsi="Times New Roman" w:eastAsia="宋体"/>
                <w:color w:val="000000"/>
                <w:sz w:val="24"/>
                <w:szCs w:val="24"/>
                <w:lang w:val="en-US" w:eastAsia="zh-CN"/>
              </w:rPr>
              <w:t>废油漆桶</w:t>
            </w:r>
          </w:p>
        </w:tc>
        <w:tc>
          <w:tcPr>
            <w:tcW w:w="2583" w:type="dxa"/>
            <w:gridSpan w:val="2"/>
            <w:tcBorders>
              <w:top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line="360" w:lineRule="auto"/>
              <w:ind w:left="0" w:leftChars="0"/>
              <w:jc w:val="center"/>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3t/a</w:t>
            </w:r>
          </w:p>
        </w:tc>
        <w:tc>
          <w:tcPr>
            <w:tcW w:w="2775"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line="360" w:lineRule="auto"/>
              <w:ind w:left="0" w:leftChars="0"/>
              <w:jc w:val="center"/>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0t/a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p>
        </w:tc>
        <w:tc>
          <w:tcPr>
            <w:tcW w:w="1358" w:type="dxa"/>
            <w:vMerge w:val="continue"/>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default" w:ascii="Times New Roman" w:hAnsi="Times New Roman" w:eastAsia="宋体"/>
                <w:color w:val="auto"/>
                <w:sz w:val="24"/>
                <w:szCs w:val="24"/>
                <w:lang w:val="en-US" w:eastAsia="zh-CN"/>
              </w:rPr>
            </w:pPr>
          </w:p>
        </w:tc>
        <w:tc>
          <w:tcPr>
            <w:tcW w:w="1821" w:type="dxa"/>
            <w:tcBorders>
              <w:top w:val="single" w:color="auto" w:sz="4" w:space="0"/>
            </w:tcBorders>
            <w:vAlign w:val="center"/>
          </w:tcPr>
          <w:p>
            <w:pPr>
              <w:jc w:val="center"/>
              <w:rPr>
                <w:rFonts w:hint="eastAsia" w:ascii="Times New Roman" w:hAnsi="Times New Roman" w:eastAsia="宋体"/>
                <w:color w:val="auto"/>
                <w:sz w:val="24"/>
                <w:szCs w:val="24"/>
                <w:lang w:val="en-US" w:eastAsia="zh-CN"/>
              </w:rPr>
            </w:pPr>
            <w:r>
              <w:rPr>
                <w:rFonts w:hint="eastAsia" w:ascii="Times New Roman" w:hAnsi="Times New Roman" w:eastAsia="宋体"/>
                <w:color w:val="000000"/>
                <w:sz w:val="24"/>
                <w:szCs w:val="24"/>
              </w:rPr>
              <w:t>废活性炭</w:t>
            </w:r>
          </w:p>
        </w:tc>
        <w:tc>
          <w:tcPr>
            <w:tcW w:w="2583" w:type="dxa"/>
            <w:gridSpan w:val="2"/>
            <w:tcBorders>
              <w:top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line="360" w:lineRule="auto"/>
              <w:ind w:left="0" w:leftChars="0"/>
              <w:jc w:val="center"/>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56.8</w:t>
            </w:r>
            <w:r>
              <w:rPr>
                <w:rFonts w:hint="eastAsia" w:ascii="Times New Roman" w:hAnsi="Times New Roman" w:eastAsia="宋体"/>
                <w:color w:val="auto"/>
                <w:sz w:val="24"/>
                <w:szCs w:val="24"/>
              </w:rPr>
              <w:t>t/a</w:t>
            </w:r>
          </w:p>
        </w:tc>
        <w:tc>
          <w:tcPr>
            <w:tcW w:w="2775"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line="360" w:lineRule="auto"/>
              <w:ind w:left="0" w:leftChars="0"/>
              <w:jc w:val="center"/>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0t/a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9" w:hRule="atLeast"/>
          <w:jc w:val="center"/>
        </w:trPr>
        <w:tc>
          <w:tcPr>
            <w:tcW w:w="914" w:type="dxa"/>
            <w:vMerge w:val="continue"/>
            <w:tcBorders>
              <w:lef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ascii="Times New Roman" w:hAnsi="Times New Roman" w:eastAsia="宋体"/>
                <w:color w:val="auto"/>
                <w:sz w:val="24"/>
                <w:szCs w:val="24"/>
              </w:rPr>
            </w:pPr>
          </w:p>
        </w:tc>
        <w:tc>
          <w:tcPr>
            <w:tcW w:w="1358" w:type="dxa"/>
            <w:tcBorders/>
            <w:vAlign w:val="center"/>
          </w:tcPr>
          <w:p>
            <w:pPr>
              <w:keepNext w:val="0"/>
              <w:keepLines w:val="0"/>
              <w:pageBreakBefore w:val="0"/>
              <w:widowControl w:val="0"/>
              <w:kinsoku/>
              <w:wordWrap/>
              <w:overflowPunct/>
              <w:topLinePunct w:val="0"/>
              <w:autoSpaceDE/>
              <w:autoSpaceDN/>
              <w:bidi w:val="0"/>
              <w:spacing w:line="240" w:lineRule="atLeast"/>
              <w:ind w:left="0" w:leftChars="0"/>
              <w:jc w:val="center"/>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员工生活</w:t>
            </w:r>
          </w:p>
        </w:tc>
        <w:tc>
          <w:tcPr>
            <w:tcW w:w="1821" w:type="dxa"/>
            <w:tcBorders>
              <w:top w:val="single" w:color="auto" w:sz="4" w:space="0"/>
            </w:tcBorders>
            <w:vAlign w:val="center"/>
          </w:tcPr>
          <w:p>
            <w:pPr>
              <w:jc w:val="center"/>
              <w:rPr>
                <w:rFonts w:hint="eastAsia" w:ascii="Times New Roman" w:hAnsi="Times New Roman" w:eastAsia="宋体"/>
                <w:color w:val="000000"/>
                <w:sz w:val="24"/>
                <w:szCs w:val="24"/>
                <w:lang w:val="en-US" w:eastAsia="zh-CN"/>
              </w:rPr>
            </w:pPr>
            <w:r>
              <w:rPr>
                <w:rFonts w:hint="eastAsia" w:ascii="Times New Roman" w:hAnsi="Times New Roman" w:eastAsia="宋体"/>
                <w:color w:val="000000"/>
                <w:sz w:val="24"/>
                <w:szCs w:val="24"/>
                <w:lang w:val="en-US" w:eastAsia="zh-CN"/>
              </w:rPr>
              <w:t>生活垃圾</w:t>
            </w:r>
          </w:p>
        </w:tc>
        <w:tc>
          <w:tcPr>
            <w:tcW w:w="2583" w:type="dxa"/>
            <w:gridSpan w:val="2"/>
            <w:tcBorders>
              <w:top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line="360" w:lineRule="auto"/>
              <w:ind w:left="0" w:leftChars="0"/>
              <w:jc w:val="center"/>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3.258</w:t>
            </w:r>
            <w:r>
              <w:rPr>
                <w:rFonts w:hint="eastAsia" w:ascii="Times New Roman" w:hAnsi="Times New Roman" w:eastAsia="宋体"/>
                <w:color w:val="auto"/>
                <w:sz w:val="24"/>
                <w:szCs w:val="24"/>
              </w:rPr>
              <w:t>t/a</w:t>
            </w:r>
          </w:p>
        </w:tc>
        <w:tc>
          <w:tcPr>
            <w:tcW w:w="2775"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line="360" w:lineRule="auto"/>
              <w:ind w:left="0" w:leftChars="0"/>
              <w:jc w:val="center"/>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0t/a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6" w:hRule="atLeast"/>
          <w:jc w:val="center"/>
        </w:trPr>
        <w:tc>
          <w:tcPr>
            <w:tcW w:w="914" w:type="dxa"/>
            <w:tcBorders>
              <w:top w:val="single" w:color="auto" w:sz="4" w:space="0"/>
              <w:left w:val="single" w:color="auto" w:sz="4" w:space="0"/>
              <w:bottom w:val="single" w:color="auto" w:sz="4" w:space="0"/>
            </w:tcBorders>
            <w:vAlign w:val="center"/>
          </w:tcPr>
          <w:p>
            <w:pPr>
              <w:keepNext w:val="0"/>
              <w:keepLines w:val="0"/>
              <w:pageBreakBefore w:val="0"/>
              <w:widowControl w:val="0"/>
              <w:kinsoku/>
              <w:wordWrap/>
              <w:overflowPunct/>
              <w:topLinePunct w:val="0"/>
              <w:autoSpaceDE/>
              <w:autoSpaceDN/>
              <w:bidi w:val="0"/>
              <w:spacing w:line="360" w:lineRule="auto"/>
              <w:ind w:left="0" w:leftChars="0"/>
              <w:jc w:val="center"/>
              <w:textAlignment w:val="auto"/>
              <w:rPr>
                <w:rFonts w:ascii="Times New Roman" w:hAnsi="Times New Roman" w:eastAsia="宋体"/>
                <w:color w:val="auto"/>
                <w:sz w:val="24"/>
                <w:szCs w:val="24"/>
              </w:rPr>
            </w:pPr>
            <w:r>
              <w:rPr>
                <w:rFonts w:ascii="Times New Roman" w:hAnsi="Times New Roman" w:eastAsia="宋体"/>
                <w:color w:val="auto"/>
                <w:sz w:val="24"/>
                <w:szCs w:val="24"/>
              </w:rPr>
              <w:t>噪声</w:t>
            </w:r>
          </w:p>
        </w:tc>
        <w:tc>
          <w:tcPr>
            <w:tcW w:w="8537" w:type="dxa"/>
            <w:gridSpan w:val="5"/>
            <w:tcBorders>
              <w:top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line="240" w:lineRule="atLeast"/>
              <w:ind w:left="0" w:leftChars="0"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本项目产生的噪声主要来自于</w:t>
            </w:r>
            <w:r>
              <w:rPr>
                <w:rFonts w:hint="eastAsia" w:ascii="Times New Roman" w:hAnsi="Times New Roman" w:eastAsia="宋体"/>
                <w:color w:val="auto"/>
                <w:sz w:val="24"/>
                <w:szCs w:val="24"/>
                <w:lang w:val="en-US" w:eastAsia="zh-CN"/>
              </w:rPr>
              <w:t>喷锌机、涂衬机</w:t>
            </w:r>
            <w:r>
              <w:rPr>
                <w:rFonts w:hint="eastAsia" w:ascii="Times New Roman" w:hAnsi="Times New Roman" w:eastAsia="宋体"/>
                <w:color w:val="auto"/>
                <w:sz w:val="24"/>
                <w:szCs w:val="24"/>
              </w:rPr>
              <w:t>运行时产生的噪声</w:t>
            </w:r>
            <w:r>
              <w:rPr>
                <w:rFonts w:ascii="Times New Roman" w:hAnsi="Times New Roman" w:eastAsia="宋体"/>
                <w:color w:val="auto"/>
                <w:sz w:val="24"/>
                <w:szCs w:val="24"/>
              </w:rPr>
              <w:t xml:space="preserve">，声级值为 </w:t>
            </w:r>
            <w:r>
              <w:rPr>
                <w:rFonts w:hint="eastAsia" w:ascii="Times New Roman" w:hAnsi="Times New Roman" w:eastAsia="宋体"/>
                <w:color w:val="auto"/>
                <w:sz w:val="24"/>
                <w:szCs w:val="24"/>
              </w:rPr>
              <w:t>65</w:t>
            </w:r>
            <w:r>
              <w:rPr>
                <w:rFonts w:ascii="Times New Roman" w:hAnsi="Times New Roman" w:eastAsia="宋体"/>
                <w:color w:val="auto"/>
                <w:sz w:val="24"/>
                <w:szCs w:val="24"/>
              </w:rPr>
              <w:t>dB(A)～</w:t>
            </w:r>
            <w:r>
              <w:rPr>
                <w:rFonts w:hint="eastAsia" w:ascii="Times New Roman" w:hAnsi="Times New Roman" w:eastAsia="宋体"/>
                <w:color w:val="auto"/>
                <w:sz w:val="24"/>
                <w:szCs w:val="24"/>
              </w:rPr>
              <w:t>80</w:t>
            </w:r>
            <w:r>
              <w:rPr>
                <w:rFonts w:ascii="Times New Roman" w:hAnsi="Times New Roman" w:eastAsia="宋体"/>
                <w:color w:val="auto"/>
                <w:sz w:val="24"/>
                <w:szCs w:val="24"/>
              </w:rPr>
              <w:t>dB(A))。</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94" w:hRule="atLeast"/>
          <w:jc w:val="center"/>
        </w:trPr>
        <w:tc>
          <w:tcPr>
            <w:tcW w:w="9451"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spacing w:line="360" w:lineRule="auto"/>
              <w:ind w:left="0" w:leftChars="0"/>
              <w:textAlignment w:val="auto"/>
              <w:rPr>
                <w:rFonts w:ascii="Times New Roman" w:hAnsi="Times New Roman" w:eastAsia="宋体"/>
                <w:b/>
                <w:bCs/>
                <w:color w:val="auto"/>
                <w:sz w:val="24"/>
                <w:szCs w:val="24"/>
              </w:rPr>
            </w:pPr>
            <w:r>
              <w:rPr>
                <w:rFonts w:ascii="Times New Roman" w:hAnsi="Times New Roman" w:eastAsia="宋体"/>
                <w:b/>
                <w:bCs/>
                <w:color w:val="auto"/>
                <w:sz w:val="24"/>
                <w:szCs w:val="24"/>
              </w:rPr>
              <w:t>主要生态影响（不够时可附另页）：</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80"/>
              <w:textAlignment w:val="auto"/>
              <w:rPr>
                <w:rFonts w:ascii="Times New Roman" w:hAnsi="Times New Roman" w:eastAsia="宋体"/>
                <w:color w:val="auto"/>
                <w:sz w:val="24"/>
                <w:szCs w:val="24"/>
              </w:rPr>
            </w:pPr>
            <w:r>
              <w:rPr>
                <w:rFonts w:ascii="Times New Roman" w:hAnsi="Times New Roman" w:eastAsia="宋体"/>
                <w:color w:val="auto"/>
                <w:sz w:val="24"/>
                <w:szCs w:val="24"/>
              </w:rPr>
              <w:t>本项目运行须严格执行本环评提出各项污染防治措施，保证营运后废水、废气均能达标排放，固体废物得到合理的处置。本项目不会对周围大气环境和地表水环境造成恶化，故本项目的建设对生态环境影响较小。</w:t>
            </w:r>
          </w:p>
          <w:p>
            <w:pPr>
              <w:pStyle w:val="21"/>
              <w:keepNext w:val="0"/>
              <w:keepLines w:val="0"/>
              <w:pageBreakBefore w:val="0"/>
              <w:widowControl w:val="0"/>
              <w:kinsoku/>
              <w:wordWrap/>
              <w:overflowPunct/>
              <w:topLinePunct w:val="0"/>
              <w:autoSpaceDE/>
              <w:autoSpaceDN/>
              <w:bidi w:val="0"/>
              <w:spacing w:after="0" w:line="360" w:lineRule="auto"/>
              <w:ind w:left="0" w:leftChars="0" w:firstLine="0" w:firstLineChars="0"/>
              <w:textAlignment w:val="auto"/>
              <w:rPr>
                <w:rFonts w:ascii="Times New Roman" w:hAnsi="Times New Roman" w:eastAsia="宋体"/>
                <w:color w:val="auto"/>
                <w:sz w:val="24"/>
                <w:szCs w:val="24"/>
              </w:rPr>
            </w:pPr>
          </w:p>
          <w:p>
            <w:pPr>
              <w:pStyle w:val="19"/>
              <w:keepNext w:val="0"/>
              <w:keepLines w:val="0"/>
              <w:pageBreakBefore w:val="0"/>
              <w:widowControl w:val="0"/>
              <w:kinsoku/>
              <w:wordWrap/>
              <w:overflowPunct/>
              <w:topLinePunct w:val="0"/>
              <w:autoSpaceDE/>
              <w:autoSpaceDN/>
              <w:bidi w:val="0"/>
              <w:spacing w:after="0"/>
              <w:ind w:left="0" w:leftChars="0"/>
              <w:textAlignment w:val="auto"/>
              <w:rPr>
                <w:rFonts w:ascii="Times New Roman" w:hAnsi="Times New Roman" w:eastAsia="宋体"/>
                <w:color w:val="auto"/>
                <w:sz w:val="24"/>
                <w:szCs w:val="24"/>
              </w:rPr>
            </w:pPr>
          </w:p>
          <w:p>
            <w:pPr>
              <w:pStyle w:val="19"/>
              <w:keepNext w:val="0"/>
              <w:keepLines w:val="0"/>
              <w:pageBreakBefore w:val="0"/>
              <w:widowControl w:val="0"/>
              <w:kinsoku/>
              <w:wordWrap/>
              <w:overflowPunct/>
              <w:topLinePunct w:val="0"/>
              <w:autoSpaceDE/>
              <w:autoSpaceDN/>
              <w:bidi w:val="0"/>
              <w:spacing w:after="0"/>
              <w:ind w:left="0" w:leftChars="0"/>
              <w:textAlignment w:val="auto"/>
              <w:rPr>
                <w:rFonts w:ascii="Times New Roman" w:hAnsi="Times New Roman" w:eastAsia="宋体"/>
                <w:color w:val="auto"/>
                <w:sz w:val="24"/>
                <w:szCs w:val="24"/>
              </w:rPr>
            </w:pPr>
          </w:p>
          <w:p>
            <w:pPr>
              <w:pStyle w:val="19"/>
              <w:keepNext w:val="0"/>
              <w:keepLines w:val="0"/>
              <w:pageBreakBefore w:val="0"/>
              <w:widowControl w:val="0"/>
              <w:kinsoku/>
              <w:wordWrap/>
              <w:overflowPunct/>
              <w:topLinePunct w:val="0"/>
              <w:autoSpaceDE/>
              <w:autoSpaceDN/>
              <w:bidi w:val="0"/>
              <w:spacing w:after="0"/>
              <w:ind w:left="0" w:leftChars="0"/>
              <w:textAlignment w:val="auto"/>
              <w:rPr>
                <w:rFonts w:ascii="Times New Roman" w:hAnsi="Times New Roman" w:eastAsia="宋体"/>
                <w:color w:val="auto"/>
                <w:sz w:val="24"/>
                <w:szCs w:val="24"/>
              </w:rPr>
            </w:pPr>
          </w:p>
          <w:p>
            <w:pPr>
              <w:pStyle w:val="19"/>
              <w:keepNext w:val="0"/>
              <w:keepLines w:val="0"/>
              <w:pageBreakBefore w:val="0"/>
              <w:widowControl w:val="0"/>
              <w:kinsoku/>
              <w:wordWrap/>
              <w:overflowPunct/>
              <w:topLinePunct w:val="0"/>
              <w:autoSpaceDE/>
              <w:autoSpaceDN/>
              <w:bidi w:val="0"/>
              <w:spacing w:after="0"/>
              <w:ind w:left="0" w:leftChars="0"/>
              <w:textAlignment w:val="auto"/>
              <w:rPr>
                <w:rFonts w:ascii="Times New Roman" w:hAnsi="Times New Roman" w:eastAsia="宋体"/>
                <w:color w:val="auto"/>
                <w:sz w:val="24"/>
                <w:szCs w:val="24"/>
              </w:rPr>
            </w:pPr>
          </w:p>
          <w:p>
            <w:pPr>
              <w:pStyle w:val="19"/>
              <w:keepNext w:val="0"/>
              <w:keepLines w:val="0"/>
              <w:pageBreakBefore w:val="0"/>
              <w:widowControl w:val="0"/>
              <w:kinsoku/>
              <w:wordWrap/>
              <w:overflowPunct/>
              <w:topLinePunct w:val="0"/>
              <w:autoSpaceDE/>
              <w:autoSpaceDN/>
              <w:bidi w:val="0"/>
              <w:spacing w:after="0"/>
              <w:ind w:left="0" w:leftChars="0"/>
              <w:textAlignment w:val="auto"/>
              <w:rPr>
                <w:rFonts w:ascii="Times New Roman" w:hAnsi="Times New Roman" w:eastAsia="宋体"/>
                <w:color w:val="auto"/>
                <w:sz w:val="24"/>
                <w:szCs w:val="24"/>
              </w:rPr>
            </w:pPr>
          </w:p>
          <w:p>
            <w:pPr>
              <w:pStyle w:val="19"/>
              <w:keepNext w:val="0"/>
              <w:keepLines w:val="0"/>
              <w:pageBreakBefore w:val="0"/>
              <w:widowControl w:val="0"/>
              <w:kinsoku/>
              <w:wordWrap/>
              <w:overflowPunct/>
              <w:topLinePunct w:val="0"/>
              <w:autoSpaceDE/>
              <w:autoSpaceDN/>
              <w:bidi w:val="0"/>
              <w:spacing w:after="0"/>
              <w:ind w:left="0" w:leftChars="0"/>
              <w:textAlignment w:val="auto"/>
              <w:rPr>
                <w:rFonts w:ascii="Times New Roman" w:hAnsi="Times New Roman" w:eastAsia="宋体"/>
                <w:color w:val="auto"/>
                <w:sz w:val="24"/>
                <w:szCs w:val="24"/>
              </w:rPr>
            </w:pPr>
          </w:p>
          <w:p>
            <w:pPr>
              <w:pStyle w:val="19"/>
              <w:keepNext w:val="0"/>
              <w:keepLines w:val="0"/>
              <w:pageBreakBefore w:val="0"/>
              <w:widowControl w:val="0"/>
              <w:kinsoku/>
              <w:wordWrap/>
              <w:overflowPunct/>
              <w:topLinePunct w:val="0"/>
              <w:autoSpaceDE/>
              <w:autoSpaceDN/>
              <w:bidi w:val="0"/>
              <w:spacing w:after="0"/>
              <w:ind w:left="0" w:leftChars="0"/>
              <w:textAlignment w:val="auto"/>
              <w:rPr>
                <w:rFonts w:ascii="Times New Roman" w:hAnsi="Times New Roman" w:eastAsia="宋体"/>
                <w:color w:val="auto"/>
                <w:sz w:val="24"/>
                <w:szCs w:val="24"/>
              </w:rPr>
            </w:pPr>
          </w:p>
          <w:p>
            <w:pPr>
              <w:pStyle w:val="19"/>
              <w:keepNext w:val="0"/>
              <w:keepLines w:val="0"/>
              <w:pageBreakBefore w:val="0"/>
              <w:widowControl w:val="0"/>
              <w:kinsoku/>
              <w:wordWrap/>
              <w:overflowPunct/>
              <w:topLinePunct w:val="0"/>
              <w:autoSpaceDE/>
              <w:autoSpaceDN/>
              <w:bidi w:val="0"/>
              <w:spacing w:after="0"/>
              <w:ind w:left="0" w:leftChars="0"/>
              <w:textAlignment w:val="auto"/>
              <w:rPr>
                <w:rFonts w:ascii="Times New Roman" w:hAnsi="Times New Roman" w:eastAsia="宋体"/>
                <w:color w:val="auto"/>
                <w:sz w:val="24"/>
                <w:szCs w:val="24"/>
              </w:rPr>
            </w:pPr>
          </w:p>
          <w:p>
            <w:pPr>
              <w:pStyle w:val="19"/>
              <w:keepNext w:val="0"/>
              <w:keepLines w:val="0"/>
              <w:pageBreakBefore w:val="0"/>
              <w:widowControl w:val="0"/>
              <w:kinsoku/>
              <w:wordWrap/>
              <w:overflowPunct/>
              <w:topLinePunct w:val="0"/>
              <w:autoSpaceDE/>
              <w:autoSpaceDN/>
              <w:bidi w:val="0"/>
              <w:spacing w:after="0"/>
              <w:ind w:left="0" w:leftChars="0"/>
              <w:textAlignment w:val="auto"/>
              <w:rPr>
                <w:rFonts w:ascii="Times New Roman" w:hAnsi="Times New Roman" w:eastAsia="宋体"/>
                <w:color w:val="auto"/>
                <w:sz w:val="24"/>
                <w:szCs w:val="24"/>
              </w:rPr>
            </w:pPr>
          </w:p>
          <w:p>
            <w:pPr>
              <w:pStyle w:val="19"/>
              <w:keepNext w:val="0"/>
              <w:keepLines w:val="0"/>
              <w:pageBreakBefore w:val="0"/>
              <w:widowControl w:val="0"/>
              <w:kinsoku/>
              <w:wordWrap/>
              <w:overflowPunct/>
              <w:topLinePunct w:val="0"/>
              <w:autoSpaceDE/>
              <w:autoSpaceDN/>
              <w:bidi w:val="0"/>
              <w:spacing w:after="0"/>
              <w:ind w:left="0" w:leftChars="0"/>
              <w:textAlignment w:val="auto"/>
              <w:rPr>
                <w:rFonts w:ascii="Times New Roman" w:hAnsi="Times New Roman" w:eastAsia="宋体"/>
                <w:color w:val="auto"/>
                <w:sz w:val="24"/>
                <w:szCs w:val="24"/>
              </w:rPr>
            </w:pPr>
          </w:p>
          <w:p>
            <w:pPr>
              <w:pStyle w:val="19"/>
              <w:keepNext w:val="0"/>
              <w:keepLines w:val="0"/>
              <w:pageBreakBefore w:val="0"/>
              <w:widowControl w:val="0"/>
              <w:kinsoku/>
              <w:wordWrap/>
              <w:overflowPunct/>
              <w:topLinePunct w:val="0"/>
              <w:autoSpaceDE/>
              <w:autoSpaceDN/>
              <w:bidi w:val="0"/>
              <w:spacing w:after="0"/>
              <w:ind w:left="0" w:leftChars="0"/>
              <w:textAlignment w:val="auto"/>
              <w:rPr>
                <w:rFonts w:ascii="Times New Roman" w:hAnsi="Times New Roman" w:eastAsia="宋体"/>
                <w:color w:val="auto"/>
                <w:sz w:val="24"/>
                <w:szCs w:val="24"/>
              </w:rPr>
            </w:pPr>
          </w:p>
          <w:p>
            <w:pPr>
              <w:pStyle w:val="19"/>
              <w:keepNext w:val="0"/>
              <w:keepLines w:val="0"/>
              <w:pageBreakBefore w:val="0"/>
              <w:widowControl w:val="0"/>
              <w:kinsoku/>
              <w:wordWrap/>
              <w:overflowPunct/>
              <w:topLinePunct w:val="0"/>
              <w:autoSpaceDE/>
              <w:autoSpaceDN/>
              <w:bidi w:val="0"/>
              <w:spacing w:after="0"/>
              <w:ind w:left="0" w:leftChars="0"/>
              <w:textAlignment w:val="auto"/>
              <w:rPr>
                <w:rFonts w:ascii="Times New Roman" w:hAnsi="Times New Roman" w:eastAsia="宋体"/>
                <w:color w:val="auto"/>
                <w:sz w:val="24"/>
                <w:szCs w:val="24"/>
              </w:rPr>
            </w:pPr>
          </w:p>
          <w:p>
            <w:pPr>
              <w:pStyle w:val="19"/>
              <w:keepNext w:val="0"/>
              <w:keepLines w:val="0"/>
              <w:pageBreakBefore w:val="0"/>
              <w:widowControl w:val="0"/>
              <w:kinsoku/>
              <w:wordWrap/>
              <w:overflowPunct/>
              <w:topLinePunct w:val="0"/>
              <w:autoSpaceDE/>
              <w:autoSpaceDN/>
              <w:bidi w:val="0"/>
              <w:spacing w:after="0"/>
              <w:ind w:left="0" w:leftChars="0"/>
              <w:textAlignment w:val="auto"/>
              <w:rPr>
                <w:rFonts w:ascii="Times New Roman" w:hAnsi="Times New Roman" w:eastAsia="宋体"/>
                <w:color w:val="auto"/>
                <w:sz w:val="24"/>
                <w:szCs w:val="24"/>
              </w:rPr>
            </w:pPr>
          </w:p>
          <w:p>
            <w:pPr>
              <w:pStyle w:val="19"/>
              <w:keepNext w:val="0"/>
              <w:keepLines w:val="0"/>
              <w:pageBreakBefore w:val="0"/>
              <w:widowControl w:val="0"/>
              <w:kinsoku/>
              <w:wordWrap/>
              <w:overflowPunct/>
              <w:topLinePunct w:val="0"/>
              <w:autoSpaceDE/>
              <w:autoSpaceDN/>
              <w:bidi w:val="0"/>
              <w:spacing w:after="0"/>
              <w:ind w:left="0" w:leftChars="0"/>
              <w:textAlignment w:val="auto"/>
              <w:rPr>
                <w:rFonts w:ascii="Times New Roman" w:hAnsi="Times New Roman" w:eastAsia="宋体"/>
                <w:color w:val="auto"/>
                <w:sz w:val="24"/>
                <w:szCs w:val="24"/>
              </w:rPr>
            </w:pPr>
          </w:p>
          <w:p>
            <w:pPr>
              <w:pStyle w:val="19"/>
              <w:keepNext w:val="0"/>
              <w:keepLines w:val="0"/>
              <w:pageBreakBefore w:val="0"/>
              <w:widowControl w:val="0"/>
              <w:kinsoku/>
              <w:wordWrap/>
              <w:overflowPunct/>
              <w:topLinePunct w:val="0"/>
              <w:autoSpaceDE/>
              <w:autoSpaceDN/>
              <w:bidi w:val="0"/>
              <w:spacing w:after="0"/>
              <w:ind w:left="0" w:leftChars="0"/>
              <w:textAlignment w:val="auto"/>
              <w:rPr>
                <w:rFonts w:ascii="Times New Roman" w:hAnsi="Times New Roman" w:eastAsia="宋体"/>
                <w:color w:val="auto"/>
                <w:sz w:val="24"/>
                <w:szCs w:val="24"/>
              </w:rPr>
            </w:pPr>
          </w:p>
          <w:p>
            <w:pPr>
              <w:pStyle w:val="19"/>
              <w:keepNext w:val="0"/>
              <w:keepLines w:val="0"/>
              <w:pageBreakBefore w:val="0"/>
              <w:widowControl w:val="0"/>
              <w:kinsoku/>
              <w:wordWrap/>
              <w:overflowPunct/>
              <w:topLinePunct w:val="0"/>
              <w:autoSpaceDE/>
              <w:autoSpaceDN/>
              <w:bidi w:val="0"/>
              <w:spacing w:after="0"/>
              <w:ind w:left="0" w:leftChars="0"/>
              <w:textAlignment w:val="auto"/>
              <w:rPr>
                <w:rFonts w:ascii="Times New Roman" w:hAnsi="Times New Roman" w:eastAsia="宋体"/>
                <w:color w:val="auto"/>
                <w:sz w:val="24"/>
                <w:szCs w:val="24"/>
              </w:rPr>
            </w:pPr>
          </w:p>
          <w:p>
            <w:pPr>
              <w:pStyle w:val="19"/>
              <w:keepNext w:val="0"/>
              <w:keepLines w:val="0"/>
              <w:pageBreakBefore w:val="0"/>
              <w:widowControl w:val="0"/>
              <w:kinsoku/>
              <w:wordWrap/>
              <w:overflowPunct/>
              <w:topLinePunct w:val="0"/>
              <w:autoSpaceDE/>
              <w:autoSpaceDN/>
              <w:bidi w:val="0"/>
              <w:spacing w:after="0"/>
              <w:ind w:left="0" w:leftChars="0"/>
              <w:textAlignment w:val="auto"/>
              <w:rPr>
                <w:rFonts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ind w:left="0" w:leftChars="0"/>
              <w:textAlignment w:val="auto"/>
              <w:rPr>
                <w:rFonts w:ascii="Times New Roman" w:hAnsi="Times New Roman" w:eastAsia="宋体"/>
                <w:color w:val="auto"/>
                <w:sz w:val="24"/>
                <w:szCs w:val="24"/>
              </w:rPr>
            </w:pPr>
          </w:p>
          <w:p>
            <w:pPr>
              <w:pStyle w:val="15"/>
              <w:keepNext w:val="0"/>
              <w:keepLines w:val="0"/>
              <w:pageBreakBefore w:val="0"/>
              <w:widowControl w:val="0"/>
              <w:kinsoku/>
              <w:wordWrap/>
              <w:overflowPunct/>
              <w:topLinePunct w:val="0"/>
              <w:autoSpaceDE/>
              <w:autoSpaceDN/>
              <w:bidi w:val="0"/>
              <w:ind w:left="0" w:leftChars="0"/>
              <w:textAlignment w:val="auto"/>
              <w:rPr>
                <w:rFonts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ind w:left="0" w:leftChars="0"/>
              <w:textAlignment w:val="auto"/>
              <w:rPr>
                <w:rFonts w:ascii="Times New Roman" w:hAnsi="Times New Roman" w:eastAsia="宋体"/>
                <w:color w:val="auto"/>
                <w:sz w:val="24"/>
                <w:szCs w:val="24"/>
              </w:rPr>
            </w:pPr>
          </w:p>
        </w:tc>
      </w:tr>
    </w:tbl>
    <w:p>
      <w:pPr>
        <w:pStyle w:val="3"/>
        <w:keepNext w:val="0"/>
        <w:keepLines w:val="0"/>
        <w:ind w:left="-345" w:leftChars="-256" w:hanging="193" w:hangingChars="64"/>
        <w:rPr>
          <w:rFonts w:ascii="Times New Roman" w:hAnsi="Times New Roman" w:eastAsia="宋体"/>
          <w:color w:val="auto"/>
        </w:rPr>
        <w:sectPr>
          <w:pgSz w:w="11906" w:h="16838"/>
          <w:pgMar w:top="1440" w:right="1800" w:bottom="1558" w:left="1800" w:header="851" w:footer="992" w:gutter="0"/>
          <w:cols w:space="720" w:num="1"/>
          <w:docGrid w:type="lines" w:linePitch="312" w:charSpace="0"/>
        </w:sectPr>
      </w:pPr>
    </w:p>
    <w:p>
      <w:pPr>
        <w:pStyle w:val="3"/>
        <w:keepNext w:val="0"/>
        <w:keepLines w:val="0"/>
        <w:ind w:left="-345" w:leftChars="-256" w:hanging="193" w:hangingChars="64"/>
        <w:rPr>
          <w:rFonts w:ascii="Times New Roman" w:hAnsi="Times New Roman" w:eastAsia="宋体"/>
          <w:color w:val="auto"/>
        </w:rPr>
      </w:pPr>
      <w:r>
        <w:rPr>
          <w:rFonts w:ascii="Times New Roman" w:hAnsi="Times New Roman" w:eastAsia="宋体"/>
          <w:color w:val="auto"/>
        </w:rPr>
        <w:t>环境影响分析</w:t>
      </w:r>
    </w:p>
    <w:tbl>
      <w:tblPr>
        <w:tblStyle w:val="22"/>
        <w:tblW w:w="9296"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9296"/>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170" w:hRule="atLeast"/>
          <w:jc w:val="center"/>
        </w:trPr>
        <w:tc>
          <w:tcPr>
            <w:tcW w:w="9296" w:type="dxa"/>
            <w:tcBorders>
              <w:top w:val="single" w:color="auto" w:sz="4" w:space="0"/>
              <w:left w:val="single" w:color="auto" w:sz="4" w:space="0"/>
              <w:bottom w:val="single" w:color="auto" w:sz="4" w:space="0"/>
              <w:right w:val="single" w:color="auto" w:sz="4" w:space="0"/>
            </w:tcBorders>
          </w:tcPr>
          <w:p>
            <w:pPr>
              <w:spacing w:line="360" w:lineRule="auto"/>
              <w:rPr>
                <w:rFonts w:hint="eastAsia" w:ascii="Times New Roman" w:hAnsi="Times New Roman" w:eastAsia="宋体"/>
                <w:b/>
                <w:bCs/>
                <w:color w:val="auto"/>
                <w:sz w:val="28"/>
                <w:szCs w:val="21"/>
              </w:rPr>
            </w:pPr>
            <w:r>
              <w:rPr>
                <w:rFonts w:hint="eastAsia" w:ascii="Times New Roman" w:hAnsi="Times New Roman" w:eastAsia="宋体"/>
                <w:b/>
                <w:bCs/>
                <w:color w:val="auto"/>
                <w:sz w:val="28"/>
                <w:szCs w:val="21"/>
              </w:rPr>
              <w:t xml:space="preserve">施工期工程分析  </w:t>
            </w:r>
          </w:p>
          <w:p>
            <w:pPr>
              <w:pStyle w:val="4"/>
              <w:spacing w:before="120" w:beforeLines="50" w:after="120" w:afterLines="50" w:line="360" w:lineRule="auto"/>
              <w:rPr>
                <w:rFonts w:ascii="Times New Roman" w:hAnsi="Times New Roman" w:eastAsia="宋体"/>
                <w:color w:val="000000"/>
                <w:sz w:val="24"/>
                <w:szCs w:val="24"/>
              </w:rPr>
            </w:pPr>
            <w:bookmarkStart w:id="6" w:name="_Toc365830873"/>
            <w:bookmarkStart w:id="7" w:name="_Toc365833452"/>
            <w:bookmarkStart w:id="8" w:name="_Toc364757216"/>
            <w:bookmarkStart w:id="9" w:name="_Toc381366567"/>
            <w:bookmarkStart w:id="10" w:name="_Toc390008241"/>
            <w:bookmarkStart w:id="11" w:name="_Toc364537948"/>
            <w:bookmarkStart w:id="12" w:name="_Toc439766403"/>
            <w:bookmarkStart w:id="13" w:name="_Toc477977861"/>
            <w:bookmarkStart w:id="14" w:name="_Toc480439414"/>
            <w:bookmarkStart w:id="15" w:name="_Toc478671000"/>
            <w:bookmarkStart w:id="16" w:name="_Toc414449753"/>
            <w:bookmarkStart w:id="17" w:name="_Toc399448525"/>
            <w:bookmarkStart w:id="18" w:name="_Toc440802306"/>
            <w:bookmarkStart w:id="19" w:name="_Toc445557710"/>
            <w:bookmarkStart w:id="20" w:name="_Toc399448424"/>
            <w:bookmarkStart w:id="21" w:name="_Toc480051547"/>
            <w:bookmarkStart w:id="22" w:name="_Toc481418192"/>
            <w:bookmarkStart w:id="23" w:name="_Toc481654267"/>
            <w:bookmarkStart w:id="24" w:name="_Toc414450224"/>
            <w:bookmarkStart w:id="25" w:name="_Toc416611861"/>
            <w:bookmarkStart w:id="26" w:name="_Toc398714631"/>
            <w:bookmarkStart w:id="27" w:name="_Toc445561640"/>
            <w:bookmarkStart w:id="28" w:name="_Toc476857708"/>
            <w:bookmarkStart w:id="29" w:name="_Toc382423248"/>
            <w:bookmarkStart w:id="30" w:name="_Toc387345407"/>
            <w:r>
              <w:rPr>
                <w:rFonts w:hint="eastAsia" w:ascii="Times New Roman" w:hAnsi="Times New Roman" w:eastAsia="宋体"/>
                <w:color w:val="000000"/>
                <w:sz w:val="24"/>
                <w:szCs w:val="24"/>
                <w:lang w:val="en-US" w:eastAsia="zh-CN"/>
              </w:rPr>
              <w:t>1、</w:t>
            </w:r>
            <w:r>
              <w:rPr>
                <w:rFonts w:ascii="Times New Roman" w:hAnsi="Times New Roman" w:eastAsia="宋体"/>
                <w:color w:val="000000"/>
                <w:sz w:val="24"/>
                <w:szCs w:val="24"/>
              </w:rPr>
              <w:t>施工期大气污染分析及对策</w:t>
            </w:r>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pPr>
              <w:spacing w:line="460" w:lineRule="exact"/>
              <w:ind w:firstLine="480" w:firstLineChars="200"/>
              <w:rPr>
                <w:rFonts w:ascii="Times New Roman" w:hAnsi="Times New Roman" w:eastAsia="宋体"/>
                <w:color w:val="000000"/>
                <w:sz w:val="24"/>
              </w:rPr>
            </w:pPr>
            <w:bookmarkStart w:id="31" w:name="_Toc268718224"/>
            <w:bookmarkStart w:id="32" w:name="_Toc260665928"/>
            <w:r>
              <w:rPr>
                <w:rFonts w:hint="eastAsia" w:ascii="Times New Roman" w:hAnsi="Times New Roman" w:eastAsia="宋体"/>
                <w:color w:val="000000"/>
                <w:sz w:val="24"/>
              </w:rPr>
              <w:t>技改项目</w:t>
            </w:r>
            <w:r>
              <w:rPr>
                <w:rFonts w:ascii="Times New Roman" w:hAnsi="Times New Roman" w:eastAsia="宋体"/>
                <w:color w:val="000000"/>
                <w:sz w:val="24"/>
              </w:rPr>
              <w:t>施工期的大气污染源主要有施工扬尘</w:t>
            </w:r>
            <w:r>
              <w:rPr>
                <w:rFonts w:hint="eastAsia" w:ascii="Times New Roman" w:hAnsi="Times New Roman" w:eastAsia="宋体"/>
                <w:color w:val="000000"/>
                <w:sz w:val="24"/>
              </w:rPr>
              <w:t>、</w:t>
            </w:r>
            <w:r>
              <w:rPr>
                <w:rFonts w:ascii="Times New Roman" w:hAnsi="Times New Roman" w:eastAsia="宋体"/>
                <w:color w:val="000000"/>
                <w:sz w:val="24"/>
              </w:rPr>
              <w:t>运输车辆行驶</w:t>
            </w:r>
            <w:r>
              <w:rPr>
                <w:rFonts w:hint="eastAsia" w:ascii="Times New Roman" w:hAnsi="Times New Roman" w:eastAsia="宋体"/>
                <w:color w:val="000000"/>
                <w:sz w:val="24"/>
              </w:rPr>
              <w:t>过程中沿途</w:t>
            </w:r>
            <w:r>
              <w:rPr>
                <w:rFonts w:ascii="Times New Roman" w:hAnsi="Times New Roman" w:eastAsia="宋体"/>
                <w:color w:val="000000"/>
                <w:sz w:val="24"/>
              </w:rPr>
              <w:t>产生的</w:t>
            </w:r>
            <w:r>
              <w:rPr>
                <w:rFonts w:hint="eastAsia" w:ascii="Times New Roman" w:hAnsi="Times New Roman" w:eastAsia="宋体"/>
                <w:color w:val="000000"/>
                <w:sz w:val="24"/>
              </w:rPr>
              <w:t>道路</w:t>
            </w:r>
            <w:r>
              <w:rPr>
                <w:rFonts w:ascii="Times New Roman" w:hAnsi="Times New Roman" w:eastAsia="宋体"/>
                <w:color w:val="000000"/>
                <w:sz w:val="24"/>
              </w:rPr>
              <w:t>扬尘</w:t>
            </w:r>
            <w:r>
              <w:rPr>
                <w:rFonts w:hint="eastAsia" w:ascii="Times New Roman" w:hAnsi="Times New Roman" w:eastAsia="宋体"/>
                <w:color w:val="000000"/>
                <w:sz w:val="24"/>
              </w:rPr>
              <w:t>、施工机械的尾气等</w:t>
            </w:r>
            <w:r>
              <w:rPr>
                <w:rFonts w:ascii="Times New Roman" w:hAnsi="Times New Roman" w:eastAsia="宋体"/>
                <w:color w:val="000000"/>
                <w:sz w:val="24"/>
              </w:rPr>
              <w:t>。</w:t>
            </w:r>
          </w:p>
          <w:p>
            <w:pPr>
              <w:pStyle w:val="5"/>
              <w:spacing w:before="0" w:after="0" w:line="460" w:lineRule="exact"/>
              <w:ind w:firstLine="496" w:firstLineChars="200"/>
              <w:rPr>
                <w:rFonts w:ascii="Times New Roman" w:hAnsi="Times New Roman" w:eastAsia="宋体"/>
                <w:color w:val="000000"/>
                <w:spacing w:val="4"/>
                <w:sz w:val="24"/>
              </w:rPr>
            </w:pPr>
            <w:r>
              <w:rPr>
                <w:rFonts w:hint="eastAsia" w:ascii="Times New Roman" w:hAnsi="Times New Roman" w:eastAsia="宋体"/>
                <w:color w:val="000000"/>
                <w:spacing w:val="4"/>
                <w:sz w:val="24"/>
                <w:lang w:val="en-US" w:eastAsia="zh-CN"/>
              </w:rPr>
              <w:t>1.1</w:t>
            </w:r>
            <w:r>
              <w:rPr>
                <w:rFonts w:ascii="Times New Roman" w:hAnsi="Times New Roman" w:eastAsia="宋体"/>
                <w:color w:val="000000"/>
                <w:spacing w:val="4"/>
                <w:sz w:val="24"/>
              </w:rPr>
              <w:t>施工扬尘</w:t>
            </w:r>
            <w:r>
              <w:rPr>
                <w:rFonts w:hint="eastAsia" w:ascii="Times New Roman" w:hAnsi="Times New Roman" w:eastAsia="宋体"/>
                <w:color w:val="000000"/>
                <w:spacing w:val="4"/>
                <w:sz w:val="24"/>
              </w:rPr>
              <w:t>对周围环境的影响</w:t>
            </w:r>
            <w:r>
              <w:rPr>
                <w:rFonts w:ascii="Times New Roman" w:hAnsi="Times New Roman" w:eastAsia="宋体"/>
                <w:color w:val="000000"/>
                <w:spacing w:val="4"/>
                <w:sz w:val="24"/>
              </w:rPr>
              <w:t>分析</w:t>
            </w:r>
            <w:bookmarkEnd w:id="31"/>
            <w:bookmarkEnd w:id="32"/>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施工</w:t>
            </w:r>
            <w:r>
              <w:rPr>
                <w:rFonts w:hint="eastAsia" w:ascii="Times New Roman" w:hAnsi="Times New Roman" w:eastAsia="宋体"/>
                <w:color w:val="000000"/>
                <w:sz w:val="24"/>
              </w:rPr>
              <w:t>扬尘</w:t>
            </w:r>
            <w:r>
              <w:rPr>
                <w:rFonts w:ascii="Times New Roman" w:hAnsi="Times New Roman" w:eastAsia="宋体"/>
                <w:color w:val="000000"/>
                <w:sz w:val="24"/>
              </w:rPr>
              <w:t>主要有施工区裸露地表在大风气象条件下形成的风蚀扬尘（其产生量与风力、表土含水率等因素有关，难以定量表述）；建筑材料运输、卸载中的扬尘；运输车辆</w:t>
            </w:r>
            <w:r>
              <w:rPr>
                <w:rFonts w:hint="eastAsia" w:ascii="Times New Roman" w:hAnsi="Times New Roman" w:eastAsia="宋体"/>
                <w:color w:val="000000"/>
                <w:sz w:val="24"/>
              </w:rPr>
              <w:t>在施工场地</w:t>
            </w:r>
            <w:r>
              <w:rPr>
                <w:rFonts w:ascii="Times New Roman" w:hAnsi="Times New Roman" w:eastAsia="宋体"/>
                <w:color w:val="000000"/>
                <w:sz w:val="24"/>
              </w:rPr>
              <w:t>行驶</w:t>
            </w:r>
            <w:r>
              <w:rPr>
                <w:rFonts w:hint="eastAsia" w:ascii="Times New Roman" w:hAnsi="Times New Roman" w:eastAsia="宋体"/>
                <w:color w:val="000000"/>
                <w:sz w:val="24"/>
              </w:rPr>
              <w:t>时</w:t>
            </w:r>
            <w:r>
              <w:rPr>
                <w:rFonts w:ascii="Times New Roman" w:hAnsi="Times New Roman" w:eastAsia="宋体"/>
                <w:color w:val="000000"/>
                <w:sz w:val="24"/>
              </w:rPr>
              <w:t>产生的</w:t>
            </w:r>
            <w:r>
              <w:rPr>
                <w:rFonts w:hint="eastAsia" w:ascii="Times New Roman" w:hAnsi="Times New Roman" w:eastAsia="宋体"/>
                <w:color w:val="000000"/>
                <w:sz w:val="24"/>
              </w:rPr>
              <w:t>道路</w:t>
            </w:r>
            <w:r>
              <w:rPr>
                <w:rFonts w:ascii="Times New Roman" w:hAnsi="Times New Roman" w:eastAsia="宋体"/>
                <w:color w:val="000000"/>
                <w:sz w:val="24"/>
              </w:rPr>
              <w:t>扬尘；临时物料堆场产生的风蚀扬尘。扬尘的影响在干燥天气下显得比较突出。</w:t>
            </w:r>
          </w:p>
          <w:p>
            <w:pPr>
              <w:spacing w:line="460" w:lineRule="exact"/>
              <w:ind w:firstLine="480" w:firstLineChars="200"/>
              <w:rPr>
                <w:rFonts w:ascii="Times New Roman" w:hAnsi="Times New Roman" w:eastAsia="宋体"/>
                <w:color w:val="000000"/>
                <w:sz w:val="24"/>
              </w:rPr>
            </w:pPr>
            <w:r>
              <w:rPr>
                <w:rFonts w:hint="eastAsia" w:ascii="Times New Roman" w:hAnsi="Times New Roman" w:eastAsia="宋体"/>
                <w:color w:val="000000"/>
                <w:sz w:val="24"/>
              </w:rPr>
              <w:t>技改项目</w:t>
            </w:r>
            <w:r>
              <w:rPr>
                <w:rFonts w:ascii="Times New Roman" w:hAnsi="Times New Roman" w:eastAsia="宋体"/>
                <w:color w:val="000000"/>
                <w:sz w:val="24"/>
              </w:rPr>
              <w:t>周围</w:t>
            </w:r>
            <w:r>
              <w:rPr>
                <w:rFonts w:hint="eastAsia" w:ascii="Times New Roman" w:hAnsi="Times New Roman" w:eastAsia="宋体"/>
                <w:color w:val="000000"/>
                <w:sz w:val="24"/>
              </w:rPr>
              <w:t>现状为芜湖三山经济开发区已建企业和待开发项目用地等</w:t>
            </w:r>
            <w:r>
              <w:rPr>
                <w:rFonts w:ascii="Times New Roman" w:hAnsi="Times New Roman" w:eastAsia="宋体"/>
                <w:color w:val="000000"/>
                <w:sz w:val="24"/>
              </w:rPr>
              <w:t>，为</w:t>
            </w:r>
            <w:r>
              <w:rPr>
                <w:rFonts w:hint="eastAsia" w:ascii="Times New Roman" w:hAnsi="Times New Roman" w:eastAsia="宋体"/>
                <w:color w:val="000000"/>
                <w:sz w:val="24"/>
              </w:rPr>
              <w:t>全面落实《安徽省大气污染防治条例》和《安徽省大气污染防治行动计划实施方案》、</w:t>
            </w:r>
            <w:r>
              <w:rPr>
                <w:rFonts w:ascii="Times New Roman" w:hAnsi="Times New Roman" w:eastAsia="宋体"/>
                <w:color w:val="000000"/>
                <w:sz w:val="24"/>
              </w:rPr>
              <w:t>保证项目施工对</w:t>
            </w:r>
            <w:r>
              <w:rPr>
                <w:rFonts w:hint="eastAsia" w:ascii="Times New Roman" w:hAnsi="Times New Roman" w:eastAsia="宋体"/>
                <w:color w:val="000000"/>
                <w:sz w:val="24"/>
              </w:rPr>
              <w:t>大气环境的</w:t>
            </w:r>
            <w:r>
              <w:rPr>
                <w:rFonts w:ascii="Times New Roman" w:hAnsi="Times New Roman" w:eastAsia="宋体"/>
                <w:color w:val="000000"/>
                <w:sz w:val="24"/>
              </w:rPr>
              <w:t>影响减至最小</w:t>
            </w:r>
            <w:r>
              <w:rPr>
                <w:rFonts w:hint="eastAsia" w:ascii="Times New Roman" w:hAnsi="Times New Roman" w:eastAsia="宋体"/>
                <w:color w:val="000000"/>
                <w:sz w:val="24"/>
              </w:rPr>
              <w:t>，要求</w:t>
            </w:r>
            <w:r>
              <w:rPr>
                <w:rFonts w:ascii="Times New Roman" w:hAnsi="Times New Roman" w:eastAsia="宋体"/>
                <w:color w:val="000000"/>
                <w:sz w:val="24"/>
              </w:rPr>
              <w:t>项目在施工方面</w:t>
            </w:r>
            <w:r>
              <w:rPr>
                <w:rFonts w:hint="eastAsia" w:ascii="Times New Roman" w:hAnsi="Times New Roman" w:eastAsia="宋体"/>
                <w:color w:val="000000"/>
                <w:sz w:val="24"/>
              </w:rPr>
              <w:t>进一步</w:t>
            </w:r>
            <w:r>
              <w:rPr>
                <w:rFonts w:ascii="Times New Roman" w:hAnsi="Times New Roman" w:eastAsia="宋体"/>
                <w:color w:val="000000"/>
                <w:sz w:val="24"/>
              </w:rPr>
              <w:t>采取严格的大气污染防治措施，主要包括：</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w:t>
            </w:r>
            <w:r>
              <w:rPr>
                <w:rFonts w:hint="eastAsia" w:ascii="Times New Roman" w:hAnsi="Times New Roman" w:eastAsia="宋体"/>
                <w:color w:val="000000"/>
                <w:sz w:val="24"/>
              </w:rPr>
              <w:t>1</w:t>
            </w:r>
            <w:r>
              <w:rPr>
                <w:rFonts w:ascii="Times New Roman" w:hAnsi="Times New Roman" w:eastAsia="宋体"/>
                <w:color w:val="000000"/>
                <w:sz w:val="24"/>
              </w:rPr>
              <w:t>）施工现场实行围挡封闭，出入口位置配备车辆冲洗设施；</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w:t>
            </w:r>
            <w:r>
              <w:rPr>
                <w:rFonts w:hint="eastAsia" w:ascii="Times New Roman" w:hAnsi="Times New Roman" w:eastAsia="宋体"/>
                <w:color w:val="000000"/>
                <w:sz w:val="24"/>
              </w:rPr>
              <w:t>2</w:t>
            </w:r>
            <w:r>
              <w:rPr>
                <w:rFonts w:ascii="Times New Roman" w:hAnsi="Times New Roman" w:eastAsia="宋体"/>
                <w:color w:val="000000"/>
                <w:sz w:val="24"/>
              </w:rPr>
              <w:t>）施工现场出入口、主要道路、加工区等采取硬化处理措施；</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w:t>
            </w:r>
            <w:r>
              <w:rPr>
                <w:rFonts w:hint="eastAsia" w:ascii="Times New Roman" w:hAnsi="Times New Roman" w:eastAsia="宋体"/>
                <w:color w:val="000000"/>
                <w:sz w:val="24"/>
              </w:rPr>
              <w:t>3</w:t>
            </w:r>
            <w:r>
              <w:rPr>
                <w:rFonts w:ascii="Times New Roman" w:hAnsi="Times New Roman" w:eastAsia="宋体"/>
                <w:color w:val="000000"/>
                <w:sz w:val="24"/>
              </w:rPr>
              <w:t>）施工现场采取洒水、覆盖、铺装、绿化等降尘措施；</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w:t>
            </w:r>
            <w:r>
              <w:rPr>
                <w:rFonts w:hint="eastAsia" w:ascii="Times New Roman" w:hAnsi="Times New Roman" w:eastAsia="宋体"/>
                <w:color w:val="000000"/>
                <w:sz w:val="24"/>
              </w:rPr>
              <w:t>4</w:t>
            </w:r>
            <w:r>
              <w:rPr>
                <w:rFonts w:ascii="Times New Roman" w:hAnsi="Times New Roman" w:eastAsia="宋体"/>
                <w:color w:val="000000"/>
                <w:sz w:val="24"/>
              </w:rPr>
              <w:t>）施工现场建筑材料实行集中、分类堆放。建筑垃圾采取封闭方式清运，严禁高处抛洒；</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w:t>
            </w:r>
            <w:r>
              <w:rPr>
                <w:rFonts w:hint="eastAsia" w:ascii="Times New Roman" w:hAnsi="Times New Roman" w:eastAsia="宋体"/>
                <w:color w:val="000000"/>
                <w:sz w:val="24"/>
              </w:rPr>
              <w:t>5</w:t>
            </w:r>
            <w:r>
              <w:rPr>
                <w:rFonts w:ascii="Times New Roman" w:hAnsi="Times New Roman" w:eastAsia="宋体"/>
                <w:color w:val="000000"/>
                <w:sz w:val="24"/>
              </w:rPr>
              <w:t>）施工现场禁止焚烧沥青、油毡、橡胶、垃圾等易产生有毒有害烟尘和恶臭气体的物质；</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w:t>
            </w:r>
            <w:r>
              <w:rPr>
                <w:rFonts w:hint="eastAsia" w:ascii="Times New Roman" w:hAnsi="Times New Roman" w:eastAsia="宋体"/>
                <w:color w:val="000000"/>
                <w:sz w:val="24"/>
              </w:rPr>
              <w:t>6</w:t>
            </w:r>
            <w:r>
              <w:rPr>
                <w:rFonts w:ascii="Times New Roman" w:hAnsi="Times New Roman" w:eastAsia="宋体"/>
                <w:color w:val="000000"/>
                <w:sz w:val="24"/>
              </w:rPr>
              <w:t>）易产生扬尘的建筑材料采取封闭运输；</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w:t>
            </w:r>
            <w:r>
              <w:rPr>
                <w:rFonts w:hint="eastAsia" w:ascii="Times New Roman" w:hAnsi="Times New Roman" w:eastAsia="宋体"/>
                <w:color w:val="000000"/>
                <w:sz w:val="24"/>
              </w:rPr>
              <w:t>7</w:t>
            </w:r>
            <w:r>
              <w:rPr>
                <w:rFonts w:ascii="Times New Roman" w:hAnsi="Times New Roman" w:eastAsia="宋体"/>
                <w:color w:val="000000"/>
                <w:sz w:val="24"/>
              </w:rPr>
              <w:t>）建筑垃圾运输、处理时，按照</w:t>
            </w:r>
            <w:r>
              <w:rPr>
                <w:rFonts w:hint="eastAsia" w:ascii="Times New Roman" w:hAnsi="Times New Roman" w:eastAsia="宋体"/>
                <w:color w:val="000000"/>
                <w:sz w:val="24"/>
              </w:rPr>
              <w:t>芜湖</w:t>
            </w:r>
            <w:r>
              <w:rPr>
                <w:rFonts w:ascii="Times New Roman" w:hAnsi="Times New Roman" w:eastAsia="宋体"/>
                <w:color w:val="000000"/>
                <w:sz w:val="24"/>
              </w:rPr>
              <w:t>市人民政府市容环境卫生行政主管部门规定的时间、路线和要求，清运到指定的场所处理；</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w:t>
            </w:r>
            <w:r>
              <w:rPr>
                <w:rFonts w:hint="eastAsia" w:ascii="Times New Roman" w:hAnsi="Times New Roman" w:eastAsia="宋体"/>
                <w:color w:val="000000"/>
                <w:sz w:val="24"/>
              </w:rPr>
              <w:t>8</w:t>
            </w:r>
            <w:r>
              <w:rPr>
                <w:rFonts w:ascii="Times New Roman" w:hAnsi="Times New Roman" w:eastAsia="宋体"/>
                <w:color w:val="000000"/>
                <w:sz w:val="24"/>
              </w:rPr>
              <w:t>）启动</w:t>
            </w:r>
            <w:r>
              <w:rPr>
                <w:rFonts w:hint="eastAsia" w:ascii="Times New Roman" w:hAnsi="Times New Roman" w:eastAsia="宋体" w:cs="宋体"/>
                <w:color w:val="000000"/>
                <w:sz w:val="24"/>
              </w:rPr>
              <w:t>Ⅲ</w:t>
            </w:r>
            <w:r>
              <w:rPr>
                <w:rFonts w:ascii="Times New Roman" w:hAnsi="Times New Roman" w:eastAsia="宋体"/>
                <w:color w:val="000000"/>
                <w:sz w:val="24"/>
              </w:rPr>
              <w:t>级（黄色）预警或气象预报风速达到四级以上时，不得进行土方挖填、转运和拆除等易产生扬尘的作业；</w:t>
            </w:r>
          </w:p>
          <w:p>
            <w:pPr>
              <w:spacing w:line="460" w:lineRule="exact"/>
              <w:ind w:firstLine="480" w:firstLineChars="200"/>
              <w:rPr>
                <w:rFonts w:ascii="Times New Roman" w:hAnsi="Times New Roman" w:eastAsia="宋体"/>
                <w:color w:val="000000"/>
                <w:sz w:val="24"/>
              </w:rPr>
            </w:pPr>
            <w:r>
              <w:rPr>
                <w:rFonts w:hint="eastAsia" w:ascii="Times New Roman" w:hAnsi="Times New Roman" w:eastAsia="宋体"/>
                <w:color w:val="000000"/>
                <w:sz w:val="24"/>
              </w:rPr>
              <w:t>施工单位在采取上述一系列有效的扬尘控制措施以后，施工扬尘将明显减少；而在采取一定的防护措施及土壤湿度较大时施工，在不同风速和稳定度下，施工扬尘的浓度贡献值也会大幅度下降。</w:t>
            </w:r>
          </w:p>
          <w:p>
            <w:pPr>
              <w:pStyle w:val="5"/>
              <w:spacing w:before="0" w:after="0" w:line="460" w:lineRule="exact"/>
              <w:ind w:firstLine="496" w:firstLineChars="200"/>
              <w:rPr>
                <w:rFonts w:ascii="Times New Roman" w:hAnsi="Times New Roman" w:eastAsia="宋体"/>
                <w:color w:val="000000"/>
                <w:spacing w:val="4"/>
                <w:sz w:val="24"/>
              </w:rPr>
            </w:pPr>
            <w:r>
              <w:rPr>
                <w:rFonts w:hint="eastAsia" w:ascii="Times New Roman" w:hAnsi="Times New Roman" w:eastAsia="宋体"/>
                <w:color w:val="000000"/>
                <w:spacing w:val="4"/>
                <w:sz w:val="24"/>
                <w:lang w:val="en-US" w:eastAsia="zh-CN"/>
              </w:rPr>
              <w:t>1.2</w:t>
            </w:r>
            <w:r>
              <w:rPr>
                <w:rFonts w:hint="eastAsia" w:ascii="Times New Roman" w:hAnsi="Times New Roman" w:eastAsia="宋体"/>
                <w:color w:val="000000"/>
                <w:spacing w:val="4"/>
                <w:sz w:val="24"/>
              </w:rPr>
              <w:t>运输</w:t>
            </w:r>
            <w:r>
              <w:rPr>
                <w:rFonts w:ascii="Times New Roman" w:hAnsi="Times New Roman" w:eastAsia="宋体"/>
                <w:color w:val="000000"/>
                <w:spacing w:val="4"/>
                <w:sz w:val="24"/>
              </w:rPr>
              <w:t>扬尘</w:t>
            </w:r>
            <w:r>
              <w:rPr>
                <w:rFonts w:hint="eastAsia" w:ascii="Times New Roman" w:hAnsi="Times New Roman" w:eastAsia="宋体"/>
                <w:color w:val="000000"/>
                <w:spacing w:val="4"/>
                <w:sz w:val="24"/>
              </w:rPr>
              <w:t>影响</w:t>
            </w:r>
            <w:r>
              <w:rPr>
                <w:rFonts w:ascii="Times New Roman" w:hAnsi="Times New Roman" w:eastAsia="宋体"/>
                <w:color w:val="000000"/>
                <w:spacing w:val="4"/>
                <w:sz w:val="24"/>
              </w:rPr>
              <w:t>分析</w:t>
            </w:r>
          </w:p>
          <w:p>
            <w:pPr>
              <w:spacing w:line="460" w:lineRule="exact"/>
              <w:ind w:firstLine="480" w:firstLineChars="200"/>
              <w:rPr>
                <w:rFonts w:ascii="Times New Roman" w:hAnsi="Times New Roman" w:eastAsia="宋体"/>
                <w:color w:val="000000"/>
                <w:sz w:val="24"/>
              </w:rPr>
            </w:pPr>
            <w:r>
              <w:rPr>
                <w:rFonts w:hint="eastAsia" w:ascii="Times New Roman" w:hAnsi="Times New Roman" w:eastAsia="宋体"/>
                <w:color w:val="000000"/>
                <w:sz w:val="24"/>
              </w:rPr>
              <w:t>技改项目运出土石方及运入建筑材料的运输量不大，但是施工车辆出入的道路运输扬尘对环境空气有一定的影响。运输扬尘的源强大小与污染源的距离、道路路面、车辆行驶速度等有关。一般情况，在自然风的作用下车辆产生的</w:t>
            </w:r>
            <w:r>
              <w:rPr>
                <w:rFonts w:ascii="Times New Roman" w:hAnsi="Times New Roman" w:eastAsia="宋体"/>
                <w:color w:val="000000"/>
                <w:sz w:val="24"/>
              </w:rPr>
              <w:t>扬尘</w:t>
            </w:r>
            <w:r>
              <w:rPr>
                <w:rFonts w:hint="eastAsia" w:ascii="Times New Roman" w:hAnsi="Times New Roman" w:eastAsia="宋体"/>
                <w:color w:val="000000"/>
                <w:sz w:val="24"/>
              </w:rPr>
              <w:t>所影响的范围在</w:t>
            </w:r>
            <w:r>
              <w:rPr>
                <w:rFonts w:ascii="Times New Roman" w:hAnsi="Times New Roman" w:eastAsia="宋体"/>
                <w:color w:val="000000"/>
                <w:sz w:val="24"/>
              </w:rPr>
              <w:t>100m</w:t>
            </w:r>
            <w:r>
              <w:rPr>
                <w:rFonts w:hint="eastAsia" w:ascii="Times New Roman" w:hAnsi="Times New Roman" w:eastAsia="宋体"/>
                <w:color w:val="000000"/>
                <w:sz w:val="24"/>
              </w:rPr>
              <w:t>以内。如果</w:t>
            </w:r>
            <w:r>
              <w:rPr>
                <w:rFonts w:ascii="Times New Roman" w:hAnsi="Times New Roman" w:eastAsia="宋体"/>
                <w:color w:val="000000"/>
                <w:sz w:val="24"/>
              </w:rPr>
              <w:t>在施工场地</w:t>
            </w:r>
            <w:r>
              <w:rPr>
                <w:rFonts w:hint="eastAsia" w:ascii="Times New Roman" w:hAnsi="Times New Roman" w:eastAsia="宋体"/>
                <w:color w:val="000000"/>
                <w:sz w:val="24"/>
              </w:rPr>
              <w:t>对行驶车辆的路面</w:t>
            </w:r>
            <w:r>
              <w:rPr>
                <w:rFonts w:ascii="Times New Roman" w:hAnsi="Times New Roman" w:eastAsia="宋体"/>
                <w:color w:val="000000"/>
                <w:sz w:val="24"/>
              </w:rPr>
              <w:t>每天洒水抑尘4</w:t>
            </w:r>
            <w:r>
              <w:rPr>
                <w:rFonts w:hint="eastAsia" w:ascii="Times New Roman" w:hAnsi="Times New Roman" w:eastAsia="宋体"/>
                <w:color w:val="000000"/>
                <w:sz w:val="24"/>
              </w:rPr>
              <w:t>～</w:t>
            </w:r>
            <w:r>
              <w:rPr>
                <w:rFonts w:ascii="Times New Roman" w:hAnsi="Times New Roman" w:eastAsia="宋体"/>
                <w:color w:val="000000"/>
                <w:sz w:val="24"/>
              </w:rPr>
              <w:t>5次，可使扬尘量减少70%左右，</w:t>
            </w:r>
            <w:r>
              <w:rPr>
                <w:rFonts w:hint="eastAsia" w:ascii="Times New Roman" w:hAnsi="Times New Roman" w:eastAsia="宋体"/>
                <w:color w:val="000000"/>
                <w:sz w:val="24"/>
              </w:rPr>
              <w:t>可使TSP污染范围缩小到20～50m。施工场地洒水试验结果</w:t>
            </w:r>
            <w:r>
              <w:rPr>
                <w:rFonts w:ascii="Times New Roman" w:hAnsi="Times New Roman" w:eastAsia="宋体"/>
                <w:color w:val="000000"/>
                <w:sz w:val="24"/>
              </w:rPr>
              <w:t>见</w:t>
            </w:r>
            <w:r>
              <w:rPr>
                <w:rFonts w:hint="eastAsia" w:ascii="Times New Roman" w:hAnsi="Times New Roman" w:eastAsia="宋体"/>
                <w:color w:val="000000"/>
                <w:sz w:val="24"/>
                <w:lang w:val="en-US" w:eastAsia="zh-CN"/>
              </w:rPr>
              <w:t>下表</w:t>
            </w:r>
            <w:r>
              <w:rPr>
                <w:rFonts w:ascii="Times New Roman" w:hAnsi="Times New Roman" w:eastAsia="宋体"/>
                <w:color w:val="000000"/>
                <w:sz w:val="24"/>
              </w:rPr>
              <w:t>。</w:t>
            </w:r>
          </w:p>
          <w:p>
            <w:pPr>
              <w:spacing w:line="460" w:lineRule="exact"/>
              <w:jc w:val="center"/>
              <w:rPr>
                <w:rFonts w:ascii="Times New Roman" w:hAnsi="Times New Roman" w:eastAsia="宋体"/>
                <w:b/>
                <w:bCs/>
                <w:color w:val="000000"/>
                <w:sz w:val="24"/>
              </w:rPr>
            </w:pPr>
            <w:r>
              <w:rPr>
                <w:rFonts w:ascii="Times New Roman" w:hAnsi="Times New Roman" w:eastAsia="宋体"/>
                <w:b/>
                <w:bCs/>
                <w:color w:val="000000"/>
                <w:sz w:val="24"/>
              </w:rPr>
              <w:t>表</w:t>
            </w:r>
            <w:r>
              <w:rPr>
                <w:rFonts w:hint="eastAsia" w:ascii="Times New Roman" w:hAnsi="Times New Roman" w:eastAsia="宋体"/>
                <w:b/>
                <w:bCs/>
                <w:color w:val="000000"/>
                <w:sz w:val="24"/>
                <w:lang w:val="en-US" w:eastAsia="zh-CN"/>
              </w:rPr>
              <w:t>7</w:t>
            </w:r>
            <w:r>
              <w:rPr>
                <w:rFonts w:ascii="Times New Roman" w:hAnsi="Times New Roman" w:eastAsia="宋体"/>
                <w:b/>
                <w:bCs/>
                <w:color w:val="000000"/>
                <w:sz w:val="24"/>
              </w:rPr>
              <w:t>-1    施工期场地洒水抑尘试验结果</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9"/>
              <w:gridCol w:w="1622"/>
              <w:gridCol w:w="1135"/>
              <w:gridCol w:w="1136"/>
              <w:gridCol w:w="1135"/>
              <w:gridCol w:w="11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3441" w:type="dxa"/>
                  <w:gridSpan w:val="2"/>
                  <w:noWrap w:val="0"/>
                  <w:vAlign w:val="top"/>
                </w:tcPr>
                <w:p>
                  <w:pPr>
                    <w:pStyle w:val="6"/>
                    <w:adjustRightInd w:val="0"/>
                    <w:snapToGrid w:val="0"/>
                    <w:spacing w:line="300" w:lineRule="exact"/>
                    <w:ind w:firstLine="0"/>
                    <w:jc w:val="center"/>
                    <w:rPr>
                      <w:rFonts w:ascii="Times New Roman" w:hAnsi="Times New Roman" w:eastAsia="宋体"/>
                      <w:color w:val="000000"/>
                      <w:szCs w:val="21"/>
                      <w:lang w:val="en-US" w:eastAsia="zh-CN"/>
                    </w:rPr>
                  </w:pPr>
                  <w:r>
                    <w:rPr>
                      <w:rFonts w:ascii="Times New Roman" w:hAnsi="Times New Roman" w:eastAsia="宋体"/>
                      <w:color w:val="000000"/>
                      <w:szCs w:val="21"/>
                      <w:lang w:val="en-US" w:eastAsia="zh-CN"/>
                    </w:rPr>
                    <w:t>距离（m）</w:t>
                  </w:r>
                </w:p>
              </w:tc>
              <w:tc>
                <w:tcPr>
                  <w:tcW w:w="1135" w:type="dxa"/>
                  <w:noWrap w:val="0"/>
                  <w:vAlign w:val="top"/>
                </w:tcPr>
                <w:p>
                  <w:pPr>
                    <w:pStyle w:val="6"/>
                    <w:adjustRightInd w:val="0"/>
                    <w:snapToGrid w:val="0"/>
                    <w:spacing w:line="300" w:lineRule="exact"/>
                    <w:ind w:firstLine="0"/>
                    <w:jc w:val="center"/>
                    <w:rPr>
                      <w:rFonts w:ascii="Times New Roman" w:hAnsi="Times New Roman" w:eastAsia="宋体"/>
                      <w:color w:val="000000"/>
                      <w:szCs w:val="21"/>
                      <w:lang w:val="en-US" w:eastAsia="zh-CN"/>
                    </w:rPr>
                  </w:pPr>
                  <w:r>
                    <w:rPr>
                      <w:rFonts w:ascii="Times New Roman" w:hAnsi="Times New Roman" w:eastAsia="宋体"/>
                      <w:color w:val="000000"/>
                      <w:szCs w:val="21"/>
                      <w:lang w:val="en-US" w:eastAsia="zh-CN"/>
                    </w:rPr>
                    <w:t>5</w:t>
                  </w:r>
                </w:p>
              </w:tc>
              <w:tc>
                <w:tcPr>
                  <w:tcW w:w="1136" w:type="dxa"/>
                  <w:noWrap w:val="0"/>
                  <w:vAlign w:val="top"/>
                </w:tcPr>
                <w:p>
                  <w:pPr>
                    <w:pStyle w:val="6"/>
                    <w:adjustRightInd w:val="0"/>
                    <w:snapToGrid w:val="0"/>
                    <w:spacing w:line="300" w:lineRule="exact"/>
                    <w:ind w:firstLine="0"/>
                    <w:jc w:val="center"/>
                    <w:rPr>
                      <w:rFonts w:ascii="Times New Roman" w:hAnsi="Times New Roman" w:eastAsia="宋体"/>
                      <w:color w:val="000000"/>
                      <w:szCs w:val="21"/>
                      <w:lang w:val="en-US" w:eastAsia="zh-CN"/>
                    </w:rPr>
                  </w:pPr>
                  <w:r>
                    <w:rPr>
                      <w:rFonts w:ascii="Times New Roman" w:hAnsi="Times New Roman" w:eastAsia="宋体"/>
                      <w:color w:val="000000"/>
                      <w:szCs w:val="21"/>
                      <w:lang w:val="en-US" w:eastAsia="zh-CN"/>
                    </w:rPr>
                    <w:t>20</w:t>
                  </w:r>
                </w:p>
              </w:tc>
              <w:tc>
                <w:tcPr>
                  <w:tcW w:w="1135" w:type="dxa"/>
                  <w:noWrap w:val="0"/>
                  <w:vAlign w:val="top"/>
                </w:tcPr>
                <w:p>
                  <w:pPr>
                    <w:pStyle w:val="6"/>
                    <w:adjustRightInd w:val="0"/>
                    <w:snapToGrid w:val="0"/>
                    <w:spacing w:line="300" w:lineRule="exact"/>
                    <w:ind w:firstLine="0"/>
                    <w:jc w:val="center"/>
                    <w:rPr>
                      <w:rFonts w:ascii="Times New Roman" w:hAnsi="Times New Roman" w:eastAsia="宋体"/>
                      <w:color w:val="000000"/>
                      <w:szCs w:val="21"/>
                      <w:lang w:val="en-US" w:eastAsia="zh-CN"/>
                    </w:rPr>
                  </w:pPr>
                  <w:r>
                    <w:rPr>
                      <w:rFonts w:ascii="Times New Roman" w:hAnsi="Times New Roman" w:eastAsia="宋体"/>
                      <w:color w:val="000000"/>
                      <w:szCs w:val="21"/>
                      <w:lang w:val="en-US" w:eastAsia="zh-CN"/>
                    </w:rPr>
                    <w:t>50</w:t>
                  </w:r>
                </w:p>
              </w:tc>
              <w:tc>
                <w:tcPr>
                  <w:tcW w:w="1136" w:type="dxa"/>
                  <w:noWrap w:val="0"/>
                  <w:vAlign w:val="top"/>
                </w:tcPr>
                <w:p>
                  <w:pPr>
                    <w:pStyle w:val="6"/>
                    <w:adjustRightInd w:val="0"/>
                    <w:snapToGrid w:val="0"/>
                    <w:spacing w:line="300" w:lineRule="exact"/>
                    <w:ind w:firstLine="0"/>
                    <w:jc w:val="center"/>
                    <w:rPr>
                      <w:rFonts w:ascii="Times New Roman" w:hAnsi="Times New Roman" w:eastAsia="宋体"/>
                      <w:color w:val="000000"/>
                      <w:szCs w:val="21"/>
                      <w:lang w:val="en-US" w:eastAsia="zh-CN"/>
                    </w:rPr>
                  </w:pPr>
                  <w:r>
                    <w:rPr>
                      <w:rFonts w:ascii="Times New Roman" w:hAnsi="Times New Roman" w:eastAsia="宋体"/>
                      <w:color w:val="000000"/>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1819" w:type="dxa"/>
                  <w:vMerge w:val="restart"/>
                  <w:noWrap w:val="0"/>
                  <w:vAlign w:val="top"/>
                </w:tcPr>
                <w:p>
                  <w:pPr>
                    <w:pStyle w:val="6"/>
                    <w:adjustRightInd w:val="0"/>
                    <w:snapToGrid w:val="0"/>
                    <w:spacing w:line="300" w:lineRule="exact"/>
                    <w:ind w:firstLine="0"/>
                    <w:jc w:val="center"/>
                    <w:rPr>
                      <w:rFonts w:ascii="Times New Roman" w:hAnsi="Times New Roman" w:eastAsia="宋体"/>
                      <w:color w:val="000000"/>
                      <w:szCs w:val="21"/>
                      <w:lang w:val="en-US" w:eastAsia="zh-CN"/>
                    </w:rPr>
                  </w:pPr>
                  <w:r>
                    <w:rPr>
                      <w:rFonts w:ascii="Times New Roman" w:hAnsi="Times New Roman" w:eastAsia="宋体"/>
                      <w:color w:val="000000"/>
                      <w:szCs w:val="21"/>
                      <w:lang w:val="en-US" w:eastAsia="zh-CN"/>
                    </w:rPr>
                    <w:t>TSP小时浓度</w:t>
                  </w:r>
                </w:p>
                <w:p>
                  <w:pPr>
                    <w:pStyle w:val="6"/>
                    <w:adjustRightInd w:val="0"/>
                    <w:snapToGrid w:val="0"/>
                    <w:spacing w:line="300" w:lineRule="exact"/>
                    <w:ind w:firstLine="0"/>
                    <w:jc w:val="center"/>
                    <w:rPr>
                      <w:rFonts w:ascii="Times New Roman" w:hAnsi="Times New Roman" w:eastAsia="宋体"/>
                      <w:color w:val="000000"/>
                      <w:szCs w:val="21"/>
                      <w:lang w:val="en-US" w:eastAsia="zh-CN"/>
                    </w:rPr>
                  </w:pPr>
                  <w:r>
                    <w:rPr>
                      <w:rFonts w:ascii="Times New Roman" w:hAnsi="Times New Roman" w:eastAsia="宋体"/>
                      <w:color w:val="000000"/>
                      <w:szCs w:val="21"/>
                      <w:lang w:val="en-US" w:eastAsia="zh-CN"/>
                    </w:rPr>
                    <w:t>（mg/m</w:t>
                  </w:r>
                  <w:r>
                    <w:rPr>
                      <w:rFonts w:ascii="Times New Roman" w:hAnsi="Times New Roman" w:eastAsia="宋体"/>
                      <w:color w:val="000000"/>
                      <w:szCs w:val="21"/>
                      <w:vertAlign w:val="superscript"/>
                      <w:lang w:val="en-US" w:eastAsia="zh-CN"/>
                    </w:rPr>
                    <w:t>3</w:t>
                  </w:r>
                  <w:r>
                    <w:rPr>
                      <w:rFonts w:ascii="Times New Roman" w:hAnsi="Times New Roman" w:eastAsia="宋体"/>
                      <w:color w:val="000000"/>
                      <w:szCs w:val="21"/>
                      <w:lang w:val="en-US" w:eastAsia="zh-CN"/>
                    </w:rPr>
                    <w:t>）</w:t>
                  </w:r>
                </w:p>
              </w:tc>
              <w:tc>
                <w:tcPr>
                  <w:tcW w:w="1622" w:type="dxa"/>
                  <w:noWrap w:val="0"/>
                  <w:vAlign w:val="top"/>
                </w:tcPr>
                <w:p>
                  <w:pPr>
                    <w:pStyle w:val="6"/>
                    <w:adjustRightInd w:val="0"/>
                    <w:snapToGrid w:val="0"/>
                    <w:spacing w:line="300" w:lineRule="exact"/>
                    <w:ind w:firstLine="0"/>
                    <w:jc w:val="center"/>
                    <w:rPr>
                      <w:rFonts w:ascii="Times New Roman" w:hAnsi="Times New Roman" w:eastAsia="宋体"/>
                      <w:color w:val="000000"/>
                      <w:szCs w:val="21"/>
                      <w:lang w:val="en-US" w:eastAsia="zh-CN"/>
                    </w:rPr>
                  </w:pPr>
                  <w:r>
                    <w:rPr>
                      <w:rFonts w:ascii="Times New Roman" w:hAnsi="Times New Roman" w:eastAsia="宋体"/>
                      <w:color w:val="000000"/>
                      <w:szCs w:val="21"/>
                      <w:lang w:val="en-US" w:eastAsia="zh-CN"/>
                    </w:rPr>
                    <w:t>不洒水</w:t>
                  </w:r>
                </w:p>
              </w:tc>
              <w:tc>
                <w:tcPr>
                  <w:tcW w:w="1135" w:type="dxa"/>
                  <w:noWrap w:val="0"/>
                  <w:vAlign w:val="top"/>
                </w:tcPr>
                <w:p>
                  <w:pPr>
                    <w:pStyle w:val="6"/>
                    <w:adjustRightInd w:val="0"/>
                    <w:snapToGrid w:val="0"/>
                    <w:spacing w:line="300" w:lineRule="exact"/>
                    <w:ind w:firstLine="0"/>
                    <w:jc w:val="center"/>
                    <w:rPr>
                      <w:rFonts w:ascii="Times New Roman" w:hAnsi="Times New Roman" w:eastAsia="宋体"/>
                      <w:color w:val="000000"/>
                      <w:szCs w:val="21"/>
                      <w:lang w:val="en-US" w:eastAsia="zh-CN"/>
                    </w:rPr>
                  </w:pPr>
                  <w:r>
                    <w:rPr>
                      <w:rFonts w:ascii="Times New Roman" w:hAnsi="Times New Roman" w:eastAsia="宋体"/>
                      <w:color w:val="000000"/>
                      <w:szCs w:val="21"/>
                      <w:lang w:val="en-US" w:eastAsia="zh-CN"/>
                    </w:rPr>
                    <w:t>10.14</w:t>
                  </w:r>
                </w:p>
              </w:tc>
              <w:tc>
                <w:tcPr>
                  <w:tcW w:w="1136" w:type="dxa"/>
                  <w:noWrap w:val="0"/>
                  <w:vAlign w:val="top"/>
                </w:tcPr>
                <w:p>
                  <w:pPr>
                    <w:pStyle w:val="6"/>
                    <w:adjustRightInd w:val="0"/>
                    <w:snapToGrid w:val="0"/>
                    <w:spacing w:line="300" w:lineRule="exact"/>
                    <w:ind w:firstLine="0"/>
                    <w:jc w:val="center"/>
                    <w:rPr>
                      <w:rFonts w:ascii="Times New Roman" w:hAnsi="Times New Roman" w:eastAsia="宋体"/>
                      <w:color w:val="000000"/>
                      <w:szCs w:val="21"/>
                      <w:lang w:val="en-US" w:eastAsia="zh-CN"/>
                    </w:rPr>
                  </w:pPr>
                  <w:r>
                    <w:rPr>
                      <w:rFonts w:ascii="Times New Roman" w:hAnsi="Times New Roman" w:eastAsia="宋体"/>
                      <w:color w:val="000000"/>
                      <w:szCs w:val="21"/>
                      <w:lang w:val="en-US" w:eastAsia="zh-CN"/>
                    </w:rPr>
                    <w:t>2.89</w:t>
                  </w:r>
                </w:p>
              </w:tc>
              <w:tc>
                <w:tcPr>
                  <w:tcW w:w="1135" w:type="dxa"/>
                  <w:noWrap w:val="0"/>
                  <w:vAlign w:val="top"/>
                </w:tcPr>
                <w:p>
                  <w:pPr>
                    <w:pStyle w:val="6"/>
                    <w:adjustRightInd w:val="0"/>
                    <w:snapToGrid w:val="0"/>
                    <w:spacing w:line="300" w:lineRule="exact"/>
                    <w:ind w:firstLine="0"/>
                    <w:jc w:val="center"/>
                    <w:rPr>
                      <w:rFonts w:ascii="Times New Roman" w:hAnsi="Times New Roman" w:eastAsia="宋体"/>
                      <w:color w:val="000000"/>
                      <w:szCs w:val="21"/>
                      <w:lang w:val="en-US" w:eastAsia="zh-CN"/>
                    </w:rPr>
                  </w:pPr>
                  <w:r>
                    <w:rPr>
                      <w:rFonts w:ascii="Times New Roman" w:hAnsi="Times New Roman" w:eastAsia="宋体"/>
                      <w:color w:val="000000"/>
                      <w:szCs w:val="21"/>
                      <w:lang w:val="en-US" w:eastAsia="zh-CN"/>
                    </w:rPr>
                    <w:t>1.15</w:t>
                  </w:r>
                </w:p>
              </w:tc>
              <w:tc>
                <w:tcPr>
                  <w:tcW w:w="1136" w:type="dxa"/>
                  <w:noWrap w:val="0"/>
                  <w:vAlign w:val="top"/>
                </w:tcPr>
                <w:p>
                  <w:pPr>
                    <w:pStyle w:val="6"/>
                    <w:adjustRightInd w:val="0"/>
                    <w:snapToGrid w:val="0"/>
                    <w:spacing w:line="300" w:lineRule="exact"/>
                    <w:ind w:firstLine="0"/>
                    <w:jc w:val="center"/>
                    <w:rPr>
                      <w:rFonts w:ascii="Times New Roman" w:hAnsi="Times New Roman" w:eastAsia="宋体"/>
                      <w:color w:val="000000"/>
                      <w:szCs w:val="21"/>
                      <w:lang w:val="en-US" w:eastAsia="zh-CN"/>
                    </w:rPr>
                  </w:pPr>
                  <w:r>
                    <w:rPr>
                      <w:rFonts w:ascii="Times New Roman" w:hAnsi="Times New Roman" w:eastAsia="宋体"/>
                      <w:color w:val="000000"/>
                      <w:szCs w:val="21"/>
                      <w:lang w:val="en-US" w:eastAsia="zh-CN"/>
                    </w:rPr>
                    <w:t>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1819" w:type="dxa"/>
                  <w:vMerge w:val="continue"/>
                  <w:noWrap w:val="0"/>
                  <w:vAlign w:val="top"/>
                </w:tcPr>
                <w:p>
                  <w:pPr>
                    <w:pStyle w:val="6"/>
                    <w:adjustRightInd w:val="0"/>
                    <w:snapToGrid w:val="0"/>
                    <w:spacing w:line="300" w:lineRule="exact"/>
                    <w:ind w:firstLine="0"/>
                    <w:jc w:val="center"/>
                    <w:rPr>
                      <w:rFonts w:ascii="Times New Roman" w:hAnsi="Times New Roman" w:eastAsia="宋体"/>
                      <w:color w:val="000000"/>
                      <w:szCs w:val="21"/>
                      <w:lang w:val="en-US" w:eastAsia="zh-CN"/>
                    </w:rPr>
                  </w:pPr>
                </w:p>
              </w:tc>
              <w:tc>
                <w:tcPr>
                  <w:tcW w:w="1622" w:type="dxa"/>
                  <w:noWrap w:val="0"/>
                  <w:vAlign w:val="top"/>
                </w:tcPr>
                <w:p>
                  <w:pPr>
                    <w:pStyle w:val="6"/>
                    <w:adjustRightInd w:val="0"/>
                    <w:snapToGrid w:val="0"/>
                    <w:spacing w:line="300" w:lineRule="exact"/>
                    <w:ind w:firstLine="0"/>
                    <w:jc w:val="center"/>
                    <w:rPr>
                      <w:rFonts w:ascii="Times New Roman" w:hAnsi="Times New Roman" w:eastAsia="宋体"/>
                      <w:color w:val="000000"/>
                      <w:szCs w:val="21"/>
                      <w:lang w:val="en-US" w:eastAsia="zh-CN"/>
                    </w:rPr>
                  </w:pPr>
                  <w:r>
                    <w:rPr>
                      <w:rFonts w:ascii="Times New Roman" w:hAnsi="Times New Roman" w:eastAsia="宋体"/>
                      <w:color w:val="000000"/>
                      <w:szCs w:val="21"/>
                      <w:lang w:val="en-US" w:eastAsia="zh-CN"/>
                    </w:rPr>
                    <w:t>洒水</w:t>
                  </w:r>
                </w:p>
              </w:tc>
              <w:tc>
                <w:tcPr>
                  <w:tcW w:w="1135" w:type="dxa"/>
                  <w:noWrap w:val="0"/>
                  <w:vAlign w:val="top"/>
                </w:tcPr>
                <w:p>
                  <w:pPr>
                    <w:pStyle w:val="6"/>
                    <w:adjustRightInd w:val="0"/>
                    <w:snapToGrid w:val="0"/>
                    <w:spacing w:line="300" w:lineRule="exact"/>
                    <w:ind w:firstLine="0"/>
                    <w:jc w:val="center"/>
                    <w:rPr>
                      <w:rFonts w:ascii="Times New Roman" w:hAnsi="Times New Roman" w:eastAsia="宋体"/>
                      <w:color w:val="000000"/>
                      <w:szCs w:val="21"/>
                      <w:lang w:val="en-US" w:eastAsia="zh-CN"/>
                    </w:rPr>
                  </w:pPr>
                  <w:r>
                    <w:rPr>
                      <w:rFonts w:ascii="Times New Roman" w:hAnsi="Times New Roman" w:eastAsia="宋体"/>
                      <w:color w:val="000000"/>
                      <w:szCs w:val="21"/>
                      <w:lang w:val="en-US" w:eastAsia="zh-CN"/>
                    </w:rPr>
                    <w:t>2.01</w:t>
                  </w:r>
                </w:p>
              </w:tc>
              <w:tc>
                <w:tcPr>
                  <w:tcW w:w="1136" w:type="dxa"/>
                  <w:noWrap w:val="0"/>
                  <w:vAlign w:val="top"/>
                </w:tcPr>
                <w:p>
                  <w:pPr>
                    <w:pStyle w:val="6"/>
                    <w:adjustRightInd w:val="0"/>
                    <w:snapToGrid w:val="0"/>
                    <w:spacing w:line="300" w:lineRule="exact"/>
                    <w:ind w:firstLine="0"/>
                    <w:jc w:val="center"/>
                    <w:rPr>
                      <w:rFonts w:ascii="Times New Roman" w:hAnsi="Times New Roman" w:eastAsia="宋体"/>
                      <w:color w:val="000000"/>
                      <w:szCs w:val="21"/>
                      <w:lang w:val="en-US" w:eastAsia="zh-CN"/>
                    </w:rPr>
                  </w:pPr>
                  <w:r>
                    <w:rPr>
                      <w:rFonts w:ascii="Times New Roman" w:hAnsi="Times New Roman" w:eastAsia="宋体"/>
                      <w:color w:val="000000"/>
                      <w:szCs w:val="21"/>
                      <w:lang w:val="en-US" w:eastAsia="zh-CN"/>
                    </w:rPr>
                    <w:t>1.40</w:t>
                  </w:r>
                </w:p>
              </w:tc>
              <w:tc>
                <w:tcPr>
                  <w:tcW w:w="1135" w:type="dxa"/>
                  <w:noWrap w:val="0"/>
                  <w:vAlign w:val="top"/>
                </w:tcPr>
                <w:p>
                  <w:pPr>
                    <w:pStyle w:val="6"/>
                    <w:adjustRightInd w:val="0"/>
                    <w:snapToGrid w:val="0"/>
                    <w:spacing w:line="300" w:lineRule="exact"/>
                    <w:ind w:firstLine="0"/>
                    <w:jc w:val="center"/>
                    <w:rPr>
                      <w:rFonts w:ascii="Times New Roman" w:hAnsi="Times New Roman" w:eastAsia="宋体"/>
                      <w:color w:val="000000"/>
                      <w:szCs w:val="21"/>
                      <w:lang w:val="en-US" w:eastAsia="zh-CN"/>
                    </w:rPr>
                  </w:pPr>
                  <w:r>
                    <w:rPr>
                      <w:rFonts w:ascii="Times New Roman" w:hAnsi="Times New Roman" w:eastAsia="宋体"/>
                      <w:color w:val="000000"/>
                      <w:szCs w:val="21"/>
                      <w:lang w:val="en-US" w:eastAsia="zh-CN"/>
                    </w:rPr>
                    <w:t>0.67</w:t>
                  </w:r>
                </w:p>
              </w:tc>
              <w:tc>
                <w:tcPr>
                  <w:tcW w:w="1136" w:type="dxa"/>
                  <w:noWrap w:val="0"/>
                  <w:vAlign w:val="top"/>
                </w:tcPr>
                <w:p>
                  <w:pPr>
                    <w:pStyle w:val="6"/>
                    <w:adjustRightInd w:val="0"/>
                    <w:snapToGrid w:val="0"/>
                    <w:spacing w:line="300" w:lineRule="exact"/>
                    <w:ind w:firstLine="0"/>
                    <w:jc w:val="center"/>
                    <w:rPr>
                      <w:rFonts w:ascii="Times New Roman" w:hAnsi="Times New Roman" w:eastAsia="宋体"/>
                      <w:color w:val="000000"/>
                      <w:szCs w:val="21"/>
                      <w:lang w:val="en-US" w:eastAsia="zh-CN"/>
                    </w:rPr>
                  </w:pPr>
                  <w:r>
                    <w:rPr>
                      <w:rFonts w:ascii="Times New Roman" w:hAnsi="Times New Roman" w:eastAsia="宋体"/>
                      <w:color w:val="000000"/>
                      <w:szCs w:val="21"/>
                      <w:lang w:val="en-US" w:eastAsia="zh-CN"/>
                    </w:rPr>
                    <w:t>0.60</w:t>
                  </w:r>
                </w:p>
              </w:tc>
            </w:tr>
          </w:tbl>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技改项目位于芜湖</w:t>
            </w:r>
            <w:r>
              <w:rPr>
                <w:rFonts w:hint="eastAsia" w:ascii="Times New Roman" w:hAnsi="Times New Roman" w:eastAsia="宋体"/>
                <w:color w:val="000000"/>
                <w:sz w:val="24"/>
              </w:rPr>
              <w:t>三山经济开发区内</w:t>
            </w:r>
            <w:r>
              <w:rPr>
                <w:rFonts w:ascii="Times New Roman" w:hAnsi="Times New Roman" w:eastAsia="宋体"/>
                <w:color w:val="000000"/>
                <w:sz w:val="24"/>
              </w:rPr>
              <w:t>，</w:t>
            </w:r>
            <w:r>
              <w:rPr>
                <w:rFonts w:hint="eastAsia" w:ascii="Times New Roman" w:hAnsi="Times New Roman" w:eastAsia="宋体"/>
                <w:color w:val="000000"/>
                <w:sz w:val="24"/>
              </w:rPr>
              <w:t>厂址周边1km范围内无居民区、学校、医院等</w:t>
            </w:r>
            <w:r>
              <w:rPr>
                <w:rFonts w:ascii="Times New Roman" w:hAnsi="Times New Roman" w:eastAsia="宋体"/>
                <w:color w:val="000000"/>
                <w:sz w:val="24"/>
              </w:rPr>
              <w:t>环境敏感点。</w:t>
            </w:r>
            <w:r>
              <w:rPr>
                <w:rFonts w:hint="eastAsia" w:ascii="Times New Roman" w:hAnsi="Times New Roman" w:eastAsia="宋体"/>
                <w:color w:val="000000"/>
                <w:sz w:val="24"/>
              </w:rPr>
              <w:t>项目运出土石方及运入建筑材料的运输量不大，施工运输车辆出入产生的道路扬尘对沿途环境保护目标的环境影响较小。技改项目施工前应当向当地市政道路管理部门申请施工渣土运输许可证，并严格按照规定的路线、时间进行运输，确保外运的施工渣土不污染沿途路面，以最大限度地减轻运输扬尘对沿途环境保护目标的影响。</w:t>
            </w:r>
          </w:p>
          <w:p>
            <w:pPr>
              <w:pStyle w:val="5"/>
              <w:spacing w:before="0" w:after="0" w:line="460" w:lineRule="exact"/>
              <w:ind w:firstLine="496" w:firstLineChars="200"/>
              <w:rPr>
                <w:rFonts w:ascii="Times New Roman" w:hAnsi="Times New Roman" w:eastAsia="宋体"/>
                <w:color w:val="000000"/>
                <w:spacing w:val="4"/>
                <w:sz w:val="24"/>
              </w:rPr>
            </w:pPr>
            <w:r>
              <w:rPr>
                <w:rFonts w:hint="eastAsia" w:ascii="Times New Roman" w:hAnsi="Times New Roman" w:eastAsia="宋体"/>
                <w:color w:val="000000"/>
                <w:spacing w:val="4"/>
                <w:sz w:val="24"/>
                <w:lang w:val="en-US" w:eastAsia="zh-CN"/>
              </w:rPr>
              <w:t>1.3</w:t>
            </w:r>
            <w:r>
              <w:rPr>
                <w:rFonts w:hint="eastAsia" w:ascii="Times New Roman" w:hAnsi="Times New Roman" w:eastAsia="宋体"/>
                <w:color w:val="000000"/>
                <w:spacing w:val="4"/>
                <w:sz w:val="24"/>
              </w:rPr>
              <w:t>施工机械尾气的环境影响</w:t>
            </w:r>
            <w:r>
              <w:rPr>
                <w:rFonts w:ascii="Times New Roman" w:hAnsi="Times New Roman" w:eastAsia="宋体"/>
                <w:color w:val="000000"/>
                <w:spacing w:val="4"/>
                <w:sz w:val="24"/>
              </w:rPr>
              <w:t>分析</w:t>
            </w:r>
          </w:p>
          <w:p>
            <w:pPr>
              <w:spacing w:line="460" w:lineRule="exact"/>
              <w:ind w:firstLine="480" w:firstLineChars="200"/>
              <w:rPr>
                <w:rFonts w:ascii="Times New Roman" w:hAnsi="Times New Roman" w:eastAsia="宋体"/>
                <w:bCs/>
                <w:color w:val="000000"/>
                <w:sz w:val="24"/>
              </w:rPr>
            </w:pPr>
            <w:r>
              <w:rPr>
                <w:rFonts w:hint="eastAsia" w:ascii="Times New Roman" w:hAnsi="Times New Roman" w:eastAsia="宋体"/>
                <w:bCs/>
                <w:color w:val="000000"/>
                <w:sz w:val="24"/>
              </w:rPr>
              <w:t>此外，施工期的</w:t>
            </w:r>
            <w:r>
              <w:rPr>
                <w:rFonts w:ascii="Times New Roman" w:hAnsi="Times New Roman" w:eastAsia="宋体"/>
                <w:bCs/>
                <w:color w:val="000000"/>
                <w:sz w:val="24"/>
              </w:rPr>
              <w:t>挖掘机、装载机、推土机等施工机械以</w:t>
            </w:r>
            <w:r>
              <w:rPr>
                <w:rFonts w:hint="eastAsia" w:ascii="Times New Roman" w:hAnsi="Times New Roman" w:eastAsia="宋体"/>
                <w:bCs/>
                <w:color w:val="000000"/>
                <w:sz w:val="24"/>
              </w:rPr>
              <w:t>汽油、</w:t>
            </w:r>
            <w:r>
              <w:rPr>
                <w:rFonts w:ascii="Times New Roman" w:hAnsi="Times New Roman" w:eastAsia="宋体"/>
                <w:bCs/>
                <w:color w:val="000000"/>
                <w:sz w:val="24"/>
              </w:rPr>
              <w:t>柴油为燃料，会产生一定量</w:t>
            </w:r>
            <w:r>
              <w:rPr>
                <w:rFonts w:hint="eastAsia" w:ascii="Times New Roman" w:hAnsi="Times New Roman" w:eastAsia="宋体"/>
                <w:bCs/>
                <w:color w:val="000000"/>
                <w:sz w:val="24"/>
              </w:rPr>
              <w:t>的间歇性</w:t>
            </w:r>
            <w:r>
              <w:rPr>
                <w:rFonts w:ascii="Times New Roman" w:hAnsi="Times New Roman" w:eastAsia="宋体"/>
                <w:bCs/>
                <w:color w:val="000000"/>
                <w:sz w:val="24"/>
              </w:rPr>
              <w:t>废气，包括</w:t>
            </w:r>
            <w:r>
              <w:rPr>
                <w:rFonts w:hint="eastAsia" w:ascii="Times New Roman" w:hAnsi="Times New Roman" w:eastAsia="宋体"/>
                <w:bCs/>
                <w:color w:val="000000"/>
                <w:sz w:val="24"/>
              </w:rPr>
              <w:t>THC、</w:t>
            </w:r>
            <w:r>
              <w:rPr>
                <w:rFonts w:ascii="Times New Roman" w:hAnsi="Times New Roman" w:eastAsia="宋体"/>
                <w:bCs/>
                <w:color w:val="000000"/>
                <w:sz w:val="24"/>
              </w:rPr>
              <w:t>CO、NO</w:t>
            </w:r>
            <w:r>
              <w:rPr>
                <w:rFonts w:ascii="Times New Roman" w:hAnsi="Times New Roman" w:eastAsia="宋体"/>
                <w:bCs/>
                <w:color w:val="000000"/>
                <w:sz w:val="24"/>
                <w:vertAlign w:val="subscript"/>
              </w:rPr>
              <w:t>X</w:t>
            </w:r>
            <w:r>
              <w:rPr>
                <w:rFonts w:ascii="Times New Roman" w:hAnsi="Times New Roman" w:eastAsia="宋体"/>
                <w:bCs/>
                <w:color w:val="000000"/>
                <w:sz w:val="24"/>
              </w:rPr>
              <w:t>、SO</w:t>
            </w:r>
            <w:r>
              <w:rPr>
                <w:rFonts w:ascii="Times New Roman" w:hAnsi="Times New Roman" w:eastAsia="宋体"/>
                <w:bCs/>
                <w:color w:val="000000"/>
                <w:sz w:val="24"/>
                <w:vertAlign w:val="subscript"/>
              </w:rPr>
              <w:t>2</w:t>
            </w:r>
            <w:r>
              <w:rPr>
                <w:rFonts w:ascii="Times New Roman" w:hAnsi="Times New Roman" w:eastAsia="宋体"/>
                <w:bCs/>
                <w:color w:val="000000"/>
                <w:sz w:val="24"/>
              </w:rPr>
              <w:t>等</w:t>
            </w:r>
            <w:r>
              <w:rPr>
                <w:rFonts w:hint="eastAsia" w:ascii="Times New Roman" w:hAnsi="Times New Roman" w:eastAsia="宋体"/>
                <w:bCs/>
                <w:color w:val="000000"/>
                <w:sz w:val="24"/>
              </w:rPr>
              <w:t>；为了控制施工机械的发动机尾气污染，现场施工的机械必须使用国四汽油和柴油。</w:t>
            </w:r>
            <w:r>
              <w:rPr>
                <w:rFonts w:ascii="Times New Roman" w:hAnsi="Times New Roman" w:eastAsia="宋体"/>
                <w:bCs/>
                <w:color w:val="000000"/>
                <w:sz w:val="24"/>
              </w:rPr>
              <w:t>由于</w:t>
            </w:r>
            <w:r>
              <w:rPr>
                <w:rFonts w:hint="eastAsia" w:ascii="Times New Roman" w:hAnsi="Times New Roman" w:eastAsia="宋体"/>
                <w:bCs/>
                <w:color w:val="000000"/>
                <w:sz w:val="24"/>
              </w:rPr>
              <w:t>当地环境空气质量现状较好、施工场地开阔、距离长江较近、空气流通性较好，间歇性、短时间</w:t>
            </w:r>
            <w:r>
              <w:rPr>
                <w:rFonts w:ascii="Times New Roman" w:hAnsi="Times New Roman" w:eastAsia="宋体"/>
                <w:bCs/>
                <w:color w:val="000000"/>
                <w:sz w:val="24"/>
              </w:rPr>
              <w:t>产生</w:t>
            </w:r>
            <w:r>
              <w:rPr>
                <w:rFonts w:hint="eastAsia" w:ascii="Times New Roman" w:hAnsi="Times New Roman" w:eastAsia="宋体"/>
                <w:bCs/>
                <w:color w:val="000000"/>
                <w:sz w:val="24"/>
              </w:rPr>
              <w:t>的污染物有利于扩散。因此，施工机械尾气的影响范围和影响程度都十分有限。</w:t>
            </w:r>
          </w:p>
          <w:p>
            <w:pPr>
              <w:pStyle w:val="4"/>
              <w:spacing w:before="120" w:after="120" w:afterLines="50" w:line="360" w:lineRule="auto"/>
              <w:rPr>
                <w:rFonts w:ascii="Times New Roman" w:hAnsi="Times New Roman" w:eastAsia="宋体"/>
                <w:color w:val="000000"/>
                <w:sz w:val="24"/>
                <w:szCs w:val="24"/>
              </w:rPr>
            </w:pPr>
            <w:bookmarkStart w:id="33" w:name="_Toc440802307"/>
            <w:bookmarkStart w:id="34" w:name="_Toc398714632"/>
            <w:bookmarkStart w:id="35" w:name="_Toc399448425"/>
            <w:bookmarkStart w:id="36" w:name="_Toc416611862"/>
            <w:bookmarkStart w:id="37" w:name="_Toc439766404"/>
            <w:bookmarkStart w:id="38" w:name="_Toc414450225"/>
            <w:bookmarkStart w:id="39" w:name="_Toc445557711"/>
            <w:bookmarkStart w:id="40" w:name="_Toc445561641"/>
            <w:bookmarkStart w:id="41" w:name="_Toc476857709"/>
            <w:bookmarkStart w:id="42" w:name="_Toc477977862"/>
            <w:bookmarkStart w:id="43" w:name="_Toc399448526"/>
            <w:bookmarkStart w:id="44" w:name="_Toc478671001"/>
            <w:bookmarkStart w:id="45" w:name="_Toc414449754"/>
            <w:bookmarkStart w:id="46" w:name="_Toc390008239"/>
            <w:bookmarkStart w:id="47" w:name="_Toc480439415"/>
            <w:bookmarkStart w:id="48" w:name="_Toc480051548"/>
            <w:bookmarkStart w:id="49" w:name="_Toc481418193"/>
            <w:bookmarkStart w:id="50" w:name="_Toc481654268"/>
            <w:r>
              <w:rPr>
                <w:rFonts w:hint="eastAsia" w:ascii="Times New Roman" w:hAnsi="Times New Roman" w:eastAsia="宋体"/>
                <w:color w:val="000000"/>
                <w:sz w:val="24"/>
                <w:szCs w:val="24"/>
                <w:lang w:val="en-US" w:eastAsia="zh-CN"/>
              </w:rPr>
              <w:t>2、</w:t>
            </w:r>
            <w:r>
              <w:rPr>
                <w:rFonts w:ascii="Times New Roman" w:hAnsi="Times New Roman" w:eastAsia="宋体"/>
                <w:color w:val="000000"/>
                <w:sz w:val="24"/>
                <w:szCs w:val="24"/>
              </w:rPr>
              <w:t>施工期</w:t>
            </w:r>
            <w:r>
              <w:rPr>
                <w:rFonts w:hint="eastAsia" w:ascii="Times New Roman" w:hAnsi="Times New Roman" w:eastAsia="宋体"/>
                <w:color w:val="000000"/>
                <w:sz w:val="24"/>
                <w:szCs w:val="24"/>
              </w:rPr>
              <w:t>地表水环境</w:t>
            </w:r>
            <w:r>
              <w:rPr>
                <w:rFonts w:ascii="Times New Roman" w:hAnsi="Times New Roman" w:eastAsia="宋体"/>
                <w:color w:val="000000"/>
                <w:sz w:val="24"/>
                <w:szCs w:val="24"/>
              </w:rPr>
              <w:t>影响分析</w:t>
            </w:r>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p>
          <w:p>
            <w:pPr>
              <w:pStyle w:val="5"/>
              <w:spacing w:before="0" w:after="0" w:line="460" w:lineRule="exact"/>
              <w:ind w:firstLine="496" w:firstLineChars="200"/>
              <w:rPr>
                <w:rFonts w:ascii="Times New Roman" w:hAnsi="Times New Roman" w:eastAsia="宋体"/>
                <w:color w:val="000000"/>
                <w:spacing w:val="4"/>
                <w:sz w:val="24"/>
              </w:rPr>
            </w:pPr>
            <w:r>
              <w:rPr>
                <w:rFonts w:hint="eastAsia" w:ascii="Times New Roman" w:hAnsi="Times New Roman" w:eastAsia="宋体"/>
                <w:color w:val="000000"/>
                <w:spacing w:val="4"/>
                <w:sz w:val="24"/>
                <w:lang w:val="en-US" w:eastAsia="zh-CN"/>
              </w:rPr>
              <w:t>2.1</w:t>
            </w:r>
            <w:r>
              <w:rPr>
                <w:rFonts w:hint="eastAsia" w:ascii="Times New Roman" w:hAnsi="Times New Roman" w:eastAsia="宋体"/>
                <w:color w:val="000000"/>
                <w:spacing w:val="4"/>
                <w:sz w:val="24"/>
              </w:rPr>
              <w:t>.施工期地表水污染源</w:t>
            </w:r>
            <w:r>
              <w:rPr>
                <w:rFonts w:ascii="Times New Roman" w:hAnsi="Times New Roman" w:eastAsia="宋体"/>
                <w:color w:val="000000"/>
                <w:spacing w:val="4"/>
                <w:sz w:val="24"/>
              </w:rPr>
              <w:t>分析</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施工废水主要有</w:t>
            </w:r>
            <w:r>
              <w:rPr>
                <w:rFonts w:hint="eastAsia" w:ascii="Times New Roman" w:hAnsi="Times New Roman" w:eastAsia="宋体"/>
                <w:color w:val="000000"/>
                <w:sz w:val="24"/>
              </w:rPr>
              <w:t>技改项目的厂房基础开挖产生的废水、</w:t>
            </w:r>
            <w:r>
              <w:rPr>
                <w:rFonts w:ascii="Times New Roman" w:hAnsi="Times New Roman" w:eastAsia="宋体"/>
                <w:color w:val="000000"/>
                <w:sz w:val="24"/>
              </w:rPr>
              <w:t>混凝土养护冲洗废水和施工机械、建材冲洗产生的废水</w:t>
            </w:r>
            <w:r>
              <w:rPr>
                <w:rFonts w:hint="eastAsia" w:ascii="Times New Roman" w:hAnsi="Times New Roman" w:eastAsia="宋体"/>
                <w:color w:val="000000"/>
                <w:sz w:val="24"/>
              </w:rPr>
              <w:t>；</w:t>
            </w:r>
            <w:r>
              <w:rPr>
                <w:rFonts w:ascii="Times New Roman" w:hAnsi="Times New Roman" w:eastAsia="宋体"/>
                <w:color w:val="000000"/>
                <w:sz w:val="24"/>
              </w:rPr>
              <w:t>主要污染物为SS、石油类</w:t>
            </w:r>
            <w:r>
              <w:rPr>
                <w:rFonts w:hint="eastAsia" w:ascii="Times New Roman" w:hAnsi="Times New Roman" w:eastAsia="宋体"/>
                <w:color w:val="000000"/>
                <w:sz w:val="24"/>
              </w:rPr>
              <w:t>等</w:t>
            </w:r>
            <w:r>
              <w:rPr>
                <w:rFonts w:ascii="Times New Roman" w:hAnsi="Times New Roman" w:eastAsia="宋体"/>
                <w:color w:val="000000"/>
                <w:sz w:val="24"/>
              </w:rPr>
              <w:t>；此外，还有施工人员产生的生活污水，主要污染物为COD、BOD</w:t>
            </w:r>
            <w:r>
              <w:rPr>
                <w:rFonts w:ascii="Times New Roman" w:hAnsi="Times New Roman" w:eastAsia="宋体"/>
                <w:color w:val="000000"/>
                <w:sz w:val="24"/>
                <w:vertAlign w:val="subscript"/>
              </w:rPr>
              <w:t>5</w:t>
            </w:r>
            <w:r>
              <w:rPr>
                <w:rFonts w:ascii="Times New Roman" w:hAnsi="Times New Roman" w:eastAsia="宋体"/>
                <w:color w:val="000000"/>
                <w:sz w:val="24"/>
              </w:rPr>
              <w:t>、SS、动植物油脂。</w:t>
            </w:r>
            <w:r>
              <w:rPr>
                <w:rFonts w:hint="eastAsia" w:ascii="Times New Roman" w:hAnsi="Times New Roman" w:eastAsia="宋体"/>
                <w:color w:val="000000"/>
                <w:sz w:val="24"/>
              </w:rPr>
              <w:t>施工废水的排放特点是间歇性排放、水量波动较大，初期水中SS含量很大；</w:t>
            </w:r>
            <w:r>
              <w:rPr>
                <w:rFonts w:ascii="Times New Roman" w:hAnsi="Times New Roman" w:eastAsia="宋体"/>
                <w:color w:val="000000"/>
                <w:sz w:val="24"/>
              </w:rPr>
              <w:t>冲洗废水的排放特点是间歇式排放</w:t>
            </w:r>
            <w:r>
              <w:rPr>
                <w:rFonts w:hint="eastAsia" w:ascii="Times New Roman" w:hAnsi="Times New Roman" w:eastAsia="宋体"/>
                <w:color w:val="000000"/>
                <w:sz w:val="24"/>
              </w:rPr>
              <w:t>、</w:t>
            </w:r>
            <w:r>
              <w:rPr>
                <w:rFonts w:ascii="Times New Roman" w:hAnsi="Times New Roman" w:eastAsia="宋体"/>
                <w:color w:val="000000"/>
                <w:sz w:val="24"/>
              </w:rPr>
              <w:t>水量不稳定。</w:t>
            </w:r>
            <w:r>
              <w:rPr>
                <w:rFonts w:hint="eastAsia" w:ascii="Times New Roman" w:hAnsi="Times New Roman" w:eastAsia="宋体"/>
                <w:color w:val="000000"/>
                <w:sz w:val="24"/>
              </w:rPr>
              <w:t>因此</w:t>
            </w:r>
            <w:r>
              <w:rPr>
                <w:rFonts w:ascii="Times New Roman" w:hAnsi="Times New Roman" w:eastAsia="宋体"/>
                <w:color w:val="000000"/>
                <w:sz w:val="24"/>
              </w:rPr>
              <w:t>，如果施工</w:t>
            </w:r>
            <w:r>
              <w:rPr>
                <w:rFonts w:hint="eastAsia" w:ascii="Times New Roman" w:hAnsi="Times New Roman" w:eastAsia="宋体"/>
                <w:color w:val="000000"/>
                <w:sz w:val="24"/>
              </w:rPr>
              <w:t>废水不经过沉淀处理而直接外排市政雨水管网或污水管网，将导致市政雨水管网或污水管网淤积堵塞、排水不畅，流入南侧900米外的小江水体，导致小江地表水短时间、局部水质下降等</w:t>
            </w:r>
            <w:r>
              <w:rPr>
                <w:rFonts w:ascii="Times New Roman" w:hAnsi="Times New Roman" w:eastAsia="宋体"/>
                <w:color w:val="000000"/>
                <w:sz w:val="24"/>
              </w:rPr>
              <w:t>。</w:t>
            </w:r>
          </w:p>
          <w:p>
            <w:pPr>
              <w:pStyle w:val="5"/>
              <w:spacing w:before="0" w:after="0" w:line="460" w:lineRule="exact"/>
              <w:ind w:firstLine="496" w:firstLineChars="200"/>
              <w:rPr>
                <w:rFonts w:ascii="Times New Roman" w:hAnsi="Times New Roman" w:eastAsia="宋体"/>
                <w:color w:val="000000"/>
                <w:spacing w:val="4"/>
                <w:sz w:val="24"/>
              </w:rPr>
            </w:pPr>
            <w:r>
              <w:rPr>
                <w:rFonts w:hint="eastAsia" w:ascii="Times New Roman" w:hAnsi="Times New Roman" w:eastAsia="宋体"/>
                <w:color w:val="000000"/>
                <w:spacing w:val="4"/>
                <w:sz w:val="24"/>
                <w:lang w:val="en-US" w:eastAsia="zh-CN"/>
              </w:rPr>
              <w:t>2.2</w:t>
            </w:r>
            <w:r>
              <w:rPr>
                <w:rFonts w:hint="eastAsia" w:ascii="Times New Roman" w:hAnsi="Times New Roman" w:eastAsia="宋体"/>
                <w:color w:val="000000"/>
                <w:spacing w:val="4"/>
                <w:sz w:val="24"/>
              </w:rPr>
              <w:t>施工期地表水污染防治措施</w:t>
            </w:r>
          </w:p>
          <w:p>
            <w:pPr>
              <w:spacing w:line="460" w:lineRule="exact"/>
              <w:ind w:firstLine="480" w:firstLineChars="200"/>
              <w:rPr>
                <w:rFonts w:ascii="Times New Roman" w:hAnsi="Times New Roman" w:eastAsia="宋体"/>
                <w:color w:val="000000"/>
                <w:sz w:val="24"/>
              </w:rPr>
            </w:pPr>
            <w:r>
              <w:rPr>
                <w:rFonts w:hint="eastAsia" w:ascii="Times New Roman" w:hAnsi="Times New Roman" w:eastAsia="宋体"/>
                <w:color w:val="000000"/>
                <w:sz w:val="24"/>
              </w:rPr>
              <w:t>为了保护项目区南侧小江地表水系，必须强化施工期的废水污染防治措施：</w:t>
            </w:r>
          </w:p>
          <w:p>
            <w:pPr>
              <w:spacing w:line="460" w:lineRule="exact"/>
              <w:ind w:firstLine="480" w:firstLineChars="200"/>
              <w:rPr>
                <w:rFonts w:ascii="Times New Roman" w:hAnsi="Times New Roman" w:eastAsia="宋体"/>
                <w:color w:val="000000"/>
                <w:sz w:val="24"/>
              </w:rPr>
            </w:pPr>
            <w:r>
              <w:rPr>
                <w:rFonts w:hint="eastAsia" w:ascii="Times New Roman" w:hAnsi="Times New Roman" w:eastAsia="宋体"/>
                <w:color w:val="000000"/>
                <w:sz w:val="24"/>
              </w:rPr>
              <w:t>（1）施工场地的泥浆水必须经过沉淀池沉淀处理、达标后外排市政污水管网，严禁不经处理直接向南侧小江排放；</w:t>
            </w:r>
          </w:p>
          <w:p>
            <w:pPr>
              <w:spacing w:line="460" w:lineRule="exact"/>
              <w:ind w:firstLine="480" w:firstLineChars="200"/>
              <w:rPr>
                <w:rFonts w:ascii="Times New Roman" w:hAnsi="Times New Roman" w:eastAsia="宋体"/>
                <w:color w:val="000000"/>
                <w:sz w:val="24"/>
              </w:rPr>
            </w:pPr>
            <w:r>
              <w:rPr>
                <w:rFonts w:hint="eastAsia" w:ascii="Times New Roman" w:hAnsi="Times New Roman" w:eastAsia="宋体"/>
                <w:color w:val="000000"/>
                <w:sz w:val="24"/>
              </w:rPr>
              <w:t>（2）</w:t>
            </w:r>
            <w:r>
              <w:rPr>
                <w:rFonts w:ascii="Times New Roman" w:hAnsi="Times New Roman" w:eastAsia="宋体"/>
                <w:color w:val="000000"/>
                <w:sz w:val="24"/>
              </w:rPr>
              <w:t>对于施工中的冲洗废水，在低洼地设置临时废水沉淀池一座，收集施工中所排放的各类废水，在沉淀一定时间后，作为施工用水的一部分重复使用，这样既节约了水资源，又减轻了对周围</w:t>
            </w:r>
            <w:r>
              <w:rPr>
                <w:rFonts w:hint="eastAsia" w:ascii="Times New Roman" w:hAnsi="Times New Roman" w:eastAsia="宋体"/>
                <w:color w:val="000000"/>
                <w:sz w:val="24"/>
              </w:rPr>
              <w:t>地表水</w:t>
            </w:r>
            <w:r>
              <w:rPr>
                <w:rFonts w:ascii="Times New Roman" w:hAnsi="Times New Roman" w:eastAsia="宋体"/>
                <w:color w:val="000000"/>
                <w:sz w:val="24"/>
              </w:rPr>
              <w:t>环境的污染。</w:t>
            </w:r>
          </w:p>
          <w:p>
            <w:pPr>
              <w:spacing w:line="460" w:lineRule="exact"/>
              <w:ind w:firstLine="480" w:firstLineChars="200"/>
              <w:rPr>
                <w:rFonts w:ascii="Times New Roman" w:hAnsi="Times New Roman" w:eastAsia="宋体"/>
                <w:color w:val="000000"/>
                <w:sz w:val="24"/>
                <w:lang w:val="sq-AL"/>
              </w:rPr>
            </w:pPr>
            <w:r>
              <w:rPr>
                <w:rFonts w:hint="eastAsia" w:ascii="Times New Roman" w:hAnsi="Times New Roman" w:eastAsia="宋体"/>
                <w:color w:val="000000"/>
                <w:sz w:val="24"/>
              </w:rPr>
              <w:t>（3）</w:t>
            </w:r>
            <w:r>
              <w:rPr>
                <w:rFonts w:ascii="Times New Roman" w:hAnsi="Times New Roman" w:eastAsia="宋体"/>
                <w:color w:val="000000"/>
                <w:sz w:val="24"/>
              </w:rPr>
              <w:t>施工期</w:t>
            </w:r>
            <w:r>
              <w:rPr>
                <w:rFonts w:hint="eastAsia" w:ascii="Times New Roman" w:hAnsi="Times New Roman" w:eastAsia="宋体"/>
                <w:color w:val="000000"/>
                <w:sz w:val="24"/>
              </w:rPr>
              <w:t>人员的生活污水进入现有项目的</w:t>
            </w:r>
            <w:r>
              <w:rPr>
                <w:rFonts w:ascii="Times New Roman" w:hAnsi="Times New Roman" w:eastAsia="宋体"/>
                <w:bCs/>
                <w:color w:val="000000"/>
                <w:sz w:val="24"/>
              </w:rPr>
              <w:t>化粪池处理后</w:t>
            </w:r>
            <w:r>
              <w:rPr>
                <w:rFonts w:hint="eastAsia" w:ascii="Times New Roman" w:hAnsi="Times New Roman" w:eastAsia="宋体"/>
                <w:bCs/>
                <w:color w:val="000000"/>
                <w:sz w:val="24"/>
              </w:rPr>
              <w:t>、再进一步处理后作为中水回用</w:t>
            </w:r>
            <w:r>
              <w:rPr>
                <w:rFonts w:ascii="Times New Roman" w:hAnsi="Times New Roman" w:eastAsia="宋体"/>
                <w:bCs/>
                <w:color w:val="000000"/>
                <w:sz w:val="24"/>
              </w:rPr>
              <w:t>，</w:t>
            </w:r>
            <w:r>
              <w:rPr>
                <w:rFonts w:ascii="Times New Roman" w:hAnsi="Times New Roman" w:eastAsia="宋体"/>
                <w:color w:val="000000"/>
                <w:sz w:val="24"/>
              </w:rPr>
              <w:t>不</w:t>
            </w:r>
            <w:r>
              <w:rPr>
                <w:rFonts w:hint="eastAsia" w:ascii="Times New Roman" w:hAnsi="Times New Roman" w:eastAsia="宋体"/>
                <w:color w:val="000000"/>
                <w:sz w:val="24"/>
              </w:rPr>
              <w:t>外</w:t>
            </w:r>
            <w:r>
              <w:rPr>
                <w:rFonts w:ascii="Times New Roman" w:hAnsi="Times New Roman" w:eastAsia="宋体"/>
                <w:color w:val="000000"/>
                <w:sz w:val="24"/>
              </w:rPr>
              <w:t>排。</w:t>
            </w:r>
            <w:r>
              <w:rPr>
                <w:rFonts w:hint="eastAsia" w:ascii="Times New Roman" w:hAnsi="Times New Roman" w:eastAsia="宋体"/>
                <w:color w:val="000000"/>
                <w:sz w:val="24"/>
              </w:rPr>
              <w:t>施工场地</w:t>
            </w:r>
            <w:r>
              <w:rPr>
                <w:rFonts w:ascii="Times New Roman" w:hAnsi="Times New Roman" w:eastAsia="宋体"/>
                <w:color w:val="000000"/>
                <w:sz w:val="24"/>
                <w:lang w:val="sq-AL"/>
              </w:rPr>
              <w:t>不设食堂，采用</w:t>
            </w:r>
            <w:r>
              <w:rPr>
                <w:rFonts w:hint="eastAsia" w:ascii="Times New Roman" w:hAnsi="Times New Roman" w:eastAsia="宋体"/>
                <w:color w:val="000000"/>
                <w:sz w:val="24"/>
                <w:lang w:val="sq-AL"/>
              </w:rPr>
              <w:t>外买等方式</w:t>
            </w:r>
            <w:r>
              <w:rPr>
                <w:rFonts w:ascii="Times New Roman" w:hAnsi="Times New Roman" w:eastAsia="宋体"/>
                <w:color w:val="000000"/>
                <w:sz w:val="24"/>
                <w:lang w:val="sq-AL"/>
              </w:rPr>
              <w:t>解决施工</w:t>
            </w:r>
            <w:r>
              <w:rPr>
                <w:rFonts w:hint="eastAsia" w:ascii="Times New Roman" w:hAnsi="Times New Roman" w:eastAsia="宋体"/>
                <w:color w:val="000000"/>
                <w:sz w:val="24"/>
                <w:lang w:val="sq-AL"/>
              </w:rPr>
              <w:t>人员</w:t>
            </w:r>
            <w:r>
              <w:rPr>
                <w:rFonts w:ascii="Times New Roman" w:hAnsi="Times New Roman" w:eastAsia="宋体"/>
                <w:color w:val="000000"/>
                <w:sz w:val="24"/>
                <w:lang w:val="sq-AL"/>
              </w:rPr>
              <w:t>用餐问题。</w:t>
            </w:r>
          </w:p>
          <w:p>
            <w:pPr>
              <w:autoSpaceDE w:val="0"/>
              <w:autoSpaceDN w:val="0"/>
              <w:adjustRightInd w:val="0"/>
              <w:spacing w:line="460" w:lineRule="exact"/>
              <w:ind w:firstLine="480" w:firstLineChars="200"/>
              <w:jc w:val="left"/>
              <w:rPr>
                <w:rFonts w:ascii="Times New Roman" w:hAnsi="Times New Roman" w:eastAsia="宋体"/>
                <w:color w:val="000000"/>
                <w:kern w:val="0"/>
                <w:sz w:val="24"/>
              </w:rPr>
            </w:pPr>
            <w:r>
              <w:rPr>
                <w:rFonts w:ascii="Times New Roman" w:hAnsi="Times New Roman" w:eastAsia="宋体"/>
                <w:color w:val="000000"/>
                <w:kern w:val="0"/>
                <w:sz w:val="24"/>
              </w:rPr>
              <w:t>（</w:t>
            </w:r>
            <w:r>
              <w:rPr>
                <w:rFonts w:hint="eastAsia" w:ascii="Times New Roman" w:hAnsi="Times New Roman" w:eastAsia="宋体"/>
                <w:color w:val="000000"/>
                <w:kern w:val="0"/>
                <w:sz w:val="24"/>
              </w:rPr>
              <w:t>4</w:t>
            </w:r>
            <w:r>
              <w:rPr>
                <w:rFonts w:ascii="Times New Roman" w:hAnsi="Times New Roman" w:eastAsia="宋体"/>
                <w:color w:val="000000"/>
                <w:kern w:val="0"/>
                <w:sz w:val="24"/>
              </w:rPr>
              <w:t>）</w:t>
            </w:r>
            <w:r>
              <w:rPr>
                <w:rFonts w:hint="eastAsia" w:ascii="Times New Roman" w:hAnsi="Times New Roman" w:eastAsia="宋体"/>
                <w:color w:val="000000"/>
                <w:kern w:val="0"/>
                <w:sz w:val="24"/>
              </w:rPr>
              <w:t>建构物的土建</w:t>
            </w:r>
            <w:r>
              <w:rPr>
                <w:rFonts w:ascii="Times New Roman" w:hAnsi="Times New Roman" w:eastAsia="宋体"/>
                <w:color w:val="000000"/>
                <w:kern w:val="0"/>
                <w:sz w:val="24"/>
              </w:rPr>
              <w:t>施工必须使用商品混凝土，且不在现场搅拌，以</w:t>
            </w:r>
            <w:r>
              <w:rPr>
                <w:rFonts w:hint="eastAsia" w:ascii="Times New Roman" w:hAnsi="Times New Roman" w:eastAsia="宋体"/>
                <w:color w:val="000000"/>
                <w:kern w:val="0"/>
                <w:sz w:val="24"/>
              </w:rPr>
              <w:t>消除混凝土搅拌废水的</w:t>
            </w:r>
            <w:r>
              <w:rPr>
                <w:rFonts w:ascii="Times New Roman" w:hAnsi="Times New Roman" w:eastAsia="宋体"/>
                <w:color w:val="000000"/>
                <w:kern w:val="0"/>
                <w:sz w:val="24"/>
              </w:rPr>
              <w:t>污染。</w:t>
            </w:r>
          </w:p>
          <w:p>
            <w:pPr>
              <w:autoSpaceDE w:val="0"/>
              <w:autoSpaceDN w:val="0"/>
              <w:adjustRightInd w:val="0"/>
              <w:spacing w:line="460" w:lineRule="exact"/>
              <w:ind w:firstLine="480" w:firstLineChars="200"/>
              <w:jc w:val="left"/>
              <w:rPr>
                <w:rFonts w:ascii="Times New Roman" w:hAnsi="Times New Roman" w:eastAsia="宋体"/>
                <w:color w:val="000000"/>
                <w:kern w:val="0"/>
                <w:sz w:val="24"/>
              </w:rPr>
            </w:pPr>
            <w:r>
              <w:rPr>
                <w:rFonts w:ascii="Times New Roman" w:hAnsi="Times New Roman" w:eastAsia="宋体"/>
                <w:color w:val="000000"/>
                <w:kern w:val="0"/>
                <w:sz w:val="24"/>
              </w:rPr>
              <w:t>（</w:t>
            </w:r>
            <w:r>
              <w:rPr>
                <w:rFonts w:hint="eastAsia" w:ascii="Times New Roman" w:hAnsi="Times New Roman" w:eastAsia="宋体"/>
                <w:color w:val="000000"/>
                <w:kern w:val="0"/>
                <w:sz w:val="24"/>
              </w:rPr>
              <w:t>5</w:t>
            </w:r>
            <w:r>
              <w:rPr>
                <w:rFonts w:ascii="Times New Roman" w:hAnsi="Times New Roman" w:eastAsia="宋体"/>
                <w:color w:val="000000"/>
                <w:kern w:val="0"/>
                <w:sz w:val="24"/>
              </w:rPr>
              <w:t>）在施工过程中应加强对机械设备的检修，以防止设备漏油现象的发生；施工机械设备的维修应在专业厂家进行，防止施工现场地表油类污染，以减小初期雨水的油类污染物负荷。</w:t>
            </w:r>
          </w:p>
          <w:p>
            <w:pPr>
              <w:pStyle w:val="4"/>
              <w:spacing w:before="120" w:after="120" w:afterLines="50" w:line="360" w:lineRule="auto"/>
              <w:rPr>
                <w:rFonts w:ascii="Times New Roman" w:hAnsi="Times New Roman" w:eastAsia="宋体"/>
                <w:color w:val="000000"/>
                <w:sz w:val="24"/>
                <w:szCs w:val="24"/>
              </w:rPr>
            </w:pPr>
            <w:bookmarkStart w:id="51" w:name="_Toc320302241"/>
            <w:bookmarkStart w:id="52" w:name="_Toc260665930"/>
            <w:bookmarkStart w:id="53" w:name="_Toc337794823"/>
            <w:bookmarkStart w:id="54" w:name="_Toc268718226"/>
            <w:bookmarkStart w:id="55" w:name="_Toc357110816"/>
            <w:bookmarkStart w:id="56" w:name="_Toc357090982"/>
            <w:bookmarkStart w:id="57" w:name="_Toc357110604"/>
            <w:bookmarkStart w:id="58" w:name="_Toc414450227"/>
            <w:bookmarkStart w:id="59" w:name="_Toc416611864"/>
            <w:bookmarkStart w:id="60" w:name="_Toc445561642"/>
            <w:bookmarkStart w:id="61" w:name="_Toc398714634"/>
            <w:bookmarkStart w:id="62" w:name="_Toc439766406"/>
            <w:bookmarkStart w:id="63" w:name="_Toc440802309"/>
            <w:bookmarkStart w:id="64" w:name="_Toc364757217"/>
            <w:bookmarkStart w:id="65" w:name="_Toc365830874"/>
            <w:bookmarkStart w:id="66" w:name="_Toc364537949"/>
            <w:bookmarkStart w:id="67" w:name="_Toc381366568"/>
            <w:bookmarkStart w:id="68" w:name="_Toc390008242"/>
            <w:bookmarkStart w:id="69" w:name="_Toc414449756"/>
            <w:bookmarkStart w:id="70" w:name="_Toc445557712"/>
            <w:bookmarkStart w:id="71" w:name="_Toc476857710"/>
            <w:bookmarkStart w:id="72" w:name="_Toc387345408"/>
            <w:bookmarkStart w:id="73" w:name="_Toc399448427"/>
            <w:bookmarkStart w:id="74" w:name="_Toc365833453"/>
            <w:bookmarkStart w:id="75" w:name="_Toc399448528"/>
            <w:bookmarkStart w:id="76" w:name="_Toc382423249"/>
            <w:bookmarkStart w:id="77" w:name="_Toc481418194"/>
            <w:bookmarkStart w:id="78" w:name="_Toc480051549"/>
            <w:bookmarkStart w:id="79" w:name="_Toc481654269"/>
            <w:bookmarkStart w:id="80" w:name="_Toc478671002"/>
            <w:bookmarkStart w:id="81" w:name="_Toc477977863"/>
            <w:bookmarkStart w:id="82" w:name="_Toc480439416"/>
            <w:r>
              <w:rPr>
                <w:rFonts w:hint="eastAsia" w:ascii="Times New Roman" w:hAnsi="Times New Roman" w:eastAsia="宋体"/>
                <w:color w:val="000000"/>
                <w:sz w:val="24"/>
                <w:szCs w:val="24"/>
                <w:lang w:val="en-US" w:eastAsia="zh-CN"/>
              </w:rPr>
              <w:t>3、</w:t>
            </w:r>
            <w:r>
              <w:rPr>
                <w:rFonts w:hint="eastAsia" w:ascii="Times New Roman" w:hAnsi="Times New Roman" w:eastAsia="宋体"/>
                <w:color w:val="000000"/>
                <w:sz w:val="24"/>
                <w:szCs w:val="24"/>
              </w:rPr>
              <w:t>施工</w:t>
            </w:r>
            <w:r>
              <w:rPr>
                <w:rFonts w:ascii="Times New Roman" w:hAnsi="Times New Roman" w:eastAsia="宋体"/>
                <w:color w:val="000000"/>
                <w:sz w:val="24"/>
                <w:szCs w:val="24"/>
              </w:rPr>
              <w:t>噪声</w:t>
            </w:r>
            <w:r>
              <w:rPr>
                <w:rFonts w:hint="eastAsia" w:ascii="Times New Roman" w:hAnsi="Times New Roman" w:eastAsia="宋体"/>
                <w:color w:val="000000"/>
                <w:sz w:val="24"/>
                <w:szCs w:val="24"/>
              </w:rPr>
              <w:t>环境</w:t>
            </w:r>
            <w:r>
              <w:rPr>
                <w:rFonts w:ascii="Times New Roman" w:hAnsi="Times New Roman" w:eastAsia="宋体"/>
                <w:color w:val="000000"/>
                <w:sz w:val="24"/>
                <w:szCs w:val="24"/>
              </w:rPr>
              <w:t>影响</w:t>
            </w:r>
            <w:bookmarkEnd w:id="51"/>
            <w:bookmarkEnd w:id="52"/>
            <w:bookmarkEnd w:id="53"/>
            <w:bookmarkEnd w:id="54"/>
            <w:bookmarkEnd w:id="55"/>
            <w:bookmarkEnd w:id="56"/>
            <w:bookmarkEnd w:id="57"/>
            <w:r>
              <w:rPr>
                <w:rFonts w:hint="eastAsia" w:ascii="Times New Roman" w:hAnsi="Times New Roman" w:eastAsia="宋体"/>
                <w:color w:val="000000"/>
                <w:sz w:val="24"/>
                <w:szCs w:val="24"/>
              </w:rPr>
              <w:t>评价</w:t>
            </w:r>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p>
            <w:pPr>
              <w:pStyle w:val="5"/>
              <w:spacing w:before="0" w:after="0" w:line="460" w:lineRule="exact"/>
              <w:ind w:firstLine="496" w:firstLineChars="200"/>
              <w:rPr>
                <w:rFonts w:ascii="Times New Roman" w:hAnsi="Times New Roman" w:eastAsia="宋体"/>
                <w:color w:val="000000"/>
                <w:spacing w:val="4"/>
                <w:sz w:val="24"/>
              </w:rPr>
            </w:pPr>
            <w:r>
              <w:rPr>
                <w:rFonts w:hint="eastAsia" w:ascii="Times New Roman" w:hAnsi="Times New Roman" w:eastAsia="宋体"/>
                <w:color w:val="000000"/>
                <w:spacing w:val="4"/>
                <w:sz w:val="24"/>
                <w:lang w:val="en-US" w:eastAsia="zh-CN"/>
              </w:rPr>
              <w:t>3.1</w:t>
            </w:r>
            <w:r>
              <w:rPr>
                <w:rFonts w:hint="eastAsia" w:ascii="Times New Roman" w:hAnsi="Times New Roman" w:eastAsia="宋体"/>
                <w:color w:val="000000"/>
                <w:spacing w:val="4"/>
                <w:sz w:val="24"/>
              </w:rPr>
              <w:t>施工期噪声环境影响分析</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技改项目主要噪声源有各种施工机械，包括挖掘机、推土机、装载机、振捣泵、电锯、空压机等。施工时不得使用锤式打桩机，而应采用静压式压桩工艺，这是除人工挖孔桩外目前打桩机中噪声最小的一种，声级一般低于80dB</w:t>
            </w:r>
            <w:r>
              <w:rPr>
                <w:rFonts w:hint="eastAsia" w:ascii="Times New Roman" w:hAnsi="Times New Roman" w:eastAsia="宋体"/>
                <w:color w:val="000000"/>
                <w:sz w:val="24"/>
              </w:rPr>
              <w:t>（A）</w:t>
            </w:r>
            <w:r>
              <w:rPr>
                <w:rFonts w:ascii="Times New Roman" w:hAnsi="Times New Roman" w:eastAsia="宋体"/>
                <w:color w:val="000000"/>
                <w:sz w:val="24"/>
              </w:rPr>
              <w:t>。</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根据类比调查可知，建筑施工在不同的阶段产生的噪声具有各自的噪声特性，土方阶段噪声源主要有挖掘机、推土机、装载机和各种运输车辆，基本为移动式声源，无明显指向性；基础阶段噪声源主要有各种压桩机、平地车、移动式空气压缩机和风镐等，基本属固定声源，其中压桩机是强噪声源，为周期性脉冲声源，具有明显的指向性；结构阶段是建筑施工中周期最长的阶段，使用设备较多，是噪声重点控制阶段，主要噪声源包括各种运输设备、振捣棒、吊车等，多属于撞击噪声，无明显指向性；装修阶段施工时间较长，但声源数量较少。</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由于施工过程中，各类施工机械可处于施工区内任意位置，但在某一时段内其位置相对固定，对外界环境的影响可用半自由声场点声源几何发散衰减公式计算：</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Lp(r)=L(r</w:t>
            </w:r>
            <w:r>
              <w:rPr>
                <w:rFonts w:ascii="Times New Roman" w:hAnsi="Times New Roman" w:eastAsia="宋体"/>
                <w:color w:val="000000"/>
                <w:sz w:val="24"/>
                <w:vertAlign w:val="subscript"/>
              </w:rPr>
              <w:t>o</w:t>
            </w:r>
            <w:r>
              <w:rPr>
                <w:rFonts w:ascii="Times New Roman" w:hAnsi="Times New Roman" w:eastAsia="宋体"/>
                <w:color w:val="000000"/>
                <w:sz w:val="24"/>
              </w:rPr>
              <w:t>)—20lg(r/r</w:t>
            </w:r>
            <w:r>
              <w:rPr>
                <w:rFonts w:ascii="Times New Roman" w:hAnsi="Times New Roman" w:eastAsia="宋体"/>
                <w:color w:val="000000"/>
                <w:sz w:val="24"/>
                <w:vertAlign w:val="subscript"/>
              </w:rPr>
              <w:t>o</w:t>
            </w:r>
            <w:r>
              <w:rPr>
                <w:rFonts w:ascii="Times New Roman" w:hAnsi="Times New Roman" w:eastAsia="宋体"/>
                <w:color w:val="000000"/>
                <w:sz w:val="24"/>
              </w:rPr>
              <w:t>)</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式中：Lp(r)—受声点声压级，dB(A)；</w:t>
            </w:r>
          </w:p>
          <w:p>
            <w:pPr>
              <w:spacing w:line="460" w:lineRule="exact"/>
              <w:ind w:firstLine="480" w:firstLineChars="200"/>
              <w:rPr>
                <w:rFonts w:ascii="Times New Roman" w:hAnsi="Times New Roman" w:eastAsia="宋体"/>
                <w:color w:val="000000"/>
                <w:sz w:val="24"/>
                <w:lang w:val="es-ES"/>
              </w:rPr>
            </w:pPr>
            <w:r>
              <w:rPr>
                <w:rFonts w:ascii="Times New Roman" w:hAnsi="Times New Roman" w:eastAsia="宋体"/>
                <w:color w:val="000000"/>
                <w:sz w:val="24"/>
                <w:lang w:val="es-ES"/>
              </w:rPr>
              <w:t>L(ro)—</w:t>
            </w:r>
            <w:r>
              <w:rPr>
                <w:rFonts w:ascii="Times New Roman" w:hAnsi="Times New Roman" w:eastAsia="宋体"/>
                <w:color w:val="000000"/>
                <w:sz w:val="24"/>
              </w:rPr>
              <w:t>参考点</w:t>
            </w:r>
            <w:r>
              <w:rPr>
                <w:rFonts w:ascii="Times New Roman" w:hAnsi="Times New Roman" w:eastAsia="宋体"/>
                <w:color w:val="000000"/>
                <w:sz w:val="24"/>
                <w:lang w:val="es-ES"/>
              </w:rPr>
              <w:t>r</w:t>
            </w:r>
            <w:r>
              <w:rPr>
                <w:rFonts w:ascii="Times New Roman" w:hAnsi="Times New Roman" w:eastAsia="宋体"/>
                <w:color w:val="000000"/>
                <w:sz w:val="24"/>
                <w:vertAlign w:val="subscript"/>
                <w:lang w:val="es-ES"/>
              </w:rPr>
              <w:t>o</w:t>
            </w:r>
            <w:r>
              <w:rPr>
                <w:rFonts w:ascii="Times New Roman" w:hAnsi="Times New Roman" w:eastAsia="宋体"/>
                <w:color w:val="000000"/>
                <w:sz w:val="24"/>
              </w:rPr>
              <w:t>处声压级</w:t>
            </w:r>
            <w:r>
              <w:rPr>
                <w:rFonts w:ascii="Times New Roman" w:hAnsi="Times New Roman" w:eastAsia="宋体"/>
                <w:color w:val="000000"/>
                <w:sz w:val="24"/>
                <w:lang w:val="es-ES"/>
              </w:rPr>
              <w:t>，db(A)；</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r—受声点至声源距离，m；</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r</w:t>
            </w:r>
            <w:r>
              <w:rPr>
                <w:rFonts w:ascii="Times New Roman" w:hAnsi="Times New Roman" w:eastAsia="宋体"/>
                <w:color w:val="000000"/>
                <w:sz w:val="24"/>
                <w:vertAlign w:val="subscript"/>
              </w:rPr>
              <w:t>o</w:t>
            </w:r>
            <w:r>
              <w:rPr>
                <w:rFonts w:ascii="Times New Roman" w:hAnsi="Times New Roman" w:eastAsia="宋体"/>
                <w:color w:val="000000"/>
                <w:sz w:val="24"/>
              </w:rPr>
              <w:t>—参考点至声源距离，m。</w:t>
            </w:r>
          </w:p>
          <w:p>
            <w:pPr>
              <w:spacing w:line="460" w:lineRule="exact"/>
              <w:ind w:firstLine="480" w:firstLineChars="200"/>
              <w:rPr>
                <w:rFonts w:ascii="Times New Roman" w:hAnsi="Times New Roman" w:eastAsia="宋体"/>
                <w:bCs/>
                <w:color w:val="000000"/>
                <w:sz w:val="24"/>
              </w:rPr>
            </w:pPr>
            <w:r>
              <w:rPr>
                <w:rFonts w:ascii="Times New Roman" w:hAnsi="Times New Roman" w:eastAsia="宋体"/>
                <w:color w:val="000000"/>
                <w:sz w:val="24"/>
              </w:rPr>
              <w:t>噪声污染是技改项目施工期的主要环境问题之一。技改项目</w:t>
            </w:r>
            <w:r>
              <w:rPr>
                <w:rFonts w:hint="eastAsia" w:ascii="Times New Roman" w:hAnsi="Times New Roman" w:eastAsia="宋体"/>
                <w:color w:val="000000"/>
                <w:sz w:val="24"/>
              </w:rPr>
              <w:t>周边1km范围内无</w:t>
            </w:r>
            <w:r>
              <w:rPr>
                <w:rFonts w:ascii="Times New Roman" w:hAnsi="Times New Roman" w:eastAsia="宋体"/>
                <w:color w:val="000000"/>
                <w:sz w:val="24"/>
              </w:rPr>
              <w:t>声</w:t>
            </w:r>
            <w:r>
              <w:rPr>
                <w:rFonts w:hint="eastAsia" w:ascii="Times New Roman" w:hAnsi="Times New Roman" w:eastAsia="宋体"/>
                <w:color w:val="000000"/>
                <w:sz w:val="24"/>
              </w:rPr>
              <w:t>环境</w:t>
            </w:r>
            <w:r>
              <w:rPr>
                <w:rFonts w:ascii="Times New Roman" w:hAnsi="Times New Roman" w:eastAsia="宋体"/>
                <w:color w:val="000000"/>
                <w:sz w:val="24"/>
              </w:rPr>
              <w:t>敏感点</w:t>
            </w:r>
            <w:r>
              <w:rPr>
                <w:rFonts w:hint="eastAsia" w:ascii="Times New Roman" w:hAnsi="Times New Roman" w:eastAsia="宋体"/>
                <w:color w:val="000000"/>
                <w:sz w:val="24"/>
              </w:rPr>
              <w:t>。</w:t>
            </w:r>
            <w:r>
              <w:rPr>
                <w:rFonts w:ascii="Times New Roman" w:hAnsi="Times New Roman" w:eastAsia="宋体"/>
                <w:color w:val="000000"/>
                <w:sz w:val="24"/>
              </w:rPr>
              <w:t>由于声</w:t>
            </w:r>
            <w:r>
              <w:rPr>
                <w:rFonts w:hint="eastAsia" w:ascii="Times New Roman" w:hAnsi="Times New Roman" w:eastAsia="宋体"/>
                <w:color w:val="000000"/>
                <w:sz w:val="24"/>
              </w:rPr>
              <w:t>环境</w:t>
            </w:r>
            <w:r>
              <w:rPr>
                <w:rFonts w:ascii="Times New Roman" w:hAnsi="Times New Roman" w:eastAsia="宋体"/>
                <w:color w:val="000000"/>
                <w:sz w:val="24"/>
              </w:rPr>
              <w:t>敏感点距施工场界的相对距离</w:t>
            </w:r>
            <w:r>
              <w:rPr>
                <w:rFonts w:hint="eastAsia" w:ascii="Times New Roman" w:hAnsi="Times New Roman" w:eastAsia="宋体"/>
                <w:color w:val="000000"/>
                <w:sz w:val="24"/>
              </w:rPr>
              <w:t>较大、不</w:t>
            </w:r>
            <w:r>
              <w:rPr>
                <w:rFonts w:ascii="Times New Roman" w:hAnsi="Times New Roman" w:eastAsia="宋体"/>
                <w:color w:val="000000"/>
                <w:sz w:val="24"/>
              </w:rPr>
              <w:t>在</w:t>
            </w:r>
            <w:r>
              <w:rPr>
                <w:rFonts w:hint="eastAsia" w:ascii="Times New Roman" w:hAnsi="Times New Roman" w:eastAsia="宋体"/>
                <w:color w:val="000000"/>
                <w:sz w:val="24"/>
              </w:rPr>
              <w:t>技改项目噪声</w:t>
            </w:r>
            <w:r>
              <w:rPr>
                <w:rFonts w:ascii="Times New Roman" w:hAnsi="Times New Roman" w:eastAsia="宋体"/>
                <w:color w:val="000000"/>
                <w:sz w:val="24"/>
              </w:rPr>
              <w:t>影响范围内，由此可见，</w:t>
            </w:r>
            <w:r>
              <w:rPr>
                <w:rFonts w:hint="eastAsia" w:ascii="Times New Roman" w:hAnsi="Times New Roman" w:eastAsia="宋体"/>
                <w:color w:val="000000"/>
                <w:sz w:val="24"/>
              </w:rPr>
              <w:t>技改项目</w:t>
            </w:r>
            <w:r>
              <w:rPr>
                <w:rFonts w:ascii="Times New Roman" w:hAnsi="Times New Roman" w:eastAsia="宋体"/>
                <w:color w:val="000000"/>
                <w:sz w:val="24"/>
              </w:rPr>
              <w:t>施工</w:t>
            </w:r>
            <w:r>
              <w:rPr>
                <w:rFonts w:hint="eastAsia" w:ascii="Times New Roman" w:hAnsi="Times New Roman" w:eastAsia="宋体"/>
                <w:color w:val="000000"/>
                <w:sz w:val="24"/>
              </w:rPr>
              <w:t>期</w:t>
            </w:r>
            <w:r>
              <w:rPr>
                <w:rFonts w:ascii="Times New Roman" w:hAnsi="Times New Roman" w:eastAsia="宋体"/>
                <w:color w:val="000000"/>
                <w:sz w:val="24"/>
              </w:rPr>
              <w:t>施工机械产生的噪声影响</w:t>
            </w:r>
            <w:r>
              <w:rPr>
                <w:rFonts w:hint="eastAsia" w:ascii="Times New Roman" w:hAnsi="Times New Roman" w:eastAsia="宋体"/>
                <w:color w:val="000000"/>
                <w:sz w:val="24"/>
              </w:rPr>
              <w:t>不</w:t>
            </w:r>
            <w:r>
              <w:rPr>
                <w:rFonts w:ascii="Times New Roman" w:hAnsi="Times New Roman" w:eastAsia="宋体"/>
                <w:color w:val="000000"/>
                <w:sz w:val="24"/>
              </w:rPr>
              <w:t>大。</w:t>
            </w:r>
            <w:r>
              <w:rPr>
                <w:rFonts w:hint="eastAsia" w:ascii="Times New Roman" w:hAnsi="Times New Roman" w:eastAsia="宋体"/>
                <w:color w:val="000000"/>
                <w:sz w:val="24"/>
              </w:rPr>
              <w:t>但是</w:t>
            </w:r>
            <w:r>
              <w:rPr>
                <w:rFonts w:ascii="Times New Roman" w:hAnsi="Times New Roman" w:eastAsia="宋体"/>
                <w:color w:val="000000"/>
                <w:sz w:val="24"/>
              </w:rPr>
              <w:t>施工阶段的噪声控制应符合</w:t>
            </w:r>
            <w:r>
              <w:rPr>
                <w:rFonts w:hint="eastAsia" w:ascii="Times New Roman" w:hAnsi="Times New Roman" w:eastAsia="宋体"/>
                <w:color w:val="000000"/>
                <w:sz w:val="24"/>
                <w:lang w:val="en-US" w:eastAsia="zh-CN"/>
              </w:rPr>
              <w:t>下表</w:t>
            </w:r>
            <w:r>
              <w:rPr>
                <w:rFonts w:ascii="Times New Roman" w:hAnsi="Times New Roman" w:eastAsia="宋体"/>
                <w:color w:val="000000"/>
                <w:sz w:val="24"/>
              </w:rPr>
              <w:t>中《建筑施工场界</w:t>
            </w:r>
            <w:r>
              <w:rPr>
                <w:rFonts w:hint="eastAsia" w:ascii="Times New Roman" w:hAnsi="Times New Roman" w:eastAsia="宋体"/>
                <w:color w:val="000000"/>
                <w:sz w:val="24"/>
              </w:rPr>
              <w:t>环境</w:t>
            </w:r>
            <w:r>
              <w:rPr>
                <w:rFonts w:ascii="Times New Roman" w:hAnsi="Times New Roman" w:eastAsia="宋体"/>
                <w:color w:val="000000"/>
                <w:sz w:val="24"/>
              </w:rPr>
              <w:t>噪声</w:t>
            </w:r>
            <w:r>
              <w:rPr>
                <w:rFonts w:hint="eastAsia" w:ascii="Times New Roman" w:hAnsi="Times New Roman" w:eastAsia="宋体"/>
                <w:color w:val="000000"/>
                <w:sz w:val="24"/>
              </w:rPr>
              <w:t>排放标准</w:t>
            </w:r>
            <w:r>
              <w:rPr>
                <w:rFonts w:ascii="Times New Roman" w:hAnsi="Times New Roman" w:eastAsia="宋体"/>
                <w:color w:val="000000"/>
                <w:sz w:val="24"/>
              </w:rPr>
              <w:t>》（GB12523—</w:t>
            </w:r>
            <w:r>
              <w:rPr>
                <w:rFonts w:hint="eastAsia" w:ascii="Times New Roman" w:hAnsi="Times New Roman" w:eastAsia="宋体"/>
                <w:color w:val="000000"/>
                <w:sz w:val="24"/>
              </w:rPr>
              <w:t>2011</w:t>
            </w:r>
            <w:r>
              <w:rPr>
                <w:rFonts w:ascii="Times New Roman" w:hAnsi="Times New Roman" w:eastAsia="宋体"/>
                <w:color w:val="000000"/>
                <w:sz w:val="24"/>
              </w:rPr>
              <w:t>）。</w:t>
            </w:r>
          </w:p>
          <w:p>
            <w:pPr>
              <w:spacing w:line="460" w:lineRule="exact"/>
              <w:jc w:val="center"/>
              <w:rPr>
                <w:rFonts w:ascii="Times New Roman" w:hAnsi="Times New Roman" w:eastAsia="宋体"/>
                <w:b/>
                <w:bCs/>
                <w:color w:val="000000"/>
                <w:sz w:val="24"/>
              </w:rPr>
            </w:pPr>
            <w:r>
              <w:rPr>
                <w:rFonts w:ascii="Times New Roman" w:hAnsi="Times New Roman" w:eastAsia="宋体"/>
                <w:b/>
                <w:bCs/>
                <w:color w:val="000000"/>
                <w:sz w:val="24"/>
              </w:rPr>
              <w:t>表</w:t>
            </w:r>
            <w:r>
              <w:rPr>
                <w:rFonts w:hint="eastAsia" w:ascii="Times New Roman" w:hAnsi="Times New Roman" w:eastAsia="宋体"/>
                <w:b/>
                <w:bCs/>
                <w:color w:val="000000"/>
                <w:sz w:val="24"/>
                <w:lang w:val="en-US" w:eastAsia="zh-CN"/>
              </w:rPr>
              <w:t>7</w:t>
            </w:r>
            <w:r>
              <w:rPr>
                <w:rFonts w:ascii="Times New Roman" w:hAnsi="Times New Roman" w:eastAsia="宋体"/>
                <w:b/>
                <w:bCs/>
                <w:color w:val="000000"/>
                <w:sz w:val="24"/>
              </w:rPr>
              <w:t>-</w:t>
            </w:r>
            <w:r>
              <w:rPr>
                <w:rFonts w:hint="eastAsia" w:ascii="Times New Roman" w:hAnsi="Times New Roman" w:eastAsia="宋体"/>
                <w:b/>
                <w:bCs/>
                <w:color w:val="000000"/>
                <w:sz w:val="24"/>
              </w:rPr>
              <w:t>2</w:t>
            </w:r>
            <w:r>
              <w:rPr>
                <w:rFonts w:ascii="Times New Roman" w:hAnsi="Times New Roman" w:eastAsia="宋体"/>
                <w:b/>
                <w:bCs/>
                <w:color w:val="000000"/>
                <w:sz w:val="24"/>
              </w:rPr>
              <w:t xml:space="preserve">  建筑施工场界</w:t>
            </w:r>
            <w:r>
              <w:rPr>
                <w:rFonts w:hint="eastAsia" w:ascii="Times New Roman" w:hAnsi="Times New Roman" w:eastAsia="宋体"/>
                <w:b/>
                <w:bCs/>
                <w:color w:val="000000"/>
                <w:sz w:val="24"/>
              </w:rPr>
              <w:t>环境</w:t>
            </w:r>
            <w:r>
              <w:rPr>
                <w:rFonts w:ascii="Times New Roman" w:hAnsi="Times New Roman" w:eastAsia="宋体"/>
                <w:b/>
                <w:bCs/>
                <w:color w:val="000000"/>
                <w:sz w:val="24"/>
              </w:rPr>
              <w:t>噪声</w:t>
            </w:r>
            <w:r>
              <w:rPr>
                <w:rFonts w:hint="eastAsia" w:ascii="Times New Roman" w:hAnsi="Times New Roman" w:eastAsia="宋体"/>
                <w:b/>
                <w:bCs/>
                <w:color w:val="000000"/>
                <w:sz w:val="24"/>
              </w:rPr>
              <w:t>排放</w:t>
            </w:r>
            <w:r>
              <w:rPr>
                <w:rFonts w:ascii="Times New Roman" w:hAnsi="Times New Roman" w:eastAsia="宋体"/>
                <w:b/>
                <w:bCs/>
                <w:color w:val="000000"/>
                <w:sz w:val="24"/>
              </w:rPr>
              <w:t>限值   单位：Leq[dB(A)]</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76"/>
              <w:gridCol w:w="2340"/>
              <w:gridCol w:w="26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76" w:type="dxa"/>
                  <w:noWrap w:val="0"/>
                  <w:vAlign w:val="center"/>
                </w:tcPr>
                <w:p>
                  <w:pPr>
                    <w:jc w:val="center"/>
                    <w:rPr>
                      <w:rFonts w:ascii="Times New Roman" w:hAnsi="Times New Roman" w:eastAsia="宋体"/>
                      <w:bCs/>
                      <w:color w:val="000000"/>
                      <w:szCs w:val="21"/>
                    </w:rPr>
                  </w:pPr>
                  <w:r>
                    <w:rPr>
                      <w:rFonts w:hint="eastAsia" w:ascii="Times New Roman" w:hAnsi="Times New Roman" w:eastAsia="宋体"/>
                      <w:bCs/>
                      <w:color w:val="000000"/>
                      <w:szCs w:val="21"/>
                    </w:rPr>
                    <w:t>昼间</w:t>
                  </w:r>
                </w:p>
              </w:tc>
              <w:tc>
                <w:tcPr>
                  <w:tcW w:w="2340" w:type="dxa"/>
                  <w:noWrap w:val="0"/>
                  <w:vAlign w:val="center"/>
                </w:tcPr>
                <w:p>
                  <w:pPr>
                    <w:jc w:val="center"/>
                    <w:rPr>
                      <w:rFonts w:ascii="Times New Roman" w:hAnsi="Times New Roman" w:eastAsia="宋体"/>
                      <w:bCs/>
                      <w:color w:val="000000"/>
                      <w:szCs w:val="21"/>
                    </w:rPr>
                  </w:pPr>
                  <w:r>
                    <w:rPr>
                      <w:rFonts w:hint="eastAsia" w:ascii="Times New Roman" w:hAnsi="Times New Roman" w:eastAsia="宋体"/>
                      <w:bCs/>
                      <w:color w:val="000000"/>
                      <w:szCs w:val="21"/>
                    </w:rPr>
                    <w:t>夜间</w:t>
                  </w:r>
                </w:p>
              </w:tc>
              <w:tc>
                <w:tcPr>
                  <w:tcW w:w="2641" w:type="dxa"/>
                  <w:noWrap w:val="0"/>
                  <w:vAlign w:val="center"/>
                </w:tcPr>
                <w:p>
                  <w:pPr>
                    <w:jc w:val="center"/>
                    <w:rPr>
                      <w:rFonts w:ascii="Times New Roman" w:hAnsi="Times New Roman" w:eastAsia="宋体"/>
                      <w:bCs/>
                      <w:color w:val="000000"/>
                      <w:szCs w:val="21"/>
                    </w:rPr>
                  </w:pPr>
                  <w:r>
                    <w:rPr>
                      <w:rFonts w:ascii="Times New Roman" w:hAnsi="Times New Roman" w:eastAsia="宋体"/>
                      <w:color w:val="000000"/>
                      <w:szCs w:val="21"/>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976" w:type="dxa"/>
                  <w:noWrap w:val="0"/>
                  <w:vAlign w:val="center"/>
                </w:tcPr>
                <w:p>
                  <w:pPr>
                    <w:jc w:val="center"/>
                    <w:rPr>
                      <w:rFonts w:ascii="Times New Roman" w:hAnsi="Times New Roman" w:eastAsia="宋体"/>
                      <w:bCs/>
                      <w:color w:val="000000"/>
                      <w:szCs w:val="21"/>
                    </w:rPr>
                  </w:pPr>
                  <w:r>
                    <w:rPr>
                      <w:rFonts w:hint="eastAsia" w:ascii="Times New Roman" w:hAnsi="Times New Roman" w:eastAsia="宋体"/>
                      <w:bCs/>
                      <w:color w:val="000000"/>
                      <w:szCs w:val="21"/>
                    </w:rPr>
                    <w:t>70</w:t>
                  </w:r>
                </w:p>
              </w:tc>
              <w:tc>
                <w:tcPr>
                  <w:tcW w:w="2340" w:type="dxa"/>
                  <w:noWrap w:val="0"/>
                  <w:vAlign w:val="center"/>
                </w:tcPr>
                <w:p>
                  <w:pPr>
                    <w:jc w:val="center"/>
                    <w:rPr>
                      <w:rFonts w:ascii="Times New Roman" w:hAnsi="Times New Roman" w:eastAsia="宋体"/>
                      <w:bCs/>
                      <w:color w:val="000000"/>
                      <w:szCs w:val="21"/>
                    </w:rPr>
                  </w:pPr>
                  <w:r>
                    <w:rPr>
                      <w:rFonts w:hint="eastAsia" w:ascii="Times New Roman" w:hAnsi="Times New Roman" w:eastAsia="宋体"/>
                      <w:bCs/>
                      <w:color w:val="000000"/>
                      <w:szCs w:val="21"/>
                    </w:rPr>
                    <w:t>55</w:t>
                  </w:r>
                </w:p>
              </w:tc>
              <w:tc>
                <w:tcPr>
                  <w:tcW w:w="2641" w:type="dxa"/>
                  <w:noWrap w:val="0"/>
                  <w:vAlign w:val="center"/>
                </w:tcPr>
                <w:p>
                  <w:pPr>
                    <w:jc w:val="center"/>
                    <w:rPr>
                      <w:rFonts w:ascii="Times New Roman" w:hAnsi="Times New Roman" w:eastAsia="宋体"/>
                      <w:bCs/>
                      <w:color w:val="000000"/>
                      <w:szCs w:val="21"/>
                    </w:rPr>
                  </w:pPr>
                  <w:r>
                    <w:rPr>
                      <w:rFonts w:ascii="Times New Roman" w:hAnsi="Times New Roman" w:eastAsia="宋体"/>
                      <w:color w:val="000000"/>
                      <w:szCs w:val="21"/>
                    </w:rPr>
                    <w:t>GB12523－</w:t>
                  </w:r>
                  <w:r>
                    <w:rPr>
                      <w:rFonts w:hint="eastAsia" w:ascii="Times New Roman" w:hAnsi="Times New Roman" w:eastAsia="宋体"/>
                      <w:color w:val="000000"/>
                      <w:szCs w:val="21"/>
                    </w:rPr>
                    <w:t>2011</w:t>
                  </w:r>
                </w:p>
              </w:tc>
            </w:tr>
          </w:tbl>
          <w:p>
            <w:pPr>
              <w:pStyle w:val="5"/>
              <w:spacing w:before="0" w:after="0" w:line="460" w:lineRule="exact"/>
              <w:ind w:firstLine="496" w:firstLineChars="200"/>
              <w:rPr>
                <w:rFonts w:ascii="Times New Roman" w:hAnsi="Times New Roman" w:eastAsia="宋体"/>
                <w:color w:val="000000"/>
                <w:spacing w:val="4"/>
                <w:sz w:val="24"/>
              </w:rPr>
            </w:pPr>
            <w:r>
              <w:rPr>
                <w:rFonts w:hint="eastAsia" w:ascii="Times New Roman" w:hAnsi="Times New Roman" w:eastAsia="宋体"/>
                <w:color w:val="000000"/>
                <w:spacing w:val="4"/>
                <w:sz w:val="24"/>
                <w:lang w:val="en-US" w:eastAsia="zh-CN"/>
              </w:rPr>
              <w:t>3.2</w:t>
            </w:r>
            <w:r>
              <w:rPr>
                <w:rFonts w:hint="eastAsia" w:ascii="Times New Roman" w:hAnsi="Times New Roman" w:eastAsia="宋体"/>
                <w:color w:val="000000"/>
                <w:spacing w:val="4"/>
                <w:sz w:val="24"/>
              </w:rPr>
              <w:t>施工期噪声污染防治措施</w:t>
            </w:r>
          </w:p>
          <w:p>
            <w:pPr>
              <w:spacing w:line="460" w:lineRule="exact"/>
              <w:ind w:firstLine="480" w:firstLineChars="200"/>
              <w:rPr>
                <w:rFonts w:ascii="Times New Roman" w:hAnsi="Times New Roman" w:eastAsia="宋体"/>
                <w:bCs/>
                <w:color w:val="000000"/>
                <w:sz w:val="24"/>
              </w:rPr>
            </w:pPr>
            <w:r>
              <w:rPr>
                <w:rFonts w:hint="eastAsia" w:ascii="Times New Roman" w:hAnsi="Times New Roman" w:eastAsia="宋体"/>
                <w:bCs/>
                <w:color w:val="000000"/>
                <w:sz w:val="24"/>
              </w:rPr>
              <w:t>按照HJ2034—2013《环境噪声与振动控制工程技术导则》“7.常用工程措施”的规定，根据施工噪声污染源的性质、传播形式及其与环境敏感点的位置关系，采用不同的隔声处理方案：</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①降低设备噪声：尽量采用低噪声设备；挖掘机、装卸车辆进出场地应限速；加强机械设备、运输车辆的保养维修，使它们处于良好的工作状态。</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②合理安排时间：避免强噪声设备同时施工、持续作业；夜间(22:00</w:t>
            </w:r>
            <w:r>
              <w:rPr>
                <w:rFonts w:hint="eastAsia" w:ascii="Times New Roman" w:hAnsi="Times New Roman" w:eastAsia="宋体"/>
                <w:color w:val="000000"/>
                <w:sz w:val="24"/>
              </w:rPr>
              <w:t>-次日6:00</w:t>
            </w:r>
            <w:r>
              <w:rPr>
                <w:rFonts w:ascii="Times New Roman" w:hAnsi="Times New Roman" w:eastAsia="宋体"/>
                <w:color w:val="000000"/>
                <w:sz w:val="24"/>
              </w:rPr>
              <w:t>)禁止进行对居民生活环境产生噪声污染的施工作业，昼间使用高噪声设备应避开中午休息时间并公告附近有关单位。</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③合理布局施工场地：噪声大的设备尽量远离敏感区</w:t>
            </w:r>
            <w:r>
              <w:rPr>
                <w:rFonts w:hint="eastAsia" w:ascii="Times New Roman" w:hAnsi="Times New Roman" w:eastAsia="宋体"/>
                <w:color w:val="000000"/>
                <w:sz w:val="24"/>
              </w:rPr>
              <w:t>，布置在项目区的西北侧</w:t>
            </w:r>
            <w:r>
              <w:rPr>
                <w:rFonts w:ascii="Times New Roman" w:hAnsi="Times New Roman" w:eastAsia="宋体"/>
                <w:color w:val="000000"/>
                <w:sz w:val="24"/>
              </w:rPr>
              <w:t>。</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④降低人为噪声：操作机械设备时及模板、支架装卸过程中，尽量减少碰撞声音；尽量少用哨子指挥作业。</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⑤减少交通噪声：进出车辆和经过敏感点的车辆限速、限鸣。</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⑥在</w:t>
            </w:r>
            <w:r>
              <w:rPr>
                <w:rFonts w:hint="eastAsia" w:ascii="Times New Roman" w:hAnsi="Times New Roman" w:eastAsia="宋体"/>
                <w:color w:val="000000"/>
                <w:sz w:val="24"/>
              </w:rPr>
              <w:t>每年的学生</w:t>
            </w:r>
            <w:r>
              <w:rPr>
                <w:rFonts w:ascii="Times New Roman" w:hAnsi="Times New Roman" w:eastAsia="宋体"/>
                <w:color w:val="000000"/>
                <w:sz w:val="24"/>
              </w:rPr>
              <w:t>高考和中考期间，不得进行工程施工。</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⑦如因建筑工程工艺要求或特殊需要必须连续作业而进行夜间施工的，施工单位必须提前7日持建管部门的证明向当地环境保护主管部门申报施工日期和时间，并在周围居民点张贴告示，经环境保护主管部门批准备案后方可进行夜间施工。</w:t>
            </w:r>
          </w:p>
          <w:p>
            <w:pPr>
              <w:spacing w:line="460" w:lineRule="exact"/>
              <w:ind w:firstLine="480" w:firstLineChars="200"/>
              <w:rPr>
                <w:rFonts w:ascii="Times New Roman" w:hAnsi="Times New Roman" w:eastAsia="宋体"/>
                <w:color w:val="000000"/>
                <w:sz w:val="24"/>
              </w:rPr>
            </w:pPr>
            <w:r>
              <w:rPr>
                <w:rFonts w:ascii="Times New Roman" w:hAnsi="Times New Roman" w:eastAsia="宋体"/>
                <w:color w:val="000000"/>
                <w:sz w:val="24"/>
              </w:rPr>
              <w:t>上述措施能有效减轻施工噪声，但对周围环境敏感点仍有一定的影响。</w:t>
            </w:r>
          </w:p>
          <w:p>
            <w:pPr>
              <w:spacing w:line="360" w:lineRule="auto"/>
              <w:ind w:firstLine="480" w:firstLineChars="200"/>
              <w:rPr>
                <w:rFonts w:ascii="Times New Roman" w:hAnsi="Times New Roman" w:eastAsia="宋体"/>
                <w:color w:val="auto"/>
                <w:sz w:val="24"/>
              </w:rPr>
            </w:pPr>
            <w:r>
              <w:rPr>
                <w:rFonts w:hint="eastAsia" w:ascii="Times New Roman" w:hAnsi="Times New Roman" w:eastAsia="宋体"/>
                <w:color w:val="auto"/>
                <w:sz w:val="24"/>
              </w:rPr>
              <w:t xml:space="preserve"> </w:t>
            </w:r>
          </w:p>
          <w:p>
            <w:pPr>
              <w:spacing w:line="360" w:lineRule="auto"/>
              <w:rPr>
                <w:rFonts w:ascii="Times New Roman" w:hAnsi="Times New Roman" w:eastAsia="宋体"/>
                <w:b/>
                <w:color w:val="auto"/>
                <w:sz w:val="28"/>
                <w:szCs w:val="22"/>
              </w:rPr>
            </w:pPr>
            <w:r>
              <w:rPr>
                <w:rFonts w:ascii="Times New Roman" w:hAnsi="Times New Roman" w:eastAsia="宋体"/>
                <w:b/>
                <w:color w:val="auto"/>
                <w:sz w:val="28"/>
                <w:szCs w:val="22"/>
              </w:rPr>
              <w:t>营运期环境影响分析</w:t>
            </w:r>
          </w:p>
          <w:p>
            <w:pPr>
              <w:numPr>
                <w:ilvl w:val="0"/>
                <w:numId w:val="5"/>
              </w:numPr>
              <w:autoSpaceDE w:val="0"/>
              <w:autoSpaceDN w:val="0"/>
              <w:adjustRightInd w:val="0"/>
              <w:spacing w:line="360" w:lineRule="auto"/>
              <w:ind w:firstLine="480" w:firstLineChars="200"/>
              <w:rPr>
                <w:rFonts w:ascii="Times New Roman" w:hAnsi="Times New Roman" w:eastAsia="宋体"/>
                <w:bCs/>
                <w:color w:val="auto"/>
                <w:sz w:val="24"/>
              </w:rPr>
            </w:pPr>
            <w:r>
              <w:rPr>
                <w:rFonts w:ascii="Times New Roman" w:hAnsi="Times New Roman" w:eastAsia="宋体"/>
                <w:bCs/>
                <w:color w:val="auto"/>
                <w:sz w:val="24"/>
              </w:rPr>
              <w:t>水环境影响分析</w:t>
            </w:r>
          </w:p>
          <w:p>
            <w:pPr>
              <w:spacing w:line="360" w:lineRule="auto"/>
              <w:ind w:firstLine="480" w:firstLineChars="200"/>
              <w:rPr>
                <w:rFonts w:hint="eastAsia" w:ascii="Times New Roman" w:hAnsi="Times New Roman" w:eastAsia="宋体"/>
                <w:color w:val="auto"/>
                <w:sz w:val="24"/>
                <w:szCs w:val="22"/>
              </w:rPr>
            </w:pPr>
            <w:r>
              <w:rPr>
                <w:rFonts w:hint="eastAsia" w:ascii="Times New Roman" w:hAnsi="Times New Roman" w:eastAsia="宋体"/>
                <w:color w:val="auto"/>
                <w:sz w:val="24"/>
                <w:szCs w:val="22"/>
              </w:rPr>
              <w:t>本次技改项目，不新增生产、生活废水，因此本项目不进行水环境影响分析。</w:t>
            </w:r>
          </w:p>
          <w:p>
            <w:pPr>
              <w:spacing w:line="360" w:lineRule="auto"/>
              <w:ind w:firstLine="480" w:firstLineChars="200"/>
              <w:rPr>
                <w:rFonts w:ascii="Times New Roman" w:hAnsi="Times New Roman" w:eastAsia="宋体"/>
                <w:color w:val="auto"/>
                <w:sz w:val="24"/>
                <w:szCs w:val="22"/>
              </w:rPr>
            </w:pPr>
            <w:r>
              <w:rPr>
                <w:rFonts w:ascii="Times New Roman" w:hAnsi="Times New Roman" w:eastAsia="宋体"/>
                <w:color w:val="auto"/>
                <w:sz w:val="24"/>
                <w:szCs w:val="22"/>
              </w:rPr>
              <w:t>二、大气环境影响分析</w:t>
            </w:r>
          </w:p>
          <w:p>
            <w:pPr>
              <w:spacing w:line="360" w:lineRule="auto"/>
              <w:ind w:firstLine="480" w:firstLineChars="200"/>
              <w:rPr>
                <w:rFonts w:ascii="Times New Roman" w:hAnsi="Times New Roman" w:eastAsia="宋体"/>
                <w:color w:val="000000"/>
                <w:highlight w:val="none"/>
              </w:rPr>
            </w:pPr>
            <w:r>
              <w:rPr>
                <w:rFonts w:ascii="Times New Roman" w:hAnsi="Times New Roman" w:eastAsia="宋体"/>
                <w:color w:val="000000"/>
                <w:sz w:val="24"/>
                <w:szCs w:val="22"/>
                <w:highlight w:val="none"/>
              </w:rPr>
              <w:t>根据工程分析内容，本次环评筛选出的评价因子为颗粒物、非甲烷总烃。本次预测废气排放的最大落地浓度及其距离、环境防护距离等。</w:t>
            </w:r>
          </w:p>
          <w:p>
            <w:pPr>
              <w:spacing w:line="360" w:lineRule="auto"/>
              <w:ind w:firstLine="480" w:firstLineChars="200"/>
              <w:rPr>
                <w:rFonts w:ascii="Times New Roman" w:hAnsi="Times New Roman" w:eastAsia="宋体"/>
                <w:color w:val="000000"/>
                <w:sz w:val="24"/>
                <w:szCs w:val="22"/>
                <w:highlight w:val="none"/>
              </w:rPr>
            </w:pPr>
            <w:bookmarkStart w:id="83" w:name="_Toc401754141"/>
            <w:bookmarkStart w:id="84" w:name="_Toc14365"/>
            <w:r>
              <w:rPr>
                <w:rFonts w:ascii="Times New Roman" w:hAnsi="Times New Roman" w:eastAsia="宋体"/>
                <w:color w:val="000000"/>
                <w:sz w:val="24"/>
                <w:szCs w:val="22"/>
                <w:highlight w:val="none"/>
              </w:rPr>
              <w:t>①预测模式</w:t>
            </w:r>
            <w:bookmarkEnd w:id="83"/>
            <w:bookmarkEnd w:id="84"/>
          </w:p>
          <w:p>
            <w:pPr>
              <w:spacing w:line="360" w:lineRule="auto"/>
              <w:ind w:firstLine="480" w:firstLineChars="200"/>
              <w:rPr>
                <w:rFonts w:ascii="Times New Roman" w:hAnsi="Times New Roman" w:eastAsia="宋体"/>
                <w:color w:val="000000"/>
                <w:sz w:val="24"/>
                <w:szCs w:val="22"/>
                <w:highlight w:val="none"/>
              </w:rPr>
            </w:pPr>
            <w:r>
              <w:rPr>
                <w:rFonts w:ascii="Times New Roman" w:hAnsi="Times New Roman" w:eastAsia="宋体"/>
                <w:color w:val="000000"/>
                <w:sz w:val="24"/>
                <w:szCs w:val="22"/>
                <w:highlight w:val="none"/>
              </w:rPr>
              <w:t>本项目采用《环境影响评价技术导则-大气环境》(HJ2.2-2018)推荐的估算模式系统进行预测。根据《环境影响评价技术导则-大气环境》（HJ2.2-2018），选择推荐模式中的估算模式，结合工程分析结果，计算各污染物的最大影响程度和影响范围。</w:t>
            </w:r>
          </w:p>
          <w:p>
            <w:pPr>
              <w:spacing w:line="360" w:lineRule="auto"/>
              <w:ind w:firstLine="480" w:firstLineChars="200"/>
              <w:rPr>
                <w:rFonts w:ascii="Times New Roman" w:hAnsi="Times New Roman" w:eastAsia="宋体"/>
                <w:color w:val="000000"/>
                <w:sz w:val="24"/>
                <w:szCs w:val="22"/>
                <w:highlight w:val="none"/>
              </w:rPr>
            </w:pPr>
            <w:r>
              <w:rPr>
                <w:rFonts w:ascii="Times New Roman" w:hAnsi="Times New Roman" w:eastAsia="宋体"/>
                <w:color w:val="000000"/>
                <w:sz w:val="24"/>
                <w:szCs w:val="22"/>
                <w:highlight w:val="none"/>
              </w:rPr>
              <w:t>估算模式是一种单源预测模式，可计算点源、面源和体源等污染源的最大地面浓度，以及建筑物下洗和熏烟等特殊条件下的最大地面浓度，估算模式中嵌入了多种预设的气象组合条件，包括一些最不利的气象条件，此类气象条件在某个地区有可能发生，也有可能不发生。经估算模式计算出的最大地面浓度大于进一步预测模式的计算结果。对于小于1小时的短期非正常排放，可采用估算模式进行预测。</w:t>
            </w:r>
          </w:p>
          <w:p>
            <w:pPr>
              <w:spacing w:line="360" w:lineRule="auto"/>
              <w:ind w:firstLine="480" w:firstLineChars="200"/>
              <w:rPr>
                <w:rFonts w:ascii="Times New Roman" w:hAnsi="Times New Roman" w:eastAsia="宋体"/>
                <w:color w:val="000000"/>
                <w:sz w:val="24"/>
                <w:szCs w:val="22"/>
                <w:highlight w:val="none"/>
              </w:rPr>
            </w:pPr>
            <w:r>
              <w:rPr>
                <w:rFonts w:ascii="Times New Roman" w:hAnsi="Times New Roman" w:eastAsia="宋体"/>
                <w:color w:val="000000"/>
                <w:sz w:val="24"/>
                <w:szCs w:val="22"/>
                <w:highlight w:val="none"/>
              </w:rPr>
              <w:t>②污染源强</w:t>
            </w:r>
          </w:p>
          <w:p>
            <w:pPr>
              <w:spacing w:line="360" w:lineRule="auto"/>
              <w:jc w:val="center"/>
              <w:rPr>
                <w:rFonts w:ascii="Times New Roman" w:hAnsi="Times New Roman" w:eastAsia="宋体"/>
                <w:b/>
                <w:color w:val="000000"/>
                <w:sz w:val="24"/>
                <w:highlight w:val="none"/>
              </w:rPr>
            </w:pPr>
            <w:r>
              <w:rPr>
                <w:rFonts w:ascii="Times New Roman" w:hAnsi="Times New Roman" w:eastAsia="宋体"/>
                <w:b/>
                <w:color w:val="000000"/>
                <w:sz w:val="24"/>
                <w:highlight w:val="none"/>
              </w:rPr>
              <w:t>表</w:t>
            </w:r>
            <w:r>
              <w:rPr>
                <w:rFonts w:hint="eastAsia" w:ascii="Times New Roman" w:hAnsi="Times New Roman" w:eastAsia="宋体"/>
                <w:b/>
                <w:color w:val="000000"/>
                <w:sz w:val="24"/>
                <w:highlight w:val="none"/>
                <w:lang w:val="en-US" w:eastAsia="zh-CN"/>
              </w:rPr>
              <w:t>7-3</w:t>
            </w:r>
            <w:r>
              <w:rPr>
                <w:rFonts w:ascii="Times New Roman" w:hAnsi="Times New Roman" w:eastAsia="宋体"/>
                <w:b/>
                <w:color w:val="000000"/>
                <w:sz w:val="24"/>
                <w:highlight w:val="none"/>
              </w:rPr>
              <w:t xml:space="preserve"> 有组织废气排放情况一览表</w:t>
            </w:r>
          </w:p>
          <w:tbl>
            <w:tblPr>
              <w:tblStyle w:val="22"/>
              <w:tblW w:w="4866" w:type="pct"/>
              <w:jc w:val="center"/>
              <w:tblLayout w:type="autofit"/>
              <w:tblCellMar>
                <w:top w:w="0" w:type="dxa"/>
                <w:left w:w="108" w:type="dxa"/>
                <w:bottom w:w="0" w:type="dxa"/>
                <w:right w:w="108" w:type="dxa"/>
              </w:tblCellMar>
            </w:tblPr>
            <w:tblGrid>
              <w:gridCol w:w="743"/>
              <w:gridCol w:w="1206"/>
              <w:gridCol w:w="1112"/>
              <w:gridCol w:w="771"/>
              <w:gridCol w:w="734"/>
              <w:gridCol w:w="706"/>
              <w:gridCol w:w="642"/>
              <w:gridCol w:w="589"/>
              <w:gridCol w:w="633"/>
              <w:gridCol w:w="511"/>
              <w:gridCol w:w="499"/>
              <w:gridCol w:w="691"/>
            </w:tblGrid>
            <w:tr>
              <w:tblPrEx>
                <w:tblCellMar>
                  <w:top w:w="0" w:type="dxa"/>
                  <w:left w:w="108" w:type="dxa"/>
                  <w:bottom w:w="0" w:type="dxa"/>
                  <w:right w:w="108" w:type="dxa"/>
                </w:tblCellMar>
              </w:tblPrEx>
              <w:trPr>
                <w:trHeight w:val="142" w:hRule="atLeast"/>
                <w:jc w:val="center"/>
              </w:trPr>
              <w:tc>
                <w:tcPr>
                  <w:tcW w:w="420" w:type="pct"/>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名称</w:t>
                  </w:r>
                </w:p>
              </w:tc>
              <w:tc>
                <w:tcPr>
                  <w:tcW w:w="1311" w:type="pct"/>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排气筒底部中心坐标</w:t>
                  </w:r>
                </w:p>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（经纬度）</w:t>
                  </w:r>
                </w:p>
              </w:tc>
              <w:tc>
                <w:tcPr>
                  <w:tcW w:w="436" w:type="pct"/>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排气筒底部海拔高度/m</w:t>
                  </w:r>
                </w:p>
              </w:tc>
              <w:tc>
                <w:tcPr>
                  <w:tcW w:w="415" w:type="pct"/>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排气筒高度/m</w:t>
                  </w:r>
                </w:p>
              </w:tc>
              <w:tc>
                <w:tcPr>
                  <w:tcW w:w="399" w:type="pct"/>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排气筒出口内径/m</w:t>
                  </w:r>
                </w:p>
              </w:tc>
              <w:tc>
                <w:tcPr>
                  <w:tcW w:w="363" w:type="pct"/>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烟气流速/(m/s)</w:t>
                  </w:r>
                </w:p>
              </w:tc>
              <w:tc>
                <w:tcPr>
                  <w:tcW w:w="333" w:type="pct"/>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烟气温度/℃</w:t>
                  </w:r>
                </w:p>
              </w:tc>
              <w:tc>
                <w:tcPr>
                  <w:tcW w:w="358" w:type="pct"/>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年排放小时数/h</w:t>
                  </w:r>
                </w:p>
              </w:tc>
              <w:tc>
                <w:tcPr>
                  <w:tcW w:w="289" w:type="pct"/>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排放</w:t>
                  </w:r>
                </w:p>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工况</w:t>
                  </w:r>
                </w:p>
              </w:tc>
              <w:tc>
                <w:tcPr>
                  <w:tcW w:w="673" w:type="pct"/>
                  <w:gridSpan w:val="2"/>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污染物排放速率（kg/h）</w:t>
                  </w:r>
                </w:p>
              </w:tc>
            </w:tr>
            <w:tr>
              <w:tblPrEx>
                <w:tblCellMar>
                  <w:top w:w="0" w:type="dxa"/>
                  <w:left w:w="108" w:type="dxa"/>
                  <w:bottom w:w="0" w:type="dxa"/>
                  <w:right w:w="108" w:type="dxa"/>
                </w:tblCellMar>
              </w:tblPrEx>
              <w:trPr>
                <w:trHeight w:val="85" w:hRule="atLeast"/>
                <w:jc w:val="center"/>
              </w:trPr>
              <w:tc>
                <w:tcPr>
                  <w:tcW w:w="420"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left"/>
                    <w:rPr>
                      <w:rFonts w:ascii="Times New Roman" w:hAnsi="Times New Roman" w:eastAsia="宋体"/>
                      <w:b/>
                      <w:color w:val="000000"/>
                      <w:szCs w:val="21"/>
                      <w:highlight w:val="none"/>
                    </w:rPr>
                  </w:pPr>
                </w:p>
              </w:tc>
              <w:tc>
                <w:tcPr>
                  <w:tcW w:w="682" w:type="pct"/>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320" w:lineRule="exact"/>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X</w:t>
                  </w:r>
                </w:p>
              </w:tc>
              <w:tc>
                <w:tcPr>
                  <w:tcW w:w="629" w:type="pct"/>
                  <w:tcBorders>
                    <w:top w:val="single" w:color="auto" w:sz="4" w:space="0"/>
                    <w:left w:val="single" w:color="auto" w:sz="4" w:space="0"/>
                    <w:bottom w:val="single" w:color="auto" w:sz="4" w:space="0"/>
                    <w:right w:val="single" w:color="auto" w:sz="4" w:space="0"/>
                  </w:tcBorders>
                  <w:noWrap w:val="0"/>
                  <w:vAlign w:val="top"/>
                </w:tcPr>
                <w:p>
                  <w:pPr>
                    <w:autoSpaceDE w:val="0"/>
                    <w:autoSpaceDN w:val="0"/>
                    <w:adjustRightInd w:val="0"/>
                    <w:spacing w:line="320" w:lineRule="exact"/>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Y</w:t>
                  </w:r>
                </w:p>
              </w:tc>
              <w:tc>
                <w:tcPr>
                  <w:tcW w:w="436"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left"/>
                    <w:rPr>
                      <w:rFonts w:ascii="Times New Roman" w:hAnsi="Times New Roman" w:eastAsia="宋体"/>
                      <w:b/>
                      <w:color w:val="000000"/>
                      <w:szCs w:val="21"/>
                      <w:highlight w:val="none"/>
                    </w:rPr>
                  </w:pPr>
                </w:p>
              </w:tc>
              <w:tc>
                <w:tcPr>
                  <w:tcW w:w="415"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left"/>
                    <w:rPr>
                      <w:rFonts w:ascii="Times New Roman" w:hAnsi="Times New Roman" w:eastAsia="宋体"/>
                      <w:b/>
                      <w:color w:val="000000"/>
                      <w:szCs w:val="21"/>
                      <w:highlight w:val="none"/>
                    </w:rPr>
                  </w:pPr>
                </w:p>
              </w:tc>
              <w:tc>
                <w:tcPr>
                  <w:tcW w:w="399"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left"/>
                    <w:rPr>
                      <w:rFonts w:ascii="Times New Roman" w:hAnsi="Times New Roman" w:eastAsia="宋体"/>
                      <w:b/>
                      <w:color w:val="000000"/>
                      <w:szCs w:val="21"/>
                      <w:highlight w:val="none"/>
                    </w:rPr>
                  </w:pPr>
                </w:p>
              </w:tc>
              <w:tc>
                <w:tcPr>
                  <w:tcW w:w="363"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left"/>
                    <w:rPr>
                      <w:rFonts w:ascii="Times New Roman" w:hAnsi="Times New Roman" w:eastAsia="宋体"/>
                      <w:b/>
                      <w:color w:val="000000"/>
                      <w:szCs w:val="21"/>
                      <w:highlight w:val="none"/>
                    </w:rPr>
                  </w:pPr>
                </w:p>
              </w:tc>
              <w:tc>
                <w:tcPr>
                  <w:tcW w:w="333"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left"/>
                    <w:rPr>
                      <w:rFonts w:ascii="Times New Roman" w:hAnsi="Times New Roman" w:eastAsia="宋体"/>
                      <w:b/>
                      <w:color w:val="000000"/>
                      <w:szCs w:val="21"/>
                      <w:highlight w:val="none"/>
                    </w:rPr>
                  </w:pPr>
                </w:p>
              </w:tc>
              <w:tc>
                <w:tcPr>
                  <w:tcW w:w="358"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left"/>
                    <w:rPr>
                      <w:rFonts w:ascii="Times New Roman" w:hAnsi="Times New Roman" w:eastAsia="宋体"/>
                      <w:b/>
                      <w:color w:val="000000"/>
                      <w:szCs w:val="21"/>
                      <w:highlight w:val="none"/>
                    </w:rPr>
                  </w:pPr>
                </w:p>
              </w:tc>
              <w:tc>
                <w:tcPr>
                  <w:tcW w:w="289"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left"/>
                    <w:rPr>
                      <w:rFonts w:ascii="Times New Roman" w:hAnsi="Times New Roman" w:eastAsia="宋体"/>
                      <w:b/>
                      <w:color w:val="000000"/>
                      <w:szCs w:val="21"/>
                      <w:highlight w:val="none"/>
                    </w:rPr>
                  </w:pPr>
                </w:p>
              </w:tc>
              <w:tc>
                <w:tcPr>
                  <w:tcW w:w="673" w:type="pct"/>
                  <w:gridSpan w:val="2"/>
                  <w:vMerge w:val="continue"/>
                  <w:tcBorders>
                    <w:top w:val="single" w:color="auto" w:sz="4" w:space="0"/>
                    <w:left w:val="single" w:color="auto" w:sz="4" w:space="0"/>
                    <w:bottom w:val="single" w:color="auto" w:sz="6" w:space="0"/>
                    <w:right w:val="single" w:color="auto" w:sz="4" w:space="0"/>
                  </w:tcBorders>
                  <w:noWrap w:val="0"/>
                  <w:vAlign w:val="center"/>
                </w:tcPr>
                <w:p>
                  <w:pPr>
                    <w:widowControl/>
                    <w:autoSpaceDE w:val="0"/>
                    <w:autoSpaceDN w:val="0"/>
                    <w:adjustRightInd w:val="0"/>
                    <w:spacing w:line="320" w:lineRule="exact"/>
                    <w:jc w:val="left"/>
                    <w:rPr>
                      <w:rFonts w:ascii="Times New Roman" w:hAnsi="Times New Roman" w:eastAsia="宋体"/>
                      <w:b/>
                      <w:color w:val="000000"/>
                      <w:szCs w:val="21"/>
                      <w:highlight w:val="none"/>
                    </w:rPr>
                  </w:pPr>
                </w:p>
              </w:tc>
            </w:tr>
            <w:tr>
              <w:tblPrEx>
                <w:tblCellMar>
                  <w:top w:w="0" w:type="dxa"/>
                  <w:left w:w="108" w:type="dxa"/>
                  <w:bottom w:w="0" w:type="dxa"/>
                  <w:right w:w="108" w:type="dxa"/>
                </w:tblCellMar>
              </w:tblPrEx>
              <w:trPr>
                <w:trHeight w:val="77" w:hRule="atLeast"/>
                <w:jc w:val="center"/>
              </w:trPr>
              <w:tc>
                <w:tcPr>
                  <w:tcW w:w="420"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center"/>
                    <w:rPr>
                      <w:rFonts w:hint="eastAsia" w:ascii="Times New Roman" w:hAnsi="Times New Roman" w:eastAsia="宋体"/>
                      <w:color w:val="000000"/>
                      <w:szCs w:val="21"/>
                      <w:highlight w:val="none"/>
                      <w:lang w:eastAsia="zh-CN"/>
                    </w:rPr>
                  </w:pPr>
                  <w:r>
                    <w:rPr>
                      <w:rFonts w:hint="eastAsia" w:ascii="Times New Roman" w:hAnsi="Times New Roman" w:eastAsia="宋体"/>
                      <w:color w:val="000000"/>
                      <w:szCs w:val="21"/>
                      <w:highlight w:val="none"/>
                      <w:lang w:val="en-US" w:eastAsia="zh-CN"/>
                    </w:rPr>
                    <w:t>三磨</w:t>
                  </w:r>
                </w:p>
              </w:tc>
              <w:tc>
                <w:tcPr>
                  <w:tcW w:w="682"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center"/>
                    <w:rPr>
                      <w:rFonts w:ascii="Times New Roman" w:hAnsi="Times New Roman" w:eastAsia="宋体"/>
                      <w:color w:val="000000"/>
                      <w:szCs w:val="21"/>
                      <w:highlight w:val="none"/>
                    </w:rPr>
                  </w:pPr>
                  <w:r>
                    <w:rPr>
                      <w:rFonts w:hint="eastAsia" w:ascii="Times New Roman" w:hAnsi="Times New Roman" w:eastAsia="宋体"/>
                      <w:color w:val="000000"/>
                      <w:szCs w:val="21"/>
                      <w:highlight w:val="none"/>
                    </w:rPr>
                    <w:t>118.161628</w:t>
                  </w:r>
                </w:p>
              </w:tc>
              <w:tc>
                <w:tcPr>
                  <w:tcW w:w="629"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center"/>
                    <w:rPr>
                      <w:rFonts w:ascii="Times New Roman" w:hAnsi="Times New Roman" w:eastAsia="宋体"/>
                      <w:color w:val="000000"/>
                      <w:szCs w:val="21"/>
                      <w:highlight w:val="none"/>
                    </w:rPr>
                  </w:pPr>
                  <w:r>
                    <w:rPr>
                      <w:rFonts w:hint="eastAsia" w:ascii="Times New Roman" w:hAnsi="Times New Roman" w:eastAsia="宋体"/>
                      <w:color w:val="000000"/>
                      <w:szCs w:val="21"/>
                      <w:highlight w:val="none"/>
                    </w:rPr>
                    <w:t>31.228734</w:t>
                  </w:r>
                </w:p>
              </w:tc>
              <w:tc>
                <w:tcPr>
                  <w:tcW w:w="436"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center"/>
                    <w:rPr>
                      <w:rFonts w:hint="eastAsia" w:ascii="Times New Roman" w:hAnsi="Times New Roman" w:eastAsia="宋体"/>
                      <w:color w:val="000000"/>
                      <w:szCs w:val="21"/>
                      <w:highlight w:val="none"/>
                      <w:lang w:eastAsia="zh-CN"/>
                    </w:rPr>
                  </w:pPr>
                  <w:r>
                    <w:rPr>
                      <w:rFonts w:hint="eastAsia" w:ascii="Times New Roman" w:hAnsi="Times New Roman" w:eastAsia="宋体"/>
                      <w:color w:val="000000"/>
                      <w:szCs w:val="21"/>
                      <w:highlight w:val="none"/>
                      <w:lang w:val="en-US" w:eastAsia="zh-CN"/>
                    </w:rPr>
                    <w:t>8</w:t>
                  </w:r>
                </w:p>
              </w:tc>
              <w:tc>
                <w:tcPr>
                  <w:tcW w:w="415"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18</w:t>
                  </w:r>
                </w:p>
              </w:tc>
              <w:tc>
                <w:tcPr>
                  <w:tcW w:w="399"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center"/>
                    <w:rPr>
                      <w:rFonts w:hint="default" w:ascii="Times New Roman" w:hAnsi="Times New Roman" w:eastAsia="宋体"/>
                      <w:color w:val="000000"/>
                      <w:kern w:val="0"/>
                      <w:szCs w:val="21"/>
                      <w:highlight w:val="none"/>
                      <w:lang w:val="en-US" w:eastAsia="zh-CN"/>
                    </w:rPr>
                  </w:pPr>
                  <w:r>
                    <w:rPr>
                      <w:rFonts w:hint="eastAsia" w:ascii="Times New Roman" w:hAnsi="Times New Roman" w:eastAsia="宋体"/>
                      <w:color w:val="000000"/>
                      <w:kern w:val="0"/>
                      <w:szCs w:val="21"/>
                      <w:highlight w:val="none"/>
                      <w:lang w:val="en-US" w:eastAsia="zh-CN"/>
                    </w:rPr>
                    <w:t>1.2</w:t>
                  </w:r>
                </w:p>
              </w:tc>
              <w:tc>
                <w:tcPr>
                  <w:tcW w:w="363"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ind w:left="-105" w:leftChars="-50" w:right="-105" w:rightChars="-50"/>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18.45</w:t>
                  </w:r>
                </w:p>
              </w:tc>
              <w:tc>
                <w:tcPr>
                  <w:tcW w:w="333"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ind w:left="-105" w:leftChars="-50" w:right="-105" w:rightChars="-50"/>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20</w:t>
                  </w:r>
                </w:p>
              </w:tc>
              <w:tc>
                <w:tcPr>
                  <w:tcW w:w="358"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ind w:left="-105" w:leftChars="-50" w:right="-105" w:rightChars="-50"/>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1200</w:t>
                  </w:r>
                </w:p>
              </w:tc>
              <w:tc>
                <w:tcPr>
                  <w:tcW w:w="289"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ind w:left="-105" w:leftChars="-50" w:right="-105" w:rightChars="-50"/>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正常</w:t>
                  </w:r>
                </w:p>
              </w:tc>
              <w:tc>
                <w:tcPr>
                  <w:tcW w:w="282" w:type="pct"/>
                  <w:tcBorders>
                    <w:top w:val="single" w:color="auto" w:sz="6" w:space="0"/>
                    <w:left w:val="single" w:color="auto" w:sz="4" w:space="0"/>
                    <w:bottom w:val="single" w:color="auto" w:sz="6" w:space="0"/>
                    <w:right w:val="single" w:color="auto" w:sz="6" w:space="0"/>
                  </w:tcBorders>
                  <w:noWrap w:val="0"/>
                  <w:vAlign w:val="center"/>
                </w:tcPr>
                <w:p>
                  <w:pPr>
                    <w:autoSpaceDE w:val="0"/>
                    <w:autoSpaceDN w:val="0"/>
                    <w:adjustRightInd w:val="0"/>
                    <w:spacing w:line="320" w:lineRule="exact"/>
                    <w:ind w:left="-105" w:leftChars="-50" w:right="-105" w:rightChars="-50"/>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颗粒物</w:t>
                  </w:r>
                </w:p>
              </w:tc>
              <w:tc>
                <w:tcPr>
                  <w:tcW w:w="390" w:type="pct"/>
                  <w:tcBorders>
                    <w:top w:val="single" w:color="auto" w:sz="6" w:space="0"/>
                    <w:left w:val="single" w:color="auto" w:sz="6" w:space="0"/>
                    <w:bottom w:val="single" w:color="auto" w:sz="6" w:space="0"/>
                    <w:right w:val="single" w:color="auto" w:sz="6" w:space="0"/>
                  </w:tcBorders>
                  <w:noWrap w:val="0"/>
                  <w:vAlign w:val="center"/>
                </w:tcPr>
                <w:p>
                  <w:pPr>
                    <w:widowControl/>
                    <w:jc w:val="center"/>
                    <w:textAlignment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kern w:val="0"/>
                      <w:szCs w:val="21"/>
                      <w:highlight w:val="none"/>
                      <w:lang w:val="en-US" w:eastAsia="zh-CN" w:bidi="ar"/>
                    </w:rPr>
                    <w:t>1.485</w:t>
                  </w:r>
                </w:p>
              </w:tc>
            </w:tr>
            <w:tr>
              <w:tblPrEx>
                <w:tblCellMar>
                  <w:top w:w="0" w:type="dxa"/>
                  <w:left w:w="108" w:type="dxa"/>
                  <w:bottom w:w="0" w:type="dxa"/>
                  <w:right w:w="108" w:type="dxa"/>
                </w:tblCellMar>
              </w:tblPrEx>
              <w:trPr>
                <w:trHeight w:val="77" w:hRule="atLeast"/>
                <w:jc w:val="center"/>
              </w:trPr>
              <w:tc>
                <w:tcPr>
                  <w:tcW w:w="420"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center"/>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喷锌</w:t>
                  </w:r>
                </w:p>
              </w:tc>
              <w:tc>
                <w:tcPr>
                  <w:tcW w:w="682"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center"/>
                    <w:rPr>
                      <w:rFonts w:hint="eastAsia" w:ascii="Times New Roman" w:hAnsi="Times New Roman" w:eastAsia="宋体"/>
                      <w:color w:val="000000"/>
                      <w:szCs w:val="21"/>
                      <w:highlight w:val="none"/>
                    </w:rPr>
                  </w:pPr>
                  <w:r>
                    <w:rPr>
                      <w:rFonts w:hint="eastAsia" w:ascii="Times New Roman" w:hAnsi="Times New Roman" w:eastAsia="宋体"/>
                      <w:color w:val="000000"/>
                      <w:szCs w:val="21"/>
                      <w:highlight w:val="none"/>
                    </w:rPr>
                    <w:t>118.161784</w:t>
                  </w:r>
                </w:p>
              </w:tc>
              <w:tc>
                <w:tcPr>
                  <w:tcW w:w="629"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center"/>
                    <w:rPr>
                      <w:rFonts w:hint="eastAsia" w:ascii="Times New Roman" w:hAnsi="Times New Roman" w:eastAsia="宋体"/>
                      <w:color w:val="000000"/>
                      <w:szCs w:val="21"/>
                      <w:highlight w:val="none"/>
                    </w:rPr>
                  </w:pPr>
                  <w:r>
                    <w:rPr>
                      <w:rFonts w:hint="eastAsia" w:ascii="Times New Roman" w:hAnsi="Times New Roman" w:eastAsia="宋体"/>
                      <w:color w:val="000000"/>
                      <w:szCs w:val="21"/>
                      <w:highlight w:val="none"/>
                    </w:rPr>
                    <w:t>31.228546</w:t>
                  </w:r>
                </w:p>
              </w:tc>
              <w:tc>
                <w:tcPr>
                  <w:tcW w:w="436"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center"/>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8</w:t>
                  </w:r>
                </w:p>
              </w:tc>
              <w:tc>
                <w:tcPr>
                  <w:tcW w:w="415"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18</w:t>
                  </w:r>
                </w:p>
              </w:tc>
              <w:tc>
                <w:tcPr>
                  <w:tcW w:w="399"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center"/>
                    <w:rPr>
                      <w:rFonts w:hint="default" w:ascii="Times New Roman" w:hAnsi="Times New Roman" w:eastAsia="宋体"/>
                      <w:color w:val="000000"/>
                      <w:kern w:val="0"/>
                      <w:szCs w:val="21"/>
                      <w:highlight w:val="none"/>
                      <w:lang w:val="en-US" w:eastAsia="zh-CN"/>
                    </w:rPr>
                  </w:pPr>
                  <w:r>
                    <w:rPr>
                      <w:rFonts w:hint="eastAsia" w:ascii="Times New Roman" w:hAnsi="Times New Roman" w:eastAsia="宋体"/>
                      <w:color w:val="000000"/>
                      <w:kern w:val="0"/>
                      <w:szCs w:val="21"/>
                      <w:highlight w:val="none"/>
                      <w:lang w:val="en-US" w:eastAsia="zh-CN"/>
                    </w:rPr>
                    <w:t>1.2</w:t>
                  </w:r>
                </w:p>
              </w:tc>
              <w:tc>
                <w:tcPr>
                  <w:tcW w:w="363"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ind w:left="-105" w:leftChars="-50" w:right="-105" w:rightChars="-50"/>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19.65</w:t>
                  </w:r>
                </w:p>
              </w:tc>
              <w:tc>
                <w:tcPr>
                  <w:tcW w:w="333"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ind w:left="-105" w:leftChars="-50" w:right="-105" w:rightChars="-50"/>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20</w:t>
                  </w:r>
                </w:p>
              </w:tc>
              <w:tc>
                <w:tcPr>
                  <w:tcW w:w="358"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ind w:left="-105" w:leftChars="-50" w:right="-105" w:rightChars="-50"/>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1800</w:t>
                  </w:r>
                </w:p>
              </w:tc>
              <w:tc>
                <w:tcPr>
                  <w:tcW w:w="289"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ind w:left="-105" w:leftChars="-50" w:right="-105" w:rightChars="-50"/>
                    <w:jc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olor w:val="000000"/>
                      <w:szCs w:val="21"/>
                      <w:highlight w:val="none"/>
                      <w:lang w:val="en-US" w:eastAsia="zh-CN"/>
                    </w:rPr>
                    <w:t>正常</w:t>
                  </w:r>
                </w:p>
              </w:tc>
              <w:tc>
                <w:tcPr>
                  <w:tcW w:w="282" w:type="pct"/>
                  <w:tcBorders>
                    <w:top w:val="single" w:color="auto" w:sz="6" w:space="0"/>
                    <w:left w:val="single" w:color="auto" w:sz="4" w:space="0"/>
                    <w:bottom w:val="single" w:color="auto" w:sz="6" w:space="0"/>
                    <w:right w:val="single" w:color="auto" w:sz="6" w:space="0"/>
                  </w:tcBorders>
                  <w:noWrap w:val="0"/>
                  <w:vAlign w:val="center"/>
                </w:tcPr>
                <w:p>
                  <w:pPr>
                    <w:autoSpaceDE w:val="0"/>
                    <w:autoSpaceDN w:val="0"/>
                    <w:adjustRightInd w:val="0"/>
                    <w:spacing w:line="320" w:lineRule="exact"/>
                    <w:ind w:left="-105" w:leftChars="-50" w:right="-105" w:rightChars="-50"/>
                    <w:jc w:val="center"/>
                    <w:rPr>
                      <w:rFonts w:hint="eastAsia" w:ascii="Times New Roman" w:hAnsi="Times New Roman" w:eastAsia="宋体"/>
                      <w:color w:val="000000"/>
                      <w:szCs w:val="21"/>
                      <w:highlight w:val="none"/>
                      <w:lang w:val="en-US" w:eastAsia="zh-CN"/>
                    </w:rPr>
                  </w:pPr>
                  <w:r>
                    <w:rPr>
                      <w:rFonts w:ascii="Times New Roman" w:hAnsi="Times New Roman" w:eastAsia="宋体"/>
                      <w:color w:val="000000"/>
                      <w:szCs w:val="21"/>
                      <w:highlight w:val="none"/>
                    </w:rPr>
                    <w:t>颗粒物</w:t>
                  </w:r>
                </w:p>
              </w:tc>
              <w:tc>
                <w:tcPr>
                  <w:tcW w:w="390" w:type="pct"/>
                  <w:tcBorders>
                    <w:top w:val="single" w:color="auto" w:sz="6" w:space="0"/>
                    <w:left w:val="single" w:color="auto" w:sz="6" w:space="0"/>
                    <w:bottom w:val="single" w:color="auto" w:sz="6" w:space="0"/>
                    <w:right w:val="single" w:color="auto" w:sz="6" w:space="0"/>
                  </w:tcBorders>
                  <w:noWrap w:val="0"/>
                  <w:vAlign w:val="center"/>
                </w:tcPr>
                <w:p>
                  <w:pPr>
                    <w:widowControl/>
                    <w:jc w:val="center"/>
                    <w:textAlignment w:val="center"/>
                    <w:rPr>
                      <w:rFonts w:hint="default" w:ascii="Times New Roman" w:hAnsi="Times New Roman" w:eastAsia="宋体"/>
                      <w:color w:val="000000"/>
                      <w:kern w:val="0"/>
                      <w:szCs w:val="21"/>
                      <w:highlight w:val="none"/>
                      <w:lang w:val="en-US" w:eastAsia="zh-CN" w:bidi="ar"/>
                    </w:rPr>
                  </w:pPr>
                  <w:r>
                    <w:rPr>
                      <w:rFonts w:hint="eastAsia" w:ascii="Times New Roman" w:hAnsi="Times New Roman" w:eastAsia="宋体"/>
                      <w:color w:val="000000"/>
                      <w:kern w:val="0"/>
                      <w:szCs w:val="21"/>
                      <w:highlight w:val="none"/>
                      <w:lang w:val="en-US" w:eastAsia="zh-CN" w:bidi="ar"/>
                    </w:rPr>
                    <w:t>0.079</w:t>
                  </w:r>
                </w:p>
              </w:tc>
            </w:tr>
            <w:tr>
              <w:tblPrEx>
                <w:tblCellMar>
                  <w:top w:w="0" w:type="dxa"/>
                  <w:left w:w="108" w:type="dxa"/>
                  <w:bottom w:w="0" w:type="dxa"/>
                  <w:right w:w="108" w:type="dxa"/>
                </w:tblCellMar>
              </w:tblPrEx>
              <w:trPr>
                <w:trHeight w:val="77" w:hRule="atLeast"/>
                <w:jc w:val="center"/>
              </w:trPr>
              <w:tc>
                <w:tcPr>
                  <w:tcW w:w="420"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喷涂</w:t>
                  </w:r>
                </w:p>
              </w:tc>
              <w:tc>
                <w:tcPr>
                  <w:tcW w:w="682"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center"/>
                    <w:rPr>
                      <w:rFonts w:hint="eastAsia" w:ascii="Times New Roman" w:hAnsi="Times New Roman" w:eastAsia="宋体"/>
                      <w:color w:val="000000"/>
                      <w:szCs w:val="21"/>
                      <w:highlight w:val="none"/>
                    </w:rPr>
                  </w:pPr>
                  <w:r>
                    <w:rPr>
                      <w:rFonts w:hint="eastAsia" w:ascii="Times New Roman" w:hAnsi="Times New Roman" w:eastAsia="宋体"/>
                      <w:color w:val="000000"/>
                      <w:szCs w:val="21"/>
                      <w:highlight w:val="none"/>
                    </w:rPr>
                    <w:t>118.161795</w:t>
                  </w:r>
                </w:p>
              </w:tc>
              <w:tc>
                <w:tcPr>
                  <w:tcW w:w="629"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center"/>
                    <w:rPr>
                      <w:rFonts w:hint="eastAsia" w:ascii="Times New Roman" w:hAnsi="Times New Roman" w:eastAsia="宋体"/>
                      <w:color w:val="000000"/>
                      <w:szCs w:val="21"/>
                      <w:highlight w:val="none"/>
                    </w:rPr>
                  </w:pPr>
                  <w:r>
                    <w:rPr>
                      <w:rFonts w:hint="eastAsia" w:ascii="Times New Roman" w:hAnsi="Times New Roman" w:eastAsia="宋体"/>
                      <w:color w:val="000000"/>
                      <w:szCs w:val="21"/>
                      <w:highlight w:val="none"/>
                    </w:rPr>
                    <w:t>31.228523</w:t>
                  </w:r>
                </w:p>
              </w:tc>
              <w:tc>
                <w:tcPr>
                  <w:tcW w:w="436"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center"/>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7</w:t>
                  </w:r>
                </w:p>
              </w:tc>
              <w:tc>
                <w:tcPr>
                  <w:tcW w:w="415"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18</w:t>
                  </w:r>
                </w:p>
              </w:tc>
              <w:tc>
                <w:tcPr>
                  <w:tcW w:w="399"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center"/>
                    <w:rPr>
                      <w:rFonts w:hint="default" w:ascii="Times New Roman" w:hAnsi="Times New Roman" w:eastAsia="宋体"/>
                      <w:color w:val="000000"/>
                      <w:kern w:val="0"/>
                      <w:szCs w:val="21"/>
                      <w:highlight w:val="none"/>
                      <w:lang w:val="en-US" w:eastAsia="zh-CN"/>
                    </w:rPr>
                  </w:pPr>
                  <w:r>
                    <w:rPr>
                      <w:rFonts w:hint="eastAsia" w:ascii="Times New Roman" w:hAnsi="Times New Roman" w:eastAsia="宋体"/>
                      <w:color w:val="000000"/>
                      <w:kern w:val="0"/>
                      <w:szCs w:val="21"/>
                      <w:highlight w:val="none"/>
                      <w:lang w:val="en-US" w:eastAsia="zh-CN"/>
                    </w:rPr>
                    <w:t>1.2</w:t>
                  </w:r>
                </w:p>
              </w:tc>
              <w:tc>
                <w:tcPr>
                  <w:tcW w:w="363"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ind w:left="-105" w:leftChars="-50" w:right="-105" w:rightChars="-50"/>
                    <w:jc w:val="center"/>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20.13</w:t>
                  </w:r>
                </w:p>
              </w:tc>
              <w:tc>
                <w:tcPr>
                  <w:tcW w:w="333"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ind w:left="-105" w:leftChars="-50" w:right="-105" w:rightChars="-50"/>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20</w:t>
                  </w:r>
                </w:p>
              </w:tc>
              <w:tc>
                <w:tcPr>
                  <w:tcW w:w="358"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ind w:left="-105" w:leftChars="-50" w:right="-105" w:rightChars="-50"/>
                    <w:jc w:val="center"/>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36</w:t>
                  </w:r>
                  <w:r>
                    <w:rPr>
                      <w:rFonts w:hint="eastAsia" w:ascii="Times New Roman" w:hAnsi="Times New Roman" w:eastAsia="宋体"/>
                      <w:color w:val="000000"/>
                      <w:szCs w:val="21"/>
                      <w:highlight w:val="none"/>
                      <w:lang w:val="en-US" w:eastAsia="zh-CN"/>
                    </w:rPr>
                    <w:t>00</w:t>
                  </w:r>
                </w:p>
              </w:tc>
              <w:tc>
                <w:tcPr>
                  <w:tcW w:w="511" w:type="dxa"/>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ind w:left="-105" w:leftChars="-50" w:right="-105" w:rightChars="-50"/>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正常</w:t>
                  </w:r>
                </w:p>
              </w:tc>
              <w:tc>
                <w:tcPr>
                  <w:tcW w:w="282" w:type="pct"/>
                  <w:tcBorders>
                    <w:top w:val="single" w:color="auto" w:sz="6" w:space="0"/>
                    <w:left w:val="single" w:color="auto" w:sz="4" w:space="0"/>
                    <w:bottom w:val="single" w:color="auto" w:sz="6" w:space="0"/>
                    <w:right w:val="single" w:color="auto" w:sz="6" w:space="0"/>
                  </w:tcBorders>
                  <w:noWrap w:val="0"/>
                  <w:vAlign w:val="center"/>
                </w:tcPr>
                <w:p>
                  <w:pPr>
                    <w:autoSpaceDE w:val="0"/>
                    <w:autoSpaceDN w:val="0"/>
                    <w:adjustRightInd w:val="0"/>
                    <w:spacing w:line="320" w:lineRule="exact"/>
                    <w:ind w:left="-105" w:leftChars="-50" w:right="-105" w:rightChars="-50"/>
                    <w:jc w:val="center"/>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非甲烷总烃</w:t>
                  </w:r>
                </w:p>
              </w:tc>
              <w:tc>
                <w:tcPr>
                  <w:tcW w:w="390" w:type="pct"/>
                  <w:tcBorders>
                    <w:top w:val="single" w:color="auto" w:sz="6" w:space="0"/>
                    <w:left w:val="single" w:color="auto" w:sz="6" w:space="0"/>
                    <w:bottom w:val="single" w:color="auto" w:sz="6" w:space="0"/>
                    <w:right w:val="single" w:color="auto" w:sz="6" w:space="0"/>
                  </w:tcBorders>
                  <w:noWrap w:val="0"/>
                  <w:vAlign w:val="center"/>
                </w:tcPr>
                <w:p>
                  <w:pPr>
                    <w:widowControl/>
                    <w:jc w:val="center"/>
                    <w:textAlignment w:val="center"/>
                    <w:rPr>
                      <w:rFonts w:hint="default" w:ascii="Times New Roman" w:hAnsi="Times New Roman" w:eastAsia="宋体"/>
                      <w:color w:val="000000"/>
                      <w:kern w:val="0"/>
                      <w:szCs w:val="21"/>
                      <w:highlight w:val="none"/>
                      <w:lang w:val="en-US" w:eastAsia="zh-CN" w:bidi="ar"/>
                    </w:rPr>
                  </w:pPr>
                  <w:r>
                    <w:rPr>
                      <w:rFonts w:hint="eastAsia" w:ascii="Times New Roman" w:hAnsi="Times New Roman" w:eastAsia="宋体"/>
                      <w:color w:val="000000"/>
                      <w:kern w:val="0"/>
                      <w:szCs w:val="21"/>
                      <w:highlight w:val="none"/>
                      <w:lang w:val="en-US" w:eastAsia="zh-CN" w:bidi="ar"/>
                    </w:rPr>
                    <w:t>1.26</w:t>
                  </w:r>
                </w:p>
              </w:tc>
            </w:tr>
          </w:tbl>
          <w:p>
            <w:pPr>
              <w:spacing w:line="360" w:lineRule="auto"/>
              <w:jc w:val="center"/>
              <w:rPr>
                <w:rFonts w:ascii="Times New Roman" w:hAnsi="Times New Roman" w:eastAsia="宋体"/>
                <w:b/>
                <w:color w:val="000000"/>
                <w:sz w:val="24"/>
                <w:highlight w:val="none"/>
              </w:rPr>
            </w:pPr>
            <w:r>
              <w:rPr>
                <w:rFonts w:ascii="Times New Roman" w:hAnsi="Times New Roman" w:eastAsia="宋体"/>
                <w:b/>
                <w:color w:val="000000"/>
                <w:sz w:val="24"/>
                <w:highlight w:val="none"/>
              </w:rPr>
              <w:t>表</w:t>
            </w:r>
            <w:r>
              <w:rPr>
                <w:rFonts w:hint="eastAsia" w:ascii="Times New Roman" w:hAnsi="Times New Roman" w:eastAsia="宋体"/>
                <w:b/>
                <w:color w:val="000000"/>
                <w:sz w:val="24"/>
                <w:highlight w:val="none"/>
                <w:lang w:val="en-US" w:eastAsia="zh-CN"/>
              </w:rPr>
              <w:t>7-4</w:t>
            </w:r>
            <w:r>
              <w:rPr>
                <w:rFonts w:ascii="Times New Roman" w:hAnsi="Times New Roman" w:eastAsia="宋体"/>
                <w:b/>
                <w:color w:val="000000"/>
                <w:sz w:val="24"/>
                <w:highlight w:val="none"/>
              </w:rPr>
              <w:t xml:space="preserve"> </w:t>
            </w:r>
            <w:r>
              <w:rPr>
                <w:rFonts w:ascii="Times New Roman" w:hAnsi="Times New Roman" w:eastAsia="宋体"/>
                <w:b/>
                <w:bCs/>
                <w:color w:val="000000"/>
                <w:sz w:val="24"/>
                <w:szCs w:val="24"/>
                <w:highlight w:val="none"/>
              </w:rPr>
              <w:t>无组织排放源及废气排放情况一览表</w:t>
            </w:r>
          </w:p>
          <w:tbl>
            <w:tblPr>
              <w:tblStyle w:val="22"/>
              <w:tblW w:w="4997" w:type="pct"/>
              <w:jc w:val="center"/>
              <w:tblLayout w:type="autofit"/>
              <w:tblCellMar>
                <w:top w:w="0" w:type="dxa"/>
                <w:left w:w="108" w:type="dxa"/>
                <w:bottom w:w="0" w:type="dxa"/>
                <w:right w:w="108" w:type="dxa"/>
              </w:tblCellMar>
            </w:tblPr>
            <w:tblGrid>
              <w:gridCol w:w="566"/>
              <w:gridCol w:w="640"/>
              <w:gridCol w:w="1336"/>
              <w:gridCol w:w="1328"/>
              <w:gridCol w:w="607"/>
              <w:gridCol w:w="585"/>
              <w:gridCol w:w="660"/>
              <w:gridCol w:w="652"/>
              <w:gridCol w:w="618"/>
              <w:gridCol w:w="582"/>
              <w:gridCol w:w="532"/>
              <w:gridCol w:w="969"/>
            </w:tblGrid>
            <w:tr>
              <w:tblPrEx>
                <w:tblCellMar>
                  <w:top w:w="0" w:type="dxa"/>
                  <w:left w:w="108" w:type="dxa"/>
                  <w:bottom w:w="0" w:type="dxa"/>
                  <w:right w:w="108" w:type="dxa"/>
                </w:tblCellMar>
              </w:tblPrEx>
              <w:trPr>
                <w:trHeight w:val="660" w:hRule="atLeast"/>
                <w:jc w:val="center"/>
              </w:trPr>
              <w:tc>
                <w:tcPr>
                  <w:tcW w:w="312" w:type="pct"/>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编号</w:t>
                  </w:r>
                </w:p>
              </w:tc>
              <w:tc>
                <w:tcPr>
                  <w:tcW w:w="352" w:type="pct"/>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名称</w:t>
                  </w:r>
                </w:p>
              </w:tc>
              <w:tc>
                <w:tcPr>
                  <w:tcW w:w="1466" w:type="pct"/>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面源起点坐标</w:t>
                  </w:r>
                </w:p>
              </w:tc>
              <w:tc>
                <w:tcPr>
                  <w:tcW w:w="334" w:type="pct"/>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面源海拔高度/m</w:t>
                  </w:r>
                </w:p>
              </w:tc>
              <w:tc>
                <w:tcPr>
                  <w:tcW w:w="322" w:type="pct"/>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面源</w:t>
                  </w:r>
                </w:p>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长度/m</w:t>
                  </w:r>
                </w:p>
              </w:tc>
              <w:tc>
                <w:tcPr>
                  <w:tcW w:w="363" w:type="pct"/>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面源宽度/m</w:t>
                  </w:r>
                </w:p>
              </w:tc>
              <w:tc>
                <w:tcPr>
                  <w:tcW w:w="359" w:type="pct"/>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与正北向夹角/°</w:t>
                  </w:r>
                </w:p>
              </w:tc>
              <w:tc>
                <w:tcPr>
                  <w:tcW w:w="340" w:type="pct"/>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面源有效排放高度/m</w:t>
                  </w:r>
                </w:p>
              </w:tc>
              <w:tc>
                <w:tcPr>
                  <w:tcW w:w="320" w:type="pct"/>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排放</w:t>
                  </w:r>
                </w:p>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工况</w:t>
                  </w:r>
                </w:p>
              </w:tc>
              <w:tc>
                <w:tcPr>
                  <w:tcW w:w="826" w:type="pct"/>
                  <w:gridSpan w:val="2"/>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污染物排放速率（kg/h）</w:t>
                  </w:r>
                </w:p>
              </w:tc>
            </w:tr>
            <w:tr>
              <w:tblPrEx>
                <w:tblCellMar>
                  <w:top w:w="0" w:type="dxa"/>
                  <w:left w:w="108" w:type="dxa"/>
                  <w:bottom w:w="0" w:type="dxa"/>
                  <w:right w:w="108" w:type="dxa"/>
                </w:tblCellMar>
              </w:tblPrEx>
              <w:trPr>
                <w:trHeight w:val="80" w:hRule="atLeast"/>
                <w:jc w:val="center"/>
              </w:trPr>
              <w:tc>
                <w:tcPr>
                  <w:tcW w:w="312" w:type="pct"/>
                  <w:vMerge w:val="continue"/>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ascii="Times New Roman" w:hAnsi="Times New Roman" w:eastAsia="宋体"/>
                      <w:b/>
                      <w:color w:val="000000"/>
                      <w:szCs w:val="21"/>
                      <w:highlight w:val="none"/>
                    </w:rPr>
                  </w:pPr>
                </w:p>
              </w:tc>
              <w:tc>
                <w:tcPr>
                  <w:tcW w:w="352" w:type="pct"/>
                  <w:vMerge w:val="continue"/>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ascii="Times New Roman" w:hAnsi="Times New Roman" w:eastAsia="宋体"/>
                      <w:b/>
                      <w:color w:val="000000"/>
                      <w:szCs w:val="21"/>
                      <w:highlight w:val="none"/>
                    </w:rPr>
                  </w:pPr>
                </w:p>
              </w:tc>
              <w:tc>
                <w:tcPr>
                  <w:tcW w:w="735"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X</w:t>
                  </w:r>
                </w:p>
              </w:tc>
              <w:tc>
                <w:tcPr>
                  <w:tcW w:w="731" w:type="pct"/>
                  <w:tcBorders>
                    <w:top w:val="single" w:color="auto" w:sz="4" w:space="0"/>
                    <w:left w:val="single" w:color="auto" w:sz="4" w:space="0"/>
                    <w:bottom w:val="single" w:color="auto" w:sz="4" w:space="0"/>
                    <w:right w:val="single" w:color="auto" w:sz="4" w:space="0"/>
                  </w:tcBorders>
                  <w:noWrap w:val="0"/>
                  <w:vAlign w:val="center"/>
                </w:tcPr>
                <w:p>
                  <w:pPr>
                    <w:widowControl/>
                    <w:autoSpaceDE w:val="0"/>
                    <w:autoSpaceDN w:val="0"/>
                    <w:adjustRightInd w:val="0"/>
                    <w:spacing w:line="320" w:lineRule="exact"/>
                    <w:jc w:val="center"/>
                    <w:rPr>
                      <w:rFonts w:ascii="Times New Roman" w:hAnsi="Times New Roman" w:eastAsia="宋体"/>
                      <w:b/>
                      <w:color w:val="000000"/>
                      <w:szCs w:val="21"/>
                      <w:highlight w:val="none"/>
                    </w:rPr>
                  </w:pPr>
                  <w:r>
                    <w:rPr>
                      <w:rFonts w:ascii="Times New Roman" w:hAnsi="Times New Roman" w:eastAsia="宋体"/>
                      <w:b/>
                      <w:color w:val="000000"/>
                      <w:szCs w:val="21"/>
                      <w:highlight w:val="none"/>
                    </w:rPr>
                    <w:t>Y</w:t>
                  </w:r>
                </w:p>
              </w:tc>
              <w:tc>
                <w:tcPr>
                  <w:tcW w:w="334" w:type="pct"/>
                  <w:vMerge w:val="continue"/>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p>
              </w:tc>
              <w:tc>
                <w:tcPr>
                  <w:tcW w:w="322" w:type="pct"/>
                  <w:vMerge w:val="continue"/>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p>
              </w:tc>
              <w:tc>
                <w:tcPr>
                  <w:tcW w:w="363" w:type="pct"/>
                  <w:vMerge w:val="continue"/>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p>
              </w:tc>
              <w:tc>
                <w:tcPr>
                  <w:tcW w:w="359" w:type="pct"/>
                  <w:vMerge w:val="continue"/>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p>
              </w:tc>
              <w:tc>
                <w:tcPr>
                  <w:tcW w:w="340" w:type="pct"/>
                  <w:vMerge w:val="continue"/>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p>
              </w:tc>
              <w:tc>
                <w:tcPr>
                  <w:tcW w:w="320" w:type="pct"/>
                  <w:vMerge w:val="continue"/>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p>
              </w:tc>
              <w:tc>
                <w:tcPr>
                  <w:tcW w:w="826" w:type="pct"/>
                  <w:gridSpan w:val="2"/>
                  <w:vMerge w:val="continue"/>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63" w:leftChars="-30" w:right="-63" w:rightChars="-30"/>
                    <w:jc w:val="center"/>
                    <w:rPr>
                      <w:rFonts w:ascii="Times New Roman" w:hAnsi="Times New Roman" w:eastAsia="宋体"/>
                      <w:b/>
                      <w:color w:val="000000"/>
                      <w:szCs w:val="21"/>
                      <w:highlight w:val="none"/>
                    </w:rPr>
                  </w:pPr>
                </w:p>
              </w:tc>
            </w:tr>
            <w:tr>
              <w:tblPrEx>
                <w:tblCellMar>
                  <w:top w:w="0" w:type="dxa"/>
                  <w:left w:w="108" w:type="dxa"/>
                  <w:bottom w:w="0" w:type="dxa"/>
                  <w:right w:w="108" w:type="dxa"/>
                </w:tblCellMar>
              </w:tblPrEx>
              <w:trPr>
                <w:trHeight w:val="460" w:hRule="atLeast"/>
                <w:jc w:val="center"/>
              </w:trPr>
              <w:tc>
                <w:tcPr>
                  <w:tcW w:w="312"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1</w:t>
                  </w:r>
                </w:p>
              </w:tc>
              <w:tc>
                <w:tcPr>
                  <w:tcW w:w="352" w:type="pct"/>
                  <w:vMerge w:val="restart"/>
                  <w:tcBorders>
                    <w:top w:val="single" w:color="auto" w:sz="4" w:space="0"/>
                    <w:left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生产车间</w:t>
                  </w:r>
                </w:p>
              </w:tc>
              <w:tc>
                <w:tcPr>
                  <w:tcW w:w="735" w:type="pct"/>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42" w:leftChars="-20" w:right="-42" w:rightChars="-20"/>
                    <w:jc w:val="center"/>
                    <w:rPr>
                      <w:rFonts w:ascii="Times New Roman" w:hAnsi="Times New Roman" w:eastAsia="宋体"/>
                      <w:color w:val="000000"/>
                      <w:szCs w:val="21"/>
                      <w:highlight w:val="none"/>
                    </w:rPr>
                  </w:pPr>
                  <w:r>
                    <w:rPr>
                      <w:rFonts w:hint="eastAsia" w:ascii="Times New Roman" w:hAnsi="Times New Roman" w:eastAsia="宋体"/>
                      <w:color w:val="000000"/>
                    </w:rPr>
                    <w:t>118.161864</w:t>
                  </w:r>
                </w:p>
              </w:tc>
              <w:tc>
                <w:tcPr>
                  <w:tcW w:w="731" w:type="pct"/>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ascii="Times New Roman" w:hAnsi="Times New Roman" w:eastAsia="宋体"/>
                      <w:color w:val="000000"/>
                      <w:szCs w:val="21"/>
                      <w:highlight w:val="none"/>
                    </w:rPr>
                  </w:pPr>
                  <w:r>
                    <w:rPr>
                      <w:rFonts w:hint="eastAsia" w:ascii="Times New Roman" w:hAnsi="Times New Roman" w:eastAsia="宋体"/>
                      <w:color w:val="000000"/>
                      <w:szCs w:val="21"/>
                      <w:highlight w:val="none"/>
                    </w:rPr>
                    <w:t>31.228587</w:t>
                  </w:r>
                </w:p>
              </w:tc>
              <w:tc>
                <w:tcPr>
                  <w:tcW w:w="334"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Times New Roman" w:hAnsi="Times New Roman" w:eastAsia="宋体"/>
                      <w:color w:val="000000"/>
                      <w:szCs w:val="21"/>
                      <w:highlight w:val="none"/>
                      <w:lang w:eastAsia="zh-CN"/>
                    </w:rPr>
                  </w:pPr>
                  <w:r>
                    <w:rPr>
                      <w:rFonts w:hint="eastAsia" w:ascii="Times New Roman" w:hAnsi="Times New Roman" w:eastAsia="宋体"/>
                      <w:color w:val="000000"/>
                      <w:szCs w:val="21"/>
                      <w:highlight w:val="none"/>
                      <w:lang w:val="en-US" w:eastAsia="zh-CN"/>
                    </w:rPr>
                    <w:t>8</w:t>
                  </w:r>
                </w:p>
              </w:tc>
              <w:tc>
                <w:tcPr>
                  <w:tcW w:w="322" w:type="pct"/>
                  <w:vMerge w:val="restart"/>
                  <w:tcBorders>
                    <w:top w:val="single" w:color="auto" w:sz="4" w:space="0"/>
                    <w:left w:val="single" w:color="auto" w:sz="4" w:space="0"/>
                    <w:right w:val="single" w:color="auto" w:sz="4" w:space="0"/>
                  </w:tcBorders>
                  <w:noWrap w:val="0"/>
                  <w:vAlign w:val="center"/>
                </w:tcPr>
                <w:p>
                  <w:pPr>
                    <w:autoSpaceDE w:val="0"/>
                    <w:autoSpaceDN w:val="0"/>
                    <w:adjustRightInd w:val="0"/>
                    <w:spacing w:line="320" w:lineRule="exact"/>
                    <w:ind w:left="-105" w:leftChars="-50" w:right="-105" w:rightChars="-50"/>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100</w:t>
                  </w:r>
                </w:p>
              </w:tc>
              <w:tc>
                <w:tcPr>
                  <w:tcW w:w="363" w:type="pct"/>
                  <w:vMerge w:val="restart"/>
                  <w:tcBorders>
                    <w:top w:val="single" w:color="auto" w:sz="4" w:space="0"/>
                    <w:left w:val="single" w:color="auto" w:sz="4" w:space="0"/>
                    <w:right w:val="single" w:color="auto" w:sz="4" w:space="0"/>
                  </w:tcBorders>
                  <w:noWrap w:val="0"/>
                  <w:vAlign w:val="center"/>
                </w:tcPr>
                <w:p>
                  <w:pPr>
                    <w:pStyle w:val="41"/>
                    <w:autoSpaceDE w:val="0"/>
                    <w:autoSpaceDN w:val="0"/>
                    <w:adjustRightInd w:val="0"/>
                    <w:spacing w:line="320" w:lineRule="exact"/>
                    <w:rPr>
                      <w:rFonts w:hint="default" w:ascii="Times New Roman" w:hAnsi="Times New Roman" w:eastAsia="宋体"/>
                      <w:color w:val="000000"/>
                      <w:sz w:val="21"/>
                      <w:highlight w:val="none"/>
                      <w:lang w:val="en-US" w:eastAsia="zh-CN"/>
                    </w:rPr>
                  </w:pPr>
                  <w:r>
                    <w:rPr>
                      <w:rFonts w:hint="eastAsia" w:ascii="Times New Roman" w:hAnsi="Times New Roman" w:eastAsia="宋体"/>
                      <w:color w:val="000000"/>
                      <w:sz w:val="21"/>
                      <w:highlight w:val="none"/>
                      <w:lang w:val="en-US" w:eastAsia="zh-CN"/>
                    </w:rPr>
                    <w:t>20</w:t>
                  </w:r>
                </w:p>
              </w:tc>
              <w:tc>
                <w:tcPr>
                  <w:tcW w:w="359"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320</w:t>
                  </w:r>
                </w:p>
              </w:tc>
              <w:tc>
                <w:tcPr>
                  <w:tcW w:w="340"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Times New Roman" w:hAnsi="Times New Roman" w:eastAsia="宋体"/>
                      <w:color w:val="000000"/>
                      <w:szCs w:val="21"/>
                      <w:highlight w:val="none"/>
                      <w:lang w:eastAsia="zh-CN"/>
                    </w:rPr>
                  </w:pPr>
                  <w:r>
                    <w:rPr>
                      <w:rFonts w:hint="eastAsia" w:ascii="Times New Roman" w:hAnsi="Times New Roman" w:eastAsia="宋体"/>
                      <w:color w:val="000000"/>
                      <w:szCs w:val="21"/>
                      <w:highlight w:val="none"/>
                      <w:lang w:val="en-US" w:eastAsia="zh-CN"/>
                    </w:rPr>
                    <w:t>8</w:t>
                  </w:r>
                </w:p>
              </w:tc>
              <w:tc>
                <w:tcPr>
                  <w:tcW w:w="320"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正常</w:t>
                  </w:r>
                </w:p>
              </w:tc>
              <w:tc>
                <w:tcPr>
                  <w:tcW w:w="293"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105" w:leftChars="-50" w:right="-105" w:rightChars="-50"/>
                    <w:jc w:val="center"/>
                    <w:rPr>
                      <w:rFonts w:ascii="Times New Roman" w:hAnsi="Times New Roman" w:eastAsia="宋体"/>
                      <w:color w:val="000000"/>
                      <w:szCs w:val="21"/>
                      <w:highlight w:val="none"/>
                    </w:rPr>
                  </w:pPr>
                  <w:r>
                    <w:rPr>
                      <w:rFonts w:hint="eastAsia" w:ascii="Times New Roman" w:hAnsi="Times New Roman" w:eastAsia="宋体"/>
                      <w:color w:val="000000"/>
                      <w:szCs w:val="21"/>
                      <w:highlight w:val="none"/>
                      <w:lang w:val="en-US" w:eastAsia="zh-CN"/>
                    </w:rPr>
                    <w:t>颗粒物</w:t>
                  </w:r>
                </w:p>
              </w:tc>
              <w:tc>
                <w:tcPr>
                  <w:tcW w:w="532" w:type="pct"/>
                  <w:tcBorders>
                    <w:top w:val="single" w:color="auto" w:sz="4" w:space="0"/>
                    <w:left w:val="single" w:color="auto" w:sz="4" w:space="0"/>
                    <w:bottom w:val="single" w:color="auto" w:sz="4" w:space="0"/>
                    <w:right w:val="single" w:color="auto" w:sz="4" w:space="0"/>
                  </w:tcBorders>
                  <w:noWrap w:val="0"/>
                  <w:vAlign w:val="center"/>
                </w:tcPr>
                <w:p>
                  <w:pPr>
                    <w:widowControl/>
                    <w:spacing w:line="240" w:lineRule="atLeast"/>
                    <w:jc w:val="center"/>
                    <w:textAlignment w:val="bottom"/>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0.083</w:t>
                  </w:r>
                </w:p>
              </w:tc>
            </w:tr>
            <w:tr>
              <w:tblPrEx>
                <w:tblCellMar>
                  <w:top w:w="0" w:type="dxa"/>
                  <w:left w:w="108" w:type="dxa"/>
                  <w:bottom w:w="0" w:type="dxa"/>
                  <w:right w:w="108" w:type="dxa"/>
                </w:tblCellMar>
              </w:tblPrEx>
              <w:trPr>
                <w:trHeight w:val="733" w:hRule="atLeast"/>
                <w:jc w:val="center"/>
              </w:trPr>
              <w:tc>
                <w:tcPr>
                  <w:tcW w:w="312"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2</w:t>
                  </w:r>
                </w:p>
              </w:tc>
              <w:tc>
                <w:tcPr>
                  <w:tcW w:w="352" w:type="pct"/>
                  <w:vMerge w:val="continue"/>
                  <w:tcBorders>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eastAsia="宋体"/>
                      <w:color w:val="000000"/>
                      <w:szCs w:val="21"/>
                      <w:highlight w:val="none"/>
                      <w:lang w:val="en-US" w:eastAsia="zh-CN"/>
                    </w:rPr>
                  </w:pPr>
                </w:p>
              </w:tc>
              <w:tc>
                <w:tcPr>
                  <w:tcW w:w="735" w:type="pct"/>
                  <w:vMerge w:val="continue"/>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42" w:leftChars="-20" w:right="-42" w:rightChars="-20"/>
                    <w:jc w:val="center"/>
                    <w:rPr>
                      <w:rFonts w:hint="eastAsia" w:ascii="Times New Roman" w:hAnsi="Times New Roman" w:eastAsia="宋体"/>
                      <w:color w:val="000000"/>
                      <w:szCs w:val="21"/>
                      <w:highlight w:val="none"/>
                    </w:rPr>
                  </w:pPr>
                </w:p>
              </w:tc>
              <w:tc>
                <w:tcPr>
                  <w:tcW w:w="731" w:type="pct"/>
                  <w:vMerge w:val="continue"/>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Times New Roman" w:hAnsi="Times New Roman" w:eastAsia="宋体"/>
                      <w:color w:val="000000"/>
                      <w:szCs w:val="21"/>
                      <w:highlight w:val="none"/>
                    </w:rPr>
                  </w:pPr>
                </w:p>
              </w:tc>
              <w:tc>
                <w:tcPr>
                  <w:tcW w:w="334"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8</w:t>
                  </w:r>
                </w:p>
              </w:tc>
              <w:tc>
                <w:tcPr>
                  <w:tcW w:w="322" w:type="pct"/>
                  <w:vMerge w:val="continue"/>
                  <w:tcBorders>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105" w:leftChars="-50" w:right="-105" w:rightChars="-50"/>
                    <w:jc w:val="center"/>
                    <w:rPr>
                      <w:rFonts w:hint="default" w:ascii="Times New Roman" w:hAnsi="Times New Roman" w:eastAsia="宋体"/>
                      <w:color w:val="000000"/>
                      <w:szCs w:val="21"/>
                      <w:highlight w:val="none"/>
                      <w:lang w:val="en-US" w:eastAsia="zh-CN"/>
                    </w:rPr>
                  </w:pPr>
                </w:p>
              </w:tc>
              <w:tc>
                <w:tcPr>
                  <w:tcW w:w="363" w:type="pct"/>
                  <w:vMerge w:val="continue"/>
                  <w:tcBorders>
                    <w:left w:val="single" w:color="auto" w:sz="4" w:space="0"/>
                    <w:bottom w:val="single" w:color="auto" w:sz="4" w:space="0"/>
                    <w:right w:val="single" w:color="auto" w:sz="4" w:space="0"/>
                  </w:tcBorders>
                  <w:noWrap w:val="0"/>
                  <w:vAlign w:val="center"/>
                </w:tcPr>
                <w:p>
                  <w:pPr>
                    <w:pStyle w:val="41"/>
                    <w:autoSpaceDE w:val="0"/>
                    <w:autoSpaceDN w:val="0"/>
                    <w:adjustRightInd w:val="0"/>
                    <w:spacing w:line="320" w:lineRule="exact"/>
                    <w:rPr>
                      <w:rFonts w:hint="default" w:ascii="Times New Roman" w:hAnsi="Times New Roman" w:eastAsia="宋体"/>
                      <w:color w:val="000000"/>
                      <w:sz w:val="21"/>
                      <w:highlight w:val="none"/>
                      <w:lang w:val="en-US" w:eastAsia="zh-CN"/>
                    </w:rPr>
                  </w:pPr>
                </w:p>
              </w:tc>
              <w:tc>
                <w:tcPr>
                  <w:tcW w:w="359"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320</w:t>
                  </w:r>
                </w:p>
              </w:tc>
              <w:tc>
                <w:tcPr>
                  <w:tcW w:w="340"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8</w:t>
                  </w:r>
                </w:p>
              </w:tc>
              <w:tc>
                <w:tcPr>
                  <w:tcW w:w="320"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jc w:val="center"/>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正常</w:t>
                  </w:r>
                </w:p>
              </w:tc>
              <w:tc>
                <w:tcPr>
                  <w:tcW w:w="293"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20" w:lineRule="exact"/>
                    <w:ind w:left="-105" w:leftChars="-50" w:right="-105" w:rightChars="-50"/>
                    <w:jc w:val="center"/>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非甲烷总烃</w:t>
                  </w:r>
                </w:p>
              </w:tc>
              <w:tc>
                <w:tcPr>
                  <w:tcW w:w="532" w:type="pct"/>
                  <w:tcBorders>
                    <w:top w:val="single" w:color="auto" w:sz="4" w:space="0"/>
                    <w:left w:val="single" w:color="auto" w:sz="4" w:space="0"/>
                    <w:bottom w:val="single" w:color="auto" w:sz="4" w:space="0"/>
                    <w:right w:val="single" w:color="auto" w:sz="4" w:space="0"/>
                  </w:tcBorders>
                  <w:noWrap w:val="0"/>
                  <w:vAlign w:val="center"/>
                </w:tcPr>
                <w:p>
                  <w:pPr>
                    <w:widowControl/>
                    <w:spacing w:line="240" w:lineRule="atLeast"/>
                    <w:jc w:val="center"/>
                    <w:textAlignment w:val="bottom"/>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1.4</w:t>
                  </w:r>
                </w:p>
              </w:tc>
            </w:tr>
          </w:tbl>
          <w:p>
            <w:pPr>
              <w:spacing w:line="360" w:lineRule="auto"/>
              <w:ind w:firstLine="480" w:firstLineChars="200"/>
              <w:rPr>
                <w:rFonts w:ascii="Times New Roman" w:hAnsi="Times New Roman" w:eastAsia="宋体"/>
                <w:color w:val="000000"/>
                <w:sz w:val="24"/>
                <w:szCs w:val="22"/>
                <w:highlight w:val="none"/>
                <w:lang w:val="zh-CN"/>
              </w:rPr>
            </w:pPr>
            <w:r>
              <w:rPr>
                <w:rFonts w:ascii="Times New Roman" w:hAnsi="Times New Roman" w:eastAsia="宋体"/>
                <w:color w:val="000000"/>
                <w:sz w:val="24"/>
                <w:szCs w:val="22"/>
                <w:highlight w:val="none"/>
              </w:rPr>
              <w:t>③</w:t>
            </w:r>
            <w:r>
              <w:rPr>
                <w:rFonts w:ascii="Times New Roman" w:hAnsi="Times New Roman" w:eastAsia="宋体"/>
                <w:color w:val="000000"/>
                <w:sz w:val="24"/>
                <w:szCs w:val="22"/>
                <w:highlight w:val="none"/>
                <w:lang w:val="zh-CN"/>
              </w:rPr>
              <w:t>气象污染分析</w:t>
            </w:r>
          </w:p>
          <w:p>
            <w:pPr>
              <w:spacing w:line="360" w:lineRule="auto"/>
              <w:ind w:firstLine="480" w:firstLineChars="200"/>
              <w:rPr>
                <w:rFonts w:ascii="Times New Roman" w:hAnsi="Times New Roman" w:eastAsia="宋体"/>
                <w:color w:val="000000"/>
                <w:sz w:val="24"/>
                <w:szCs w:val="22"/>
                <w:highlight w:val="none"/>
              </w:rPr>
            </w:pPr>
            <w:bookmarkStart w:id="85" w:name="_Toc194758044"/>
            <w:bookmarkStart w:id="86" w:name="_Toc194758282"/>
            <w:bookmarkStart w:id="87" w:name="_Toc194758519"/>
            <w:r>
              <w:rPr>
                <w:rFonts w:ascii="Times New Roman" w:hAnsi="Times New Roman" w:eastAsia="宋体"/>
                <w:color w:val="000000"/>
                <w:sz w:val="24"/>
                <w:szCs w:val="22"/>
                <w:highlight w:val="none"/>
              </w:rPr>
              <w:t>根据芜湖市气象站的气象资料统计，分析本地区污染气象。芜湖气象台站经度为118°23'E，纬度为31°20'N，地面海拔为15.2 m。</w:t>
            </w:r>
          </w:p>
          <w:p>
            <w:pPr>
              <w:spacing w:line="360" w:lineRule="auto"/>
              <w:ind w:firstLine="480" w:firstLineChars="200"/>
              <w:rPr>
                <w:rFonts w:ascii="Times New Roman" w:hAnsi="Times New Roman" w:eastAsia="宋体"/>
                <w:color w:val="000000"/>
                <w:sz w:val="24"/>
                <w:szCs w:val="22"/>
                <w:highlight w:val="none"/>
              </w:rPr>
            </w:pPr>
            <w:r>
              <w:rPr>
                <w:rFonts w:ascii="Times New Roman" w:hAnsi="Times New Roman" w:eastAsia="宋体"/>
                <w:color w:val="000000"/>
                <w:sz w:val="24"/>
                <w:szCs w:val="22"/>
                <w:highlight w:val="none"/>
              </w:rPr>
              <w:t>（1）气候特征</w:t>
            </w:r>
          </w:p>
          <w:p>
            <w:pPr>
              <w:spacing w:line="360" w:lineRule="auto"/>
              <w:ind w:firstLine="480" w:firstLineChars="200"/>
              <w:rPr>
                <w:rFonts w:ascii="Times New Roman" w:hAnsi="Times New Roman" w:eastAsia="宋体"/>
                <w:color w:val="000000"/>
                <w:sz w:val="24"/>
                <w:szCs w:val="22"/>
                <w:highlight w:val="none"/>
              </w:rPr>
            </w:pPr>
            <w:r>
              <w:rPr>
                <w:rFonts w:ascii="Times New Roman" w:hAnsi="Times New Roman" w:eastAsia="宋体"/>
                <w:color w:val="000000"/>
                <w:sz w:val="24"/>
                <w:szCs w:val="22"/>
                <w:highlight w:val="none"/>
              </w:rPr>
              <w:t>芜湖地处亚热带，纬度偏南，临江近海，属亚热带季风湿润气候，全年主导风向为东风，夏季最高气温41 °C，常年无霜期210-240天（4-10月份），全年日照2000 h，年平均讲述了为12000 mm。</w:t>
            </w:r>
          </w:p>
          <w:p>
            <w:pPr>
              <w:spacing w:line="360" w:lineRule="auto"/>
              <w:ind w:firstLine="480" w:firstLineChars="200"/>
              <w:rPr>
                <w:rFonts w:ascii="Times New Roman" w:hAnsi="Times New Roman" w:eastAsia="宋体"/>
                <w:color w:val="000000"/>
                <w:sz w:val="24"/>
                <w:szCs w:val="22"/>
                <w:highlight w:val="none"/>
              </w:rPr>
            </w:pPr>
            <w:r>
              <w:rPr>
                <w:rFonts w:ascii="Times New Roman" w:hAnsi="Times New Roman" w:eastAsia="宋体"/>
                <w:color w:val="000000"/>
                <w:sz w:val="24"/>
                <w:szCs w:val="22"/>
                <w:highlight w:val="none"/>
              </w:rPr>
              <w:t>（2）地面气象要素</w:t>
            </w:r>
          </w:p>
          <w:p>
            <w:pPr>
              <w:spacing w:line="360" w:lineRule="auto"/>
              <w:ind w:firstLine="480" w:firstLineChars="200"/>
              <w:rPr>
                <w:rFonts w:ascii="Times New Roman" w:hAnsi="Times New Roman" w:eastAsia="宋体"/>
                <w:color w:val="000000"/>
                <w:sz w:val="24"/>
                <w:szCs w:val="22"/>
                <w:highlight w:val="none"/>
              </w:rPr>
            </w:pPr>
            <w:r>
              <w:rPr>
                <w:rFonts w:ascii="Times New Roman" w:hAnsi="Times New Roman" w:eastAsia="宋体"/>
                <w:color w:val="000000"/>
                <w:sz w:val="24"/>
                <w:szCs w:val="22"/>
                <w:highlight w:val="none"/>
              </w:rPr>
              <w:t>根据芜湖市气象站近三年的气象资料统计，分析本地区年、季风向频率及各风向下的平均风速见下表，由此绘出年、季风向频率玫瑰图，由上述图标可知，评价区全年主导风向为东风，其风频在18.0 %，其次是ENE风，其年频率为11.2 %；区域内春、夏、秋、冬四季的主导风向为E风，次主导风向为ENE风，该区域年静风频率为1.4 %；冬季静风频率相对较高，为1.7 %；区域地面年平均风速为2.83 m/s，N和NW风风向下平均风速较大，达3.3 m/s，SSW风风向下平均风速最小为2.1 m/s。</w:t>
            </w:r>
          </w:p>
          <w:bookmarkEnd w:id="85"/>
          <w:bookmarkEnd w:id="86"/>
          <w:bookmarkEnd w:id="87"/>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④预测模型参数</w:t>
            </w:r>
          </w:p>
          <w:p>
            <w:pPr>
              <w:spacing w:line="360" w:lineRule="auto"/>
              <w:jc w:val="center"/>
              <w:rPr>
                <w:rFonts w:ascii="Times New Roman" w:hAnsi="Times New Roman" w:eastAsia="宋体"/>
                <w:b/>
                <w:bCs/>
                <w:color w:val="000000"/>
                <w:sz w:val="24"/>
                <w:szCs w:val="24"/>
                <w:highlight w:val="none"/>
              </w:rPr>
            </w:pPr>
            <w:r>
              <w:rPr>
                <w:rFonts w:ascii="Times New Roman" w:hAnsi="Times New Roman" w:eastAsia="宋体"/>
                <w:b/>
                <w:bCs/>
                <w:color w:val="000000"/>
                <w:sz w:val="24"/>
                <w:szCs w:val="24"/>
                <w:highlight w:val="none"/>
              </w:rPr>
              <w:t>表</w:t>
            </w:r>
            <w:r>
              <w:rPr>
                <w:rFonts w:hint="eastAsia" w:ascii="Times New Roman" w:hAnsi="Times New Roman" w:eastAsia="宋体"/>
                <w:b/>
                <w:bCs/>
                <w:color w:val="000000"/>
                <w:sz w:val="24"/>
                <w:szCs w:val="24"/>
                <w:highlight w:val="none"/>
                <w:lang w:val="en-US" w:eastAsia="zh-CN"/>
              </w:rPr>
              <w:t>7-5</w:t>
            </w:r>
            <w:r>
              <w:rPr>
                <w:rFonts w:ascii="Times New Roman" w:hAnsi="Times New Roman" w:eastAsia="宋体"/>
                <w:b/>
                <w:bCs/>
                <w:color w:val="000000"/>
                <w:sz w:val="24"/>
                <w:szCs w:val="24"/>
                <w:highlight w:val="none"/>
              </w:rPr>
              <w:t xml:space="preserve">  估算模型参数表</w:t>
            </w:r>
          </w:p>
          <w:tbl>
            <w:tblPr>
              <w:tblStyle w:val="2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291"/>
              <w:gridCol w:w="111"/>
              <w:gridCol w:w="3359"/>
              <w:gridCol w:w="30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5761" w:type="dxa"/>
                  <w:gridSpan w:val="3"/>
                  <w:tcBorders>
                    <w:bottom w:val="single" w:color="auto" w:sz="4" w:space="0"/>
                  </w:tcBorders>
                  <w:noWrap w:val="0"/>
                  <w:vAlign w:val="center"/>
                </w:tcPr>
                <w:p>
                  <w:pPr>
                    <w:pStyle w:val="42"/>
                    <w:rPr>
                      <w:rFonts w:ascii="Times New Roman" w:hAnsi="Times New Roman" w:eastAsia="宋体"/>
                      <w:b/>
                      <w:bCs/>
                      <w:color w:val="000000"/>
                      <w:highlight w:val="none"/>
                    </w:rPr>
                  </w:pPr>
                  <w:r>
                    <w:rPr>
                      <w:rFonts w:ascii="Times New Roman" w:hAnsi="Times New Roman" w:eastAsia="宋体"/>
                      <w:b/>
                      <w:bCs/>
                      <w:color w:val="000000"/>
                      <w:highlight w:val="none"/>
                    </w:rPr>
                    <w:t>参数</w:t>
                  </w:r>
                </w:p>
              </w:tc>
              <w:tc>
                <w:tcPr>
                  <w:tcW w:w="3083" w:type="dxa"/>
                  <w:noWrap w:val="0"/>
                  <w:vAlign w:val="center"/>
                </w:tcPr>
                <w:p>
                  <w:pPr>
                    <w:pStyle w:val="42"/>
                    <w:rPr>
                      <w:rFonts w:ascii="Times New Roman" w:hAnsi="Times New Roman" w:eastAsia="宋体"/>
                      <w:b/>
                      <w:bCs/>
                      <w:color w:val="000000"/>
                      <w:highlight w:val="none"/>
                    </w:rPr>
                  </w:pPr>
                  <w:r>
                    <w:rPr>
                      <w:rFonts w:ascii="Times New Roman" w:hAnsi="Times New Roman" w:eastAsia="宋体"/>
                      <w:b/>
                      <w:bCs/>
                      <w:color w:val="000000"/>
                      <w:highlight w:val="none"/>
                    </w:rPr>
                    <w:t>取值</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48" w:hRule="atLeast"/>
                <w:jc w:val="center"/>
              </w:trPr>
              <w:tc>
                <w:tcPr>
                  <w:tcW w:w="2291" w:type="dxa"/>
                  <w:vMerge w:val="restart"/>
                  <w:tcBorders>
                    <w:top w:val="single" w:color="auto" w:sz="4" w:space="0"/>
                  </w:tcBorders>
                  <w:noWrap w:val="0"/>
                  <w:vAlign w:val="center"/>
                </w:tcPr>
                <w:p>
                  <w:pPr>
                    <w:pStyle w:val="42"/>
                    <w:rPr>
                      <w:rFonts w:ascii="Times New Roman" w:hAnsi="Times New Roman" w:eastAsia="宋体"/>
                      <w:color w:val="000000"/>
                      <w:highlight w:val="none"/>
                    </w:rPr>
                  </w:pPr>
                  <w:r>
                    <w:rPr>
                      <w:rFonts w:ascii="Times New Roman" w:hAnsi="Times New Roman" w:eastAsia="宋体"/>
                      <w:color w:val="000000"/>
                      <w:highlight w:val="none"/>
                    </w:rPr>
                    <w:t>城市/农村选项</w:t>
                  </w:r>
                </w:p>
              </w:tc>
              <w:tc>
                <w:tcPr>
                  <w:tcW w:w="3470" w:type="dxa"/>
                  <w:gridSpan w:val="2"/>
                  <w:tcBorders>
                    <w:top w:val="single" w:color="auto" w:sz="4" w:space="0"/>
                  </w:tcBorders>
                  <w:noWrap w:val="0"/>
                  <w:vAlign w:val="center"/>
                </w:tcPr>
                <w:p>
                  <w:pPr>
                    <w:pStyle w:val="42"/>
                    <w:rPr>
                      <w:rFonts w:ascii="Times New Roman" w:hAnsi="Times New Roman" w:eastAsia="宋体"/>
                      <w:color w:val="000000"/>
                      <w:highlight w:val="none"/>
                    </w:rPr>
                  </w:pPr>
                  <w:r>
                    <w:rPr>
                      <w:rFonts w:ascii="Times New Roman" w:hAnsi="Times New Roman" w:eastAsia="宋体"/>
                      <w:color w:val="000000"/>
                      <w:highlight w:val="none"/>
                    </w:rPr>
                    <w:t>城市/农村</w:t>
                  </w:r>
                </w:p>
              </w:tc>
              <w:tc>
                <w:tcPr>
                  <w:tcW w:w="3083" w:type="dxa"/>
                  <w:tcBorders>
                    <w:top w:val="single" w:color="auto" w:sz="4" w:space="0"/>
                    <w:bottom w:val="single" w:color="auto" w:sz="4" w:space="0"/>
                  </w:tcBorders>
                  <w:noWrap w:val="0"/>
                  <w:vAlign w:val="center"/>
                </w:tcPr>
                <w:p>
                  <w:pPr>
                    <w:pStyle w:val="42"/>
                    <w:rPr>
                      <w:rFonts w:ascii="Times New Roman" w:hAnsi="Times New Roman" w:eastAsia="宋体"/>
                      <w:color w:val="000000"/>
                      <w:highlight w:val="none"/>
                    </w:rPr>
                  </w:pPr>
                  <w:r>
                    <w:rPr>
                      <w:rFonts w:ascii="Times New Roman" w:hAnsi="Times New Roman" w:eastAsia="宋体"/>
                      <w:color w:val="000000"/>
                      <w:highlight w:val="none"/>
                    </w:rPr>
                    <w:t>城市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291" w:type="dxa"/>
                  <w:vMerge w:val="continue"/>
                  <w:noWrap w:val="0"/>
                  <w:vAlign w:val="center"/>
                </w:tcPr>
                <w:p>
                  <w:pPr>
                    <w:pStyle w:val="42"/>
                    <w:rPr>
                      <w:rFonts w:ascii="Times New Roman" w:hAnsi="Times New Roman" w:eastAsia="宋体"/>
                      <w:color w:val="000000"/>
                      <w:highlight w:val="none"/>
                    </w:rPr>
                  </w:pPr>
                </w:p>
              </w:tc>
              <w:tc>
                <w:tcPr>
                  <w:tcW w:w="3470" w:type="dxa"/>
                  <w:gridSpan w:val="2"/>
                  <w:noWrap w:val="0"/>
                  <w:vAlign w:val="center"/>
                </w:tcPr>
                <w:p>
                  <w:pPr>
                    <w:pStyle w:val="42"/>
                    <w:rPr>
                      <w:rFonts w:ascii="Times New Roman" w:hAnsi="Times New Roman" w:eastAsia="宋体"/>
                      <w:color w:val="000000"/>
                      <w:highlight w:val="none"/>
                    </w:rPr>
                  </w:pPr>
                  <w:r>
                    <w:rPr>
                      <w:rFonts w:ascii="Times New Roman" w:hAnsi="Times New Roman" w:eastAsia="宋体"/>
                      <w:color w:val="000000"/>
                      <w:highlight w:val="none"/>
                    </w:rPr>
                    <w:t>人口数（城市选项时）</w:t>
                  </w:r>
                </w:p>
              </w:tc>
              <w:tc>
                <w:tcPr>
                  <w:tcW w:w="3083" w:type="dxa"/>
                  <w:tcBorders>
                    <w:top w:val="single" w:color="auto" w:sz="4" w:space="0"/>
                  </w:tcBorders>
                  <w:noWrap w:val="0"/>
                  <w:vAlign w:val="center"/>
                </w:tcPr>
                <w:p>
                  <w:pPr>
                    <w:pStyle w:val="2"/>
                    <w:rPr>
                      <w:rFonts w:ascii="Times New Roman" w:hAnsi="Times New Roman" w:eastAsia="宋体" w:cs="Times New Roman"/>
                      <w:color w:val="000000"/>
                      <w:highlight w:val="none"/>
                    </w:rPr>
                  </w:pPr>
                  <w:r>
                    <w:rPr>
                      <w:rFonts w:ascii="Times New Roman" w:hAnsi="Times New Roman" w:eastAsia="宋体" w:cs="Times New Roman"/>
                      <w:color w:val="000000"/>
                      <w:sz w:val="21"/>
                      <w:szCs w:val="21"/>
                      <w:highlight w:val="none"/>
                    </w:rPr>
                    <w:t>369.6万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761" w:type="dxa"/>
                  <w:gridSpan w:val="3"/>
                  <w:noWrap w:val="0"/>
                  <w:vAlign w:val="center"/>
                </w:tcPr>
                <w:p>
                  <w:pPr>
                    <w:pStyle w:val="42"/>
                    <w:rPr>
                      <w:rFonts w:ascii="Times New Roman" w:hAnsi="Times New Roman" w:eastAsia="宋体"/>
                      <w:color w:val="000000"/>
                      <w:highlight w:val="none"/>
                    </w:rPr>
                  </w:pPr>
                  <w:r>
                    <w:rPr>
                      <w:rFonts w:ascii="Times New Roman" w:hAnsi="Times New Roman" w:eastAsia="宋体"/>
                      <w:color w:val="000000"/>
                      <w:highlight w:val="none"/>
                    </w:rPr>
                    <w:t>最高环境温度</w:t>
                  </w:r>
                </w:p>
              </w:tc>
              <w:tc>
                <w:tcPr>
                  <w:tcW w:w="3083" w:type="dxa"/>
                  <w:noWrap w:val="0"/>
                  <w:vAlign w:val="center"/>
                </w:tcPr>
                <w:p>
                  <w:pPr>
                    <w:jc w:val="center"/>
                    <w:rPr>
                      <w:rFonts w:ascii="Times New Roman" w:hAnsi="Times New Roman" w:eastAsia="宋体"/>
                      <w:color w:val="000000"/>
                      <w:highlight w:val="none"/>
                    </w:rPr>
                  </w:pPr>
                  <w:r>
                    <w:rPr>
                      <w:rFonts w:ascii="Times New Roman" w:hAnsi="Times New Roman" w:eastAsia="宋体"/>
                      <w:color w:val="000000"/>
                      <w:szCs w:val="21"/>
                      <w:highlight w:val="none"/>
                    </w:rPr>
                    <w:t>41.4°C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761" w:type="dxa"/>
                  <w:gridSpan w:val="3"/>
                  <w:noWrap w:val="0"/>
                  <w:vAlign w:val="center"/>
                </w:tcPr>
                <w:p>
                  <w:pPr>
                    <w:pStyle w:val="42"/>
                    <w:rPr>
                      <w:rFonts w:ascii="Times New Roman" w:hAnsi="Times New Roman" w:eastAsia="宋体"/>
                      <w:color w:val="000000"/>
                      <w:highlight w:val="none"/>
                    </w:rPr>
                  </w:pPr>
                  <w:r>
                    <w:rPr>
                      <w:rFonts w:ascii="Times New Roman" w:hAnsi="Times New Roman" w:eastAsia="宋体"/>
                      <w:color w:val="000000"/>
                      <w:highlight w:val="none"/>
                    </w:rPr>
                    <w:t>最低环境温度</w:t>
                  </w:r>
                </w:p>
              </w:tc>
              <w:tc>
                <w:tcPr>
                  <w:tcW w:w="3083" w:type="dxa"/>
                  <w:noWrap w:val="0"/>
                  <w:vAlign w:val="center"/>
                </w:tcPr>
                <w:p>
                  <w:pPr>
                    <w:jc w:val="center"/>
                    <w:rPr>
                      <w:rFonts w:ascii="Times New Roman" w:hAnsi="Times New Roman" w:eastAsia="宋体"/>
                      <w:color w:val="000000"/>
                      <w:highlight w:val="none"/>
                    </w:rPr>
                  </w:pPr>
                  <w:r>
                    <w:rPr>
                      <w:rFonts w:ascii="Times New Roman" w:hAnsi="Times New Roman" w:eastAsia="宋体"/>
                      <w:color w:val="000000"/>
                      <w:szCs w:val="21"/>
                      <w:highlight w:val="none"/>
                    </w:rPr>
                    <w:t>-7 °C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761" w:type="dxa"/>
                  <w:gridSpan w:val="3"/>
                  <w:noWrap w:val="0"/>
                  <w:vAlign w:val="center"/>
                </w:tcPr>
                <w:p>
                  <w:pPr>
                    <w:pStyle w:val="42"/>
                    <w:rPr>
                      <w:rFonts w:ascii="Times New Roman" w:hAnsi="Times New Roman" w:eastAsia="宋体"/>
                      <w:color w:val="000000"/>
                      <w:highlight w:val="none"/>
                    </w:rPr>
                  </w:pPr>
                  <w:r>
                    <w:rPr>
                      <w:rFonts w:ascii="Times New Roman" w:hAnsi="Times New Roman" w:eastAsia="宋体"/>
                      <w:color w:val="000000"/>
                      <w:highlight w:val="none"/>
                    </w:rPr>
                    <w:t>土地利用类型</w:t>
                  </w:r>
                </w:p>
              </w:tc>
              <w:tc>
                <w:tcPr>
                  <w:tcW w:w="3083" w:type="dxa"/>
                  <w:noWrap w:val="0"/>
                  <w:vAlign w:val="center"/>
                </w:tcPr>
                <w:p>
                  <w:pPr>
                    <w:jc w:val="center"/>
                    <w:rPr>
                      <w:rFonts w:ascii="Times New Roman" w:hAnsi="Times New Roman" w:eastAsia="宋体"/>
                      <w:color w:val="000000"/>
                      <w:highlight w:val="none"/>
                    </w:rPr>
                  </w:pPr>
                  <w:r>
                    <w:rPr>
                      <w:rFonts w:ascii="Times New Roman" w:hAnsi="Times New Roman" w:eastAsia="宋体"/>
                      <w:color w:val="000000"/>
                      <w:szCs w:val="21"/>
                      <w:highlight w:val="none"/>
                    </w:rPr>
                    <w:t>城市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5761" w:type="dxa"/>
                  <w:gridSpan w:val="3"/>
                  <w:noWrap w:val="0"/>
                  <w:vAlign w:val="center"/>
                </w:tcPr>
                <w:p>
                  <w:pPr>
                    <w:pStyle w:val="42"/>
                    <w:rPr>
                      <w:rFonts w:ascii="Times New Roman" w:hAnsi="Times New Roman" w:eastAsia="宋体"/>
                      <w:color w:val="000000"/>
                      <w:highlight w:val="none"/>
                    </w:rPr>
                  </w:pPr>
                  <w:r>
                    <w:rPr>
                      <w:rFonts w:ascii="Times New Roman" w:hAnsi="Times New Roman" w:eastAsia="宋体"/>
                      <w:color w:val="000000"/>
                      <w:highlight w:val="none"/>
                    </w:rPr>
                    <w:t>区域湿度条件</w:t>
                  </w:r>
                </w:p>
              </w:tc>
              <w:tc>
                <w:tcPr>
                  <w:tcW w:w="3083" w:type="dxa"/>
                  <w:noWrap w:val="0"/>
                  <w:vAlign w:val="center"/>
                </w:tcPr>
                <w:p>
                  <w:pPr>
                    <w:jc w:val="center"/>
                    <w:rPr>
                      <w:rFonts w:ascii="Times New Roman" w:hAnsi="Times New Roman" w:eastAsia="宋体"/>
                      <w:color w:val="000000"/>
                      <w:highlight w:val="none"/>
                    </w:rPr>
                  </w:pPr>
                  <w:r>
                    <w:rPr>
                      <w:rFonts w:ascii="Times New Roman" w:hAnsi="Times New Roman" w:eastAsia="宋体"/>
                      <w:color w:val="000000"/>
                      <w:szCs w:val="21"/>
                      <w:highlight w:val="none"/>
                    </w:rPr>
                    <w:t>中等湿度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402" w:type="dxa"/>
                  <w:gridSpan w:val="2"/>
                  <w:vMerge w:val="restart"/>
                  <w:tcBorders>
                    <w:right w:val="single" w:color="auto" w:sz="4" w:space="0"/>
                  </w:tcBorders>
                  <w:noWrap w:val="0"/>
                  <w:vAlign w:val="center"/>
                </w:tcPr>
                <w:p>
                  <w:pPr>
                    <w:pStyle w:val="42"/>
                    <w:rPr>
                      <w:rFonts w:ascii="Times New Roman" w:hAnsi="Times New Roman" w:eastAsia="宋体"/>
                      <w:color w:val="000000"/>
                      <w:highlight w:val="none"/>
                    </w:rPr>
                  </w:pPr>
                  <w:r>
                    <w:rPr>
                      <w:rFonts w:ascii="Times New Roman" w:hAnsi="Times New Roman" w:eastAsia="宋体"/>
                      <w:color w:val="000000"/>
                      <w:highlight w:val="none"/>
                    </w:rPr>
                    <w:t>是否考虑地形</w:t>
                  </w:r>
                </w:p>
              </w:tc>
              <w:tc>
                <w:tcPr>
                  <w:tcW w:w="3359" w:type="dxa"/>
                  <w:tcBorders>
                    <w:left w:val="single" w:color="auto" w:sz="4" w:space="0"/>
                  </w:tcBorders>
                  <w:noWrap w:val="0"/>
                  <w:vAlign w:val="center"/>
                </w:tcPr>
                <w:p>
                  <w:pPr>
                    <w:pStyle w:val="42"/>
                    <w:rPr>
                      <w:rFonts w:ascii="Times New Roman" w:hAnsi="Times New Roman" w:eastAsia="宋体"/>
                      <w:color w:val="000000"/>
                      <w:highlight w:val="none"/>
                    </w:rPr>
                  </w:pPr>
                  <w:r>
                    <w:rPr>
                      <w:rFonts w:ascii="Times New Roman" w:hAnsi="Times New Roman" w:eastAsia="宋体"/>
                      <w:color w:val="000000"/>
                      <w:highlight w:val="none"/>
                    </w:rPr>
                    <w:t>考虑地形</w:t>
                  </w:r>
                </w:p>
              </w:tc>
              <w:tc>
                <w:tcPr>
                  <w:tcW w:w="3083" w:type="dxa"/>
                  <w:noWrap w:val="0"/>
                  <w:vAlign w:val="center"/>
                </w:tcPr>
                <w:p>
                  <w:pPr>
                    <w:pStyle w:val="42"/>
                    <w:rPr>
                      <w:rFonts w:ascii="Times New Roman" w:hAnsi="Times New Roman" w:eastAsia="宋体"/>
                      <w:color w:val="000000"/>
                      <w:highlight w:val="none"/>
                    </w:rPr>
                  </w:pPr>
                  <w:r>
                    <w:rPr>
                      <w:rFonts w:ascii="Times New Roman" w:hAnsi="Times New Roman" w:eastAsia="宋体"/>
                      <w:color w:val="000000"/>
                      <w:highlight w:val="none"/>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402" w:type="dxa"/>
                  <w:gridSpan w:val="2"/>
                  <w:vMerge w:val="continue"/>
                  <w:tcBorders>
                    <w:right w:val="single" w:color="auto" w:sz="4" w:space="0"/>
                  </w:tcBorders>
                  <w:noWrap w:val="0"/>
                  <w:vAlign w:val="center"/>
                </w:tcPr>
                <w:p>
                  <w:pPr>
                    <w:pStyle w:val="42"/>
                    <w:rPr>
                      <w:rFonts w:ascii="Times New Roman" w:hAnsi="Times New Roman" w:eastAsia="宋体"/>
                      <w:color w:val="000000"/>
                      <w:highlight w:val="none"/>
                    </w:rPr>
                  </w:pPr>
                </w:p>
              </w:tc>
              <w:tc>
                <w:tcPr>
                  <w:tcW w:w="3359" w:type="dxa"/>
                  <w:tcBorders>
                    <w:left w:val="single" w:color="auto" w:sz="4" w:space="0"/>
                  </w:tcBorders>
                  <w:noWrap w:val="0"/>
                  <w:vAlign w:val="center"/>
                </w:tcPr>
                <w:p>
                  <w:pPr>
                    <w:pStyle w:val="42"/>
                    <w:rPr>
                      <w:rFonts w:ascii="Times New Roman" w:hAnsi="Times New Roman" w:eastAsia="宋体"/>
                      <w:color w:val="000000"/>
                      <w:highlight w:val="none"/>
                    </w:rPr>
                  </w:pPr>
                  <w:r>
                    <w:rPr>
                      <w:rFonts w:ascii="Times New Roman" w:hAnsi="Times New Roman" w:eastAsia="宋体"/>
                      <w:color w:val="000000"/>
                      <w:highlight w:val="none"/>
                    </w:rPr>
                    <w:t xml:space="preserve">地形数据分辨率/m </w:t>
                  </w:r>
                </w:p>
              </w:tc>
              <w:tc>
                <w:tcPr>
                  <w:tcW w:w="3083" w:type="dxa"/>
                  <w:noWrap w:val="0"/>
                  <w:vAlign w:val="center"/>
                </w:tcPr>
                <w:p>
                  <w:pPr>
                    <w:pStyle w:val="42"/>
                    <w:rPr>
                      <w:rFonts w:ascii="Times New Roman" w:hAnsi="Times New Roman" w:eastAsia="宋体"/>
                      <w:color w:val="000000"/>
                      <w:highlight w:val="none"/>
                    </w:rPr>
                  </w:pPr>
                  <w:r>
                    <w:rPr>
                      <w:rFonts w:ascii="Times New Roman" w:hAnsi="Times New Roman" w:eastAsia="宋体"/>
                      <w:color w:val="000000"/>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402" w:type="dxa"/>
                  <w:gridSpan w:val="2"/>
                  <w:vMerge w:val="restart"/>
                  <w:tcBorders>
                    <w:right w:val="single" w:color="auto" w:sz="4" w:space="0"/>
                  </w:tcBorders>
                  <w:noWrap w:val="0"/>
                  <w:vAlign w:val="center"/>
                </w:tcPr>
                <w:p>
                  <w:pPr>
                    <w:pStyle w:val="42"/>
                    <w:rPr>
                      <w:rFonts w:ascii="Times New Roman" w:hAnsi="Times New Roman" w:eastAsia="宋体"/>
                      <w:color w:val="000000"/>
                      <w:highlight w:val="none"/>
                    </w:rPr>
                  </w:pPr>
                  <w:r>
                    <w:rPr>
                      <w:rFonts w:ascii="Times New Roman" w:hAnsi="Times New Roman" w:eastAsia="宋体"/>
                      <w:color w:val="000000"/>
                      <w:highlight w:val="none"/>
                    </w:rPr>
                    <w:t>是否考虑岸线熏烟</w:t>
                  </w:r>
                </w:p>
              </w:tc>
              <w:tc>
                <w:tcPr>
                  <w:tcW w:w="3359" w:type="dxa"/>
                  <w:tcBorders>
                    <w:left w:val="single" w:color="auto" w:sz="4" w:space="0"/>
                  </w:tcBorders>
                  <w:noWrap w:val="0"/>
                  <w:vAlign w:val="center"/>
                </w:tcPr>
                <w:p>
                  <w:pPr>
                    <w:pStyle w:val="42"/>
                    <w:rPr>
                      <w:rFonts w:ascii="Times New Roman" w:hAnsi="Times New Roman" w:eastAsia="宋体"/>
                      <w:color w:val="000000"/>
                      <w:highlight w:val="none"/>
                    </w:rPr>
                  </w:pPr>
                  <w:r>
                    <w:rPr>
                      <w:rFonts w:ascii="Times New Roman" w:hAnsi="Times New Roman" w:eastAsia="宋体"/>
                      <w:color w:val="000000"/>
                      <w:highlight w:val="none"/>
                    </w:rPr>
                    <w:t xml:space="preserve">考虑岸线熏烟 </w:t>
                  </w:r>
                </w:p>
              </w:tc>
              <w:tc>
                <w:tcPr>
                  <w:tcW w:w="3083" w:type="dxa"/>
                  <w:noWrap w:val="0"/>
                  <w:vAlign w:val="center"/>
                </w:tcPr>
                <w:p>
                  <w:pPr>
                    <w:pStyle w:val="42"/>
                    <w:rPr>
                      <w:rFonts w:ascii="Times New Roman" w:hAnsi="Times New Roman" w:eastAsia="宋体"/>
                      <w:color w:val="000000"/>
                      <w:highlight w:val="none"/>
                    </w:rPr>
                  </w:pPr>
                  <w:r>
                    <w:rPr>
                      <w:rFonts w:ascii="Times New Roman" w:hAnsi="Times New Roman" w:eastAsia="宋体"/>
                      <w:color w:val="000000"/>
                      <w:highlight w:val="none"/>
                    </w:rPr>
                    <w:t>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402" w:type="dxa"/>
                  <w:gridSpan w:val="2"/>
                  <w:vMerge w:val="continue"/>
                  <w:tcBorders>
                    <w:right w:val="single" w:color="auto" w:sz="4" w:space="0"/>
                  </w:tcBorders>
                  <w:noWrap w:val="0"/>
                  <w:vAlign w:val="center"/>
                </w:tcPr>
                <w:p>
                  <w:pPr>
                    <w:pStyle w:val="42"/>
                    <w:rPr>
                      <w:rFonts w:ascii="Times New Roman" w:hAnsi="Times New Roman" w:eastAsia="宋体"/>
                      <w:color w:val="000000"/>
                      <w:highlight w:val="none"/>
                    </w:rPr>
                  </w:pPr>
                </w:p>
              </w:tc>
              <w:tc>
                <w:tcPr>
                  <w:tcW w:w="3359" w:type="dxa"/>
                  <w:tcBorders>
                    <w:left w:val="single" w:color="auto" w:sz="4" w:space="0"/>
                  </w:tcBorders>
                  <w:noWrap w:val="0"/>
                  <w:vAlign w:val="center"/>
                </w:tcPr>
                <w:p>
                  <w:pPr>
                    <w:pStyle w:val="42"/>
                    <w:rPr>
                      <w:rFonts w:ascii="Times New Roman" w:hAnsi="Times New Roman" w:eastAsia="宋体"/>
                      <w:color w:val="000000"/>
                      <w:highlight w:val="none"/>
                    </w:rPr>
                  </w:pPr>
                  <w:r>
                    <w:rPr>
                      <w:rFonts w:ascii="Times New Roman" w:hAnsi="Times New Roman" w:eastAsia="宋体"/>
                      <w:color w:val="000000"/>
                      <w:highlight w:val="none"/>
                    </w:rPr>
                    <w:t xml:space="preserve">岸线距离/km  </w:t>
                  </w:r>
                </w:p>
              </w:tc>
              <w:tc>
                <w:tcPr>
                  <w:tcW w:w="3083" w:type="dxa"/>
                  <w:noWrap w:val="0"/>
                  <w:vAlign w:val="center"/>
                </w:tcPr>
                <w:p>
                  <w:pPr>
                    <w:pStyle w:val="42"/>
                    <w:rPr>
                      <w:rFonts w:ascii="Times New Roman" w:hAnsi="Times New Roman" w:eastAsia="宋体"/>
                      <w:color w:val="000000"/>
                      <w:highlight w:val="none"/>
                    </w:rPr>
                  </w:pPr>
                  <w:r>
                    <w:rPr>
                      <w:rFonts w:ascii="Times New Roman" w:hAnsi="Times New Roman" w:eastAsia="宋体"/>
                      <w:color w:val="000000"/>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402" w:type="dxa"/>
                  <w:gridSpan w:val="2"/>
                  <w:vMerge w:val="continue"/>
                  <w:tcBorders>
                    <w:right w:val="single" w:color="auto" w:sz="4" w:space="0"/>
                  </w:tcBorders>
                  <w:noWrap w:val="0"/>
                  <w:vAlign w:val="center"/>
                </w:tcPr>
                <w:p>
                  <w:pPr>
                    <w:pStyle w:val="42"/>
                    <w:rPr>
                      <w:rFonts w:ascii="Times New Roman" w:hAnsi="Times New Roman" w:eastAsia="宋体"/>
                      <w:color w:val="000000"/>
                      <w:highlight w:val="none"/>
                    </w:rPr>
                  </w:pPr>
                </w:p>
              </w:tc>
              <w:tc>
                <w:tcPr>
                  <w:tcW w:w="3359" w:type="dxa"/>
                  <w:tcBorders>
                    <w:left w:val="single" w:color="auto" w:sz="4" w:space="0"/>
                  </w:tcBorders>
                  <w:noWrap w:val="0"/>
                  <w:vAlign w:val="center"/>
                </w:tcPr>
                <w:p>
                  <w:pPr>
                    <w:pStyle w:val="42"/>
                    <w:rPr>
                      <w:rFonts w:ascii="Times New Roman" w:hAnsi="Times New Roman" w:eastAsia="宋体"/>
                      <w:color w:val="000000"/>
                      <w:highlight w:val="none"/>
                    </w:rPr>
                  </w:pPr>
                  <w:r>
                    <w:rPr>
                      <w:rFonts w:ascii="Times New Roman" w:hAnsi="Times New Roman" w:eastAsia="宋体"/>
                      <w:color w:val="000000"/>
                      <w:highlight w:val="none"/>
                    </w:rPr>
                    <w:t xml:space="preserve">岸线方向/° </w:t>
                  </w:r>
                </w:p>
              </w:tc>
              <w:tc>
                <w:tcPr>
                  <w:tcW w:w="3083" w:type="dxa"/>
                  <w:noWrap w:val="0"/>
                  <w:vAlign w:val="center"/>
                </w:tcPr>
                <w:p>
                  <w:pPr>
                    <w:pStyle w:val="42"/>
                    <w:rPr>
                      <w:rFonts w:ascii="Times New Roman" w:hAnsi="Times New Roman" w:eastAsia="宋体"/>
                      <w:color w:val="000000"/>
                      <w:highlight w:val="none"/>
                    </w:rPr>
                  </w:pPr>
                  <w:r>
                    <w:rPr>
                      <w:rFonts w:ascii="Times New Roman" w:hAnsi="Times New Roman" w:eastAsia="宋体"/>
                      <w:color w:val="000000"/>
                      <w:highlight w:val="none"/>
                    </w:rPr>
                    <w:t>/</w:t>
                  </w:r>
                </w:p>
              </w:tc>
            </w:tr>
          </w:tbl>
          <w:p>
            <w:pPr>
              <w:spacing w:line="360" w:lineRule="auto"/>
              <w:ind w:firstLine="480" w:firstLineChars="200"/>
              <w:rPr>
                <w:rFonts w:ascii="Times New Roman" w:hAnsi="Times New Roman" w:eastAsia="宋体"/>
                <w:color w:val="000000"/>
                <w:sz w:val="24"/>
                <w:szCs w:val="24"/>
                <w:highlight w:val="none"/>
              </w:rPr>
            </w:pPr>
            <w:r>
              <w:rPr>
                <w:rFonts w:ascii="Times New Roman" w:hAnsi="Times New Roman" w:eastAsia="宋体"/>
                <w:color w:val="000000"/>
                <w:sz w:val="24"/>
                <w:szCs w:val="24"/>
                <w:highlight w:val="none"/>
              </w:rPr>
              <w:t>⑤预测结果</w:t>
            </w:r>
          </w:p>
          <w:p>
            <w:pPr>
              <w:spacing w:line="360" w:lineRule="auto"/>
              <w:jc w:val="center"/>
              <w:rPr>
                <w:rFonts w:ascii="Times New Roman" w:hAnsi="Times New Roman" w:eastAsia="宋体"/>
                <w:b/>
                <w:bCs/>
                <w:color w:val="000000"/>
                <w:sz w:val="24"/>
                <w:szCs w:val="24"/>
                <w:highlight w:val="none"/>
              </w:rPr>
            </w:pPr>
            <w:r>
              <w:rPr>
                <w:rFonts w:ascii="Times New Roman" w:hAnsi="Times New Roman" w:eastAsia="宋体"/>
                <w:b/>
                <w:bCs/>
                <w:color w:val="000000"/>
                <w:sz w:val="24"/>
                <w:szCs w:val="24"/>
                <w:highlight w:val="none"/>
              </w:rPr>
              <w:t>表</w:t>
            </w:r>
            <w:r>
              <w:rPr>
                <w:rFonts w:hint="eastAsia" w:ascii="Times New Roman" w:hAnsi="Times New Roman" w:eastAsia="宋体"/>
                <w:b/>
                <w:bCs/>
                <w:color w:val="000000"/>
                <w:sz w:val="24"/>
                <w:szCs w:val="24"/>
                <w:highlight w:val="none"/>
                <w:lang w:val="en-US" w:eastAsia="zh-CN"/>
              </w:rPr>
              <w:t>7-6</w:t>
            </w:r>
            <w:r>
              <w:rPr>
                <w:rFonts w:ascii="Times New Roman" w:hAnsi="Times New Roman" w:eastAsia="宋体"/>
                <w:b/>
                <w:bCs/>
                <w:color w:val="000000"/>
                <w:sz w:val="24"/>
                <w:szCs w:val="24"/>
                <w:highlight w:val="none"/>
              </w:rPr>
              <w:t xml:space="preserve">  估算模式计算结果统计</w:t>
            </w:r>
          </w:p>
          <w:tbl>
            <w:tblPr>
              <w:tblStyle w:val="22"/>
              <w:tblW w:w="8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9"/>
              <w:gridCol w:w="1214"/>
              <w:gridCol w:w="1469"/>
              <w:gridCol w:w="1246"/>
              <w:gridCol w:w="1557"/>
              <w:gridCol w:w="1447"/>
              <w:gridCol w:w="11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分类</w:t>
                  </w:r>
                </w:p>
              </w:tc>
              <w:tc>
                <w:tcPr>
                  <w:tcW w:w="1214" w:type="dxa"/>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污染源</w:t>
                  </w:r>
                </w:p>
              </w:tc>
              <w:tc>
                <w:tcPr>
                  <w:tcW w:w="1469" w:type="dxa"/>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污染物</w:t>
                  </w:r>
                </w:p>
              </w:tc>
              <w:tc>
                <w:tcPr>
                  <w:tcW w:w="1246" w:type="dxa"/>
                  <w:noWrap w:val="0"/>
                  <w:vAlign w:val="center"/>
                </w:tcPr>
                <w:p>
                  <w:pPr>
                    <w:spacing w:line="240" w:lineRule="atLeast"/>
                    <w:jc w:val="center"/>
                    <w:rPr>
                      <w:rFonts w:ascii="Times New Roman" w:hAnsi="Times New Roman" w:eastAsia="宋体"/>
                      <w:color w:val="000000"/>
                      <w:highlight w:val="none"/>
                    </w:rPr>
                  </w:pPr>
                  <w:r>
                    <w:rPr>
                      <w:rFonts w:ascii="Times New Roman" w:hAnsi="Times New Roman" w:eastAsia="宋体"/>
                      <w:color w:val="000000"/>
                      <w:highlight w:val="none"/>
                    </w:rPr>
                    <w:t>最远落地距离（m）</w:t>
                  </w:r>
                </w:p>
              </w:tc>
              <w:tc>
                <w:tcPr>
                  <w:tcW w:w="1557" w:type="dxa"/>
                  <w:noWrap w:val="0"/>
                  <w:vAlign w:val="center"/>
                </w:tcPr>
                <w:p>
                  <w:pPr>
                    <w:spacing w:line="240" w:lineRule="atLeast"/>
                    <w:jc w:val="center"/>
                    <w:rPr>
                      <w:rFonts w:ascii="Times New Roman" w:hAnsi="Times New Roman" w:eastAsia="宋体"/>
                      <w:color w:val="000000"/>
                      <w:highlight w:val="none"/>
                    </w:rPr>
                  </w:pPr>
                  <w:r>
                    <w:rPr>
                      <w:rFonts w:ascii="Times New Roman" w:hAnsi="Times New Roman" w:eastAsia="宋体"/>
                      <w:color w:val="000000"/>
                      <w:highlight w:val="none"/>
                    </w:rPr>
                    <w:t>最大地面浓度</w:t>
                  </w:r>
                </w:p>
                <w:p>
                  <w:pPr>
                    <w:pStyle w:val="18"/>
                    <w:spacing w:line="240" w:lineRule="atLeast"/>
                    <w:ind w:leftChars="0" w:firstLine="0" w:firstLineChars="0"/>
                    <w:jc w:val="center"/>
                    <w:rPr>
                      <w:rFonts w:ascii="Times New Roman" w:hAnsi="Times New Roman" w:eastAsia="宋体"/>
                      <w:color w:val="000000"/>
                      <w:highlight w:val="none"/>
                    </w:rPr>
                  </w:pPr>
                  <w:r>
                    <w:rPr>
                      <w:rFonts w:ascii="Times New Roman" w:hAnsi="Times New Roman" w:eastAsia="宋体"/>
                      <w:color w:val="000000"/>
                      <w:szCs w:val="21"/>
                      <w:highlight w:val="none"/>
                    </w:rPr>
                    <w:t>（mg/m</w:t>
                  </w:r>
                  <w:r>
                    <w:rPr>
                      <w:rFonts w:ascii="Times New Roman" w:hAnsi="Times New Roman" w:eastAsia="宋体"/>
                      <w:color w:val="000000"/>
                      <w:szCs w:val="21"/>
                      <w:highlight w:val="none"/>
                      <w:vertAlign w:val="superscript"/>
                    </w:rPr>
                    <w:t>3</w:t>
                  </w:r>
                  <w:r>
                    <w:rPr>
                      <w:rFonts w:ascii="Times New Roman" w:hAnsi="Times New Roman" w:eastAsia="宋体"/>
                      <w:color w:val="000000"/>
                      <w:szCs w:val="21"/>
                      <w:highlight w:val="none"/>
                    </w:rPr>
                    <w:t>）</w:t>
                  </w:r>
                </w:p>
              </w:tc>
              <w:tc>
                <w:tcPr>
                  <w:tcW w:w="1447" w:type="dxa"/>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highlight w:val="none"/>
                    </w:rPr>
                    <w:t>最大地面浓度占标率%</w:t>
                  </w:r>
                </w:p>
              </w:tc>
              <w:tc>
                <w:tcPr>
                  <w:tcW w:w="1122" w:type="dxa"/>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评价等级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89" w:type="dxa"/>
                  <w:vMerge w:val="restart"/>
                  <w:noWrap w:val="0"/>
                  <w:vAlign w:val="center"/>
                </w:tcPr>
                <w:p>
                  <w:pPr>
                    <w:spacing w:line="240" w:lineRule="atLeast"/>
                    <w:jc w:val="center"/>
                    <w:rPr>
                      <w:rFonts w:hint="eastAsia" w:ascii="Times New Roman" w:hAnsi="Times New Roman" w:eastAsia="宋体"/>
                      <w:color w:val="000000"/>
                      <w:szCs w:val="21"/>
                      <w:highlight w:val="none"/>
                      <w:lang w:eastAsia="zh-CN"/>
                    </w:rPr>
                  </w:pPr>
                  <w:r>
                    <w:rPr>
                      <w:rFonts w:ascii="Times New Roman" w:hAnsi="Times New Roman" w:eastAsia="宋体"/>
                      <w:color w:val="000000"/>
                      <w:szCs w:val="21"/>
                      <w:highlight w:val="none"/>
                    </w:rPr>
                    <w:t>有组织</w:t>
                  </w:r>
                </w:p>
              </w:tc>
              <w:tc>
                <w:tcPr>
                  <w:tcW w:w="1214" w:type="dxa"/>
                  <w:noWrap w:val="0"/>
                  <w:vAlign w:val="center"/>
                </w:tcPr>
                <w:p>
                  <w:pPr>
                    <w:widowControl/>
                    <w:autoSpaceDE w:val="0"/>
                    <w:autoSpaceDN w:val="0"/>
                    <w:adjustRightInd w:val="0"/>
                    <w:spacing w:line="320" w:lineRule="exact"/>
                    <w:jc w:val="center"/>
                    <w:rPr>
                      <w:rFonts w:hint="eastAsia" w:ascii="Times New Roman" w:hAnsi="Times New Roman" w:eastAsia="宋体"/>
                      <w:color w:val="000000"/>
                      <w:szCs w:val="21"/>
                      <w:highlight w:val="none"/>
                      <w:lang w:eastAsia="zh-CN"/>
                    </w:rPr>
                  </w:pPr>
                  <w:r>
                    <w:rPr>
                      <w:rFonts w:hint="eastAsia" w:ascii="Times New Roman" w:hAnsi="Times New Roman" w:eastAsia="宋体"/>
                      <w:color w:val="000000"/>
                      <w:szCs w:val="21"/>
                      <w:highlight w:val="none"/>
                      <w:lang w:val="en-US" w:eastAsia="zh-CN"/>
                    </w:rPr>
                    <w:t>三磨</w:t>
                  </w:r>
                </w:p>
              </w:tc>
              <w:tc>
                <w:tcPr>
                  <w:tcW w:w="1469" w:type="dxa"/>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颗粒物</w:t>
                  </w:r>
                </w:p>
              </w:tc>
              <w:tc>
                <w:tcPr>
                  <w:tcW w:w="1246" w:type="dxa"/>
                  <w:noWrap w:val="0"/>
                  <w:vAlign w:val="center"/>
                </w:tcPr>
                <w:p>
                  <w:pPr>
                    <w:pStyle w:val="20"/>
                    <w:autoSpaceDE w:val="0"/>
                    <w:autoSpaceDN w:val="0"/>
                    <w:adjustRightInd w:val="0"/>
                    <w:jc w:val="center"/>
                    <w:rPr>
                      <w:rFonts w:hint="default"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158</w:t>
                  </w:r>
                </w:p>
              </w:tc>
              <w:tc>
                <w:tcPr>
                  <w:tcW w:w="1557" w:type="dxa"/>
                  <w:noWrap w:val="0"/>
                  <w:vAlign w:val="center"/>
                </w:tcPr>
                <w:p>
                  <w:pPr>
                    <w:widowControl/>
                    <w:jc w:val="center"/>
                    <w:textAlignment w:val="center"/>
                    <w:rPr>
                      <w:rFonts w:ascii="Times New Roman" w:hAnsi="Times New Roman" w:eastAsia="宋体"/>
                      <w:color w:val="000000"/>
                      <w:szCs w:val="21"/>
                      <w:highlight w:val="none"/>
                    </w:rPr>
                  </w:pPr>
                  <w:r>
                    <w:rPr>
                      <w:rFonts w:hint="eastAsia" w:ascii="Times New Roman" w:hAnsi="Times New Roman" w:eastAsia="宋体"/>
                      <w:color w:val="000000"/>
                      <w:highlight w:val="none"/>
                      <w:lang w:val="en-US" w:eastAsia="zh-CN"/>
                    </w:rPr>
                    <w:t>8.29E-03</w:t>
                  </w:r>
                </w:p>
              </w:tc>
              <w:tc>
                <w:tcPr>
                  <w:tcW w:w="1447" w:type="dxa"/>
                  <w:noWrap w:val="0"/>
                  <w:vAlign w:val="center"/>
                </w:tcPr>
                <w:p>
                  <w:pPr>
                    <w:widowControl/>
                    <w:jc w:val="center"/>
                    <w:textAlignment w:val="center"/>
                    <w:rPr>
                      <w:rFonts w:hint="default" w:ascii="Times New Roman" w:hAnsi="Times New Roman" w:eastAsia="宋体"/>
                      <w:color w:val="000000"/>
                      <w:highlight w:val="none"/>
                      <w:lang w:val="en-US" w:eastAsia="zh-CN"/>
                    </w:rPr>
                  </w:pPr>
                  <w:r>
                    <w:rPr>
                      <w:rFonts w:hint="eastAsia" w:ascii="Times New Roman" w:hAnsi="Times New Roman" w:eastAsia="宋体"/>
                      <w:color w:val="000000"/>
                      <w:highlight w:val="none"/>
                      <w:lang w:val="en-US" w:eastAsia="zh-CN"/>
                    </w:rPr>
                    <w:t>0.92</w:t>
                  </w:r>
                </w:p>
              </w:tc>
              <w:tc>
                <w:tcPr>
                  <w:tcW w:w="1122" w:type="dxa"/>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b/>
                      <w:bCs/>
                      <w:color w:val="000000"/>
                      <w:szCs w:val="21"/>
                      <w:highlight w:val="none"/>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tcBorders/>
                  <w:noWrap w:val="0"/>
                  <w:vAlign w:val="center"/>
                </w:tcPr>
                <w:p>
                  <w:pPr>
                    <w:spacing w:line="240" w:lineRule="atLeast"/>
                    <w:jc w:val="center"/>
                    <w:rPr>
                      <w:rFonts w:ascii="Times New Roman" w:hAnsi="Times New Roman" w:eastAsia="宋体"/>
                      <w:color w:val="000000"/>
                      <w:szCs w:val="21"/>
                      <w:highlight w:val="none"/>
                    </w:rPr>
                  </w:pPr>
                </w:p>
              </w:tc>
              <w:tc>
                <w:tcPr>
                  <w:tcW w:w="1214" w:type="dxa"/>
                  <w:noWrap w:val="0"/>
                  <w:vAlign w:val="center"/>
                </w:tcPr>
                <w:p>
                  <w:pPr>
                    <w:widowControl/>
                    <w:autoSpaceDE w:val="0"/>
                    <w:autoSpaceDN w:val="0"/>
                    <w:adjustRightInd w:val="0"/>
                    <w:spacing w:line="320" w:lineRule="exact"/>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喷锌</w:t>
                  </w:r>
                </w:p>
              </w:tc>
              <w:tc>
                <w:tcPr>
                  <w:tcW w:w="1469" w:type="dxa"/>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颗粒物</w:t>
                  </w:r>
                </w:p>
              </w:tc>
              <w:tc>
                <w:tcPr>
                  <w:tcW w:w="1246" w:type="dxa"/>
                  <w:noWrap w:val="0"/>
                  <w:vAlign w:val="center"/>
                </w:tcPr>
                <w:p>
                  <w:pPr>
                    <w:pStyle w:val="20"/>
                    <w:autoSpaceDE w:val="0"/>
                    <w:autoSpaceDN w:val="0"/>
                    <w:adjustRightInd w:val="0"/>
                    <w:jc w:val="center"/>
                    <w:rPr>
                      <w:rFonts w:hint="default"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181</w:t>
                  </w:r>
                </w:p>
              </w:tc>
              <w:tc>
                <w:tcPr>
                  <w:tcW w:w="1557" w:type="dxa"/>
                  <w:noWrap w:val="0"/>
                  <w:vAlign w:val="center"/>
                </w:tcPr>
                <w:p>
                  <w:pPr>
                    <w:widowControl/>
                    <w:jc w:val="center"/>
                    <w:textAlignment w:val="center"/>
                    <w:rPr>
                      <w:rFonts w:ascii="Times New Roman" w:hAnsi="Times New Roman" w:eastAsia="宋体"/>
                      <w:color w:val="000000"/>
                      <w:highlight w:val="none"/>
                    </w:rPr>
                  </w:pPr>
                  <w:r>
                    <w:rPr>
                      <w:rFonts w:hint="eastAsia" w:ascii="Times New Roman" w:hAnsi="Times New Roman" w:eastAsia="宋体"/>
                      <w:color w:val="000000"/>
                    </w:rPr>
                    <w:t>4.26E-04</w:t>
                  </w:r>
                </w:p>
              </w:tc>
              <w:tc>
                <w:tcPr>
                  <w:tcW w:w="1447" w:type="dxa"/>
                  <w:noWrap w:val="0"/>
                  <w:vAlign w:val="center"/>
                </w:tcPr>
                <w:p>
                  <w:pPr>
                    <w:widowControl/>
                    <w:jc w:val="center"/>
                    <w:textAlignment w:val="center"/>
                    <w:rPr>
                      <w:rFonts w:hint="default" w:ascii="Times New Roman" w:hAnsi="Times New Roman" w:eastAsia="宋体"/>
                      <w:color w:val="000000"/>
                      <w:highlight w:val="none"/>
                      <w:lang w:val="en-US" w:eastAsia="zh-CN"/>
                    </w:rPr>
                  </w:pPr>
                  <w:r>
                    <w:rPr>
                      <w:rFonts w:hint="eastAsia" w:ascii="Times New Roman" w:hAnsi="Times New Roman" w:eastAsia="宋体"/>
                      <w:color w:val="000000"/>
                      <w:lang w:val="en-US" w:eastAsia="zh-CN"/>
                    </w:rPr>
                    <w:t>0.05</w:t>
                  </w:r>
                </w:p>
              </w:tc>
              <w:tc>
                <w:tcPr>
                  <w:tcW w:w="1122" w:type="dxa"/>
                  <w:noWrap w:val="0"/>
                  <w:vAlign w:val="center"/>
                </w:tcPr>
                <w:p>
                  <w:pPr>
                    <w:spacing w:line="240" w:lineRule="atLeast"/>
                    <w:jc w:val="center"/>
                    <w:rPr>
                      <w:rFonts w:hint="eastAsia" w:ascii="Times New Roman" w:hAnsi="Times New Roman" w:eastAsia="宋体"/>
                      <w:b/>
                      <w:bCs/>
                      <w:color w:val="000000"/>
                      <w:szCs w:val="21"/>
                      <w:highlight w:val="none"/>
                      <w:lang w:val="en-US" w:eastAsia="zh-CN"/>
                    </w:rPr>
                  </w:pPr>
                  <w:r>
                    <w:rPr>
                      <w:rFonts w:hint="eastAsia" w:ascii="Times New Roman" w:hAnsi="Times New Roman" w:eastAsia="宋体"/>
                      <w:b/>
                      <w:bCs/>
                      <w:color w:val="000000"/>
                      <w:szCs w:val="21"/>
                      <w:highlight w:val="none"/>
                      <w:lang w:val="en-US" w:eastAsia="zh-CN"/>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tcBorders/>
                  <w:noWrap w:val="0"/>
                  <w:vAlign w:val="center"/>
                </w:tcPr>
                <w:p>
                  <w:pPr>
                    <w:spacing w:line="240" w:lineRule="atLeast"/>
                    <w:jc w:val="center"/>
                    <w:rPr>
                      <w:rFonts w:ascii="Times New Roman" w:hAnsi="Times New Roman" w:eastAsia="宋体"/>
                      <w:color w:val="000000"/>
                      <w:szCs w:val="21"/>
                      <w:highlight w:val="none"/>
                    </w:rPr>
                  </w:pPr>
                </w:p>
              </w:tc>
              <w:tc>
                <w:tcPr>
                  <w:tcW w:w="1214" w:type="dxa"/>
                  <w:noWrap w:val="0"/>
                  <w:vAlign w:val="center"/>
                </w:tcPr>
                <w:p>
                  <w:pPr>
                    <w:widowControl/>
                    <w:autoSpaceDE w:val="0"/>
                    <w:autoSpaceDN w:val="0"/>
                    <w:adjustRightInd w:val="0"/>
                    <w:spacing w:line="320" w:lineRule="exact"/>
                    <w:jc w:val="center"/>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喷涂</w:t>
                  </w:r>
                </w:p>
              </w:tc>
              <w:tc>
                <w:tcPr>
                  <w:tcW w:w="1469" w:type="dxa"/>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非甲烷总烃</w:t>
                  </w:r>
                </w:p>
              </w:tc>
              <w:tc>
                <w:tcPr>
                  <w:tcW w:w="1246" w:type="dxa"/>
                  <w:noWrap w:val="0"/>
                  <w:vAlign w:val="center"/>
                </w:tcPr>
                <w:p>
                  <w:pPr>
                    <w:pStyle w:val="20"/>
                    <w:autoSpaceDE w:val="0"/>
                    <w:autoSpaceDN w:val="0"/>
                    <w:adjustRightInd w:val="0"/>
                    <w:jc w:val="center"/>
                    <w:rPr>
                      <w:rFonts w:hint="default"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181</w:t>
                  </w:r>
                </w:p>
              </w:tc>
              <w:tc>
                <w:tcPr>
                  <w:tcW w:w="1557" w:type="dxa"/>
                  <w:noWrap w:val="0"/>
                  <w:vAlign w:val="center"/>
                </w:tcPr>
                <w:p>
                  <w:pPr>
                    <w:widowControl/>
                    <w:jc w:val="center"/>
                    <w:textAlignment w:val="center"/>
                    <w:rPr>
                      <w:rFonts w:hint="eastAsia" w:ascii="Times New Roman" w:hAnsi="Times New Roman" w:eastAsia="宋体"/>
                      <w:color w:val="000000"/>
                    </w:rPr>
                  </w:pPr>
                  <w:r>
                    <w:rPr>
                      <w:rFonts w:hint="eastAsia" w:ascii="Times New Roman" w:hAnsi="Times New Roman" w:eastAsia="宋体"/>
                      <w:color w:val="000000"/>
                    </w:rPr>
                    <w:t>6.72E-03</w:t>
                  </w:r>
                </w:p>
              </w:tc>
              <w:tc>
                <w:tcPr>
                  <w:tcW w:w="1447" w:type="dxa"/>
                  <w:noWrap w:val="0"/>
                  <w:vAlign w:val="center"/>
                </w:tcPr>
                <w:p>
                  <w:pPr>
                    <w:widowControl/>
                    <w:jc w:val="center"/>
                    <w:textAlignment w:val="center"/>
                    <w:rPr>
                      <w:rFonts w:hint="default" w:ascii="Times New Roman" w:hAnsi="Times New Roman" w:eastAsia="宋体"/>
                      <w:color w:val="000000"/>
                      <w:lang w:val="en-US" w:eastAsia="zh-CN"/>
                    </w:rPr>
                  </w:pPr>
                  <w:r>
                    <w:rPr>
                      <w:rFonts w:hint="eastAsia" w:ascii="Times New Roman" w:hAnsi="Times New Roman" w:eastAsia="宋体"/>
                      <w:color w:val="000000"/>
                      <w:lang w:val="en-US" w:eastAsia="zh-CN"/>
                    </w:rPr>
                    <w:t>0.35</w:t>
                  </w:r>
                </w:p>
              </w:tc>
              <w:tc>
                <w:tcPr>
                  <w:tcW w:w="1122" w:type="dxa"/>
                  <w:noWrap w:val="0"/>
                  <w:vAlign w:val="center"/>
                </w:tcPr>
                <w:p>
                  <w:pPr>
                    <w:spacing w:line="240" w:lineRule="atLeast"/>
                    <w:jc w:val="center"/>
                    <w:rPr>
                      <w:rFonts w:hint="eastAsia" w:ascii="Times New Roman" w:hAnsi="Times New Roman" w:eastAsia="宋体"/>
                      <w:b/>
                      <w:bCs/>
                      <w:color w:val="000000"/>
                      <w:szCs w:val="21"/>
                      <w:highlight w:val="none"/>
                      <w:lang w:val="en-US" w:eastAsia="zh-CN"/>
                    </w:rPr>
                  </w:pPr>
                  <w:r>
                    <w:rPr>
                      <w:rFonts w:hint="eastAsia" w:ascii="Times New Roman" w:hAnsi="Times New Roman" w:eastAsia="宋体"/>
                      <w:b/>
                      <w:bCs/>
                      <w:color w:val="000000"/>
                      <w:szCs w:val="21"/>
                      <w:highlight w:val="none"/>
                      <w:lang w:val="en-US" w:eastAsia="zh-CN"/>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restart"/>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无组织</w:t>
                  </w:r>
                </w:p>
              </w:tc>
              <w:tc>
                <w:tcPr>
                  <w:tcW w:w="1214" w:type="dxa"/>
                  <w:vMerge w:val="restart"/>
                  <w:noWrap w:val="0"/>
                  <w:vAlign w:val="center"/>
                </w:tcPr>
                <w:p>
                  <w:pPr>
                    <w:spacing w:line="240" w:lineRule="atLeast"/>
                    <w:jc w:val="center"/>
                    <w:rPr>
                      <w:rFonts w:hint="default" w:ascii="Times New Roman" w:hAnsi="Times New Roman" w:eastAsia="宋体"/>
                      <w:color w:val="000000"/>
                      <w:szCs w:val="21"/>
                      <w:highlight w:val="none"/>
                      <w:lang w:val="en-US"/>
                    </w:rPr>
                  </w:pPr>
                  <w:r>
                    <w:rPr>
                      <w:rFonts w:hint="eastAsia" w:ascii="Times New Roman" w:hAnsi="Times New Roman" w:eastAsia="宋体"/>
                      <w:color w:val="000000"/>
                      <w:szCs w:val="21"/>
                      <w:highlight w:val="none"/>
                      <w:lang w:val="en-US" w:eastAsia="zh-CN"/>
                    </w:rPr>
                    <w:t>生产车间</w:t>
                  </w:r>
                </w:p>
              </w:tc>
              <w:tc>
                <w:tcPr>
                  <w:tcW w:w="1469" w:type="dxa"/>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颗粒物</w:t>
                  </w:r>
                </w:p>
              </w:tc>
              <w:tc>
                <w:tcPr>
                  <w:tcW w:w="1246" w:type="dxa"/>
                  <w:noWrap w:val="0"/>
                  <w:vAlign w:val="center"/>
                </w:tcPr>
                <w:p>
                  <w:pPr>
                    <w:pStyle w:val="20"/>
                    <w:autoSpaceDE w:val="0"/>
                    <w:autoSpaceDN w:val="0"/>
                    <w:adjustRightInd w:val="0"/>
                    <w:jc w:val="center"/>
                    <w:rPr>
                      <w:rFonts w:hint="default" w:ascii="Times New Roman" w:hAnsi="Times New Roman" w:eastAsia="宋体"/>
                      <w:color w:val="000000"/>
                      <w:highlight w:val="none"/>
                      <w:lang w:val="en-US" w:eastAsia="zh-CN"/>
                    </w:rPr>
                  </w:pPr>
                  <w:r>
                    <w:rPr>
                      <w:rFonts w:hint="eastAsia" w:ascii="Times New Roman" w:hAnsi="Times New Roman" w:eastAsia="宋体"/>
                      <w:color w:val="000000"/>
                      <w:sz w:val="21"/>
                      <w:szCs w:val="21"/>
                      <w:highlight w:val="none"/>
                      <w:lang w:val="en-US" w:eastAsia="zh-CN"/>
                    </w:rPr>
                    <w:t>51</w:t>
                  </w:r>
                </w:p>
              </w:tc>
              <w:tc>
                <w:tcPr>
                  <w:tcW w:w="1557" w:type="dxa"/>
                  <w:noWrap w:val="0"/>
                  <w:vAlign w:val="center"/>
                </w:tcPr>
                <w:p>
                  <w:pPr>
                    <w:widowControl/>
                    <w:jc w:val="center"/>
                    <w:textAlignment w:val="center"/>
                    <w:rPr>
                      <w:rFonts w:ascii="Times New Roman" w:hAnsi="Times New Roman" w:eastAsia="宋体"/>
                      <w:color w:val="000000"/>
                      <w:szCs w:val="21"/>
                      <w:highlight w:val="none"/>
                    </w:rPr>
                  </w:pPr>
                  <w:r>
                    <w:rPr>
                      <w:rFonts w:hint="eastAsia" w:ascii="Times New Roman" w:hAnsi="Times New Roman" w:eastAsia="宋体"/>
                      <w:color w:val="000000"/>
                      <w:highlight w:val="none"/>
                    </w:rPr>
                    <w:t>3.43E-02</w:t>
                  </w:r>
                </w:p>
              </w:tc>
              <w:tc>
                <w:tcPr>
                  <w:tcW w:w="1447" w:type="dxa"/>
                  <w:noWrap w:val="0"/>
                  <w:vAlign w:val="center"/>
                </w:tcPr>
                <w:p>
                  <w:pPr>
                    <w:widowControl/>
                    <w:jc w:val="center"/>
                    <w:textAlignment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3.81</w:t>
                  </w:r>
                </w:p>
              </w:tc>
              <w:tc>
                <w:tcPr>
                  <w:tcW w:w="1122" w:type="dxa"/>
                  <w:noWrap w:val="0"/>
                  <w:vAlign w:val="center"/>
                </w:tcPr>
                <w:p>
                  <w:pPr>
                    <w:widowControl/>
                    <w:spacing w:line="240" w:lineRule="atLeast"/>
                    <w:jc w:val="center"/>
                    <w:textAlignment w:val="center"/>
                    <w:rPr>
                      <w:rFonts w:ascii="Times New Roman" w:hAnsi="Times New Roman" w:eastAsia="宋体"/>
                      <w:color w:val="000000"/>
                      <w:szCs w:val="21"/>
                      <w:highlight w:val="none"/>
                    </w:rPr>
                  </w:pPr>
                  <w:r>
                    <w:rPr>
                      <w:rFonts w:hint="eastAsia" w:ascii="Times New Roman" w:hAnsi="Times New Roman" w:eastAsia="宋体"/>
                      <w:b/>
                      <w:bCs/>
                      <w:color w:val="000000"/>
                      <w:szCs w:val="21"/>
                      <w:highlight w:val="none"/>
                      <w:lang w:val="en-US" w:eastAsia="zh-CN"/>
                    </w:rPr>
                    <w:t>二</w:t>
                  </w:r>
                  <w:r>
                    <w:rPr>
                      <w:rFonts w:ascii="Times New Roman" w:hAnsi="Times New Roman" w:eastAsia="宋体"/>
                      <w:b/>
                      <w:bCs/>
                      <w:color w:val="000000"/>
                      <w:szCs w:val="21"/>
                      <w:highlight w:val="none"/>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89" w:type="dxa"/>
                  <w:vMerge w:val="continue"/>
                  <w:noWrap w:val="0"/>
                  <w:vAlign w:val="center"/>
                </w:tcPr>
                <w:p>
                  <w:pPr>
                    <w:spacing w:line="240" w:lineRule="atLeast"/>
                    <w:jc w:val="center"/>
                    <w:rPr>
                      <w:rFonts w:ascii="Times New Roman" w:hAnsi="Times New Roman" w:eastAsia="宋体"/>
                      <w:color w:val="000000"/>
                      <w:szCs w:val="21"/>
                      <w:highlight w:val="none"/>
                    </w:rPr>
                  </w:pPr>
                </w:p>
              </w:tc>
              <w:tc>
                <w:tcPr>
                  <w:tcW w:w="1214" w:type="dxa"/>
                  <w:vMerge w:val="continue"/>
                  <w:tcBorders/>
                  <w:noWrap w:val="0"/>
                  <w:vAlign w:val="center"/>
                </w:tcPr>
                <w:p>
                  <w:pPr>
                    <w:spacing w:line="240" w:lineRule="atLeast"/>
                    <w:jc w:val="center"/>
                    <w:rPr>
                      <w:rFonts w:ascii="Times New Roman" w:hAnsi="Times New Roman" w:eastAsia="宋体"/>
                      <w:color w:val="000000"/>
                      <w:szCs w:val="21"/>
                      <w:highlight w:val="none"/>
                    </w:rPr>
                  </w:pPr>
                </w:p>
              </w:tc>
              <w:tc>
                <w:tcPr>
                  <w:tcW w:w="1469" w:type="dxa"/>
                  <w:noWrap w:val="0"/>
                  <w:vAlign w:val="center"/>
                </w:tcPr>
                <w:p>
                  <w:pPr>
                    <w:spacing w:line="240" w:lineRule="atLeast"/>
                    <w:jc w:val="center"/>
                    <w:rPr>
                      <w:rFonts w:hint="eastAsia" w:ascii="Times New Roman" w:hAnsi="Times New Roman" w:eastAsia="宋体"/>
                      <w:color w:val="000000"/>
                      <w:szCs w:val="21"/>
                      <w:highlight w:val="none"/>
                      <w:lang w:val="en-US" w:eastAsia="zh-CN"/>
                    </w:rPr>
                  </w:pPr>
                  <w:r>
                    <w:rPr>
                      <w:rFonts w:ascii="Times New Roman" w:hAnsi="Times New Roman" w:eastAsia="宋体"/>
                      <w:color w:val="000000"/>
                      <w:szCs w:val="21"/>
                      <w:highlight w:val="none"/>
                    </w:rPr>
                    <w:t>非甲烷总烃</w:t>
                  </w:r>
                </w:p>
              </w:tc>
              <w:tc>
                <w:tcPr>
                  <w:tcW w:w="1246" w:type="dxa"/>
                  <w:noWrap w:val="0"/>
                  <w:vAlign w:val="center"/>
                </w:tcPr>
                <w:p>
                  <w:pPr>
                    <w:pStyle w:val="20"/>
                    <w:autoSpaceDE w:val="0"/>
                    <w:autoSpaceDN w:val="0"/>
                    <w:adjustRightInd w:val="0"/>
                    <w:jc w:val="center"/>
                    <w:rPr>
                      <w:rFonts w:hint="default" w:ascii="Times New Roman" w:hAnsi="Times New Roman" w:eastAsia="宋体"/>
                      <w:color w:val="000000"/>
                      <w:sz w:val="21"/>
                      <w:szCs w:val="21"/>
                      <w:highlight w:val="none"/>
                      <w:lang w:val="en-US" w:eastAsia="zh-CN"/>
                    </w:rPr>
                  </w:pPr>
                  <w:r>
                    <w:rPr>
                      <w:rFonts w:hint="eastAsia" w:ascii="Times New Roman" w:hAnsi="Times New Roman" w:eastAsia="宋体"/>
                      <w:color w:val="000000"/>
                      <w:sz w:val="21"/>
                      <w:szCs w:val="21"/>
                      <w:highlight w:val="none"/>
                      <w:lang w:val="en-US" w:eastAsia="zh-CN"/>
                    </w:rPr>
                    <w:t>51</w:t>
                  </w:r>
                </w:p>
              </w:tc>
              <w:tc>
                <w:tcPr>
                  <w:tcW w:w="1557" w:type="dxa"/>
                  <w:noWrap w:val="0"/>
                  <w:vAlign w:val="center"/>
                </w:tcPr>
                <w:p>
                  <w:pPr>
                    <w:widowControl/>
                    <w:jc w:val="center"/>
                    <w:textAlignment w:val="center"/>
                    <w:rPr>
                      <w:rFonts w:hint="eastAsia" w:ascii="Times New Roman" w:hAnsi="Times New Roman" w:eastAsia="宋体"/>
                      <w:color w:val="000000"/>
                      <w:highlight w:val="none"/>
                    </w:rPr>
                  </w:pPr>
                  <w:r>
                    <w:rPr>
                      <w:rFonts w:hint="eastAsia" w:ascii="Times New Roman" w:hAnsi="Times New Roman" w:eastAsia="宋体"/>
                      <w:color w:val="000000"/>
                      <w:highlight w:val="none"/>
                    </w:rPr>
                    <w:t>5.78E-02</w:t>
                  </w:r>
                </w:p>
              </w:tc>
              <w:tc>
                <w:tcPr>
                  <w:tcW w:w="1447" w:type="dxa"/>
                  <w:noWrap w:val="0"/>
                  <w:vAlign w:val="center"/>
                </w:tcPr>
                <w:p>
                  <w:pPr>
                    <w:widowControl/>
                    <w:jc w:val="center"/>
                    <w:textAlignment w:val="center"/>
                    <w:rPr>
                      <w:rFonts w:hint="default" w:ascii="Times New Roman" w:hAnsi="Times New Roman" w:eastAsia="宋体"/>
                      <w:color w:val="000000"/>
                      <w:highlight w:val="none"/>
                      <w:lang w:val="en-US" w:eastAsia="zh-CN"/>
                    </w:rPr>
                  </w:pPr>
                  <w:r>
                    <w:rPr>
                      <w:rFonts w:hint="eastAsia" w:ascii="Times New Roman" w:hAnsi="Times New Roman" w:eastAsia="宋体"/>
                      <w:color w:val="000000"/>
                      <w:highlight w:val="none"/>
                      <w:lang w:val="en-US" w:eastAsia="zh-CN"/>
                    </w:rPr>
                    <w:t>2.89</w:t>
                  </w:r>
                </w:p>
              </w:tc>
              <w:tc>
                <w:tcPr>
                  <w:tcW w:w="1122" w:type="dxa"/>
                  <w:noWrap w:val="0"/>
                  <w:vAlign w:val="center"/>
                </w:tcPr>
                <w:p>
                  <w:pPr>
                    <w:widowControl/>
                    <w:spacing w:line="240" w:lineRule="atLeast"/>
                    <w:jc w:val="center"/>
                    <w:textAlignment w:val="center"/>
                    <w:rPr>
                      <w:rFonts w:hint="default" w:ascii="Times New Roman" w:hAnsi="Times New Roman" w:eastAsia="宋体"/>
                      <w:b/>
                      <w:bCs/>
                      <w:color w:val="000000"/>
                      <w:szCs w:val="21"/>
                      <w:highlight w:val="none"/>
                      <w:lang w:val="en-US" w:eastAsia="zh-CN"/>
                    </w:rPr>
                  </w:pPr>
                  <w:r>
                    <w:rPr>
                      <w:rFonts w:hint="eastAsia" w:ascii="Times New Roman" w:hAnsi="Times New Roman" w:eastAsia="宋体"/>
                      <w:b/>
                      <w:bCs/>
                      <w:color w:val="000000"/>
                      <w:szCs w:val="21"/>
                      <w:highlight w:val="none"/>
                      <w:lang w:val="en-US" w:eastAsia="zh-CN"/>
                    </w:rPr>
                    <w:t>二级</w:t>
                  </w:r>
                </w:p>
              </w:tc>
            </w:tr>
          </w:tbl>
          <w:p>
            <w:pPr>
              <w:spacing w:line="360" w:lineRule="auto"/>
              <w:ind w:firstLine="480" w:firstLineChars="200"/>
              <w:rPr>
                <w:rFonts w:ascii="Times New Roman" w:hAnsi="Times New Roman" w:eastAsia="宋体"/>
                <w:color w:val="000000"/>
                <w:sz w:val="24"/>
                <w:highlight w:val="none"/>
              </w:rPr>
            </w:pPr>
            <w:r>
              <w:rPr>
                <w:rFonts w:ascii="Times New Roman" w:hAnsi="Times New Roman" w:eastAsia="宋体"/>
                <w:color w:val="000000"/>
                <w:sz w:val="24"/>
                <w:highlight w:val="none"/>
                <w:lang w:val="zh-CN"/>
              </w:rPr>
              <w:t>经估算模型计算，本项目各污染源排放的大气污染物中，</w:t>
            </w:r>
            <w:r>
              <w:rPr>
                <w:rFonts w:hint="eastAsia" w:ascii="Times New Roman" w:hAnsi="Times New Roman" w:eastAsia="宋体"/>
                <w:color w:val="000000"/>
                <w:sz w:val="24"/>
                <w:highlight w:val="none"/>
                <w:lang w:val="en-US" w:eastAsia="zh-CN"/>
              </w:rPr>
              <w:t>各排气筒</w:t>
            </w:r>
            <w:r>
              <w:rPr>
                <w:rFonts w:ascii="Times New Roman" w:hAnsi="Times New Roman" w:eastAsia="宋体"/>
                <w:color w:val="000000"/>
                <w:sz w:val="24"/>
                <w:highlight w:val="none"/>
              </w:rPr>
              <w:t>有组织排放的颗粒物、</w:t>
            </w:r>
            <w:r>
              <w:rPr>
                <w:rFonts w:ascii="Times New Roman" w:hAnsi="Times New Roman" w:eastAsia="宋体"/>
                <w:color w:val="000000"/>
                <w:sz w:val="24"/>
                <w:szCs w:val="24"/>
                <w:highlight w:val="none"/>
                <w:lang w:bidi="ar"/>
              </w:rPr>
              <w:t>非甲烷总烃</w:t>
            </w:r>
            <w:r>
              <w:rPr>
                <w:rFonts w:ascii="Times New Roman" w:hAnsi="Times New Roman" w:eastAsia="宋体"/>
                <w:color w:val="000000"/>
                <w:sz w:val="24"/>
                <w:highlight w:val="none"/>
                <w:lang w:val="zh-CN"/>
              </w:rPr>
              <w:t>最大落地浓度占标率</w:t>
            </w:r>
            <w:r>
              <w:rPr>
                <w:rFonts w:ascii="Times New Roman" w:hAnsi="Times New Roman" w:eastAsia="宋体"/>
                <w:color w:val="000000"/>
                <w:sz w:val="24"/>
                <w:highlight w:val="none"/>
              </w:rPr>
              <w:t>小于1%，无组织排放的颗粒物、</w:t>
            </w:r>
            <w:r>
              <w:rPr>
                <w:rFonts w:ascii="Times New Roman" w:hAnsi="Times New Roman" w:eastAsia="宋体"/>
                <w:color w:val="000000"/>
                <w:sz w:val="24"/>
                <w:szCs w:val="24"/>
                <w:highlight w:val="none"/>
                <w:lang w:bidi="ar"/>
              </w:rPr>
              <w:t>非甲烷总烃</w:t>
            </w:r>
            <w:r>
              <w:rPr>
                <w:rFonts w:ascii="Times New Roman" w:hAnsi="Times New Roman" w:eastAsia="宋体"/>
                <w:color w:val="000000"/>
                <w:sz w:val="24"/>
                <w:highlight w:val="none"/>
                <w:lang w:val="zh-CN"/>
              </w:rPr>
              <w:t>最大落地浓度占标率</w:t>
            </w:r>
            <w:r>
              <w:rPr>
                <w:rFonts w:hint="eastAsia" w:ascii="Times New Roman" w:hAnsi="Times New Roman" w:eastAsia="宋体"/>
                <w:color w:val="000000"/>
                <w:sz w:val="24"/>
                <w:highlight w:val="none"/>
                <w:lang w:val="en-US" w:eastAsia="zh-CN"/>
              </w:rPr>
              <w:t>小于10</w:t>
            </w:r>
            <w:r>
              <w:rPr>
                <w:rFonts w:ascii="Times New Roman" w:hAnsi="Times New Roman" w:eastAsia="宋体"/>
                <w:color w:val="000000"/>
                <w:sz w:val="24"/>
                <w:highlight w:val="none"/>
                <w:lang w:val="zh-CN"/>
              </w:rPr>
              <w:t>%，根据HJ2.2-2018《环境影响评价技术导则大气环境》，确定大气环境影响评价等级为</w:t>
            </w:r>
            <w:r>
              <w:rPr>
                <w:rFonts w:hint="eastAsia" w:ascii="Times New Roman" w:hAnsi="Times New Roman" w:eastAsia="宋体"/>
                <w:color w:val="000000"/>
                <w:sz w:val="24"/>
                <w:highlight w:val="none"/>
                <w:lang w:val="en-US" w:eastAsia="zh-CN"/>
              </w:rPr>
              <w:t>二</w:t>
            </w:r>
            <w:r>
              <w:rPr>
                <w:rFonts w:ascii="Times New Roman" w:hAnsi="Times New Roman" w:eastAsia="宋体"/>
                <w:color w:val="000000"/>
                <w:sz w:val="24"/>
                <w:highlight w:val="none"/>
                <w:lang w:val="zh-CN"/>
              </w:rPr>
              <w:t>级。根据《环境影响评价技术导则大气环境》(HJ2.2-2018)8.1.2的有关规定：</w:t>
            </w:r>
            <w:r>
              <w:rPr>
                <w:rFonts w:hint="eastAsia" w:ascii="Times New Roman" w:hAnsi="Times New Roman" w:eastAsia="宋体"/>
                <w:color w:val="000000"/>
                <w:sz w:val="24"/>
                <w:highlight w:val="none"/>
                <w:lang w:val="en-US" w:eastAsia="zh-CN"/>
              </w:rPr>
              <w:t>二</w:t>
            </w:r>
            <w:r>
              <w:rPr>
                <w:rFonts w:ascii="Times New Roman" w:hAnsi="Times New Roman" w:eastAsia="宋体"/>
                <w:color w:val="000000"/>
                <w:sz w:val="24"/>
                <w:highlight w:val="none"/>
              </w:rPr>
              <w:t>级评价项目不进行进一步预测与评价</w:t>
            </w:r>
            <w:r>
              <w:rPr>
                <w:rFonts w:hint="eastAsia" w:ascii="Times New Roman" w:hAnsi="Times New Roman" w:eastAsia="宋体"/>
                <w:color w:val="000000"/>
                <w:sz w:val="24"/>
                <w:highlight w:val="none"/>
                <w:lang w:val="en-US" w:eastAsia="zh-CN"/>
              </w:rPr>
              <w:t>。</w:t>
            </w:r>
          </w:p>
          <w:p>
            <w:pPr>
              <w:spacing w:line="360" w:lineRule="auto"/>
              <w:ind w:firstLine="480" w:firstLineChars="200"/>
              <w:rPr>
                <w:rFonts w:ascii="Times New Roman" w:hAnsi="Times New Roman" w:eastAsia="宋体"/>
                <w:color w:val="000000"/>
                <w:sz w:val="24"/>
                <w:highlight w:val="none"/>
                <w:lang w:val="zh-CN"/>
              </w:rPr>
            </w:pPr>
            <w:r>
              <w:rPr>
                <w:rFonts w:hint="eastAsia" w:ascii="Times New Roman" w:hAnsi="Times New Roman" w:eastAsia="宋体"/>
                <w:color w:val="000000"/>
                <w:sz w:val="24"/>
                <w:highlight w:val="none"/>
                <w:lang w:val="en-US" w:eastAsia="zh-CN"/>
              </w:rPr>
              <w:t>⑥</w:t>
            </w:r>
            <w:r>
              <w:rPr>
                <w:rFonts w:ascii="Times New Roman" w:hAnsi="Times New Roman" w:eastAsia="宋体"/>
                <w:color w:val="000000"/>
                <w:sz w:val="24"/>
                <w:highlight w:val="none"/>
                <w:lang w:val="zh-CN"/>
              </w:rPr>
              <w:t>大气环境防护距离</w:t>
            </w:r>
          </w:p>
          <w:p>
            <w:pPr>
              <w:spacing w:line="360" w:lineRule="auto"/>
              <w:ind w:firstLine="480" w:firstLineChars="200"/>
              <w:rPr>
                <w:rFonts w:ascii="Times New Roman" w:hAnsi="Times New Roman" w:eastAsia="宋体"/>
                <w:color w:val="000000"/>
                <w:sz w:val="24"/>
                <w:highlight w:val="none"/>
                <w:lang w:val="zh-CN"/>
              </w:rPr>
            </w:pPr>
            <w:r>
              <w:rPr>
                <w:rFonts w:ascii="Times New Roman" w:hAnsi="Times New Roman" w:eastAsia="宋体"/>
                <w:color w:val="000000"/>
                <w:sz w:val="24"/>
                <w:highlight w:val="none"/>
                <w:lang w:val="zh-CN"/>
              </w:rPr>
              <w:t>大气环境防护距离是为了保护人群健康，减少正常排放条件下大气污染源对居住区的环境影响，在建设项目厂界以外所设置的</w:t>
            </w:r>
            <w:r>
              <w:rPr>
                <w:rFonts w:ascii="Times New Roman" w:hAnsi="Times New Roman" w:eastAsia="宋体"/>
                <w:color w:val="000000"/>
                <w:sz w:val="24"/>
                <w:highlight w:val="none"/>
              </w:rPr>
              <w:t>大气</w:t>
            </w:r>
            <w:r>
              <w:rPr>
                <w:rFonts w:ascii="Times New Roman" w:hAnsi="Times New Roman" w:eastAsia="宋体"/>
                <w:color w:val="000000"/>
                <w:sz w:val="24"/>
                <w:highlight w:val="none"/>
                <w:lang w:val="zh-CN"/>
              </w:rPr>
              <w:t>环境防护区域。根据工程分析，项目产生的大气污染物主要是以</w:t>
            </w:r>
            <w:r>
              <w:rPr>
                <w:rFonts w:hint="eastAsia" w:ascii="Times New Roman" w:hAnsi="Times New Roman" w:eastAsia="宋体"/>
                <w:color w:val="000000"/>
                <w:sz w:val="24"/>
                <w:szCs w:val="24"/>
                <w:highlight w:val="none"/>
                <w:lang w:eastAsia="zh-CN" w:bidi="ar"/>
              </w:rPr>
              <w:t>颗粒物、</w:t>
            </w:r>
            <w:r>
              <w:rPr>
                <w:rFonts w:hint="eastAsia" w:ascii="Times New Roman" w:hAnsi="Times New Roman" w:eastAsia="宋体"/>
                <w:color w:val="000000"/>
                <w:sz w:val="24"/>
                <w:szCs w:val="24"/>
                <w:highlight w:val="none"/>
                <w:lang w:val="en-US" w:eastAsia="zh-CN" w:bidi="ar"/>
              </w:rPr>
              <w:t>非甲烷总烃</w:t>
            </w:r>
            <w:r>
              <w:rPr>
                <w:rFonts w:ascii="Times New Roman" w:hAnsi="Times New Roman" w:eastAsia="宋体"/>
                <w:color w:val="000000"/>
                <w:sz w:val="24"/>
                <w:highlight w:val="none"/>
                <w:lang w:val="zh-CN"/>
              </w:rPr>
              <w:t>为主。根据《环境影响评价技术导则—大气环境》(HJ2.2-2018)推荐的估算模式计算，项目</w:t>
            </w:r>
            <w:r>
              <w:rPr>
                <w:rFonts w:hint="eastAsia" w:ascii="Times New Roman" w:hAnsi="Times New Roman" w:eastAsia="宋体"/>
                <w:color w:val="000000"/>
                <w:sz w:val="24"/>
                <w:highlight w:val="none"/>
                <w:lang w:val="en-US" w:eastAsia="zh-CN"/>
              </w:rPr>
              <w:t>有组织、</w:t>
            </w:r>
            <w:r>
              <w:rPr>
                <w:rFonts w:ascii="Times New Roman" w:hAnsi="Times New Roman" w:eastAsia="宋体"/>
                <w:color w:val="000000"/>
                <w:sz w:val="24"/>
                <w:highlight w:val="none"/>
                <w:lang w:val="zh-CN"/>
              </w:rPr>
              <w:t>无组织排放的颗粒物</w:t>
            </w:r>
            <w:r>
              <w:rPr>
                <w:rFonts w:hint="eastAsia" w:ascii="Times New Roman" w:hAnsi="Times New Roman" w:eastAsia="宋体"/>
                <w:color w:val="000000"/>
                <w:sz w:val="24"/>
                <w:highlight w:val="none"/>
                <w:lang w:val="zh-CN"/>
              </w:rPr>
              <w:t>、</w:t>
            </w:r>
            <w:r>
              <w:rPr>
                <w:rFonts w:hint="eastAsia" w:ascii="Times New Roman" w:hAnsi="Times New Roman" w:eastAsia="宋体"/>
                <w:color w:val="000000"/>
                <w:sz w:val="24"/>
                <w:highlight w:val="none"/>
                <w:lang w:val="en-US" w:eastAsia="zh-CN"/>
              </w:rPr>
              <w:t>非甲烷总烃</w:t>
            </w:r>
            <w:r>
              <w:rPr>
                <w:rFonts w:ascii="Times New Roman" w:hAnsi="Times New Roman" w:eastAsia="宋体"/>
                <w:color w:val="000000"/>
                <w:sz w:val="24"/>
                <w:highlight w:val="none"/>
                <w:lang w:val="zh-CN"/>
              </w:rPr>
              <w:t>在评价范围内无超标点，本项目厂界外大气污染物贡献浓度不会超过环境质量浓度限值，故本项目不设置大气环境防护距离。</w:t>
            </w:r>
          </w:p>
          <w:p>
            <w:pPr>
              <w:spacing w:line="360" w:lineRule="auto"/>
              <w:ind w:firstLine="480" w:firstLineChars="200"/>
              <w:rPr>
                <w:rFonts w:ascii="Times New Roman" w:hAnsi="Times New Roman" w:eastAsia="宋体"/>
                <w:color w:val="000000"/>
                <w:sz w:val="24"/>
                <w:szCs w:val="22"/>
                <w:highlight w:val="none"/>
              </w:rPr>
            </w:pPr>
            <w:r>
              <w:rPr>
                <w:rFonts w:hint="eastAsia" w:ascii="Times New Roman" w:hAnsi="Times New Roman" w:eastAsia="宋体"/>
                <w:color w:val="000000"/>
                <w:sz w:val="24"/>
                <w:szCs w:val="22"/>
                <w:highlight w:val="none"/>
                <w:lang w:val="en-US" w:eastAsia="zh-CN"/>
              </w:rPr>
              <w:t>⑦</w:t>
            </w:r>
            <w:r>
              <w:rPr>
                <w:rFonts w:ascii="Times New Roman" w:hAnsi="Times New Roman" w:eastAsia="宋体"/>
                <w:color w:val="000000"/>
                <w:sz w:val="24"/>
                <w:szCs w:val="22"/>
                <w:highlight w:val="none"/>
              </w:rPr>
              <w:t>卫生防护距离</w:t>
            </w:r>
          </w:p>
          <w:p>
            <w:pPr>
              <w:spacing w:line="360" w:lineRule="auto"/>
              <w:ind w:firstLine="480" w:firstLineChars="200"/>
              <w:rPr>
                <w:rFonts w:ascii="Times New Roman" w:hAnsi="Times New Roman" w:eastAsia="宋体"/>
                <w:color w:val="000000"/>
                <w:sz w:val="24"/>
                <w:highlight w:val="none"/>
              </w:rPr>
            </w:pPr>
            <w:r>
              <w:rPr>
                <w:rFonts w:ascii="Times New Roman" w:hAnsi="Times New Roman" w:eastAsia="宋体"/>
                <w:color w:val="000000"/>
                <w:sz w:val="24"/>
                <w:szCs w:val="22"/>
                <w:highlight w:val="none"/>
              </w:rPr>
              <w:t>项目无组织排放卫生防</w:t>
            </w:r>
            <w:r>
              <w:rPr>
                <w:rFonts w:ascii="Times New Roman" w:hAnsi="Times New Roman" w:eastAsia="宋体"/>
                <w:color w:val="000000"/>
                <w:sz w:val="24"/>
                <w:highlight w:val="none"/>
              </w:rPr>
              <w:t>护距离计算公式如下：</w:t>
            </w:r>
          </w:p>
          <w:p>
            <w:pPr>
              <w:adjustRightInd w:val="0"/>
              <w:snapToGrid w:val="0"/>
              <w:spacing w:before="156" w:beforeLines="50" w:line="520" w:lineRule="exact"/>
              <w:ind w:firstLine="480" w:firstLineChars="200"/>
              <w:rPr>
                <w:rFonts w:ascii="Times New Roman" w:hAnsi="Times New Roman" w:eastAsia="宋体"/>
                <w:color w:val="000000"/>
                <w:sz w:val="24"/>
                <w:highlight w:val="none"/>
              </w:rPr>
            </w:pPr>
            <w:r>
              <w:rPr>
                <w:rFonts w:ascii="Times New Roman" w:hAnsi="Times New Roman" w:eastAsia="宋体"/>
                <w:color w:val="000000"/>
                <w:sz w:val="24"/>
                <w:highlight w:val="none"/>
              </w:rPr>
              <w:pict>
                <v:shape id="对象 9" o:spid="_x0000_s2050" o:spt="75" alt="1610862221369793946156" type="#_x0000_t75" style="position:absolute;left:0pt;margin-left:127.8pt;margin-top:4.9pt;height:24.3pt;width:219.9pt;z-index:-210662400;mso-width-relative:page;mso-height-relative:page;" o:ole="t" filled="f" o:preferrelative="t" stroked="f" coordsize="21600,21600">
                  <v:path/>
                  <v:fill on="f" focussize="0,0"/>
                  <v:stroke on="f"/>
                  <v:imagedata r:id="rId7" o:title="1610862221369793946156"/>
                  <o:lock v:ext="edit" aspectratio="t"/>
                </v:shape>
                <o:OLEObject Type="Embed" ProgID="" ShapeID="对象 9" DrawAspect="Content" ObjectID="_1468075725" r:id="rId6">
                  <o:LockedField>false</o:LockedField>
                </o:OLEObject>
              </w:pict>
            </w:r>
          </w:p>
          <w:p>
            <w:pPr>
              <w:adjustRightInd w:val="0"/>
              <w:snapToGrid w:val="0"/>
              <w:spacing w:before="156" w:beforeLines="50" w:line="520" w:lineRule="exact"/>
              <w:ind w:firstLine="480" w:firstLineChars="200"/>
              <w:rPr>
                <w:rFonts w:ascii="Times New Roman" w:hAnsi="Times New Roman" w:eastAsia="宋体"/>
                <w:color w:val="000000"/>
                <w:sz w:val="24"/>
                <w:highlight w:val="none"/>
              </w:rPr>
            </w:pPr>
            <w:r>
              <w:rPr>
                <w:rFonts w:ascii="Times New Roman" w:hAnsi="Times New Roman" w:eastAsia="宋体"/>
                <w:color w:val="000000"/>
                <w:sz w:val="24"/>
                <w:highlight w:val="none"/>
              </w:rPr>
              <w:t>式中，Qc——工业企业有害气体无组织排放量可以达到的控制水平；</w:t>
            </w:r>
          </w:p>
          <w:p>
            <w:pPr>
              <w:adjustRightInd w:val="0"/>
              <w:snapToGrid w:val="0"/>
              <w:spacing w:line="520" w:lineRule="exact"/>
              <w:ind w:firstLine="1191"/>
              <w:rPr>
                <w:rFonts w:ascii="Times New Roman" w:hAnsi="Times New Roman" w:eastAsia="宋体"/>
                <w:color w:val="000000"/>
                <w:sz w:val="24"/>
                <w:highlight w:val="none"/>
              </w:rPr>
            </w:pPr>
            <w:r>
              <w:rPr>
                <w:rFonts w:ascii="Times New Roman" w:hAnsi="Times New Roman" w:eastAsia="宋体"/>
                <w:color w:val="000000"/>
                <w:sz w:val="24"/>
                <w:highlight w:val="none"/>
              </w:rPr>
              <w:t>Cm——标准浓度限值；</w:t>
            </w:r>
          </w:p>
          <w:p>
            <w:pPr>
              <w:adjustRightInd w:val="0"/>
              <w:snapToGrid w:val="0"/>
              <w:spacing w:line="520" w:lineRule="exact"/>
              <w:ind w:firstLine="1191"/>
              <w:rPr>
                <w:rFonts w:ascii="Times New Roman" w:hAnsi="Times New Roman" w:eastAsia="宋体"/>
                <w:color w:val="000000"/>
                <w:sz w:val="24"/>
                <w:highlight w:val="none"/>
              </w:rPr>
            </w:pPr>
            <w:r>
              <w:rPr>
                <w:rFonts w:ascii="Times New Roman" w:hAnsi="Times New Roman" w:eastAsia="宋体"/>
                <w:color w:val="000000"/>
                <w:sz w:val="24"/>
                <w:highlight w:val="none"/>
              </w:rPr>
              <w:t>L—— 工业企业所需卫生防护距离，m；</w:t>
            </w:r>
          </w:p>
          <w:p>
            <w:pPr>
              <w:adjustRightInd w:val="0"/>
              <w:snapToGrid w:val="0"/>
              <w:spacing w:line="520" w:lineRule="exact"/>
              <w:ind w:firstLine="1191"/>
              <w:rPr>
                <w:rFonts w:ascii="Times New Roman" w:hAnsi="Times New Roman" w:eastAsia="宋体"/>
                <w:color w:val="000000"/>
                <w:sz w:val="24"/>
                <w:highlight w:val="none"/>
              </w:rPr>
            </w:pPr>
            <w:r>
              <w:rPr>
                <w:rFonts w:ascii="Times New Roman" w:hAnsi="Times New Roman" w:eastAsia="宋体"/>
                <w:color w:val="000000"/>
                <w:sz w:val="24"/>
                <w:highlight w:val="none"/>
              </w:rPr>
              <w:t>r——有害气体无组织排放源所在生产单位的等效半径，m，根据该生产单元面积S（m</w:t>
            </w:r>
            <w:r>
              <w:rPr>
                <w:rFonts w:ascii="Times New Roman" w:hAnsi="Times New Roman" w:eastAsia="宋体"/>
                <w:color w:val="000000"/>
                <w:sz w:val="24"/>
                <w:highlight w:val="none"/>
                <w:vertAlign w:val="superscript"/>
              </w:rPr>
              <w:t>2</w:t>
            </w:r>
            <w:r>
              <w:rPr>
                <w:rFonts w:ascii="Times New Roman" w:hAnsi="Times New Roman" w:eastAsia="宋体"/>
                <w:color w:val="000000"/>
                <w:sz w:val="24"/>
                <w:highlight w:val="none"/>
              </w:rPr>
              <w:t>）计算，r=（S/π）</w:t>
            </w:r>
            <w:r>
              <w:rPr>
                <w:rFonts w:ascii="Times New Roman" w:hAnsi="Times New Roman" w:eastAsia="宋体"/>
                <w:color w:val="000000"/>
                <w:sz w:val="24"/>
                <w:highlight w:val="none"/>
                <w:vertAlign w:val="superscript"/>
              </w:rPr>
              <w:t>1/2</w:t>
            </w:r>
            <w:r>
              <w:rPr>
                <w:rFonts w:ascii="Times New Roman" w:hAnsi="Times New Roman" w:eastAsia="宋体"/>
                <w:color w:val="000000"/>
                <w:sz w:val="24"/>
                <w:highlight w:val="none"/>
              </w:rPr>
              <w:t>；</w:t>
            </w:r>
          </w:p>
          <w:p>
            <w:pPr>
              <w:adjustRightInd w:val="0"/>
              <w:snapToGrid w:val="0"/>
              <w:spacing w:line="520" w:lineRule="exact"/>
              <w:ind w:firstLine="1191"/>
              <w:rPr>
                <w:rFonts w:ascii="Times New Roman" w:hAnsi="Times New Roman" w:eastAsia="宋体"/>
                <w:color w:val="000000"/>
                <w:sz w:val="24"/>
                <w:highlight w:val="none"/>
              </w:rPr>
            </w:pPr>
            <w:r>
              <w:rPr>
                <w:rFonts w:ascii="Times New Roman" w:hAnsi="Times New Roman" w:eastAsia="宋体"/>
                <w:color w:val="000000"/>
                <w:sz w:val="24"/>
                <w:highlight w:val="none"/>
              </w:rPr>
              <w:t>A，B，C，D——卫生防护距离系数，分别取700，0.021，1.85和0.84。</w:t>
            </w:r>
          </w:p>
          <w:p>
            <w:pPr>
              <w:spacing w:line="360" w:lineRule="auto"/>
              <w:jc w:val="center"/>
              <w:rPr>
                <w:rFonts w:ascii="Times New Roman" w:hAnsi="Times New Roman" w:eastAsia="宋体"/>
                <w:b/>
                <w:bCs/>
                <w:color w:val="000000"/>
                <w:sz w:val="24"/>
                <w:szCs w:val="24"/>
                <w:highlight w:val="none"/>
              </w:rPr>
            </w:pPr>
            <w:r>
              <w:rPr>
                <w:rFonts w:ascii="Times New Roman" w:hAnsi="Times New Roman" w:eastAsia="宋体"/>
                <w:b/>
                <w:bCs/>
                <w:color w:val="000000"/>
                <w:sz w:val="24"/>
                <w:szCs w:val="24"/>
                <w:highlight w:val="none"/>
              </w:rPr>
              <w:t>表7-</w:t>
            </w:r>
            <w:r>
              <w:rPr>
                <w:rFonts w:hint="eastAsia" w:ascii="Times New Roman" w:hAnsi="Times New Roman" w:eastAsia="宋体"/>
                <w:b/>
                <w:bCs/>
                <w:color w:val="000000"/>
                <w:sz w:val="24"/>
                <w:szCs w:val="24"/>
                <w:highlight w:val="none"/>
                <w:lang w:val="en-US" w:eastAsia="zh-CN"/>
              </w:rPr>
              <w:t>7</w:t>
            </w:r>
            <w:r>
              <w:rPr>
                <w:rFonts w:ascii="Times New Roman" w:hAnsi="Times New Roman" w:eastAsia="宋体"/>
                <w:b/>
                <w:bCs/>
                <w:color w:val="000000"/>
                <w:sz w:val="24"/>
                <w:szCs w:val="24"/>
                <w:highlight w:val="none"/>
              </w:rPr>
              <w:t xml:space="preserve">  卫生防护距离计算系数表</w:t>
            </w:r>
          </w:p>
          <w:tbl>
            <w:tblPr>
              <w:tblStyle w:val="22"/>
              <w:tblW w:w="0" w:type="auto"/>
              <w:jc w:val="center"/>
              <w:tblLayout w:type="autofit"/>
              <w:tblCellMar>
                <w:top w:w="0" w:type="dxa"/>
                <w:left w:w="108" w:type="dxa"/>
                <w:bottom w:w="0" w:type="dxa"/>
                <w:right w:w="108" w:type="dxa"/>
              </w:tblCellMar>
            </w:tblPr>
            <w:tblGrid>
              <w:gridCol w:w="712"/>
              <w:gridCol w:w="1681"/>
              <w:gridCol w:w="783"/>
              <w:gridCol w:w="718"/>
              <w:gridCol w:w="723"/>
              <w:gridCol w:w="718"/>
              <w:gridCol w:w="718"/>
              <w:gridCol w:w="721"/>
              <w:gridCol w:w="718"/>
              <w:gridCol w:w="718"/>
              <w:gridCol w:w="673"/>
            </w:tblGrid>
            <w:tr>
              <w:tblPrEx>
                <w:tblCellMar>
                  <w:top w:w="0" w:type="dxa"/>
                  <w:left w:w="108" w:type="dxa"/>
                  <w:bottom w:w="0" w:type="dxa"/>
                  <w:right w:w="108" w:type="dxa"/>
                </w:tblCellMar>
              </w:tblPrEx>
              <w:trPr>
                <w:cantSplit/>
                <w:jc w:val="center"/>
              </w:trPr>
              <w:tc>
                <w:tcPr>
                  <w:tcW w:w="712" w:type="dxa"/>
                  <w:vMerge w:val="restart"/>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计算系数</w:t>
                  </w:r>
                </w:p>
              </w:tc>
              <w:tc>
                <w:tcPr>
                  <w:tcW w:w="1681" w:type="dxa"/>
                  <w:vMerge w:val="restart"/>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工业企业所在地区近五年平均风速m/s</w:t>
                  </w:r>
                </w:p>
              </w:tc>
              <w:tc>
                <w:tcPr>
                  <w:tcW w:w="2224"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L≤1000</w:t>
                  </w:r>
                </w:p>
              </w:tc>
              <w:tc>
                <w:tcPr>
                  <w:tcW w:w="2157"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1000&lt;L&lt;2000</w:t>
                  </w:r>
                </w:p>
              </w:tc>
              <w:tc>
                <w:tcPr>
                  <w:tcW w:w="2109" w:type="dxa"/>
                  <w:gridSpan w:val="3"/>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L&gt;2000</w:t>
                  </w:r>
                </w:p>
              </w:tc>
            </w:tr>
            <w:tr>
              <w:tblPrEx>
                <w:tblCellMar>
                  <w:top w:w="0" w:type="dxa"/>
                  <w:left w:w="108" w:type="dxa"/>
                  <w:bottom w:w="0" w:type="dxa"/>
                  <w:right w:w="108" w:type="dxa"/>
                </w:tblCellMar>
              </w:tblPrEx>
              <w:trPr>
                <w:cantSplit/>
                <w:jc w:val="center"/>
              </w:trPr>
              <w:tc>
                <w:tcPr>
                  <w:tcW w:w="71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olor w:val="000000"/>
                      <w:highlight w:val="none"/>
                    </w:rPr>
                  </w:pPr>
                </w:p>
              </w:tc>
              <w:tc>
                <w:tcPr>
                  <w:tcW w:w="1681"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Times New Roman" w:hAnsi="Times New Roman" w:eastAsia="宋体"/>
                      <w:color w:val="000000"/>
                      <w:highlight w:val="none"/>
                    </w:rPr>
                  </w:pPr>
                </w:p>
              </w:tc>
              <w:tc>
                <w:tcPr>
                  <w:tcW w:w="6490" w:type="dxa"/>
                  <w:gridSpan w:val="9"/>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工业企业大气污染源构成类别</w:t>
                  </w:r>
                  <w:r>
                    <w:rPr>
                      <w:rFonts w:ascii="Times New Roman" w:hAnsi="Times New Roman" w:eastAsia="宋体"/>
                      <w:color w:val="000000"/>
                      <w:highlight w:val="none"/>
                      <w:vertAlign w:val="superscript"/>
                    </w:rPr>
                    <w:t>(1)</w:t>
                  </w:r>
                </w:p>
              </w:tc>
            </w:tr>
            <w:tr>
              <w:tblPrEx>
                <w:tblCellMar>
                  <w:top w:w="0" w:type="dxa"/>
                  <w:left w:w="108" w:type="dxa"/>
                  <w:bottom w:w="0" w:type="dxa"/>
                  <w:right w:w="108" w:type="dxa"/>
                </w:tblCellMar>
              </w:tblPrEx>
              <w:trPr>
                <w:cantSplit/>
                <w:jc w:val="center"/>
              </w:trPr>
              <w:tc>
                <w:tcPr>
                  <w:tcW w:w="712"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olor w:val="000000"/>
                      <w:highlight w:val="none"/>
                    </w:rPr>
                  </w:pPr>
                </w:p>
              </w:tc>
              <w:tc>
                <w:tcPr>
                  <w:tcW w:w="1681" w:type="dxa"/>
                  <w:vMerge w:val="continue"/>
                  <w:tcBorders>
                    <w:top w:val="single" w:color="auto" w:sz="4" w:space="0"/>
                    <w:left w:val="nil"/>
                    <w:bottom w:val="single" w:color="auto" w:sz="4" w:space="0"/>
                    <w:right w:val="single" w:color="auto" w:sz="4" w:space="0"/>
                  </w:tcBorders>
                  <w:noWrap w:val="0"/>
                  <w:vAlign w:val="center"/>
                </w:tcPr>
                <w:p>
                  <w:pPr>
                    <w:widowControl/>
                    <w:jc w:val="left"/>
                    <w:rPr>
                      <w:rFonts w:ascii="Times New Roman" w:hAnsi="Times New Roman" w:eastAsia="宋体"/>
                      <w:color w:val="000000"/>
                      <w:highlight w:val="none"/>
                    </w:rPr>
                  </w:pPr>
                </w:p>
              </w:tc>
              <w:tc>
                <w:tcPr>
                  <w:tcW w:w="783"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Ⅰ</w:t>
                  </w:r>
                </w:p>
              </w:tc>
              <w:tc>
                <w:tcPr>
                  <w:tcW w:w="718"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Ⅱ</w:t>
                  </w:r>
                </w:p>
              </w:tc>
              <w:tc>
                <w:tcPr>
                  <w:tcW w:w="723"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Ⅲ</w:t>
                  </w:r>
                </w:p>
              </w:tc>
              <w:tc>
                <w:tcPr>
                  <w:tcW w:w="718"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Ⅰ</w:t>
                  </w:r>
                </w:p>
              </w:tc>
              <w:tc>
                <w:tcPr>
                  <w:tcW w:w="718"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Ⅱ</w:t>
                  </w:r>
                </w:p>
              </w:tc>
              <w:tc>
                <w:tcPr>
                  <w:tcW w:w="721"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Ⅲ</w:t>
                  </w:r>
                </w:p>
              </w:tc>
              <w:tc>
                <w:tcPr>
                  <w:tcW w:w="718"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Ⅰ</w:t>
                  </w:r>
                </w:p>
              </w:tc>
              <w:tc>
                <w:tcPr>
                  <w:tcW w:w="718"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Ⅱ</w:t>
                  </w:r>
                </w:p>
              </w:tc>
              <w:tc>
                <w:tcPr>
                  <w:tcW w:w="673" w:type="dxa"/>
                  <w:tcBorders>
                    <w:top w:val="single" w:color="auto" w:sz="4" w:space="0"/>
                    <w:left w:val="nil"/>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Ⅲ</w:t>
                  </w:r>
                </w:p>
              </w:tc>
            </w:tr>
            <w:tr>
              <w:tblPrEx>
                <w:tblCellMar>
                  <w:top w:w="0" w:type="dxa"/>
                  <w:left w:w="108" w:type="dxa"/>
                  <w:bottom w:w="0" w:type="dxa"/>
                  <w:right w:w="108" w:type="dxa"/>
                </w:tblCellMar>
              </w:tblPrEx>
              <w:trPr>
                <w:cantSplit/>
                <w:jc w:val="center"/>
              </w:trPr>
              <w:tc>
                <w:tcPr>
                  <w:tcW w:w="712" w:type="dxa"/>
                  <w:vMerge w:val="restart"/>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A</w:t>
                  </w:r>
                </w:p>
              </w:tc>
              <w:tc>
                <w:tcPr>
                  <w:tcW w:w="16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&lt;2</w:t>
                  </w:r>
                </w:p>
              </w:tc>
              <w:tc>
                <w:tcPr>
                  <w:tcW w:w="78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400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400</w:t>
                  </w: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400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400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400</w:t>
                  </w:r>
                </w:p>
              </w:tc>
              <w:tc>
                <w:tcPr>
                  <w:tcW w:w="72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400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80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80</w:t>
                  </w:r>
                </w:p>
              </w:tc>
              <w:tc>
                <w:tcPr>
                  <w:tcW w:w="67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80</w:t>
                  </w:r>
                </w:p>
              </w:tc>
            </w:tr>
            <w:tr>
              <w:tblPrEx>
                <w:tblCellMar>
                  <w:top w:w="0" w:type="dxa"/>
                  <w:left w:w="108" w:type="dxa"/>
                  <w:bottom w:w="0" w:type="dxa"/>
                  <w:right w:w="108" w:type="dxa"/>
                </w:tblCellMar>
              </w:tblPrEx>
              <w:trPr>
                <w:cantSplit/>
                <w:jc w:val="center"/>
              </w:trPr>
              <w:tc>
                <w:tcPr>
                  <w:tcW w:w="712"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olor w:val="000000"/>
                      <w:highlight w:val="none"/>
                    </w:rPr>
                  </w:pPr>
                </w:p>
              </w:tc>
              <w:tc>
                <w:tcPr>
                  <w:tcW w:w="16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2-4</w:t>
                  </w:r>
                </w:p>
              </w:tc>
              <w:tc>
                <w:tcPr>
                  <w:tcW w:w="78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700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470</w:t>
                  </w: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350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700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470</w:t>
                  </w:r>
                </w:p>
              </w:tc>
              <w:tc>
                <w:tcPr>
                  <w:tcW w:w="72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350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380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250</w:t>
                  </w:r>
                </w:p>
              </w:tc>
              <w:tc>
                <w:tcPr>
                  <w:tcW w:w="67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190</w:t>
                  </w:r>
                </w:p>
              </w:tc>
            </w:tr>
            <w:tr>
              <w:tblPrEx>
                <w:tblCellMar>
                  <w:top w:w="0" w:type="dxa"/>
                  <w:left w:w="108" w:type="dxa"/>
                  <w:bottom w:w="0" w:type="dxa"/>
                  <w:right w:w="108" w:type="dxa"/>
                </w:tblCellMar>
              </w:tblPrEx>
              <w:trPr>
                <w:cantSplit/>
                <w:jc w:val="center"/>
              </w:trPr>
              <w:tc>
                <w:tcPr>
                  <w:tcW w:w="712"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olor w:val="000000"/>
                      <w:highlight w:val="none"/>
                    </w:rPr>
                  </w:pPr>
                </w:p>
              </w:tc>
              <w:tc>
                <w:tcPr>
                  <w:tcW w:w="16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&gt;4</w:t>
                  </w:r>
                </w:p>
              </w:tc>
              <w:tc>
                <w:tcPr>
                  <w:tcW w:w="78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530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350</w:t>
                  </w: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260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530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350</w:t>
                  </w:r>
                </w:p>
              </w:tc>
              <w:tc>
                <w:tcPr>
                  <w:tcW w:w="72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260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290</w:t>
                  </w:r>
                </w:p>
              </w:tc>
              <w:tc>
                <w:tcPr>
                  <w:tcW w:w="718"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190</w:t>
                  </w:r>
                </w:p>
              </w:tc>
              <w:tc>
                <w:tcPr>
                  <w:tcW w:w="673"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140</w:t>
                  </w:r>
                </w:p>
              </w:tc>
            </w:tr>
            <w:tr>
              <w:tblPrEx>
                <w:tblCellMar>
                  <w:top w:w="0" w:type="dxa"/>
                  <w:left w:w="108" w:type="dxa"/>
                  <w:bottom w:w="0" w:type="dxa"/>
                  <w:right w:w="108" w:type="dxa"/>
                </w:tblCellMar>
              </w:tblPrEx>
              <w:trPr>
                <w:cantSplit/>
                <w:trHeight w:val="360" w:hRule="atLeast"/>
                <w:jc w:val="center"/>
              </w:trPr>
              <w:tc>
                <w:tcPr>
                  <w:tcW w:w="712" w:type="dxa"/>
                  <w:vMerge w:val="restart"/>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B</w:t>
                  </w:r>
                </w:p>
              </w:tc>
              <w:tc>
                <w:tcPr>
                  <w:tcW w:w="16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&lt;2</w:t>
                  </w:r>
                </w:p>
              </w:tc>
              <w:tc>
                <w:tcPr>
                  <w:tcW w:w="2224"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0.01</w:t>
                  </w:r>
                </w:p>
              </w:tc>
              <w:tc>
                <w:tcPr>
                  <w:tcW w:w="215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0.015</w:t>
                  </w:r>
                </w:p>
              </w:tc>
              <w:tc>
                <w:tcPr>
                  <w:tcW w:w="2109"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0.015</w:t>
                  </w:r>
                </w:p>
              </w:tc>
            </w:tr>
            <w:tr>
              <w:tblPrEx>
                <w:tblCellMar>
                  <w:top w:w="0" w:type="dxa"/>
                  <w:left w:w="108" w:type="dxa"/>
                  <w:bottom w:w="0" w:type="dxa"/>
                  <w:right w:w="108" w:type="dxa"/>
                </w:tblCellMar>
              </w:tblPrEx>
              <w:trPr>
                <w:cantSplit/>
                <w:trHeight w:val="280" w:hRule="atLeast"/>
                <w:jc w:val="center"/>
              </w:trPr>
              <w:tc>
                <w:tcPr>
                  <w:tcW w:w="712"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olor w:val="000000"/>
                      <w:highlight w:val="none"/>
                    </w:rPr>
                  </w:pPr>
                </w:p>
              </w:tc>
              <w:tc>
                <w:tcPr>
                  <w:tcW w:w="16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&gt;2</w:t>
                  </w:r>
                </w:p>
              </w:tc>
              <w:tc>
                <w:tcPr>
                  <w:tcW w:w="2224"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0.021</w:t>
                  </w:r>
                </w:p>
              </w:tc>
              <w:tc>
                <w:tcPr>
                  <w:tcW w:w="215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0.036</w:t>
                  </w:r>
                </w:p>
              </w:tc>
              <w:tc>
                <w:tcPr>
                  <w:tcW w:w="2109"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0.036</w:t>
                  </w:r>
                </w:p>
              </w:tc>
            </w:tr>
            <w:tr>
              <w:tblPrEx>
                <w:tblCellMar>
                  <w:top w:w="0" w:type="dxa"/>
                  <w:left w:w="108" w:type="dxa"/>
                  <w:bottom w:w="0" w:type="dxa"/>
                  <w:right w:w="108" w:type="dxa"/>
                </w:tblCellMar>
              </w:tblPrEx>
              <w:trPr>
                <w:cantSplit/>
                <w:trHeight w:val="280" w:hRule="atLeast"/>
                <w:jc w:val="center"/>
              </w:trPr>
              <w:tc>
                <w:tcPr>
                  <w:tcW w:w="712" w:type="dxa"/>
                  <w:vMerge w:val="restart"/>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C</w:t>
                  </w:r>
                </w:p>
              </w:tc>
              <w:tc>
                <w:tcPr>
                  <w:tcW w:w="16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&lt;2</w:t>
                  </w:r>
                </w:p>
              </w:tc>
              <w:tc>
                <w:tcPr>
                  <w:tcW w:w="2224"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1.85</w:t>
                  </w:r>
                </w:p>
              </w:tc>
              <w:tc>
                <w:tcPr>
                  <w:tcW w:w="215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1.79</w:t>
                  </w:r>
                </w:p>
              </w:tc>
              <w:tc>
                <w:tcPr>
                  <w:tcW w:w="2109"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1.79</w:t>
                  </w:r>
                </w:p>
              </w:tc>
            </w:tr>
            <w:tr>
              <w:tblPrEx>
                <w:tblCellMar>
                  <w:top w:w="0" w:type="dxa"/>
                  <w:left w:w="108" w:type="dxa"/>
                  <w:bottom w:w="0" w:type="dxa"/>
                  <w:right w:w="108" w:type="dxa"/>
                </w:tblCellMar>
              </w:tblPrEx>
              <w:trPr>
                <w:cantSplit/>
                <w:jc w:val="center"/>
              </w:trPr>
              <w:tc>
                <w:tcPr>
                  <w:tcW w:w="712"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olor w:val="000000"/>
                      <w:highlight w:val="none"/>
                    </w:rPr>
                  </w:pPr>
                </w:p>
              </w:tc>
              <w:tc>
                <w:tcPr>
                  <w:tcW w:w="16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&gt;2</w:t>
                  </w:r>
                </w:p>
              </w:tc>
              <w:tc>
                <w:tcPr>
                  <w:tcW w:w="2224"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1.85</w:t>
                  </w:r>
                </w:p>
              </w:tc>
              <w:tc>
                <w:tcPr>
                  <w:tcW w:w="215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1.77</w:t>
                  </w:r>
                </w:p>
              </w:tc>
              <w:tc>
                <w:tcPr>
                  <w:tcW w:w="2109"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1.7</w:t>
                  </w:r>
                </w:p>
              </w:tc>
            </w:tr>
            <w:tr>
              <w:tblPrEx>
                <w:tblCellMar>
                  <w:top w:w="0" w:type="dxa"/>
                  <w:left w:w="108" w:type="dxa"/>
                  <w:bottom w:w="0" w:type="dxa"/>
                  <w:right w:w="108" w:type="dxa"/>
                </w:tblCellMar>
              </w:tblPrEx>
              <w:trPr>
                <w:cantSplit/>
                <w:jc w:val="center"/>
              </w:trPr>
              <w:tc>
                <w:tcPr>
                  <w:tcW w:w="712" w:type="dxa"/>
                  <w:vMerge w:val="restart"/>
                  <w:tcBorders>
                    <w:top w:val="nil"/>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D</w:t>
                  </w:r>
                </w:p>
              </w:tc>
              <w:tc>
                <w:tcPr>
                  <w:tcW w:w="16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&lt;2</w:t>
                  </w:r>
                </w:p>
              </w:tc>
              <w:tc>
                <w:tcPr>
                  <w:tcW w:w="2224"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0.78</w:t>
                  </w:r>
                </w:p>
              </w:tc>
              <w:tc>
                <w:tcPr>
                  <w:tcW w:w="215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0.78</w:t>
                  </w:r>
                </w:p>
              </w:tc>
              <w:tc>
                <w:tcPr>
                  <w:tcW w:w="2109"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0.57</w:t>
                  </w:r>
                </w:p>
              </w:tc>
            </w:tr>
            <w:tr>
              <w:tblPrEx>
                <w:tblCellMar>
                  <w:top w:w="0" w:type="dxa"/>
                  <w:left w:w="108" w:type="dxa"/>
                  <w:bottom w:w="0" w:type="dxa"/>
                  <w:right w:w="108" w:type="dxa"/>
                </w:tblCellMar>
              </w:tblPrEx>
              <w:trPr>
                <w:cantSplit/>
                <w:jc w:val="center"/>
              </w:trPr>
              <w:tc>
                <w:tcPr>
                  <w:tcW w:w="712"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Times New Roman" w:hAnsi="Times New Roman" w:eastAsia="宋体"/>
                      <w:color w:val="000000"/>
                      <w:highlight w:val="none"/>
                    </w:rPr>
                  </w:pPr>
                </w:p>
              </w:tc>
              <w:tc>
                <w:tcPr>
                  <w:tcW w:w="1681" w:type="dxa"/>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&gt;2</w:t>
                  </w:r>
                </w:p>
              </w:tc>
              <w:tc>
                <w:tcPr>
                  <w:tcW w:w="2224"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0.84</w:t>
                  </w:r>
                </w:p>
              </w:tc>
              <w:tc>
                <w:tcPr>
                  <w:tcW w:w="2157"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0.84</w:t>
                  </w:r>
                </w:p>
              </w:tc>
              <w:tc>
                <w:tcPr>
                  <w:tcW w:w="2109"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rFonts w:ascii="Times New Roman" w:hAnsi="Times New Roman" w:eastAsia="宋体"/>
                      <w:color w:val="000000"/>
                      <w:highlight w:val="none"/>
                    </w:rPr>
                  </w:pPr>
                  <w:r>
                    <w:rPr>
                      <w:rFonts w:ascii="Times New Roman" w:hAnsi="Times New Roman" w:eastAsia="宋体"/>
                      <w:color w:val="000000"/>
                      <w:highlight w:val="none"/>
                    </w:rPr>
                    <w:t>0.76</w:t>
                  </w:r>
                </w:p>
              </w:tc>
            </w:tr>
          </w:tbl>
          <w:p>
            <w:pPr>
              <w:spacing w:line="480" w:lineRule="exact"/>
              <w:ind w:firstLine="646"/>
              <w:rPr>
                <w:rFonts w:ascii="Times New Roman" w:hAnsi="Times New Roman" w:eastAsia="宋体"/>
                <w:color w:val="000000"/>
                <w:sz w:val="24"/>
                <w:szCs w:val="22"/>
                <w:highlight w:val="none"/>
              </w:rPr>
            </w:pPr>
            <w:r>
              <w:rPr>
                <w:rFonts w:ascii="Times New Roman" w:hAnsi="Times New Roman" w:eastAsia="宋体"/>
                <w:color w:val="000000"/>
                <w:sz w:val="24"/>
                <w:szCs w:val="22"/>
                <w:highlight w:val="none"/>
              </w:rPr>
              <w:t>注：工业企业大气污染源构成分为三类：</w:t>
            </w:r>
          </w:p>
          <w:p>
            <w:pPr>
              <w:spacing w:line="440" w:lineRule="exact"/>
              <w:ind w:firstLine="646"/>
              <w:rPr>
                <w:rFonts w:ascii="Times New Roman" w:hAnsi="Times New Roman" w:eastAsia="宋体"/>
                <w:color w:val="000000"/>
                <w:sz w:val="24"/>
                <w:szCs w:val="22"/>
                <w:highlight w:val="none"/>
              </w:rPr>
            </w:pPr>
            <w:r>
              <w:rPr>
                <w:rFonts w:ascii="Times New Roman" w:hAnsi="Times New Roman" w:eastAsia="宋体"/>
                <w:color w:val="000000"/>
                <w:sz w:val="24"/>
                <w:szCs w:val="22"/>
                <w:highlight w:val="none"/>
              </w:rPr>
              <w:t>I类：与无组织排放源共存的排放同种有害气体的排气筒的排放量，大于标准规定的允许排放量的1/3者。</w:t>
            </w:r>
          </w:p>
          <w:p>
            <w:pPr>
              <w:spacing w:line="440" w:lineRule="exact"/>
              <w:ind w:firstLine="646"/>
              <w:rPr>
                <w:rFonts w:ascii="Times New Roman" w:hAnsi="Times New Roman" w:eastAsia="宋体"/>
                <w:color w:val="000000"/>
                <w:sz w:val="24"/>
                <w:szCs w:val="22"/>
                <w:highlight w:val="none"/>
              </w:rPr>
            </w:pPr>
            <w:r>
              <w:rPr>
                <w:rFonts w:ascii="Times New Roman" w:hAnsi="Times New Roman" w:eastAsia="宋体"/>
                <w:color w:val="000000"/>
                <w:sz w:val="24"/>
                <w:szCs w:val="22"/>
                <w:highlight w:val="none"/>
              </w:rPr>
              <w:t>II类：与无组织排放源共存的排放同种有害气体的排气筒的排放量，小于标准规定的允许排放量的1/3，或虽无排放同种大气污染物之排气筒共存，但无织组排放的有害物质的容许浓度指标是按急性反应指标确定者。</w:t>
            </w:r>
          </w:p>
          <w:p>
            <w:pPr>
              <w:spacing w:line="440" w:lineRule="exact"/>
              <w:ind w:firstLine="646"/>
              <w:rPr>
                <w:rFonts w:ascii="Times New Roman" w:hAnsi="Times New Roman" w:eastAsia="宋体"/>
                <w:color w:val="000000"/>
                <w:sz w:val="24"/>
                <w:szCs w:val="22"/>
                <w:highlight w:val="none"/>
              </w:rPr>
            </w:pPr>
            <w:r>
              <w:rPr>
                <w:rFonts w:ascii="Times New Roman" w:hAnsi="Times New Roman" w:eastAsia="宋体"/>
                <w:color w:val="000000"/>
                <w:sz w:val="24"/>
                <w:szCs w:val="22"/>
                <w:highlight w:val="none"/>
              </w:rPr>
              <w:t>III类：无排放同种有害物质的排气筒与无组织排放源共存，无组织排放的有害物质的容许浓度是按慢性反应指标确定者。</w:t>
            </w:r>
          </w:p>
          <w:p>
            <w:pPr>
              <w:spacing w:line="440" w:lineRule="exact"/>
              <w:ind w:firstLine="480" w:firstLineChars="200"/>
              <w:rPr>
                <w:rFonts w:ascii="Times New Roman" w:hAnsi="Times New Roman" w:eastAsia="宋体"/>
                <w:color w:val="000000"/>
                <w:sz w:val="24"/>
                <w:szCs w:val="22"/>
                <w:highlight w:val="none"/>
              </w:rPr>
            </w:pPr>
            <w:r>
              <w:rPr>
                <w:rFonts w:ascii="Times New Roman" w:hAnsi="Times New Roman" w:eastAsia="宋体"/>
                <w:color w:val="000000"/>
                <w:sz w:val="24"/>
                <w:szCs w:val="22"/>
                <w:highlight w:val="none"/>
              </w:rPr>
              <w:t>Qc取同类企业中生产工艺流程合理，生产管理与设备维护处于先进水平的工业企业，在正常运行时的无组织排放量，当计算的L值在两级之间时，取偏宽的一级。</w:t>
            </w:r>
          </w:p>
          <w:p>
            <w:pPr>
              <w:spacing w:line="360" w:lineRule="auto"/>
              <w:jc w:val="center"/>
              <w:rPr>
                <w:rFonts w:ascii="Times New Roman" w:hAnsi="Times New Roman" w:eastAsia="宋体"/>
                <w:b/>
                <w:color w:val="000000"/>
                <w:sz w:val="24"/>
                <w:highlight w:val="none"/>
              </w:rPr>
            </w:pPr>
            <w:r>
              <w:rPr>
                <w:rFonts w:ascii="Times New Roman" w:hAnsi="Times New Roman" w:eastAsia="宋体"/>
                <w:b/>
                <w:color w:val="000000"/>
                <w:sz w:val="24"/>
                <w:highlight w:val="none"/>
              </w:rPr>
              <w:t>表7-</w:t>
            </w:r>
            <w:r>
              <w:rPr>
                <w:rFonts w:hint="eastAsia" w:ascii="Times New Roman" w:hAnsi="Times New Roman" w:eastAsia="宋体"/>
                <w:b/>
                <w:color w:val="000000"/>
                <w:sz w:val="24"/>
                <w:highlight w:val="none"/>
                <w:lang w:val="en-US" w:eastAsia="zh-CN"/>
              </w:rPr>
              <w:t>8</w:t>
            </w:r>
            <w:r>
              <w:rPr>
                <w:rFonts w:ascii="Times New Roman" w:hAnsi="Times New Roman" w:eastAsia="宋体"/>
                <w:b/>
                <w:color w:val="000000"/>
                <w:sz w:val="24"/>
                <w:highlight w:val="none"/>
              </w:rPr>
              <w:t xml:space="preserve"> 无组织废气卫生防护距离计算结果</w:t>
            </w:r>
          </w:p>
          <w:tbl>
            <w:tblPr>
              <w:tblStyle w:val="22"/>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689"/>
              <w:gridCol w:w="572"/>
              <w:gridCol w:w="1442"/>
              <w:gridCol w:w="1265"/>
              <w:gridCol w:w="530"/>
              <w:gridCol w:w="671"/>
              <w:gridCol w:w="535"/>
              <w:gridCol w:w="535"/>
              <w:gridCol w:w="1034"/>
              <w:gridCol w:w="7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931" w:type="pct"/>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排放源</w:t>
                  </w:r>
                </w:p>
              </w:tc>
              <w:tc>
                <w:tcPr>
                  <w:tcW w:w="315" w:type="pct"/>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特征</w:t>
                  </w:r>
                </w:p>
              </w:tc>
              <w:tc>
                <w:tcPr>
                  <w:tcW w:w="795" w:type="pct"/>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污染物</w:t>
                  </w:r>
                </w:p>
              </w:tc>
              <w:tc>
                <w:tcPr>
                  <w:tcW w:w="697" w:type="pct"/>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排放速率</w:t>
                  </w:r>
                </w:p>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kg/h</w:t>
                  </w:r>
                </w:p>
              </w:tc>
              <w:tc>
                <w:tcPr>
                  <w:tcW w:w="292" w:type="pct"/>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A</w:t>
                  </w:r>
                </w:p>
              </w:tc>
              <w:tc>
                <w:tcPr>
                  <w:tcW w:w="370" w:type="pct"/>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B</w:t>
                  </w:r>
                </w:p>
              </w:tc>
              <w:tc>
                <w:tcPr>
                  <w:tcW w:w="295" w:type="pct"/>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C</w:t>
                  </w:r>
                </w:p>
              </w:tc>
              <w:tc>
                <w:tcPr>
                  <w:tcW w:w="295" w:type="pct"/>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D</w:t>
                  </w:r>
                </w:p>
              </w:tc>
              <w:tc>
                <w:tcPr>
                  <w:tcW w:w="570" w:type="pct"/>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卫生防护距离计算值</w:t>
                  </w:r>
                </w:p>
              </w:tc>
              <w:tc>
                <w:tcPr>
                  <w:tcW w:w="435" w:type="pct"/>
                  <w:noWrap w:val="0"/>
                  <w:vAlign w:val="center"/>
                </w:tcPr>
                <w:p>
                  <w:pPr>
                    <w:spacing w:line="240" w:lineRule="atLeast"/>
                    <w:jc w:val="center"/>
                    <w:rPr>
                      <w:rFonts w:ascii="Times New Roman" w:hAnsi="Times New Roman" w:eastAsia="宋体"/>
                      <w:color w:val="000000"/>
                      <w:szCs w:val="21"/>
                      <w:highlight w:val="none"/>
                    </w:rPr>
                  </w:pPr>
                  <w:r>
                    <w:rPr>
                      <w:rFonts w:hint="eastAsia" w:ascii="Times New Roman" w:hAnsi="Times New Roman" w:eastAsia="宋体"/>
                      <w:color w:val="000000"/>
                      <w:szCs w:val="21"/>
                      <w:highlight w:val="none"/>
                      <w:lang w:val="en-US" w:eastAsia="zh-CN"/>
                    </w:rPr>
                    <w:t>最终环境</w:t>
                  </w:r>
                  <w:r>
                    <w:rPr>
                      <w:rFonts w:ascii="Times New Roman" w:hAnsi="Times New Roman" w:eastAsia="宋体"/>
                      <w:color w:val="000000"/>
                      <w:szCs w:val="21"/>
                      <w:highlight w:val="none"/>
                    </w:rPr>
                    <w:t>防护距离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931" w:type="pct"/>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生产区</w:t>
                  </w:r>
                </w:p>
              </w:tc>
              <w:tc>
                <w:tcPr>
                  <w:tcW w:w="315" w:type="pct"/>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面源</w:t>
                  </w:r>
                </w:p>
              </w:tc>
              <w:tc>
                <w:tcPr>
                  <w:tcW w:w="795" w:type="pct"/>
                  <w:noWrap w:val="0"/>
                  <w:vAlign w:val="center"/>
                </w:tcPr>
                <w:p>
                  <w:pPr>
                    <w:spacing w:line="240" w:lineRule="atLeast"/>
                    <w:jc w:val="center"/>
                    <w:rPr>
                      <w:rFonts w:hint="eastAsia" w:ascii="Times New Roman" w:hAnsi="Times New Roman" w:eastAsia="宋体"/>
                      <w:color w:val="000000"/>
                      <w:szCs w:val="21"/>
                      <w:highlight w:val="none"/>
                      <w:lang w:eastAsia="zh-CN"/>
                    </w:rPr>
                  </w:pPr>
                  <w:r>
                    <w:rPr>
                      <w:rFonts w:hint="eastAsia" w:ascii="Times New Roman" w:hAnsi="Times New Roman" w:eastAsia="宋体"/>
                      <w:color w:val="000000"/>
                      <w:szCs w:val="21"/>
                      <w:highlight w:val="none"/>
                      <w:lang w:eastAsia="zh-CN"/>
                    </w:rPr>
                    <w:t>颗粒物</w:t>
                  </w:r>
                </w:p>
              </w:tc>
              <w:tc>
                <w:tcPr>
                  <w:tcW w:w="697" w:type="pct"/>
                  <w:noWrap w:val="0"/>
                  <w:vAlign w:val="center"/>
                </w:tcPr>
                <w:p>
                  <w:pPr>
                    <w:widowControl/>
                    <w:spacing w:line="240" w:lineRule="atLeast"/>
                    <w:jc w:val="center"/>
                    <w:textAlignment w:val="bottom"/>
                    <w:rPr>
                      <w:rFonts w:hint="default" w:ascii="Times New Roman" w:hAnsi="Times New Roman" w:eastAsia="宋体"/>
                      <w:bCs/>
                      <w:color w:val="000000"/>
                      <w:szCs w:val="21"/>
                      <w:highlight w:val="none"/>
                      <w:lang w:val="en-US" w:eastAsia="zh-CN"/>
                    </w:rPr>
                  </w:pPr>
                  <w:r>
                    <w:rPr>
                      <w:rFonts w:hint="eastAsia" w:ascii="Times New Roman" w:hAnsi="Times New Roman" w:eastAsia="宋体"/>
                      <w:bCs/>
                      <w:color w:val="000000"/>
                      <w:szCs w:val="21"/>
                      <w:highlight w:val="none"/>
                      <w:lang w:val="en-US" w:eastAsia="zh-CN"/>
                    </w:rPr>
                    <w:t>0.083</w:t>
                  </w:r>
                </w:p>
              </w:tc>
              <w:tc>
                <w:tcPr>
                  <w:tcW w:w="292" w:type="pct"/>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350</w:t>
                  </w:r>
                </w:p>
              </w:tc>
              <w:tc>
                <w:tcPr>
                  <w:tcW w:w="370" w:type="pct"/>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0.021</w:t>
                  </w:r>
                </w:p>
              </w:tc>
              <w:tc>
                <w:tcPr>
                  <w:tcW w:w="295" w:type="pct"/>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1.85</w:t>
                  </w:r>
                </w:p>
              </w:tc>
              <w:tc>
                <w:tcPr>
                  <w:tcW w:w="295" w:type="pct"/>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0.84</w:t>
                  </w:r>
                </w:p>
              </w:tc>
              <w:tc>
                <w:tcPr>
                  <w:tcW w:w="570" w:type="pct"/>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0.437</w:t>
                  </w:r>
                </w:p>
              </w:tc>
              <w:tc>
                <w:tcPr>
                  <w:tcW w:w="435" w:type="pct"/>
                  <w:vMerge w:val="restart"/>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97" w:hRule="atLeast"/>
                <w:jc w:val="center"/>
              </w:trPr>
              <w:tc>
                <w:tcPr>
                  <w:tcW w:w="931" w:type="pct"/>
                  <w:noWrap w:val="0"/>
                  <w:vAlign w:val="center"/>
                </w:tcPr>
                <w:p>
                  <w:pPr>
                    <w:spacing w:line="240" w:lineRule="atLeast"/>
                    <w:jc w:val="center"/>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生产区</w:t>
                  </w:r>
                </w:p>
              </w:tc>
              <w:tc>
                <w:tcPr>
                  <w:tcW w:w="315" w:type="pct"/>
                  <w:noWrap w:val="0"/>
                  <w:vAlign w:val="center"/>
                </w:tcPr>
                <w:p>
                  <w:pPr>
                    <w:spacing w:line="240" w:lineRule="atLeast"/>
                    <w:jc w:val="center"/>
                    <w:rPr>
                      <w:rFonts w:hint="eastAsia"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面源</w:t>
                  </w:r>
                </w:p>
              </w:tc>
              <w:tc>
                <w:tcPr>
                  <w:tcW w:w="795" w:type="pct"/>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非甲烷总烃</w:t>
                  </w:r>
                </w:p>
              </w:tc>
              <w:tc>
                <w:tcPr>
                  <w:tcW w:w="697" w:type="pct"/>
                  <w:noWrap w:val="0"/>
                  <w:vAlign w:val="center"/>
                </w:tcPr>
                <w:p>
                  <w:pPr>
                    <w:widowControl/>
                    <w:spacing w:line="240" w:lineRule="atLeast"/>
                    <w:jc w:val="center"/>
                    <w:textAlignment w:val="bottom"/>
                    <w:rPr>
                      <w:rFonts w:hint="default" w:ascii="Times New Roman" w:hAnsi="Times New Roman" w:eastAsia="宋体"/>
                      <w:bCs/>
                      <w:color w:val="000000"/>
                      <w:szCs w:val="21"/>
                      <w:highlight w:val="none"/>
                      <w:lang w:val="en-US" w:eastAsia="zh-CN"/>
                    </w:rPr>
                  </w:pPr>
                  <w:r>
                    <w:rPr>
                      <w:rFonts w:hint="eastAsia" w:ascii="Times New Roman" w:hAnsi="Times New Roman" w:eastAsia="宋体"/>
                      <w:bCs/>
                      <w:color w:val="000000"/>
                      <w:szCs w:val="21"/>
                      <w:highlight w:val="none"/>
                      <w:lang w:val="en-US" w:eastAsia="zh-CN"/>
                    </w:rPr>
                    <w:t>1.4</w:t>
                  </w:r>
                </w:p>
              </w:tc>
              <w:tc>
                <w:tcPr>
                  <w:tcW w:w="292" w:type="pct"/>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350</w:t>
                  </w:r>
                </w:p>
              </w:tc>
              <w:tc>
                <w:tcPr>
                  <w:tcW w:w="370" w:type="pct"/>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0.021</w:t>
                  </w:r>
                </w:p>
              </w:tc>
              <w:tc>
                <w:tcPr>
                  <w:tcW w:w="295" w:type="pct"/>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1.85</w:t>
                  </w:r>
                </w:p>
              </w:tc>
              <w:tc>
                <w:tcPr>
                  <w:tcW w:w="295" w:type="pct"/>
                  <w:noWrap w:val="0"/>
                  <w:vAlign w:val="center"/>
                </w:tcPr>
                <w:p>
                  <w:pPr>
                    <w:spacing w:line="240" w:lineRule="atLeast"/>
                    <w:jc w:val="center"/>
                    <w:rPr>
                      <w:rFonts w:ascii="Times New Roman" w:hAnsi="Times New Roman" w:eastAsia="宋体"/>
                      <w:color w:val="000000"/>
                      <w:szCs w:val="21"/>
                      <w:highlight w:val="none"/>
                    </w:rPr>
                  </w:pPr>
                  <w:r>
                    <w:rPr>
                      <w:rFonts w:ascii="Times New Roman" w:hAnsi="Times New Roman" w:eastAsia="宋体"/>
                      <w:color w:val="000000"/>
                      <w:szCs w:val="21"/>
                      <w:highlight w:val="none"/>
                    </w:rPr>
                    <w:t>0.84</w:t>
                  </w:r>
                </w:p>
              </w:tc>
              <w:tc>
                <w:tcPr>
                  <w:tcW w:w="570" w:type="pct"/>
                  <w:noWrap w:val="0"/>
                  <w:vAlign w:val="center"/>
                </w:tcPr>
                <w:p>
                  <w:pPr>
                    <w:spacing w:line="240" w:lineRule="atLeast"/>
                    <w:jc w:val="center"/>
                    <w:rPr>
                      <w:rFonts w:hint="default" w:ascii="Times New Roman" w:hAnsi="Times New Roman" w:eastAsia="宋体"/>
                      <w:color w:val="000000"/>
                      <w:szCs w:val="21"/>
                      <w:highlight w:val="none"/>
                      <w:lang w:val="en-US" w:eastAsia="zh-CN"/>
                    </w:rPr>
                  </w:pPr>
                  <w:r>
                    <w:rPr>
                      <w:rFonts w:hint="eastAsia" w:ascii="Times New Roman" w:hAnsi="Times New Roman" w:eastAsia="宋体"/>
                      <w:color w:val="000000"/>
                      <w:szCs w:val="21"/>
                      <w:highlight w:val="none"/>
                      <w:lang w:val="en-US" w:eastAsia="zh-CN"/>
                    </w:rPr>
                    <w:t>1.679</w:t>
                  </w:r>
                </w:p>
              </w:tc>
              <w:tc>
                <w:tcPr>
                  <w:tcW w:w="435" w:type="pct"/>
                  <w:vMerge w:val="continue"/>
                  <w:noWrap w:val="0"/>
                  <w:vAlign w:val="center"/>
                </w:tcPr>
                <w:p>
                  <w:pPr>
                    <w:spacing w:line="240" w:lineRule="atLeast"/>
                    <w:jc w:val="center"/>
                    <w:rPr>
                      <w:rFonts w:ascii="Times New Roman" w:hAnsi="Times New Roman" w:eastAsia="宋体"/>
                      <w:color w:val="000000"/>
                      <w:szCs w:val="21"/>
                      <w:highlight w:val="none"/>
                    </w:rPr>
                  </w:pPr>
                </w:p>
              </w:tc>
            </w:tr>
          </w:tbl>
          <w:p>
            <w:pPr>
              <w:spacing w:line="360" w:lineRule="auto"/>
              <w:ind w:firstLine="480" w:firstLineChars="200"/>
              <w:jc w:val="left"/>
              <w:rPr>
                <w:rFonts w:ascii="Times New Roman" w:hAnsi="Times New Roman" w:eastAsia="宋体"/>
                <w:color w:val="000000"/>
                <w:sz w:val="24"/>
                <w:highlight w:val="none"/>
              </w:rPr>
            </w:pPr>
            <w:r>
              <w:rPr>
                <w:rFonts w:ascii="Times New Roman" w:hAnsi="Times New Roman" w:eastAsia="宋体"/>
                <w:color w:val="000000"/>
                <w:sz w:val="24"/>
                <w:highlight w:val="none"/>
              </w:rPr>
              <w:t>根据大气环境距离和卫生防护距离计算结果。本</w:t>
            </w:r>
            <w:r>
              <w:rPr>
                <w:rFonts w:hint="eastAsia" w:ascii="Times New Roman" w:hAnsi="Times New Roman" w:eastAsia="宋体"/>
                <w:color w:val="000000"/>
                <w:sz w:val="24"/>
                <w:highlight w:val="none"/>
                <w:lang w:val="en-US" w:eastAsia="zh-CN"/>
              </w:rPr>
              <w:t>项目</w:t>
            </w:r>
            <w:r>
              <w:rPr>
                <w:rFonts w:ascii="Times New Roman" w:hAnsi="Times New Roman" w:eastAsia="宋体"/>
                <w:color w:val="000000"/>
                <w:sz w:val="24"/>
                <w:highlight w:val="none"/>
              </w:rPr>
              <w:t>以生产区为边界起</w:t>
            </w:r>
            <w:r>
              <w:rPr>
                <w:rFonts w:hint="eastAsia" w:ascii="Times New Roman" w:hAnsi="Times New Roman" w:eastAsia="宋体"/>
                <w:color w:val="000000"/>
                <w:sz w:val="24"/>
                <w:highlight w:val="none"/>
                <w:lang w:val="en-US" w:eastAsia="zh-CN"/>
              </w:rPr>
              <w:t>100</w:t>
            </w:r>
            <w:r>
              <w:rPr>
                <w:rFonts w:ascii="Times New Roman" w:hAnsi="Times New Roman" w:eastAsia="宋体"/>
                <w:color w:val="000000"/>
                <w:sz w:val="24"/>
                <w:highlight w:val="none"/>
              </w:rPr>
              <w:t>m设置环境防护距离。据现场调查，项目环境防护距离内无敏感点，且以后不得建设居民区、学校、医院等环境敏感目标。</w:t>
            </w:r>
          </w:p>
          <w:p>
            <w:pPr>
              <w:spacing w:line="360" w:lineRule="auto"/>
              <w:jc w:val="center"/>
              <w:rPr>
                <w:rFonts w:ascii="Times New Roman" w:hAnsi="Times New Roman" w:eastAsia="宋体"/>
                <w:b/>
                <w:bCs/>
                <w:color w:val="000000"/>
                <w:sz w:val="24"/>
                <w:szCs w:val="24"/>
                <w:highlight w:val="none"/>
              </w:rPr>
            </w:pPr>
            <w:r>
              <w:rPr>
                <w:rFonts w:ascii="Times New Roman" w:hAnsi="Times New Roman" w:eastAsia="宋体"/>
                <w:bCs/>
                <w:color w:val="000000"/>
                <w:sz w:val="24"/>
                <w:highlight w:val="none"/>
              </w:rPr>
              <w:t xml:space="preserve">   </w:t>
            </w:r>
            <w:r>
              <w:rPr>
                <w:rFonts w:hint="eastAsia" w:ascii="Times New Roman" w:hAnsi="Times New Roman" w:eastAsia="宋体"/>
                <w:b/>
                <w:bCs/>
                <w:color w:val="000000"/>
                <w:sz w:val="24"/>
                <w:szCs w:val="24"/>
                <w:highlight w:val="none"/>
                <w:lang w:val="en-US" w:eastAsia="zh-CN"/>
              </w:rPr>
              <w:t>表7-9</w:t>
            </w:r>
            <w:r>
              <w:rPr>
                <w:rFonts w:ascii="Times New Roman" w:hAnsi="Times New Roman" w:eastAsia="宋体"/>
                <w:b/>
                <w:bCs/>
                <w:color w:val="000000"/>
                <w:sz w:val="24"/>
                <w:szCs w:val="24"/>
                <w:highlight w:val="none"/>
              </w:rPr>
              <w:t xml:space="preserve">  建设项目大气环境影响评价自查表</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5"/>
              <w:gridCol w:w="1149"/>
              <w:gridCol w:w="1071"/>
              <w:gridCol w:w="113"/>
              <w:gridCol w:w="328"/>
              <w:gridCol w:w="188"/>
              <w:gridCol w:w="329"/>
              <w:gridCol w:w="243"/>
              <w:gridCol w:w="157"/>
              <w:gridCol w:w="133"/>
              <w:gridCol w:w="848"/>
              <w:gridCol w:w="327"/>
              <w:gridCol w:w="557"/>
              <w:gridCol w:w="51"/>
              <w:gridCol w:w="420"/>
              <w:gridCol w:w="589"/>
              <w:gridCol w:w="15"/>
              <w:gridCol w:w="109"/>
              <w:gridCol w:w="426"/>
              <w:gridCol w:w="119"/>
              <w:gridCol w:w="97"/>
              <w:gridCol w:w="388"/>
              <w:gridCol w:w="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5"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工作内容</w:t>
                  </w:r>
                </w:p>
              </w:tc>
              <w:tc>
                <w:tcPr>
                  <w:tcW w:w="8199" w:type="dxa"/>
                  <w:gridSpan w:val="22"/>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自查项目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5" w:type="dxa"/>
                  <w:vMerge w:val="restart"/>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评价等级与范围</w:t>
                  </w:r>
                </w:p>
              </w:tc>
              <w:tc>
                <w:tcPr>
                  <w:tcW w:w="1149"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评价等级</w:t>
                  </w:r>
                </w:p>
              </w:tc>
              <w:tc>
                <w:tcPr>
                  <w:tcW w:w="2562" w:type="dxa"/>
                  <w:gridSpan w:val="8"/>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一级□</w:t>
                  </w:r>
                </w:p>
              </w:tc>
              <w:tc>
                <w:tcPr>
                  <w:tcW w:w="2792" w:type="dxa"/>
                  <w:gridSpan w:val="6"/>
                  <w:noWrap w:val="0"/>
                  <w:vAlign w:val="center"/>
                </w:tcPr>
                <w:p>
                  <w:pPr>
                    <w:jc w:val="center"/>
                    <w:rPr>
                      <w:rFonts w:hint="eastAsia" w:ascii="Times New Roman" w:hAnsi="Times New Roman" w:eastAsia="宋体"/>
                      <w:color w:val="000000"/>
                      <w:sz w:val="18"/>
                      <w:szCs w:val="18"/>
                      <w:highlight w:val="none"/>
                      <w:lang w:eastAsia="zh-CN"/>
                    </w:rPr>
                  </w:pPr>
                  <w:r>
                    <w:rPr>
                      <w:rFonts w:ascii="Times New Roman" w:hAnsi="Times New Roman" w:eastAsia="宋体"/>
                      <w:color w:val="000000"/>
                      <w:sz w:val="18"/>
                      <w:szCs w:val="18"/>
                      <w:highlight w:val="none"/>
                    </w:rPr>
                    <w:t>二级</w:t>
                  </w:r>
                  <w:r>
                    <w:rPr>
                      <w:rFonts w:hint="eastAsia" w:ascii="Times New Roman" w:hAnsi="Times New Roman" w:eastAsia="宋体"/>
                      <w:color w:val="000000"/>
                      <w:sz w:val="18"/>
                      <w:szCs w:val="18"/>
                      <w:highlight w:val="none"/>
                      <w:lang w:eastAsia="zh-CN"/>
                    </w:rPr>
                    <w:t>☑</w:t>
                  </w:r>
                </w:p>
              </w:tc>
              <w:tc>
                <w:tcPr>
                  <w:tcW w:w="1696" w:type="dxa"/>
                  <w:gridSpan w:val="7"/>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5" w:type="dxa"/>
                  <w:vMerge w:val="continue"/>
                  <w:noWrap w:val="0"/>
                  <w:vAlign w:val="center"/>
                </w:tcPr>
                <w:p>
                  <w:pPr>
                    <w:jc w:val="center"/>
                    <w:rPr>
                      <w:rFonts w:ascii="Times New Roman" w:hAnsi="Times New Roman" w:eastAsia="宋体"/>
                      <w:color w:val="000000"/>
                      <w:sz w:val="18"/>
                      <w:szCs w:val="18"/>
                      <w:highlight w:val="none"/>
                    </w:rPr>
                  </w:pPr>
                </w:p>
              </w:tc>
              <w:tc>
                <w:tcPr>
                  <w:tcW w:w="1149"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评价范围</w:t>
                  </w:r>
                </w:p>
              </w:tc>
              <w:tc>
                <w:tcPr>
                  <w:tcW w:w="2562" w:type="dxa"/>
                  <w:gridSpan w:val="8"/>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边长=50km□</w:t>
                  </w:r>
                </w:p>
              </w:tc>
              <w:tc>
                <w:tcPr>
                  <w:tcW w:w="2792" w:type="dxa"/>
                  <w:gridSpan w:val="6"/>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边长5～50km□</w:t>
                  </w:r>
                </w:p>
              </w:tc>
              <w:tc>
                <w:tcPr>
                  <w:tcW w:w="1696" w:type="dxa"/>
                  <w:gridSpan w:val="7"/>
                  <w:noWrap w:val="0"/>
                  <w:vAlign w:val="center"/>
                </w:tcPr>
                <w:p>
                  <w:pPr>
                    <w:jc w:val="center"/>
                    <w:rPr>
                      <w:rFonts w:hint="eastAsia" w:ascii="Times New Roman" w:hAnsi="Times New Roman" w:eastAsia="宋体"/>
                      <w:color w:val="000000"/>
                      <w:sz w:val="18"/>
                      <w:szCs w:val="18"/>
                      <w:highlight w:val="none"/>
                      <w:lang w:eastAsia="zh-CN"/>
                    </w:rPr>
                  </w:pPr>
                  <w:r>
                    <w:rPr>
                      <w:rFonts w:ascii="Times New Roman" w:hAnsi="Times New Roman" w:eastAsia="宋体"/>
                      <w:color w:val="000000"/>
                      <w:sz w:val="18"/>
                      <w:szCs w:val="18"/>
                      <w:highlight w:val="none"/>
                    </w:rPr>
                    <w:t>边长=5 km</w:t>
                  </w:r>
                  <w:r>
                    <w:rPr>
                      <w:rFonts w:hint="eastAsia" w:ascii="Times New Roman" w:hAnsi="Times New Roman" w:eastAsia="宋体"/>
                      <w:color w:val="000000"/>
                      <w:sz w:val="18"/>
                      <w:szCs w:val="1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5" w:type="dxa"/>
                  <w:vMerge w:val="restart"/>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评价因子</w:t>
                  </w:r>
                </w:p>
              </w:tc>
              <w:tc>
                <w:tcPr>
                  <w:tcW w:w="1149"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SO</w:t>
                  </w:r>
                  <w:r>
                    <w:rPr>
                      <w:rFonts w:ascii="Times New Roman" w:hAnsi="Times New Roman" w:eastAsia="宋体"/>
                      <w:color w:val="000000"/>
                      <w:sz w:val="18"/>
                      <w:szCs w:val="18"/>
                      <w:highlight w:val="none"/>
                      <w:vertAlign w:val="subscript"/>
                    </w:rPr>
                    <w:t>2</w:t>
                  </w:r>
                  <w:r>
                    <w:rPr>
                      <w:rFonts w:ascii="Times New Roman" w:hAnsi="Times New Roman" w:eastAsia="宋体"/>
                      <w:color w:val="000000"/>
                      <w:sz w:val="18"/>
                      <w:szCs w:val="18"/>
                      <w:highlight w:val="none"/>
                    </w:rPr>
                    <w:t xml:space="preserve"> +NOx 排放量</w:t>
                  </w:r>
                </w:p>
              </w:tc>
              <w:tc>
                <w:tcPr>
                  <w:tcW w:w="2562" w:type="dxa"/>
                  <w:gridSpan w:val="8"/>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 2000t/a□</w:t>
                  </w:r>
                </w:p>
              </w:tc>
              <w:tc>
                <w:tcPr>
                  <w:tcW w:w="2792" w:type="dxa"/>
                  <w:gridSpan w:val="6"/>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500 ~ 2000t/a□</w:t>
                  </w:r>
                </w:p>
              </w:tc>
              <w:tc>
                <w:tcPr>
                  <w:tcW w:w="1696" w:type="dxa"/>
                  <w:gridSpan w:val="7"/>
                  <w:noWrap w:val="0"/>
                  <w:vAlign w:val="center"/>
                </w:tcPr>
                <w:p>
                  <w:pPr>
                    <w:jc w:val="center"/>
                    <w:rPr>
                      <w:rFonts w:hint="eastAsia" w:ascii="Times New Roman" w:hAnsi="Times New Roman" w:eastAsia="宋体"/>
                      <w:color w:val="000000"/>
                      <w:sz w:val="18"/>
                      <w:szCs w:val="18"/>
                      <w:highlight w:val="none"/>
                      <w:lang w:eastAsia="zh-CN"/>
                    </w:rPr>
                  </w:pPr>
                  <w:r>
                    <w:rPr>
                      <w:rFonts w:ascii="Times New Roman" w:hAnsi="Times New Roman" w:eastAsia="宋体"/>
                      <w:color w:val="000000"/>
                      <w:sz w:val="18"/>
                      <w:szCs w:val="18"/>
                      <w:highlight w:val="none"/>
                    </w:rPr>
                    <w:t>＜500 t/a</w:t>
                  </w:r>
                  <w:r>
                    <w:rPr>
                      <w:rFonts w:hint="eastAsia" w:ascii="Times New Roman" w:hAnsi="Times New Roman" w:eastAsia="宋体"/>
                      <w:color w:val="000000"/>
                      <w:sz w:val="18"/>
                      <w:szCs w:val="1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5" w:type="dxa"/>
                  <w:vMerge w:val="continue"/>
                  <w:noWrap w:val="0"/>
                  <w:vAlign w:val="center"/>
                </w:tcPr>
                <w:p>
                  <w:pPr>
                    <w:jc w:val="center"/>
                    <w:rPr>
                      <w:rFonts w:ascii="Times New Roman" w:hAnsi="Times New Roman" w:eastAsia="宋体"/>
                      <w:color w:val="000000"/>
                      <w:sz w:val="18"/>
                      <w:szCs w:val="18"/>
                      <w:highlight w:val="none"/>
                    </w:rPr>
                  </w:pPr>
                </w:p>
              </w:tc>
              <w:tc>
                <w:tcPr>
                  <w:tcW w:w="1149"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评价因子</w:t>
                  </w:r>
                </w:p>
              </w:tc>
              <w:tc>
                <w:tcPr>
                  <w:tcW w:w="4345" w:type="dxa"/>
                  <w:gridSpan w:val="12"/>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基本污染物 (</w:t>
                  </w:r>
                  <w:r>
                    <w:rPr>
                      <w:rFonts w:hint="eastAsia" w:ascii="Times New Roman" w:hAnsi="Times New Roman" w:eastAsia="宋体"/>
                      <w:color w:val="000000"/>
                      <w:sz w:val="18"/>
                      <w:szCs w:val="18"/>
                      <w:highlight w:val="none"/>
                      <w:lang w:val="en-US" w:eastAsia="zh-CN"/>
                    </w:rPr>
                    <w:t>TSP</w:t>
                  </w:r>
                  <w:r>
                    <w:rPr>
                      <w:rFonts w:hint="eastAsia" w:ascii="Times New Roman" w:hAnsi="Times New Roman" w:eastAsia="宋体"/>
                      <w:color w:val="000000"/>
                      <w:sz w:val="18"/>
                      <w:szCs w:val="18"/>
                      <w:highlight w:val="none"/>
                      <w:lang w:val="en-US" w:eastAsia="zh-CN"/>
                    </w:rPr>
                    <w:t>、</w:t>
                  </w:r>
                  <w:r>
                    <w:rPr>
                      <w:rFonts w:ascii="Times New Roman" w:hAnsi="Times New Roman" w:eastAsia="宋体"/>
                      <w:color w:val="000000"/>
                      <w:sz w:val="18"/>
                      <w:szCs w:val="18"/>
                      <w:highlight w:val="none"/>
                    </w:rPr>
                    <w:t>SO</w:t>
                  </w:r>
                  <w:r>
                    <w:rPr>
                      <w:rFonts w:ascii="Times New Roman" w:hAnsi="Times New Roman" w:eastAsia="宋体"/>
                      <w:color w:val="000000"/>
                      <w:sz w:val="18"/>
                      <w:szCs w:val="18"/>
                      <w:highlight w:val="none"/>
                      <w:vertAlign w:val="subscript"/>
                    </w:rPr>
                    <w:t>2</w:t>
                  </w:r>
                  <w:r>
                    <w:rPr>
                      <w:rFonts w:hint="eastAsia" w:ascii="Times New Roman" w:hAnsi="Times New Roman" w:eastAsia="宋体"/>
                      <w:color w:val="000000"/>
                      <w:sz w:val="18"/>
                      <w:szCs w:val="18"/>
                      <w:highlight w:val="none"/>
                      <w:vertAlign w:val="baseline"/>
                      <w:lang w:eastAsia="zh-CN"/>
                    </w:rPr>
                    <w:t>、</w:t>
                  </w:r>
                  <w:r>
                    <w:rPr>
                      <w:rFonts w:ascii="Times New Roman" w:hAnsi="Times New Roman" w:eastAsia="宋体"/>
                      <w:color w:val="000000"/>
                      <w:sz w:val="18"/>
                      <w:szCs w:val="18"/>
                      <w:highlight w:val="none"/>
                    </w:rPr>
                    <w:t>NOx</w:t>
                  </w:r>
                  <w:r>
                    <w:rPr>
                      <w:rFonts w:ascii="Times New Roman" w:hAnsi="Times New Roman" w:eastAsia="宋体"/>
                      <w:color w:val="000000"/>
                      <w:sz w:val="18"/>
                      <w:szCs w:val="18"/>
                      <w:highlight w:val="none"/>
                    </w:rPr>
                    <w:t>)</w:t>
                  </w:r>
                </w:p>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其他污染物 (</w:t>
                  </w:r>
                  <w:r>
                    <w:rPr>
                      <w:rFonts w:hint="eastAsia" w:ascii="Times New Roman" w:hAnsi="Times New Roman" w:eastAsia="宋体"/>
                      <w:color w:val="000000"/>
                      <w:sz w:val="18"/>
                      <w:szCs w:val="18"/>
                      <w:highlight w:val="none"/>
                      <w:lang w:val="en-US" w:eastAsia="zh-CN"/>
                    </w:rPr>
                    <w:t>VOCs</w:t>
                  </w:r>
                  <w:r>
                    <w:rPr>
                      <w:rFonts w:ascii="Times New Roman" w:hAnsi="Times New Roman" w:eastAsia="宋体"/>
                      <w:color w:val="000000"/>
                      <w:sz w:val="18"/>
                      <w:szCs w:val="18"/>
                      <w:highlight w:val="none"/>
                    </w:rPr>
                    <w:t>)</w:t>
                  </w:r>
                </w:p>
              </w:tc>
              <w:tc>
                <w:tcPr>
                  <w:tcW w:w="2705" w:type="dxa"/>
                  <w:gridSpan w:val="9"/>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包括二次PM2.5□</w:t>
                  </w:r>
                </w:p>
                <w:p>
                  <w:pPr>
                    <w:jc w:val="center"/>
                    <w:rPr>
                      <w:rFonts w:hint="eastAsia" w:ascii="Times New Roman" w:hAnsi="Times New Roman" w:eastAsia="宋体"/>
                      <w:color w:val="000000"/>
                      <w:sz w:val="18"/>
                      <w:szCs w:val="18"/>
                      <w:highlight w:val="none"/>
                      <w:lang w:eastAsia="zh-CN"/>
                    </w:rPr>
                  </w:pPr>
                  <w:r>
                    <w:rPr>
                      <w:rFonts w:ascii="Times New Roman" w:hAnsi="Times New Roman" w:eastAsia="宋体"/>
                      <w:color w:val="000000"/>
                      <w:sz w:val="18"/>
                      <w:szCs w:val="18"/>
                      <w:highlight w:val="none"/>
                    </w:rPr>
                    <w:t>不包括二次PM2.5</w:t>
                  </w:r>
                  <w:r>
                    <w:rPr>
                      <w:rFonts w:hint="eastAsia" w:ascii="Times New Roman" w:hAnsi="Times New Roman" w:eastAsia="宋体"/>
                      <w:color w:val="000000"/>
                      <w:sz w:val="18"/>
                      <w:szCs w:val="1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5"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评价标准</w:t>
                  </w:r>
                </w:p>
              </w:tc>
              <w:tc>
                <w:tcPr>
                  <w:tcW w:w="1149"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评价标准</w:t>
                  </w:r>
                </w:p>
              </w:tc>
              <w:tc>
                <w:tcPr>
                  <w:tcW w:w="2272" w:type="dxa"/>
                  <w:gridSpan w:val="6"/>
                  <w:noWrap w:val="0"/>
                  <w:vAlign w:val="center"/>
                </w:tcPr>
                <w:p>
                  <w:pPr>
                    <w:jc w:val="center"/>
                    <w:rPr>
                      <w:rFonts w:hint="eastAsia" w:ascii="Times New Roman" w:hAnsi="Times New Roman" w:eastAsia="宋体"/>
                      <w:color w:val="000000"/>
                      <w:sz w:val="18"/>
                      <w:szCs w:val="18"/>
                      <w:highlight w:val="none"/>
                      <w:lang w:eastAsia="zh-CN"/>
                    </w:rPr>
                  </w:pPr>
                  <w:r>
                    <w:rPr>
                      <w:rFonts w:ascii="Times New Roman" w:hAnsi="Times New Roman" w:eastAsia="宋体"/>
                      <w:color w:val="000000"/>
                      <w:sz w:val="18"/>
                      <w:szCs w:val="18"/>
                      <w:highlight w:val="none"/>
                    </w:rPr>
                    <w:t>国家标准</w:t>
                  </w:r>
                  <w:r>
                    <w:rPr>
                      <w:rFonts w:hint="eastAsia" w:ascii="Times New Roman" w:hAnsi="Times New Roman" w:eastAsia="宋体"/>
                      <w:color w:val="000000"/>
                      <w:sz w:val="18"/>
                      <w:szCs w:val="18"/>
                      <w:highlight w:val="none"/>
                      <w:lang w:eastAsia="zh-CN"/>
                    </w:rPr>
                    <w:t>☑</w:t>
                  </w:r>
                </w:p>
              </w:tc>
              <w:tc>
                <w:tcPr>
                  <w:tcW w:w="2073" w:type="dxa"/>
                  <w:gridSpan w:val="6"/>
                  <w:noWrap w:val="0"/>
                  <w:vAlign w:val="center"/>
                </w:tcPr>
                <w:p>
                  <w:pPr>
                    <w:jc w:val="center"/>
                    <w:rPr>
                      <w:rFonts w:hint="eastAsia" w:ascii="Times New Roman" w:hAnsi="Times New Roman" w:eastAsia="宋体"/>
                      <w:color w:val="000000"/>
                      <w:sz w:val="18"/>
                      <w:szCs w:val="18"/>
                      <w:highlight w:val="none"/>
                      <w:lang w:eastAsia="zh-CN"/>
                    </w:rPr>
                  </w:pPr>
                  <w:r>
                    <w:rPr>
                      <w:rFonts w:ascii="Times New Roman" w:hAnsi="Times New Roman" w:eastAsia="宋体"/>
                      <w:color w:val="000000"/>
                      <w:sz w:val="18"/>
                      <w:szCs w:val="18"/>
                      <w:highlight w:val="none"/>
                    </w:rPr>
                    <w:t>地方标准</w:t>
                  </w:r>
                  <w:r>
                    <w:rPr>
                      <w:rFonts w:hint="eastAsia" w:ascii="Times New Roman" w:hAnsi="Times New Roman" w:eastAsia="宋体"/>
                      <w:color w:val="000000"/>
                      <w:sz w:val="18"/>
                      <w:szCs w:val="18"/>
                      <w:highlight w:val="none"/>
                      <w:lang w:eastAsia="zh-CN"/>
                    </w:rPr>
                    <w:t>☑</w:t>
                  </w:r>
                </w:p>
              </w:tc>
              <w:tc>
                <w:tcPr>
                  <w:tcW w:w="1775" w:type="dxa"/>
                  <w:gridSpan w:val="7"/>
                  <w:noWrap w:val="0"/>
                  <w:vAlign w:val="center"/>
                </w:tcPr>
                <w:p>
                  <w:pPr>
                    <w:jc w:val="center"/>
                    <w:rPr>
                      <w:rFonts w:hint="eastAsia" w:ascii="Times New Roman" w:hAnsi="Times New Roman" w:eastAsia="宋体"/>
                      <w:color w:val="000000"/>
                      <w:sz w:val="18"/>
                      <w:szCs w:val="18"/>
                      <w:highlight w:val="none"/>
                      <w:lang w:eastAsia="zh-CN"/>
                    </w:rPr>
                  </w:pPr>
                  <w:r>
                    <w:rPr>
                      <w:rFonts w:ascii="Times New Roman" w:hAnsi="Times New Roman" w:eastAsia="宋体"/>
                      <w:color w:val="000000"/>
                      <w:sz w:val="18"/>
                      <w:szCs w:val="18"/>
                      <w:highlight w:val="none"/>
                    </w:rPr>
                    <w:t xml:space="preserve">附录D </w:t>
                  </w:r>
                  <w:r>
                    <w:rPr>
                      <w:rFonts w:hint="eastAsia" w:ascii="Times New Roman" w:hAnsi="Times New Roman" w:eastAsia="宋体"/>
                      <w:color w:val="000000"/>
                      <w:sz w:val="18"/>
                      <w:szCs w:val="18"/>
                      <w:highlight w:val="none"/>
                      <w:lang w:eastAsia="zh-CN"/>
                    </w:rPr>
                    <w:t>☑</w:t>
                  </w:r>
                </w:p>
              </w:tc>
              <w:tc>
                <w:tcPr>
                  <w:tcW w:w="930" w:type="dxa"/>
                  <w:gridSpan w:val="2"/>
                  <w:noWrap w:val="0"/>
                  <w:vAlign w:val="center"/>
                </w:tcPr>
                <w:p>
                  <w:pPr>
                    <w:jc w:val="center"/>
                    <w:rPr>
                      <w:rFonts w:hint="eastAsia" w:ascii="Times New Roman" w:hAnsi="Times New Roman" w:eastAsia="宋体"/>
                      <w:color w:val="000000"/>
                      <w:sz w:val="18"/>
                      <w:szCs w:val="18"/>
                      <w:highlight w:val="none"/>
                      <w:lang w:eastAsia="zh-CN"/>
                    </w:rPr>
                  </w:pPr>
                  <w:r>
                    <w:rPr>
                      <w:rFonts w:ascii="Times New Roman" w:hAnsi="Times New Roman" w:eastAsia="宋体"/>
                      <w:color w:val="000000"/>
                      <w:sz w:val="18"/>
                      <w:szCs w:val="18"/>
                      <w:highlight w:val="none"/>
                    </w:rPr>
                    <w:t>其他标准</w:t>
                  </w:r>
                  <w:r>
                    <w:rPr>
                      <w:rFonts w:hint="eastAsia" w:ascii="Times New Roman" w:hAnsi="Times New Roman" w:eastAsia="宋体"/>
                      <w:color w:val="000000"/>
                      <w:sz w:val="18"/>
                      <w:szCs w:val="1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5" w:type="dxa"/>
                  <w:vMerge w:val="restart"/>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现状评价</w:t>
                  </w:r>
                </w:p>
              </w:tc>
              <w:tc>
                <w:tcPr>
                  <w:tcW w:w="1149"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环境功能区</w:t>
                  </w:r>
                </w:p>
              </w:tc>
              <w:tc>
                <w:tcPr>
                  <w:tcW w:w="2562" w:type="dxa"/>
                  <w:gridSpan w:val="8"/>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一类区□</w:t>
                  </w:r>
                </w:p>
              </w:tc>
              <w:tc>
                <w:tcPr>
                  <w:tcW w:w="2792" w:type="dxa"/>
                  <w:gridSpan w:val="6"/>
                  <w:noWrap w:val="0"/>
                  <w:vAlign w:val="center"/>
                </w:tcPr>
                <w:p>
                  <w:pPr>
                    <w:jc w:val="center"/>
                    <w:rPr>
                      <w:rFonts w:hint="eastAsia" w:ascii="Times New Roman" w:hAnsi="Times New Roman" w:eastAsia="宋体"/>
                      <w:color w:val="000000"/>
                      <w:sz w:val="18"/>
                      <w:szCs w:val="18"/>
                      <w:highlight w:val="none"/>
                      <w:lang w:eastAsia="zh-CN"/>
                    </w:rPr>
                  </w:pPr>
                  <w:r>
                    <w:rPr>
                      <w:rFonts w:ascii="Times New Roman" w:hAnsi="Times New Roman" w:eastAsia="宋体"/>
                      <w:color w:val="000000"/>
                      <w:sz w:val="18"/>
                      <w:szCs w:val="18"/>
                      <w:highlight w:val="none"/>
                    </w:rPr>
                    <w:t>二类区</w:t>
                  </w:r>
                  <w:r>
                    <w:rPr>
                      <w:rFonts w:hint="eastAsia" w:ascii="Times New Roman" w:hAnsi="Times New Roman" w:eastAsia="宋体"/>
                      <w:color w:val="000000"/>
                      <w:sz w:val="18"/>
                      <w:szCs w:val="18"/>
                      <w:highlight w:val="none"/>
                      <w:lang w:eastAsia="zh-CN"/>
                    </w:rPr>
                    <w:t>☑</w:t>
                  </w:r>
                </w:p>
              </w:tc>
              <w:tc>
                <w:tcPr>
                  <w:tcW w:w="1696" w:type="dxa"/>
                  <w:gridSpan w:val="7"/>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一类区和二类区□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5" w:type="dxa"/>
                  <w:vMerge w:val="continue"/>
                  <w:noWrap w:val="0"/>
                  <w:vAlign w:val="center"/>
                </w:tcPr>
                <w:p>
                  <w:pPr>
                    <w:jc w:val="center"/>
                    <w:rPr>
                      <w:rFonts w:ascii="Times New Roman" w:hAnsi="Times New Roman" w:eastAsia="宋体"/>
                      <w:color w:val="000000"/>
                      <w:sz w:val="18"/>
                      <w:szCs w:val="18"/>
                      <w:highlight w:val="none"/>
                    </w:rPr>
                  </w:pPr>
                </w:p>
              </w:tc>
              <w:tc>
                <w:tcPr>
                  <w:tcW w:w="1149"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评价基准年</w:t>
                  </w:r>
                </w:p>
              </w:tc>
              <w:tc>
                <w:tcPr>
                  <w:tcW w:w="7050" w:type="dxa"/>
                  <w:gridSpan w:val="21"/>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（201</w:t>
                  </w:r>
                  <w:r>
                    <w:rPr>
                      <w:rFonts w:hint="eastAsia" w:ascii="Times New Roman" w:hAnsi="Times New Roman" w:eastAsia="宋体"/>
                      <w:color w:val="000000"/>
                      <w:sz w:val="18"/>
                      <w:szCs w:val="18"/>
                      <w:highlight w:val="none"/>
                      <w:lang w:val="en-US" w:eastAsia="zh-CN"/>
                    </w:rPr>
                    <w:t>9</w:t>
                  </w:r>
                  <w:r>
                    <w:rPr>
                      <w:rFonts w:ascii="Times New Roman" w:hAnsi="Times New Roman" w:eastAsia="宋体"/>
                      <w:color w:val="000000"/>
                      <w:sz w:val="18"/>
                      <w:szCs w:val="18"/>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5" w:type="dxa"/>
                  <w:vMerge w:val="continue"/>
                  <w:noWrap w:val="0"/>
                  <w:vAlign w:val="center"/>
                </w:tcPr>
                <w:p>
                  <w:pPr>
                    <w:jc w:val="center"/>
                    <w:rPr>
                      <w:rFonts w:ascii="Times New Roman" w:hAnsi="Times New Roman" w:eastAsia="宋体"/>
                      <w:color w:val="000000"/>
                      <w:sz w:val="18"/>
                      <w:szCs w:val="18"/>
                      <w:highlight w:val="none"/>
                    </w:rPr>
                  </w:pPr>
                </w:p>
              </w:tc>
              <w:tc>
                <w:tcPr>
                  <w:tcW w:w="1149"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环境空气质量现状调查数据来源</w:t>
                  </w:r>
                </w:p>
              </w:tc>
              <w:tc>
                <w:tcPr>
                  <w:tcW w:w="2562" w:type="dxa"/>
                  <w:gridSpan w:val="8"/>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长期例行监测数据□</w:t>
                  </w:r>
                </w:p>
              </w:tc>
              <w:tc>
                <w:tcPr>
                  <w:tcW w:w="2792" w:type="dxa"/>
                  <w:gridSpan w:val="6"/>
                  <w:noWrap w:val="0"/>
                  <w:vAlign w:val="center"/>
                </w:tcPr>
                <w:p>
                  <w:pPr>
                    <w:jc w:val="center"/>
                    <w:rPr>
                      <w:rFonts w:hint="eastAsia" w:ascii="Times New Roman" w:hAnsi="Times New Roman" w:eastAsia="宋体"/>
                      <w:color w:val="000000"/>
                      <w:sz w:val="18"/>
                      <w:szCs w:val="18"/>
                      <w:highlight w:val="none"/>
                      <w:lang w:eastAsia="zh-CN"/>
                    </w:rPr>
                  </w:pPr>
                  <w:r>
                    <w:rPr>
                      <w:rFonts w:ascii="Times New Roman" w:hAnsi="Times New Roman" w:eastAsia="宋体"/>
                      <w:color w:val="000000"/>
                      <w:sz w:val="18"/>
                      <w:szCs w:val="18"/>
                      <w:highlight w:val="none"/>
                    </w:rPr>
                    <w:t>主管部门发布的数据</w:t>
                  </w:r>
                  <w:r>
                    <w:rPr>
                      <w:rFonts w:hint="eastAsia" w:ascii="Times New Roman" w:hAnsi="Times New Roman" w:eastAsia="宋体"/>
                      <w:color w:val="000000"/>
                      <w:sz w:val="18"/>
                      <w:szCs w:val="18"/>
                      <w:highlight w:val="none"/>
                      <w:lang w:eastAsia="zh-CN"/>
                    </w:rPr>
                    <w:t>☑</w:t>
                  </w:r>
                </w:p>
              </w:tc>
              <w:tc>
                <w:tcPr>
                  <w:tcW w:w="1696" w:type="dxa"/>
                  <w:gridSpan w:val="7"/>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现状补充监测□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5" w:type="dxa"/>
                  <w:vMerge w:val="continue"/>
                  <w:noWrap w:val="0"/>
                  <w:vAlign w:val="center"/>
                </w:tcPr>
                <w:p>
                  <w:pPr>
                    <w:jc w:val="center"/>
                    <w:rPr>
                      <w:rFonts w:ascii="Times New Roman" w:hAnsi="Times New Roman" w:eastAsia="宋体"/>
                      <w:color w:val="000000"/>
                      <w:sz w:val="18"/>
                      <w:szCs w:val="18"/>
                      <w:highlight w:val="none"/>
                    </w:rPr>
                  </w:pPr>
                </w:p>
              </w:tc>
              <w:tc>
                <w:tcPr>
                  <w:tcW w:w="1149"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现状评价</w:t>
                  </w:r>
                </w:p>
              </w:tc>
              <w:tc>
                <w:tcPr>
                  <w:tcW w:w="2562" w:type="dxa"/>
                  <w:gridSpan w:val="8"/>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达标区□</w:t>
                  </w:r>
                </w:p>
              </w:tc>
              <w:tc>
                <w:tcPr>
                  <w:tcW w:w="4488" w:type="dxa"/>
                  <w:gridSpan w:val="13"/>
                  <w:noWrap w:val="0"/>
                  <w:vAlign w:val="center"/>
                </w:tcPr>
                <w:p>
                  <w:pPr>
                    <w:jc w:val="center"/>
                    <w:rPr>
                      <w:rFonts w:hint="eastAsia" w:ascii="Times New Roman" w:hAnsi="Times New Roman" w:eastAsia="宋体"/>
                      <w:color w:val="000000"/>
                      <w:sz w:val="18"/>
                      <w:szCs w:val="18"/>
                      <w:highlight w:val="none"/>
                      <w:lang w:eastAsia="zh-CN"/>
                    </w:rPr>
                  </w:pPr>
                  <w:r>
                    <w:rPr>
                      <w:rFonts w:ascii="Times New Roman" w:hAnsi="Times New Roman" w:eastAsia="宋体"/>
                      <w:color w:val="000000"/>
                      <w:sz w:val="18"/>
                      <w:szCs w:val="18"/>
                      <w:highlight w:val="none"/>
                    </w:rPr>
                    <w:t>不达标区</w:t>
                  </w:r>
                  <w:r>
                    <w:rPr>
                      <w:rFonts w:hint="eastAsia" w:ascii="Times New Roman" w:hAnsi="Times New Roman" w:eastAsia="宋体"/>
                      <w:color w:val="000000"/>
                      <w:sz w:val="18"/>
                      <w:szCs w:val="1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35"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污染源调查</w:t>
                  </w:r>
                </w:p>
              </w:tc>
              <w:tc>
                <w:tcPr>
                  <w:tcW w:w="1149"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调查内容</w:t>
                  </w:r>
                </w:p>
              </w:tc>
              <w:tc>
                <w:tcPr>
                  <w:tcW w:w="2562" w:type="dxa"/>
                  <w:gridSpan w:val="8"/>
                  <w:noWrap w:val="0"/>
                  <w:vAlign w:val="center"/>
                </w:tcPr>
                <w:p>
                  <w:pPr>
                    <w:jc w:val="center"/>
                    <w:rPr>
                      <w:rFonts w:hint="eastAsia" w:ascii="Times New Roman" w:hAnsi="Times New Roman" w:eastAsia="宋体"/>
                      <w:color w:val="000000"/>
                      <w:sz w:val="18"/>
                      <w:szCs w:val="18"/>
                      <w:highlight w:val="none"/>
                      <w:lang w:eastAsia="zh-CN"/>
                    </w:rPr>
                  </w:pPr>
                  <w:r>
                    <w:rPr>
                      <w:rFonts w:ascii="Times New Roman" w:hAnsi="Times New Roman" w:eastAsia="宋体"/>
                      <w:color w:val="000000"/>
                      <w:sz w:val="18"/>
                      <w:szCs w:val="18"/>
                      <w:highlight w:val="none"/>
                    </w:rPr>
                    <w:t xml:space="preserve">本项目正常排放源 </w:t>
                  </w:r>
                  <w:r>
                    <w:rPr>
                      <w:rFonts w:hint="eastAsia" w:ascii="Times New Roman" w:hAnsi="Times New Roman" w:eastAsia="宋体"/>
                      <w:color w:val="000000"/>
                      <w:sz w:val="18"/>
                      <w:szCs w:val="18"/>
                      <w:highlight w:val="none"/>
                      <w:lang w:eastAsia="zh-CN"/>
                    </w:rPr>
                    <w:t>☑</w:t>
                  </w:r>
                </w:p>
                <w:p>
                  <w:pPr>
                    <w:jc w:val="center"/>
                    <w:rPr>
                      <w:rFonts w:hint="eastAsia" w:ascii="Times New Roman" w:hAnsi="Times New Roman" w:eastAsia="宋体"/>
                      <w:color w:val="000000"/>
                      <w:sz w:val="18"/>
                      <w:szCs w:val="18"/>
                      <w:highlight w:val="none"/>
                      <w:lang w:eastAsia="zh-CN"/>
                    </w:rPr>
                  </w:pPr>
                  <w:r>
                    <w:rPr>
                      <w:rFonts w:ascii="Times New Roman" w:hAnsi="Times New Roman" w:eastAsia="宋体"/>
                      <w:color w:val="000000"/>
                      <w:sz w:val="18"/>
                      <w:szCs w:val="18"/>
                      <w:highlight w:val="none"/>
                    </w:rPr>
                    <w:t xml:space="preserve">本项目非正常排放源 </w:t>
                  </w:r>
                  <w:r>
                    <w:rPr>
                      <w:rFonts w:hint="eastAsia" w:ascii="Times New Roman" w:hAnsi="Times New Roman" w:eastAsia="宋体"/>
                      <w:color w:val="000000"/>
                      <w:sz w:val="18"/>
                      <w:szCs w:val="18"/>
                      <w:highlight w:val="none"/>
                      <w:lang w:eastAsia="zh-CN"/>
                    </w:rPr>
                    <w:t>□</w:t>
                  </w:r>
                </w:p>
                <w:p>
                  <w:pPr>
                    <w:jc w:val="center"/>
                    <w:rPr>
                      <w:rFonts w:hint="eastAsia" w:ascii="Times New Roman" w:hAnsi="Times New Roman" w:eastAsia="宋体"/>
                      <w:color w:val="000000"/>
                      <w:sz w:val="18"/>
                      <w:szCs w:val="18"/>
                      <w:highlight w:val="none"/>
                      <w:lang w:eastAsia="zh-CN"/>
                    </w:rPr>
                  </w:pPr>
                  <w:r>
                    <w:rPr>
                      <w:rFonts w:ascii="Times New Roman" w:hAnsi="Times New Roman" w:eastAsia="宋体"/>
                      <w:color w:val="000000"/>
                      <w:sz w:val="18"/>
                      <w:szCs w:val="18"/>
                      <w:highlight w:val="none"/>
                    </w:rPr>
                    <w:t>现有污染源</w:t>
                  </w:r>
                  <w:r>
                    <w:rPr>
                      <w:rFonts w:hint="eastAsia" w:ascii="Times New Roman" w:hAnsi="Times New Roman" w:eastAsia="宋体"/>
                      <w:color w:val="000000"/>
                      <w:sz w:val="18"/>
                      <w:szCs w:val="18"/>
                      <w:highlight w:val="none"/>
                      <w:lang w:eastAsia="zh-CN"/>
                    </w:rPr>
                    <w:t>☑</w:t>
                  </w:r>
                </w:p>
              </w:tc>
              <w:tc>
                <w:tcPr>
                  <w:tcW w:w="1732" w:type="dxa"/>
                  <w:gridSpan w:val="3"/>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拟替代的污染源□</w:t>
                  </w:r>
                </w:p>
              </w:tc>
              <w:tc>
                <w:tcPr>
                  <w:tcW w:w="1729" w:type="dxa"/>
                  <w:gridSpan w:val="7"/>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其他在建、拟建项目污染源□</w:t>
                  </w:r>
                </w:p>
              </w:tc>
              <w:tc>
                <w:tcPr>
                  <w:tcW w:w="1027" w:type="dxa"/>
                  <w:gridSpan w:val="3"/>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区域污染源□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5" w:type="dxa"/>
                  <w:vMerge w:val="restart"/>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大气环境影响预测与评价</w:t>
                  </w:r>
                </w:p>
              </w:tc>
              <w:tc>
                <w:tcPr>
                  <w:tcW w:w="1149"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预测模型</w:t>
                  </w:r>
                </w:p>
              </w:tc>
              <w:tc>
                <w:tcPr>
                  <w:tcW w:w="1184" w:type="dxa"/>
                  <w:gridSpan w:val="2"/>
                  <w:noWrap w:val="0"/>
                  <w:vAlign w:val="center"/>
                </w:tcPr>
                <w:p>
                  <w:pPr>
                    <w:jc w:val="center"/>
                    <w:rPr>
                      <w:rFonts w:hint="eastAsia" w:ascii="Times New Roman" w:hAnsi="Times New Roman" w:eastAsia="宋体"/>
                      <w:color w:val="000000"/>
                      <w:sz w:val="18"/>
                      <w:szCs w:val="18"/>
                      <w:highlight w:val="none"/>
                      <w:lang w:eastAsia="zh-CN"/>
                    </w:rPr>
                  </w:pPr>
                  <w:r>
                    <w:rPr>
                      <w:rFonts w:ascii="Times New Roman" w:hAnsi="Times New Roman" w:eastAsia="宋体"/>
                      <w:color w:val="000000"/>
                      <w:sz w:val="18"/>
                      <w:szCs w:val="18"/>
                      <w:highlight w:val="none"/>
                    </w:rPr>
                    <w:t>AERMOD</w:t>
                  </w:r>
                  <w:r>
                    <w:rPr>
                      <w:rFonts w:hint="eastAsia" w:ascii="Times New Roman" w:hAnsi="Times New Roman" w:eastAsia="宋体"/>
                      <w:color w:val="000000"/>
                      <w:sz w:val="18"/>
                      <w:szCs w:val="18"/>
                      <w:highlight w:val="none"/>
                      <w:lang w:eastAsia="zh-CN"/>
                    </w:rPr>
                    <w:t>☑</w:t>
                  </w:r>
                </w:p>
              </w:tc>
              <w:tc>
                <w:tcPr>
                  <w:tcW w:w="845" w:type="dxa"/>
                  <w:gridSpan w:val="3"/>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ADMS□</w:t>
                  </w:r>
                </w:p>
              </w:tc>
              <w:tc>
                <w:tcPr>
                  <w:tcW w:w="1381" w:type="dxa"/>
                  <w:gridSpan w:val="4"/>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AUSTAL2000□</w:t>
                  </w:r>
                </w:p>
              </w:tc>
              <w:tc>
                <w:tcPr>
                  <w:tcW w:w="1355" w:type="dxa"/>
                  <w:gridSpan w:val="4"/>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EDMS/AEDT□</w:t>
                  </w:r>
                </w:p>
              </w:tc>
              <w:tc>
                <w:tcPr>
                  <w:tcW w:w="1139" w:type="dxa"/>
                  <w:gridSpan w:val="4"/>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CALPUFF□</w:t>
                  </w:r>
                </w:p>
              </w:tc>
              <w:tc>
                <w:tcPr>
                  <w:tcW w:w="604" w:type="dxa"/>
                  <w:gridSpan w:val="3"/>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网格模型□</w:t>
                  </w:r>
                </w:p>
              </w:tc>
              <w:tc>
                <w:tcPr>
                  <w:tcW w:w="542"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其他</w:t>
                  </w:r>
                </w:p>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5" w:type="dxa"/>
                  <w:vMerge w:val="continue"/>
                  <w:noWrap w:val="0"/>
                  <w:vAlign w:val="center"/>
                </w:tcPr>
                <w:p>
                  <w:pPr>
                    <w:jc w:val="center"/>
                    <w:rPr>
                      <w:rFonts w:ascii="Times New Roman" w:hAnsi="Times New Roman" w:eastAsia="宋体"/>
                      <w:color w:val="000000"/>
                      <w:sz w:val="18"/>
                      <w:szCs w:val="18"/>
                      <w:highlight w:val="none"/>
                    </w:rPr>
                  </w:pPr>
                </w:p>
              </w:tc>
              <w:tc>
                <w:tcPr>
                  <w:tcW w:w="1149"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预测范围</w:t>
                  </w:r>
                </w:p>
              </w:tc>
              <w:tc>
                <w:tcPr>
                  <w:tcW w:w="2029" w:type="dxa"/>
                  <w:gridSpan w:val="5"/>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边长≥ 50km□</w:t>
                  </w:r>
                </w:p>
              </w:tc>
              <w:tc>
                <w:tcPr>
                  <w:tcW w:w="3325" w:type="dxa"/>
                  <w:gridSpan w:val="9"/>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边长 5～50km □</w:t>
                  </w:r>
                </w:p>
              </w:tc>
              <w:tc>
                <w:tcPr>
                  <w:tcW w:w="1696" w:type="dxa"/>
                  <w:gridSpan w:val="7"/>
                  <w:noWrap w:val="0"/>
                  <w:vAlign w:val="center"/>
                </w:tcPr>
                <w:p>
                  <w:pPr>
                    <w:jc w:val="center"/>
                    <w:rPr>
                      <w:rFonts w:hint="eastAsia" w:ascii="Times New Roman" w:hAnsi="Times New Roman" w:eastAsia="宋体"/>
                      <w:color w:val="000000"/>
                      <w:sz w:val="18"/>
                      <w:szCs w:val="18"/>
                      <w:highlight w:val="none"/>
                      <w:lang w:eastAsia="zh-CN"/>
                    </w:rPr>
                  </w:pPr>
                  <w:r>
                    <w:rPr>
                      <w:rFonts w:ascii="Times New Roman" w:hAnsi="Times New Roman" w:eastAsia="宋体"/>
                      <w:color w:val="000000"/>
                      <w:sz w:val="18"/>
                      <w:szCs w:val="18"/>
                      <w:highlight w:val="none"/>
                    </w:rPr>
                    <w:t xml:space="preserve">边长 = 5 km </w:t>
                  </w:r>
                  <w:r>
                    <w:rPr>
                      <w:rFonts w:hint="eastAsia" w:ascii="Times New Roman" w:hAnsi="Times New Roman" w:eastAsia="宋体"/>
                      <w:color w:val="000000"/>
                      <w:sz w:val="18"/>
                      <w:szCs w:val="1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5" w:type="dxa"/>
                  <w:vMerge w:val="continue"/>
                  <w:noWrap w:val="0"/>
                  <w:vAlign w:val="center"/>
                </w:tcPr>
                <w:p>
                  <w:pPr>
                    <w:jc w:val="center"/>
                    <w:rPr>
                      <w:rFonts w:ascii="Times New Roman" w:hAnsi="Times New Roman" w:eastAsia="宋体"/>
                      <w:color w:val="000000"/>
                      <w:sz w:val="18"/>
                      <w:szCs w:val="18"/>
                      <w:highlight w:val="none"/>
                    </w:rPr>
                  </w:pPr>
                </w:p>
              </w:tc>
              <w:tc>
                <w:tcPr>
                  <w:tcW w:w="1149"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预测因子</w:t>
                  </w:r>
                </w:p>
              </w:tc>
              <w:tc>
                <w:tcPr>
                  <w:tcW w:w="5354" w:type="dxa"/>
                  <w:gridSpan w:val="14"/>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预测因子 (</w:t>
                  </w:r>
                  <w:r>
                    <w:rPr>
                      <w:rFonts w:hint="eastAsia" w:ascii="Times New Roman" w:hAnsi="Times New Roman" w:eastAsia="宋体"/>
                      <w:color w:val="000000"/>
                      <w:sz w:val="18"/>
                      <w:szCs w:val="18"/>
                      <w:highlight w:val="none"/>
                      <w:lang w:val="en-US" w:eastAsia="zh-CN"/>
                    </w:rPr>
                    <w:t>TSP、VOCs</w:t>
                  </w:r>
                  <w:r>
                    <w:rPr>
                      <w:rFonts w:hint="eastAsia" w:ascii="Times New Roman" w:hAnsi="Times New Roman" w:eastAsia="宋体"/>
                      <w:color w:val="000000"/>
                      <w:sz w:val="18"/>
                      <w:szCs w:val="18"/>
                      <w:highlight w:val="none"/>
                      <w:lang w:val="en-US" w:eastAsia="zh-CN"/>
                    </w:rPr>
                    <w:t>、</w:t>
                  </w:r>
                  <w:r>
                    <w:rPr>
                      <w:rFonts w:ascii="Times New Roman" w:hAnsi="Times New Roman" w:eastAsia="宋体"/>
                      <w:color w:val="000000"/>
                      <w:sz w:val="18"/>
                      <w:szCs w:val="18"/>
                      <w:highlight w:val="none"/>
                    </w:rPr>
                    <w:t>SO</w:t>
                  </w:r>
                  <w:r>
                    <w:rPr>
                      <w:rFonts w:ascii="Times New Roman" w:hAnsi="Times New Roman" w:eastAsia="宋体"/>
                      <w:color w:val="000000"/>
                      <w:sz w:val="18"/>
                      <w:szCs w:val="18"/>
                      <w:highlight w:val="none"/>
                      <w:vertAlign w:val="subscript"/>
                    </w:rPr>
                    <w:t>2</w:t>
                  </w:r>
                  <w:r>
                    <w:rPr>
                      <w:rFonts w:hint="eastAsia" w:ascii="Times New Roman" w:hAnsi="Times New Roman" w:eastAsia="宋体"/>
                      <w:color w:val="000000"/>
                      <w:sz w:val="18"/>
                      <w:szCs w:val="18"/>
                      <w:highlight w:val="none"/>
                      <w:vertAlign w:val="baseline"/>
                      <w:lang w:eastAsia="zh-CN"/>
                    </w:rPr>
                    <w:t>、</w:t>
                  </w:r>
                  <w:r>
                    <w:rPr>
                      <w:rFonts w:ascii="Times New Roman" w:hAnsi="Times New Roman" w:eastAsia="宋体"/>
                      <w:color w:val="000000"/>
                      <w:sz w:val="18"/>
                      <w:szCs w:val="18"/>
                      <w:highlight w:val="none"/>
                    </w:rPr>
                    <w:t>NOx</w:t>
                  </w:r>
                  <w:r>
                    <w:rPr>
                      <w:rFonts w:ascii="Times New Roman" w:hAnsi="Times New Roman" w:eastAsia="宋体"/>
                      <w:color w:val="000000"/>
                      <w:sz w:val="18"/>
                      <w:szCs w:val="18"/>
                      <w:highlight w:val="none"/>
                    </w:rPr>
                    <w:t>)</w:t>
                  </w:r>
                </w:p>
              </w:tc>
              <w:tc>
                <w:tcPr>
                  <w:tcW w:w="1696" w:type="dxa"/>
                  <w:gridSpan w:val="7"/>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包括二次 PM2.5 □</w:t>
                  </w:r>
                </w:p>
                <w:p>
                  <w:pPr>
                    <w:jc w:val="center"/>
                    <w:rPr>
                      <w:rFonts w:hint="eastAsia" w:ascii="Times New Roman" w:hAnsi="Times New Roman" w:eastAsia="宋体"/>
                      <w:color w:val="000000"/>
                      <w:sz w:val="18"/>
                      <w:szCs w:val="18"/>
                      <w:highlight w:val="none"/>
                      <w:lang w:eastAsia="zh-CN"/>
                    </w:rPr>
                  </w:pPr>
                  <w:r>
                    <w:rPr>
                      <w:rFonts w:ascii="Times New Roman" w:hAnsi="Times New Roman" w:eastAsia="宋体"/>
                      <w:color w:val="000000"/>
                      <w:sz w:val="18"/>
                      <w:szCs w:val="18"/>
                      <w:highlight w:val="none"/>
                    </w:rPr>
                    <w:t xml:space="preserve">不包括二次PM2.5 </w:t>
                  </w:r>
                  <w:r>
                    <w:rPr>
                      <w:rFonts w:hint="eastAsia" w:ascii="Times New Roman" w:hAnsi="Times New Roman" w:eastAsia="宋体"/>
                      <w:color w:val="000000"/>
                      <w:sz w:val="18"/>
                      <w:szCs w:val="1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5" w:type="dxa"/>
                  <w:vMerge w:val="continue"/>
                  <w:noWrap w:val="0"/>
                  <w:vAlign w:val="center"/>
                </w:tcPr>
                <w:p>
                  <w:pPr>
                    <w:jc w:val="center"/>
                    <w:rPr>
                      <w:rFonts w:ascii="Times New Roman" w:hAnsi="Times New Roman" w:eastAsia="宋体"/>
                      <w:color w:val="000000"/>
                      <w:sz w:val="18"/>
                      <w:szCs w:val="18"/>
                      <w:highlight w:val="none"/>
                    </w:rPr>
                  </w:pPr>
                </w:p>
              </w:tc>
              <w:tc>
                <w:tcPr>
                  <w:tcW w:w="1149"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正常排放短期浓度贡献值</w:t>
                  </w:r>
                </w:p>
              </w:tc>
              <w:tc>
                <w:tcPr>
                  <w:tcW w:w="4294" w:type="dxa"/>
                  <w:gridSpan w:val="11"/>
                  <w:noWrap w:val="0"/>
                  <w:vAlign w:val="center"/>
                </w:tcPr>
                <w:p>
                  <w:pPr>
                    <w:jc w:val="center"/>
                    <w:rPr>
                      <w:rFonts w:hint="eastAsia" w:ascii="Times New Roman" w:hAnsi="Times New Roman" w:eastAsia="宋体"/>
                      <w:color w:val="000000"/>
                      <w:sz w:val="18"/>
                      <w:szCs w:val="18"/>
                      <w:highlight w:val="none"/>
                      <w:lang w:eastAsia="zh-CN"/>
                    </w:rPr>
                  </w:pPr>
                  <w:r>
                    <w:rPr>
                      <w:rFonts w:ascii="Times New Roman" w:hAnsi="Times New Roman" w:eastAsia="宋体"/>
                      <w:color w:val="000000"/>
                      <w:sz w:val="18"/>
                      <w:szCs w:val="18"/>
                      <w:highlight w:val="none"/>
                    </w:rPr>
                    <w:t>本项目最大占标率≤100%</w:t>
                  </w:r>
                  <w:r>
                    <w:rPr>
                      <w:rFonts w:hint="eastAsia" w:ascii="Times New Roman" w:hAnsi="Times New Roman" w:eastAsia="宋体"/>
                      <w:color w:val="000000"/>
                      <w:sz w:val="18"/>
                      <w:szCs w:val="18"/>
                      <w:highlight w:val="none"/>
                      <w:lang w:eastAsia="zh-CN"/>
                    </w:rPr>
                    <w:t>☑</w:t>
                  </w:r>
                </w:p>
              </w:tc>
              <w:tc>
                <w:tcPr>
                  <w:tcW w:w="2756" w:type="dxa"/>
                  <w:gridSpan w:val="10"/>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本项目最大占标率＞100%□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5" w:type="dxa"/>
                  <w:vMerge w:val="continue"/>
                  <w:noWrap w:val="0"/>
                  <w:vAlign w:val="center"/>
                </w:tcPr>
                <w:p>
                  <w:pPr>
                    <w:jc w:val="center"/>
                    <w:rPr>
                      <w:rFonts w:ascii="Times New Roman" w:hAnsi="Times New Roman" w:eastAsia="宋体"/>
                      <w:color w:val="000000"/>
                      <w:sz w:val="18"/>
                      <w:szCs w:val="18"/>
                      <w:highlight w:val="none"/>
                    </w:rPr>
                  </w:pPr>
                </w:p>
              </w:tc>
              <w:tc>
                <w:tcPr>
                  <w:tcW w:w="1149" w:type="dxa"/>
                  <w:vMerge w:val="restart"/>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正常排放年均浓度贡献值</w:t>
                  </w:r>
                </w:p>
              </w:tc>
              <w:tc>
                <w:tcPr>
                  <w:tcW w:w="1071"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一类区</w:t>
                  </w:r>
                </w:p>
              </w:tc>
              <w:tc>
                <w:tcPr>
                  <w:tcW w:w="3223" w:type="dxa"/>
                  <w:gridSpan w:val="10"/>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本项目最大占标率≤10%□</w:t>
                  </w:r>
                </w:p>
              </w:tc>
              <w:tc>
                <w:tcPr>
                  <w:tcW w:w="2756" w:type="dxa"/>
                  <w:gridSpan w:val="10"/>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本项目最大占标率＞≤10%□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5" w:type="dxa"/>
                  <w:vMerge w:val="continue"/>
                  <w:noWrap w:val="0"/>
                  <w:vAlign w:val="center"/>
                </w:tcPr>
                <w:p>
                  <w:pPr>
                    <w:jc w:val="center"/>
                    <w:rPr>
                      <w:rFonts w:ascii="Times New Roman" w:hAnsi="Times New Roman" w:eastAsia="宋体"/>
                      <w:color w:val="000000"/>
                      <w:sz w:val="18"/>
                      <w:szCs w:val="18"/>
                      <w:highlight w:val="none"/>
                    </w:rPr>
                  </w:pPr>
                </w:p>
              </w:tc>
              <w:tc>
                <w:tcPr>
                  <w:tcW w:w="1149" w:type="dxa"/>
                  <w:vMerge w:val="continue"/>
                  <w:noWrap w:val="0"/>
                  <w:vAlign w:val="center"/>
                </w:tcPr>
                <w:p>
                  <w:pPr>
                    <w:jc w:val="center"/>
                    <w:rPr>
                      <w:rFonts w:ascii="Times New Roman" w:hAnsi="Times New Roman" w:eastAsia="宋体"/>
                      <w:color w:val="000000"/>
                      <w:sz w:val="18"/>
                      <w:szCs w:val="18"/>
                      <w:highlight w:val="none"/>
                    </w:rPr>
                  </w:pPr>
                </w:p>
              </w:tc>
              <w:tc>
                <w:tcPr>
                  <w:tcW w:w="1071"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二类区</w:t>
                  </w:r>
                </w:p>
              </w:tc>
              <w:tc>
                <w:tcPr>
                  <w:tcW w:w="3223" w:type="dxa"/>
                  <w:gridSpan w:val="10"/>
                  <w:noWrap w:val="0"/>
                  <w:vAlign w:val="center"/>
                </w:tcPr>
                <w:p>
                  <w:pPr>
                    <w:jc w:val="center"/>
                    <w:rPr>
                      <w:rFonts w:hint="eastAsia" w:ascii="Times New Roman" w:hAnsi="Times New Roman" w:eastAsia="宋体"/>
                      <w:color w:val="000000"/>
                      <w:sz w:val="18"/>
                      <w:szCs w:val="18"/>
                      <w:highlight w:val="none"/>
                      <w:lang w:eastAsia="zh-CN"/>
                    </w:rPr>
                  </w:pPr>
                  <w:r>
                    <w:rPr>
                      <w:rFonts w:ascii="Times New Roman" w:hAnsi="Times New Roman" w:eastAsia="宋体"/>
                      <w:color w:val="000000"/>
                      <w:sz w:val="18"/>
                      <w:szCs w:val="18"/>
                      <w:highlight w:val="none"/>
                    </w:rPr>
                    <w:t>本项目最大占标率≤30%</w:t>
                  </w:r>
                  <w:r>
                    <w:rPr>
                      <w:rFonts w:hint="eastAsia" w:ascii="Times New Roman" w:hAnsi="Times New Roman" w:eastAsia="宋体"/>
                      <w:color w:val="000000"/>
                      <w:sz w:val="18"/>
                      <w:szCs w:val="18"/>
                      <w:highlight w:val="none"/>
                      <w:lang w:eastAsia="zh-CN"/>
                    </w:rPr>
                    <w:t>☑</w:t>
                  </w:r>
                </w:p>
              </w:tc>
              <w:tc>
                <w:tcPr>
                  <w:tcW w:w="2756" w:type="dxa"/>
                  <w:gridSpan w:val="10"/>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本项目最大占标率＞30%□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5" w:type="dxa"/>
                  <w:vMerge w:val="continue"/>
                  <w:noWrap w:val="0"/>
                  <w:vAlign w:val="center"/>
                </w:tcPr>
                <w:p>
                  <w:pPr>
                    <w:jc w:val="center"/>
                    <w:rPr>
                      <w:rFonts w:ascii="Times New Roman" w:hAnsi="Times New Roman" w:eastAsia="宋体"/>
                      <w:color w:val="000000"/>
                      <w:sz w:val="18"/>
                      <w:szCs w:val="18"/>
                      <w:highlight w:val="none"/>
                    </w:rPr>
                  </w:pPr>
                </w:p>
              </w:tc>
              <w:tc>
                <w:tcPr>
                  <w:tcW w:w="1149"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非正常排放1h浓度贡献值</w:t>
                  </w:r>
                </w:p>
              </w:tc>
              <w:tc>
                <w:tcPr>
                  <w:tcW w:w="1512" w:type="dxa"/>
                  <w:gridSpan w:val="3"/>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非正常持续时长（）h</w:t>
                  </w:r>
                </w:p>
              </w:tc>
              <w:tc>
                <w:tcPr>
                  <w:tcW w:w="2782" w:type="dxa"/>
                  <w:gridSpan w:val="8"/>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非正常占标率≤100% □</w:t>
                  </w:r>
                </w:p>
              </w:tc>
              <w:tc>
                <w:tcPr>
                  <w:tcW w:w="2756" w:type="dxa"/>
                  <w:gridSpan w:val="10"/>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非正常占标率＞100%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35" w:type="dxa"/>
                  <w:vMerge w:val="continue"/>
                  <w:noWrap w:val="0"/>
                  <w:vAlign w:val="center"/>
                </w:tcPr>
                <w:p>
                  <w:pPr>
                    <w:jc w:val="center"/>
                    <w:rPr>
                      <w:rFonts w:ascii="Times New Roman" w:hAnsi="Times New Roman" w:eastAsia="宋体"/>
                      <w:color w:val="000000"/>
                      <w:sz w:val="18"/>
                      <w:szCs w:val="18"/>
                      <w:highlight w:val="none"/>
                    </w:rPr>
                  </w:pPr>
                </w:p>
              </w:tc>
              <w:tc>
                <w:tcPr>
                  <w:tcW w:w="1149"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保证率日平均浓度和年平均浓度叠加值</w:t>
                  </w:r>
                </w:p>
              </w:tc>
              <w:tc>
                <w:tcPr>
                  <w:tcW w:w="4294" w:type="dxa"/>
                  <w:gridSpan w:val="11"/>
                  <w:noWrap w:val="0"/>
                  <w:vAlign w:val="center"/>
                </w:tcPr>
                <w:p>
                  <w:pPr>
                    <w:jc w:val="center"/>
                    <w:rPr>
                      <w:rFonts w:hint="eastAsia" w:ascii="Times New Roman" w:hAnsi="Times New Roman" w:eastAsia="宋体"/>
                      <w:color w:val="000000"/>
                      <w:sz w:val="18"/>
                      <w:szCs w:val="18"/>
                      <w:highlight w:val="none"/>
                      <w:lang w:eastAsia="zh-CN"/>
                    </w:rPr>
                  </w:pPr>
                  <w:r>
                    <w:rPr>
                      <w:rFonts w:ascii="Times New Roman" w:hAnsi="Times New Roman" w:eastAsia="宋体"/>
                      <w:color w:val="000000"/>
                      <w:sz w:val="18"/>
                      <w:szCs w:val="18"/>
                      <w:highlight w:val="none"/>
                    </w:rPr>
                    <w:t xml:space="preserve">叠加达标 </w:t>
                  </w:r>
                  <w:r>
                    <w:rPr>
                      <w:rFonts w:hint="eastAsia" w:ascii="Times New Roman" w:hAnsi="Times New Roman" w:eastAsia="宋体"/>
                      <w:color w:val="000000"/>
                      <w:sz w:val="18"/>
                      <w:szCs w:val="18"/>
                      <w:highlight w:val="none"/>
                      <w:lang w:eastAsia="zh-CN"/>
                    </w:rPr>
                    <w:t>☑</w:t>
                  </w:r>
                </w:p>
              </w:tc>
              <w:tc>
                <w:tcPr>
                  <w:tcW w:w="2756" w:type="dxa"/>
                  <w:gridSpan w:val="10"/>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叠加不达标□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5" w:type="dxa"/>
                  <w:vMerge w:val="continue"/>
                  <w:noWrap w:val="0"/>
                  <w:vAlign w:val="center"/>
                </w:tcPr>
                <w:p>
                  <w:pPr>
                    <w:jc w:val="center"/>
                    <w:rPr>
                      <w:rFonts w:ascii="Times New Roman" w:hAnsi="Times New Roman" w:eastAsia="宋体"/>
                      <w:color w:val="000000"/>
                      <w:sz w:val="18"/>
                      <w:szCs w:val="18"/>
                      <w:highlight w:val="none"/>
                    </w:rPr>
                  </w:pPr>
                </w:p>
              </w:tc>
              <w:tc>
                <w:tcPr>
                  <w:tcW w:w="1149"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区域环境质量的整体变化情况</w:t>
                  </w:r>
                </w:p>
              </w:tc>
              <w:tc>
                <w:tcPr>
                  <w:tcW w:w="4294" w:type="dxa"/>
                  <w:gridSpan w:val="11"/>
                  <w:noWrap w:val="0"/>
                  <w:vAlign w:val="center"/>
                </w:tcPr>
                <w:p>
                  <w:pPr>
                    <w:jc w:val="center"/>
                    <w:rPr>
                      <w:rFonts w:hint="eastAsia" w:ascii="Times New Roman" w:hAnsi="Times New Roman" w:eastAsia="宋体"/>
                      <w:color w:val="000000"/>
                      <w:sz w:val="18"/>
                      <w:szCs w:val="18"/>
                      <w:highlight w:val="none"/>
                      <w:lang w:eastAsia="zh-CN"/>
                    </w:rPr>
                  </w:pPr>
                  <w:r>
                    <w:rPr>
                      <w:rFonts w:ascii="Times New Roman" w:hAnsi="Times New Roman" w:eastAsia="宋体"/>
                      <w:color w:val="000000"/>
                      <w:sz w:val="18"/>
                      <w:szCs w:val="18"/>
                      <w:highlight w:val="none"/>
                    </w:rPr>
                    <w:t xml:space="preserve"> k ≤-20% </w:t>
                  </w:r>
                  <w:r>
                    <w:rPr>
                      <w:rFonts w:hint="eastAsia" w:ascii="Times New Roman" w:hAnsi="Times New Roman" w:eastAsia="宋体"/>
                      <w:color w:val="000000"/>
                      <w:sz w:val="18"/>
                      <w:szCs w:val="18"/>
                      <w:highlight w:val="none"/>
                      <w:lang w:eastAsia="zh-CN"/>
                    </w:rPr>
                    <w:t>☑</w:t>
                  </w:r>
                </w:p>
              </w:tc>
              <w:tc>
                <w:tcPr>
                  <w:tcW w:w="2756" w:type="dxa"/>
                  <w:gridSpan w:val="10"/>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k ＞-20%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5" w:type="dxa"/>
                  <w:vMerge w:val="restart"/>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环境监测计划</w:t>
                  </w:r>
                </w:p>
              </w:tc>
              <w:tc>
                <w:tcPr>
                  <w:tcW w:w="1149"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污染源监测</w:t>
                  </w:r>
                </w:p>
              </w:tc>
              <w:tc>
                <w:tcPr>
                  <w:tcW w:w="2429" w:type="dxa"/>
                  <w:gridSpan w:val="7"/>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监测因子：（</w:t>
                  </w:r>
                  <w:r>
                    <w:rPr>
                      <w:rFonts w:hint="eastAsia" w:ascii="Times New Roman" w:hAnsi="Times New Roman" w:eastAsia="宋体"/>
                      <w:color w:val="000000"/>
                      <w:sz w:val="18"/>
                      <w:szCs w:val="18"/>
                      <w:highlight w:val="none"/>
                      <w:lang w:val="en-US" w:eastAsia="zh-CN"/>
                    </w:rPr>
                    <w:t>TSP、VOCs</w:t>
                  </w:r>
                  <w:r>
                    <w:rPr>
                      <w:rFonts w:hint="eastAsia" w:ascii="Times New Roman" w:hAnsi="Times New Roman" w:eastAsia="宋体"/>
                      <w:color w:val="000000"/>
                      <w:sz w:val="18"/>
                      <w:szCs w:val="18"/>
                      <w:highlight w:val="none"/>
                      <w:lang w:val="en-US" w:eastAsia="zh-CN"/>
                    </w:rPr>
                    <w:t>、</w:t>
                  </w:r>
                  <w:r>
                    <w:rPr>
                      <w:rFonts w:ascii="Times New Roman" w:hAnsi="Times New Roman" w:eastAsia="宋体"/>
                      <w:color w:val="000000"/>
                      <w:sz w:val="18"/>
                      <w:szCs w:val="18"/>
                      <w:highlight w:val="none"/>
                    </w:rPr>
                    <w:t>SO</w:t>
                  </w:r>
                  <w:r>
                    <w:rPr>
                      <w:rFonts w:ascii="Times New Roman" w:hAnsi="Times New Roman" w:eastAsia="宋体"/>
                      <w:color w:val="000000"/>
                      <w:sz w:val="18"/>
                      <w:szCs w:val="18"/>
                      <w:highlight w:val="none"/>
                      <w:vertAlign w:val="subscript"/>
                    </w:rPr>
                    <w:t>2</w:t>
                  </w:r>
                  <w:r>
                    <w:rPr>
                      <w:rFonts w:hint="eastAsia" w:ascii="Times New Roman" w:hAnsi="Times New Roman" w:eastAsia="宋体"/>
                      <w:color w:val="000000"/>
                      <w:sz w:val="18"/>
                      <w:szCs w:val="18"/>
                      <w:highlight w:val="none"/>
                      <w:vertAlign w:val="baseline"/>
                      <w:lang w:eastAsia="zh-CN"/>
                    </w:rPr>
                    <w:t>、</w:t>
                  </w:r>
                  <w:r>
                    <w:rPr>
                      <w:rFonts w:ascii="Times New Roman" w:hAnsi="Times New Roman" w:eastAsia="宋体"/>
                      <w:color w:val="000000"/>
                      <w:sz w:val="18"/>
                      <w:szCs w:val="18"/>
                      <w:highlight w:val="none"/>
                    </w:rPr>
                    <w:t>NOx</w:t>
                  </w:r>
                  <w:r>
                    <w:rPr>
                      <w:rFonts w:ascii="Times New Roman" w:hAnsi="Times New Roman" w:eastAsia="宋体"/>
                      <w:color w:val="000000"/>
                      <w:sz w:val="18"/>
                      <w:szCs w:val="18"/>
                      <w:highlight w:val="none"/>
                    </w:rPr>
                    <w:t>）</w:t>
                  </w:r>
                </w:p>
              </w:tc>
              <w:tc>
                <w:tcPr>
                  <w:tcW w:w="2940" w:type="dxa"/>
                  <w:gridSpan w:val="8"/>
                  <w:noWrap w:val="0"/>
                  <w:vAlign w:val="center"/>
                </w:tcPr>
                <w:p>
                  <w:pPr>
                    <w:jc w:val="center"/>
                    <w:rPr>
                      <w:rFonts w:hint="eastAsia" w:ascii="Times New Roman" w:hAnsi="Times New Roman" w:eastAsia="宋体"/>
                      <w:color w:val="000000"/>
                      <w:sz w:val="18"/>
                      <w:szCs w:val="18"/>
                      <w:highlight w:val="none"/>
                      <w:lang w:eastAsia="zh-CN"/>
                    </w:rPr>
                  </w:pPr>
                  <w:r>
                    <w:rPr>
                      <w:rFonts w:ascii="Times New Roman" w:hAnsi="Times New Roman" w:eastAsia="宋体"/>
                      <w:color w:val="000000"/>
                      <w:sz w:val="18"/>
                      <w:szCs w:val="18"/>
                      <w:highlight w:val="none"/>
                    </w:rPr>
                    <w:t xml:space="preserve">有组织废气监测 </w:t>
                  </w:r>
                  <w:r>
                    <w:rPr>
                      <w:rFonts w:hint="eastAsia" w:ascii="Times New Roman" w:hAnsi="Times New Roman" w:eastAsia="宋体"/>
                      <w:color w:val="000000"/>
                      <w:sz w:val="18"/>
                      <w:szCs w:val="18"/>
                      <w:highlight w:val="none"/>
                      <w:lang w:eastAsia="zh-CN"/>
                    </w:rPr>
                    <w:t>□</w:t>
                  </w:r>
                </w:p>
                <w:p>
                  <w:pPr>
                    <w:jc w:val="center"/>
                    <w:rPr>
                      <w:rFonts w:hint="eastAsia" w:ascii="Times New Roman" w:hAnsi="Times New Roman" w:eastAsia="宋体"/>
                      <w:color w:val="000000"/>
                      <w:sz w:val="18"/>
                      <w:szCs w:val="18"/>
                      <w:highlight w:val="none"/>
                      <w:lang w:eastAsia="zh-CN"/>
                    </w:rPr>
                  </w:pPr>
                  <w:r>
                    <w:rPr>
                      <w:rFonts w:ascii="Times New Roman" w:hAnsi="Times New Roman" w:eastAsia="宋体"/>
                      <w:color w:val="000000"/>
                      <w:sz w:val="18"/>
                      <w:szCs w:val="18"/>
                      <w:highlight w:val="none"/>
                    </w:rPr>
                    <w:t xml:space="preserve">无组织废气监测 </w:t>
                  </w:r>
                  <w:r>
                    <w:rPr>
                      <w:rFonts w:hint="eastAsia" w:ascii="Times New Roman" w:hAnsi="Times New Roman" w:eastAsia="宋体"/>
                      <w:color w:val="000000"/>
                      <w:sz w:val="18"/>
                      <w:szCs w:val="18"/>
                      <w:highlight w:val="none"/>
                      <w:lang w:eastAsia="zh-CN"/>
                    </w:rPr>
                    <w:t>☑</w:t>
                  </w:r>
                </w:p>
              </w:tc>
              <w:tc>
                <w:tcPr>
                  <w:tcW w:w="1681" w:type="dxa"/>
                  <w:gridSpan w:val="6"/>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无监测□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5" w:type="dxa"/>
                  <w:vMerge w:val="continue"/>
                  <w:noWrap w:val="0"/>
                  <w:vAlign w:val="center"/>
                </w:tcPr>
                <w:p>
                  <w:pPr>
                    <w:jc w:val="center"/>
                    <w:rPr>
                      <w:rFonts w:ascii="Times New Roman" w:hAnsi="Times New Roman" w:eastAsia="宋体"/>
                      <w:color w:val="000000"/>
                      <w:sz w:val="18"/>
                      <w:szCs w:val="18"/>
                      <w:highlight w:val="none"/>
                    </w:rPr>
                  </w:pPr>
                </w:p>
              </w:tc>
              <w:tc>
                <w:tcPr>
                  <w:tcW w:w="1149"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环境质量监测</w:t>
                  </w:r>
                </w:p>
              </w:tc>
              <w:tc>
                <w:tcPr>
                  <w:tcW w:w="2429" w:type="dxa"/>
                  <w:gridSpan w:val="7"/>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监测因子：（）</w:t>
                  </w:r>
                </w:p>
              </w:tc>
              <w:tc>
                <w:tcPr>
                  <w:tcW w:w="2940" w:type="dxa"/>
                  <w:gridSpan w:val="8"/>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监测点位数（ ）</w:t>
                  </w:r>
                </w:p>
              </w:tc>
              <w:tc>
                <w:tcPr>
                  <w:tcW w:w="1681" w:type="dxa"/>
                  <w:gridSpan w:val="6"/>
                  <w:noWrap w:val="0"/>
                  <w:vAlign w:val="center"/>
                </w:tcPr>
                <w:p>
                  <w:pPr>
                    <w:jc w:val="center"/>
                    <w:rPr>
                      <w:rFonts w:hint="eastAsia" w:ascii="Times New Roman" w:hAnsi="Times New Roman" w:eastAsia="宋体"/>
                      <w:color w:val="000000"/>
                      <w:sz w:val="18"/>
                      <w:szCs w:val="18"/>
                      <w:highlight w:val="none"/>
                      <w:lang w:eastAsia="zh-CN"/>
                    </w:rPr>
                  </w:pPr>
                  <w:r>
                    <w:rPr>
                      <w:rFonts w:ascii="Times New Roman" w:hAnsi="Times New Roman" w:eastAsia="宋体"/>
                      <w:color w:val="000000"/>
                      <w:sz w:val="18"/>
                      <w:szCs w:val="18"/>
                      <w:highlight w:val="none"/>
                    </w:rPr>
                    <w:t>无监测</w:t>
                  </w:r>
                  <w:r>
                    <w:rPr>
                      <w:rFonts w:hint="eastAsia" w:ascii="Times New Roman" w:hAnsi="Times New Roman" w:eastAsia="宋体"/>
                      <w:color w:val="000000"/>
                      <w:sz w:val="18"/>
                      <w:szCs w:val="18"/>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3" w:hRule="atLeast"/>
                <w:jc w:val="center"/>
              </w:trPr>
              <w:tc>
                <w:tcPr>
                  <w:tcW w:w="635" w:type="dxa"/>
                  <w:vMerge w:val="restart"/>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评价结论</w:t>
                  </w:r>
                </w:p>
              </w:tc>
              <w:tc>
                <w:tcPr>
                  <w:tcW w:w="1149"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环境影响</w:t>
                  </w:r>
                </w:p>
              </w:tc>
              <w:tc>
                <w:tcPr>
                  <w:tcW w:w="7050" w:type="dxa"/>
                  <w:gridSpan w:val="21"/>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 xml:space="preserve">可以接受 </w:t>
                  </w:r>
                  <w:r>
                    <w:rPr>
                      <w:rFonts w:hint="eastAsia" w:ascii="Times New Roman" w:hAnsi="Times New Roman" w:eastAsia="宋体"/>
                      <w:color w:val="000000"/>
                      <w:sz w:val="18"/>
                      <w:szCs w:val="18"/>
                      <w:highlight w:val="none"/>
                      <w:lang w:eastAsia="zh-CN"/>
                    </w:rPr>
                    <w:t>☑</w:t>
                  </w:r>
                  <w:r>
                    <w:rPr>
                      <w:rFonts w:ascii="Times New Roman" w:hAnsi="Times New Roman" w:eastAsia="宋体"/>
                      <w:color w:val="000000"/>
                      <w:sz w:val="18"/>
                      <w:szCs w:val="18"/>
                      <w:highlight w:val="none"/>
                    </w:rPr>
                    <w:t>不可以接受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5" w:type="dxa"/>
                  <w:vMerge w:val="continue"/>
                  <w:noWrap w:val="0"/>
                  <w:vAlign w:val="center"/>
                </w:tcPr>
                <w:p>
                  <w:pPr>
                    <w:jc w:val="center"/>
                    <w:rPr>
                      <w:rFonts w:ascii="Times New Roman" w:hAnsi="Times New Roman" w:eastAsia="宋体"/>
                      <w:color w:val="000000"/>
                      <w:sz w:val="18"/>
                      <w:szCs w:val="18"/>
                      <w:highlight w:val="none"/>
                    </w:rPr>
                  </w:pPr>
                </w:p>
              </w:tc>
              <w:tc>
                <w:tcPr>
                  <w:tcW w:w="1149"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大气环境防护距离</w:t>
                  </w:r>
                </w:p>
              </w:tc>
              <w:tc>
                <w:tcPr>
                  <w:tcW w:w="7050" w:type="dxa"/>
                  <w:gridSpan w:val="21"/>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距（ ）厂界最远（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35" w:type="dxa"/>
                  <w:vMerge w:val="continue"/>
                  <w:noWrap w:val="0"/>
                  <w:vAlign w:val="center"/>
                </w:tcPr>
                <w:p>
                  <w:pPr>
                    <w:jc w:val="center"/>
                    <w:rPr>
                      <w:rFonts w:ascii="Times New Roman" w:hAnsi="Times New Roman" w:eastAsia="宋体"/>
                      <w:color w:val="000000"/>
                      <w:sz w:val="18"/>
                      <w:szCs w:val="18"/>
                      <w:highlight w:val="none"/>
                    </w:rPr>
                  </w:pPr>
                </w:p>
              </w:tc>
              <w:tc>
                <w:tcPr>
                  <w:tcW w:w="1149" w:type="dxa"/>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污染源年排放量</w:t>
                  </w:r>
                </w:p>
              </w:tc>
              <w:tc>
                <w:tcPr>
                  <w:tcW w:w="1700" w:type="dxa"/>
                  <w:gridSpan w:val="4"/>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 xml:space="preserve"> SO</w:t>
                  </w:r>
                  <w:r>
                    <w:rPr>
                      <w:rFonts w:ascii="Times New Roman" w:hAnsi="Times New Roman" w:eastAsia="宋体"/>
                      <w:color w:val="000000"/>
                      <w:sz w:val="18"/>
                      <w:szCs w:val="18"/>
                      <w:highlight w:val="none"/>
                      <w:vertAlign w:val="subscript"/>
                    </w:rPr>
                    <w:t>2</w:t>
                  </w:r>
                  <w:r>
                    <w:rPr>
                      <w:rFonts w:ascii="Times New Roman" w:hAnsi="Times New Roman" w:eastAsia="宋体"/>
                      <w:color w:val="000000"/>
                      <w:sz w:val="18"/>
                      <w:szCs w:val="18"/>
                      <w:highlight w:val="none"/>
                    </w:rPr>
                    <w:t>:（</w:t>
                  </w:r>
                  <w:r>
                    <w:rPr>
                      <w:rFonts w:hint="eastAsia" w:ascii="Times New Roman" w:hAnsi="Times New Roman" w:eastAsia="宋体"/>
                      <w:color w:val="000000"/>
                      <w:sz w:val="18"/>
                      <w:szCs w:val="18"/>
                      <w:highlight w:val="none"/>
                      <w:lang w:val="en-US" w:eastAsia="zh-CN"/>
                    </w:rPr>
                    <w:t>3.369</w:t>
                  </w:r>
                  <w:r>
                    <w:rPr>
                      <w:rFonts w:ascii="Times New Roman" w:hAnsi="Times New Roman" w:eastAsia="宋体"/>
                      <w:color w:val="000000"/>
                      <w:sz w:val="18"/>
                      <w:szCs w:val="18"/>
                      <w:highlight w:val="none"/>
                    </w:rPr>
                    <w:t>）t/a</w:t>
                  </w:r>
                </w:p>
              </w:tc>
              <w:tc>
                <w:tcPr>
                  <w:tcW w:w="2037" w:type="dxa"/>
                  <w:gridSpan w:val="6"/>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 xml:space="preserve"> NOx:（</w:t>
                  </w:r>
                  <w:r>
                    <w:rPr>
                      <w:rFonts w:hint="eastAsia" w:ascii="Times New Roman" w:hAnsi="Times New Roman" w:eastAsia="宋体"/>
                      <w:color w:val="000000"/>
                      <w:sz w:val="18"/>
                      <w:szCs w:val="18"/>
                      <w:highlight w:val="none"/>
                      <w:lang w:val="en-US" w:eastAsia="zh-CN"/>
                    </w:rPr>
                    <w:t>2.268</w:t>
                  </w:r>
                  <w:r>
                    <w:rPr>
                      <w:rFonts w:ascii="Times New Roman" w:hAnsi="Times New Roman" w:eastAsia="宋体"/>
                      <w:color w:val="000000"/>
                      <w:sz w:val="18"/>
                      <w:szCs w:val="18"/>
                      <w:highlight w:val="none"/>
                    </w:rPr>
                    <w:t>）t/a</w:t>
                  </w:r>
                </w:p>
              </w:tc>
              <w:tc>
                <w:tcPr>
                  <w:tcW w:w="1741" w:type="dxa"/>
                  <w:gridSpan w:val="6"/>
                  <w:noWrap w:val="0"/>
                  <w:vAlign w:val="center"/>
                </w:tcPr>
                <w:p>
                  <w:pPr>
                    <w:jc w:val="center"/>
                    <w:rPr>
                      <w:rFonts w:ascii="Times New Roman" w:hAnsi="Times New Roman" w:eastAsia="宋体"/>
                      <w:color w:val="000000"/>
                      <w:sz w:val="18"/>
                      <w:szCs w:val="18"/>
                      <w:highlight w:val="none"/>
                    </w:rPr>
                  </w:pPr>
                  <w:r>
                    <w:rPr>
                      <w:rFonts w:hint="eastAsia" w:ascii="Times New Roman" w:hAnsi="Times New Roman" w:eastAsia="宋体"/>
                      <w:color w:val="000000"/>
                      <w:sz w:val="18"/>
                      <w:szCs w:val="18"/>
                      <w:highlight w:val="none"/>
                      <w:lang w:val="en-US" w:eastAsia="zh-CN"/>
                    </w:rPr>
                    <w:t>TSP</w:t>
                  </w:r>
                  <w:r>
                    <w:rPr>
                      <w:rFonts w:ascii="Times New Roman" w:hAnsi="Times New Roman" w:eastAsia="宋体"/>
                      <w:color w:val="000000"/>
                      <w:sz w:val="18"/>
                      <w:szCs w:val="18"/>
                      <w:highlight w:val="none"/>
                    </w:rPr>
                    <w:t>:（</w:t>
                  </w:r>
                  <w:r>
                    <w:rPr>
                      <w:rFonts w:hint="eastAsia" w:ascii="Times New Roman" w:hAnsi="Times New Roman" w:eastAsia="宋体"/>
                      <w:color w:val="000000"/>
                      <w:sz w:val="18"/>
                      <w:szCs w:val="18"/>
                      <w:highlight w:val="none"/>
                      <w:lang w:val="en-US" w:eastAsia="zh-CN"/>
                    </w:rPr>
                    <w:t>5.216</w:t>
                  </w:r>
                  <w:r>
                    <w:rPr>
                      <w:rFonts w:ascii="Times New Roman" w:hAnsi="Times New Roman" w:eastAsia="宋体"/>
                      <w:color w:val="000000"/>
                      <w:sz w:val="18"/>
                      <w:szCs w:val="18"/>
                      <w:highlight w:val="none"/>
                    </w:rPr>
                    <w:t>）</w:t>
                  </w:r>
                  <w:r>
                    <w:rPr>
                      <w:rFonts w:hint="eastAsia" w:ascii="Times New Roman" w:hAnsi="Times New Roman" w:eastAsia="宋体"/>
                      <w:color w:val="000000"/>
                      <w:sz w:val="18"/>
                      <w:szCs w:val="18"/>
                      <w:highlight w:val="none"/>
                      <w:lang w:val="en-US" w:eastAsia="zh-CN"/>
                    </w:rPr>
                    <w:t>t</w:t>
                  </w:r>
                  <w:r>
                    <w:rPr>
                      <w:rFonts w:ascii="Times New Roman" w:hAnsi="Times New Roman" w:eastAsia="宋体"/>
                      <w:color w:val="000000"/>
                      <w:sz w:val="18"/>
                      <w:szCs w:val="18"/>
                      <w:highlight w:val="none"/>
                    </w:rPr>
                    <w:t>/a</w:t>
                  </w:r>
                </w:p>
              </w:tc>
              <w:tc>
                <w:tcPr>
                  <w:tcW w:w="1572" w:type="dxa"/>
                  <w:gridSpan w:val="5"/>
                  <w:noWrap w:val="0"/>
                  <w:vAlign w:val="center"/>
                </w:tcPr>
                <w:p>
                  <w:pPr>
                    <w:jc w:val="center"/>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VOCs:（</w:t>
                  </w:r>
                  <w:r>
                    <w:rPr>
                      <w:rFonts w:hint="eastAsia" w:ascii="Times New Roman" w:hAnsi="Times New Roman" w:eastAsia="宋体"/>
                      <w:color w:val="000000"/>
                      <w:sz w:val="18"/>
                      <w:szCs w:val="18"/>
                      <w:highlight w:val="none"/>
                      <w:lang w:val="en-US" w:eastAsia="zh-CN"/>
                    </w:rPr>
                    <w:t>9.576</w:t>
                  </w:r>
                  <w:r>
                    <w:rPr>
                      <w:rFonts w:ascii="Times New Roman" w:hAnsi="Times New Roman" w:eastAsia="宋体"/>
                      <w:color w:val="000000"/>
                      <w:sz w:val="18"/>
                      <w:szCs w:val="18"/>
                      <w:highlight w:val="none"/>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834" w:type="dxa"/>
                  <w:gridSpan w:val="23"/>
                  <w:noWrap w:val="0"/>
                  <w:vAlign w:val="center"/>
                </w:tcPr>
                <w:p>
                  <w:pPr>
                    <w:jc w:val="left"/>
                    <w:rPr>
                      <w:rFonts w:ascii="Times New Roman" w:hAnsi="Times New Roman" w:eastAsia="宋体"/>
                      <w:color w:val="000000"/>
                      <w:sz w:val="18"/>
                      <w:szCs w:val="18"/>
                      <w:highlight w:val="none"/>
                    </w:rPr>
                  </w:pPr>
                  <w:r>
                    <w:rPr>
                      <w:rFonts w:ascii="Times New Roman" w:hAnsi="Times New Roman" w:eastAsia="宋体"/>
                      <w:color w:val="000000"/>
                      <w:sz w:val="18"/>
                      <w:szCs w:val="18"/>
                      <w:highlight w:val="none"/>
                    </w:rPr>
                    <w:t>注：“□” 为勾选项 ，填“√” ；“（ ）” 为内容填写项</w:t>
                  </w:r>
                </w:p>
              </w:tc>
            </w:tr>
          </w:tbl>
          <w:p>
            <w:pPr>
              <w:autoSpaceDE w:val="0"/>
              <w:autoSpaceDN w:val="0"/>
              <w:adjustRightInd w:val="0"/>
              <w:spacing w:line="360" w:lineRule="auto"/>
              <w:rPr>
                <w:rFonts w:ascii="Times New Roman" w:hAnsi="Times New Roman" w:eastAsia="宋体"/>
                <w:bCs/>
                <w:color w:val="auto"/>
                <w:sz w:val="24"/>
              </w:rPr>
            </w:pPr>
            <w:r>
              <w:rPr>
                <w:rFonts w:ascii="Times New Roman" w:hAnsi="Times New Roman" w:eastAsia="宋体"/>
                <w:bCs/>
                <w:color w:val="auto"/>
                <w:sz w:val="24"/>
              </w:rPr>
              <w:t>三、声环境影响分析</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（1）建设项目噪声污染源强分析</w:t>
            </w:r>
          </w:p>
          <w:p>
            <w:pPr>
              <w:widowControl/>
              <w:spacing w:line="360" w:lineRule="auto"/>
              <w:ind w:firstLine="480" w:firstLineChars="200"/>
              <w:rPr>
                <w:rFonts w:ascii="Times New Roman" w:hAnsi="Times New Roman" w:eastAsia="宋体"/>
                <w:b/>
                <w:color w:val="auto"/>
                <w:sz w:val="24"/>
                <w:szCs w:val="22"/>
              </w:rPr>
            </w:pPr>
            <w:r>
              <w:rPr>
                <w:rFonts w:ascii="Times New Roman" w:hAnsi="Times New Roman" w:eastAsia="宋体"/>
                <w:color w:val="auto"/>
                <w:sz w:val="24"/>
              </w:rPr>
              <w:t>本项目产生的噪声主要来自于</w:t>
            </w:r>
            <w:r>
              <w:rPr>
                <w:rFonts w:hint="eastAsia" w:ascii="Times New Roman" w:hAnsi="Times New Roman" w:eastAsia="宋体"/>
                <w:color w:val="auto"/>
                <w:sz w:val="24"/>
                <w:lang w:val="en-US" w:eastAsia="zh-CN"/>
              </w:rPr>
              <w:t>喷锌机、涂衬机、内磨机</w:t>
            </w:r>
            <w:r>
              <w:rPr>
                <w:rFonts w:hint="eastAsia" w:ascii="Times New Roman" w:hAnsi="Times New Roman" w:eastAsia="宋体"/>
                <w:color w:val="auto"/>
                <w:sz w:val="24"/>
              </w:rPr>
              <w:t>等设备</w:t>
            </w:r>
            <w:r>
              <w:rPr>
                <w:rFonts w:ascii="Times New Roman" w:hAnsi="Times New Roman" w:eastAsia="宋体"/>
                <w:color w:val="auto"/>
                <w:sz w:val="24"/>
              </w:rPr>
              <w:t>，据同类型厂的设备调研，声级值为65dB(A)～</w:t>
            </w:r>
            <w:r>
              <w:rPr>
                <w:rFonts w:hint="eastAsia" w:ascii="Times New Roman" w:hAnsi="Times New Roman" w:eastAsia="宋体"/>
                <w:color w:val="auto"/>
                <w:sz w:val="24"/>
                <w:lang w:val="en-US" w:eastAsia="zh-CN"/>
              </w:rPr>
              <w:t>95</w:t>
            </w:r>
            <w:r>
              <w:rPr>
                <w:rFonts w:ascii="Times New Roman" w:hAnsi="Times New Roman" w:eastAsia="宋体"/>
                <w:color w:val="auto"/>
                <w:sz w:val="24"/>
              </w:rPr>
              <w:t>dB(A)。生产时利用墙壁的作用，使噪声受到不同程度的隔绝和吸收，做到尽可能屏蔽声源，减少对环境的影响。同时在工厂总体布置上利用建筑物、构筑物来阻隔声波的传播。本项目主要设备噪声源强见下表。</w:t>
            </w:r>
          </w:p>
          <w:p>
            <w:pPr>
              <w:pStyle w:val="5"/>
              <w:tabs>
                <w:tab w:val="left" w:pos="2559"/>
                <w:tab w:val="left" w:pos="6171"/>
              </w:tabs>
              <w:spacing w:beforeLines="0" w:afterLines="0" w:line="360" w:lineRule="auto"/>
              <w:jc w:val="center"/>
              <w:rPr>
                <w:rFonts w:ascii="Times New Roman" w:hAnsi="Times New Roman" w:eastAsia="宋体"/>
                <w:b/>
                <w:bCs w:val="0"/>
                <w:color w:val="auto"/>
                <w:szCs w:val="22"/>
              </w:rPr>
            </w:pPr>
            <w:r>
              <w:rPr>
                <w:rFonts w:ascii="Times New Roman" w:hAnsi="Times New Roman" w:eastAsia="宋体"/>
                <w:b/>
                <w:bCs w:val="0"/>
                <w:color w:val="auto"/>
                <w:szCs w:val="22"/>
              </w:rPr>
              <w:t>表</w:t>
            </w:r>
            <w:r>
              <w:rPr>
                <w:rFonts w:hint="eastAsia" w:ascii="Times New Roman" w:hAnsi="Times New Roman" w:eastAsia="宋体"/>
                <w:b/>
                <w:bCs w:val="0"/>
                <w:color w:val="auto"/>
                <w:szCs w:val="22"/>
              </w:rPr>
              <w:t>7</w:t>
            </w:r>
            <w:r>
              <w:rPr>
                <w:rFonts w:ascii="Times New Roman" w:hAnsi="Times New Roman" w:eastAsia="宋体"/>
                <w:b/>
                <w:bCs w:val="0"/>
                <w:color w:val="auto"/>
                <w:szCs w:val="22"/>
              </w:rPr>
              <w:t>-</w:t>
            </w:r>
            <w:r>
              <w:rPr>
                <w:rFonts w:hint="eastAsia" w:ascii="Times New Roman" w:hAnsi="Times New Roman" w:eastAsia="宋体"/>
                <w:b/>
                <w:bCs w:val="0"/>
                <w:color w:val="auto"/>
                <w:szCs w:val="22"/>
                <w:lang w:val="en-US" w:eastAsia="zh-CN"/>
              </w:rPr>
              <w:t>10</w:t>
            </w:r>
            <w:r>
              <w:rPr>
                <w:rFonts w:ascii="Times New Roman" w:hAnsi="Times New Roman" w:eastAsia="宋体"/>
                <w:b/>
                <w:bCs w:val="0"/>
                <w:color w:val="auto"/>
                <w:szCs w:val="22"/>
              </w:rPr>
              <w:t xml:space="preserve">  营运期间噪声污染源强  单位 dB（A）</w:t>
            </w:r>
          </w:p>
          <w:tbl>
            <w:tblPr>
              <w:tblStyle w:val="22"/>
              <w:tblW w:w="9076" w:type="dxa"/>
              <w:jc w:val="center"/>
              <w:tblLayout w:type="autofit"/>
              <w:tblCellMar>
                <w:top w:w="0" w:type="dxa"/>
                <w:left w:w="0" w:type="dxa"/>
                <w:bottom w:w="0" w:type="dxa"/>
                <w:right w:w="0" w:type="dxa"/>
              </w:tblCellMar>
            </w:tblPr>
            <w:tblGrid>
              <w:gridCol w:w="955"/>
              <w:gridCol w:w="2303"/>
              <w:gridCol w:w="1920"/>
              <w:gridCol w:w="2288"/>
              <w:gridCol w:w="1610"/>
            </w:tblGrid>
            <w:tr>
              <w:tblPrEx>
                <w:tblCellMar>
                  <w:top w:w="0" w:type="dxa"/>
                  <w:left w:w="0" w:type="dxa"/>
                  <w:bottom w:w="0" w:type="dxa"/>
                  <w:right w:w="0" w:type="dxa"/>
                </w:tblCellMar>
              </w:tblPrEx>
              <w:trPr>
                <w:trHeight w:val="330" w:hRule="exact"/>
                <w:jc w:val="center"/>
              </w:trPr>
              <w:tc>
                <w:tcPr>
                  <w:tcW w:w="526" w:type="pct"/>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olor w:val="auto"/>
                      <w:szCs w:val="21"/>
                    </w:rPr>
                  </w:pPr>
                  <w:r>
                    <w:rPr>
                      <w:rFonts w:ascii="Times New Roman" w:hAnsi="Times New Roman" w:eastAsia="宋体"/>
                      <w:color w:val="auto"/>
                      <w:szCs w:val="21"/>
                    </w:rPr>
                    <w:t>编号</w:t>
                  </w:r>
                </w:p>
              </w:tc>
              <w:tc>
                <w:tcPr>
                  <w:tcW w:w="1268" w:type="pct"/>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olor w:val="auto"/>
                      <w:szCs w:val="21"/>
                    </w:rPr>
                  </w:pPr>
                  <w:r>
                    <w:rPr>
                      <w:rFonts w:ascii="Times New Roman" w:hAnsi="Times New Roman" w:eastAsia="宋体"/>
                      <w:color w:val="auto"/>
                      <w:szCs w:val="21"/>
                    </w:rPr>
                    <w:t>设备名称</w:t>
                  </w:r>
                </w:p>
              </w:tc>
              <w:tc>
                <w:tcPr>
                  <w:tcW w:w="1057" w:type="pct"/>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olor w:val="auto"/>
                      <w:szCs w:val="21"/>
                    </w:rPr>
                  </w:pPr>
                  <w:r>
                    <w:rPr>
                      <w:rFonts w:ascii="Times New Roman" w:hAnsi="Times New Roman" w:eastAsia="宋体"/>
                      <w:color w:val="auto"/>
                      <w:szCs w:val="21"/>
                    </w:rPr>
                    <w:t>治理前等效声级[dB(A)]</w:t>
                  </w:r>
                </w:p>
              </w:tc>
              <w:tc>
                <w:tcPr>
                  <w:tcW w:w="1260" w:type="pct"/>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olor w:val="auto"/>
                      <w:szCs w:val="21"/>
                    </w:rPr>
                  </w:pPr>
                  <w:r>
                    <w:rPr>
                      <w:rFonts w:ascii="Times New Roman" w:hAnsi="Times New Roman" w:eastAsia="宋体"/>
                      <w:color w:val="auto"/>
                      <w:szCs w:val="21"/>
                    </w:rPr>
                    <w:t>数量（台/套）</w:t>
                  </w:r>
                </w:p>
              </w:tc>
              <w:tc>
                <w:tcPr>
                  <w:tcW w:w="886" w:type="pct"/>
                  <w:tcBorders>
                    <w:top w:val="single" w:color="000000" w:sz="4" w:space="0"/>
                    <w:left w:val="single" w:color="000000" w:sz="4" w:space="0"/>
                    <w:bottom w:val="single" w:color="000000" w:sz="4" w:space="0"/>
                    <w:right w:val="single" w:color="auto" w:sz="4" w:space="0"/>
                  </w:tcBorders>
                  <w:vAlign w:val="center"/>
                </w:tcPr>
                <w:p>
                  <w:pPr>
                    <w:jc w:val="center"/>
                    <w:rPr>
                      <w:rFonts w:ascii="Times New Roman" w:hAnsi="Times New Roman" w:eastAsia="宋体"/>
                      <w:color w:val="auto"/>
                      <w:szCs w:val="21"/>
                    </w:rPr>
                  </w:pPr>
                  <w:r>
                    <w:rPr>
                      <w:rFonts w:ascii="Times New Roman" w:hAnsi="Times New Roman" w:eastAsia="宋体"/>
                      <w:color w:val="auto"/>
                      <w:szCs w:val="21"/>
                    </w:rPr>
                    <w:t>治理措施</w:t>
                  </w:r>
                </w:p>
              </w:tc>
            </w:tr>
            <w:tr>
              <w:tblPrEx>
                <w:tblCellMar>
                  <w:top w:w="0" w:type="dxa"/>
                  <w:left w:w="0" w:type="dxa"/>
                  <w:bottom w:w="0" w:type="dxa"/>
                  <w:right w:w="0" w:type="dxa"/>
                </w:tblCellMar>
              </w:tblPrEx>
              <w:trPr>
                <w:trHeight w:val="322" w:hRule="exact"/>
                <w:jc w:val="center"/>
              </w:trPr>
              <w:tc>
                <w:tcPr>
                  <w:tcW w:w="526" w:type="pct"/>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olor w:val="auto"/>
                      <w:szCs w:val="21"/>
                    </w:rPr>
                  </w:pPr>
                  <w:r>
                    <w:rPr>
                      <w:rFonts w:ascii="Times New Roman" w:hAnsi="Times New Roman" w:eastAsia="宋体"/>
                      <w:color w:val="auto"/>
                      <w:szCs w:val="21"/>
                    </w:rPr>
                    <w:t>1</w:t>
                  </w:r>
                </w:p>
              </w:tc>
              <w:tc>
                <w:tcPr>
                  <w:tcW w:w="1268"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rFonts w:hint="eastAsia" w:ascii="Times New Roman" w:hAnsi="Times New Roman" w:eastAsia="宋体"/>
                      <w:bCs/>
                      <w:color w:val="auto"/>
                      <w:szCs w:val="22"/>
                      <w:lang w:eastAsia="zh-CN"/>
                    </w:rPr>
                  </w:pPr>
                  <w:r>
                    <w:rPr>
                      <w:rFonts w:hint="eastAsia" w:ascii="Times New Roman" w:hAnsi="Times New Roman" w:eastAsia="宋体"/>
                      <w:color w:val="auto"/>
                      <w:szCs w:val="21"/>
                      <w:lang w:val="en-US" w:eastAsia="zh-CN"/>
                    </w:rPr>
                    <w:t>喷锌机</w:t>
                  </w:r>
                </w:p>
              </w:tc>
              <w:tc>
                <w:tcPr>
                  <w:tcW w:w="1057" w:type="pct"/>
                  <w:tcBorders>
                    <w:top w:val="single" w:color="000000" w:sz="4" w:space="0"/>
                    <w:left w:val="single" w:color="000000" w:sz="4" w:space="0"/>
                    <w:bottom w:val="single" w:color="000000" w:sz="4" w:space="0"/>
                    <w:right w:val="single" w:color="000000" w:sz="4" w:space="0"/>
                  </w:tcBorders>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rPr>
                    <w:t>70~8</w:t>
                  </w:r>
                  <w:r>
                    <w:rPr>
                      <w:rFonts w:hint="eastAsia" w:ascii="Times New Roman" w:hAnsi="Times New Roman" w:eastAsia="宋体"/>
                      <w:color w:val="auto"/>
                      <w:szCs w:val="21"/>
                      <w:lang w:val="en-US" w:eastAsia="zh-CN"/>
                    </w:rPr>
                    <w:t>5</w:t>
                  </w:r>
                </w:p>
              </w:tc>
              <w:tc>
                <w:tcPr>
                  <w:tcW w:w="1260"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rFonts w:ascii="Times New Roman" w:hAnsi="Times New Roman" w:eastAsia="宋体"/>
                      <w:color w:val="auto"/>
                      <w:szCs w:val="21"/>
                    </w:rPr>
                  </w:pPr>
                  <w:r>
                    <w:rPr>
                      <w:rFonts w:hint="eastAsia" w:ascii="Times New Roman" w:hAnsi="Times New Roman" w:eastAsia="宋体"/>
                      <w:color w:val="auto"/>
                      <w:szCs w:val="21"/>
                    </w:rPr>
                    <w:t>1</w:t>
                  </w:r>
                </w:p>
              </w:tc>
              <w:tc>
                <w:tcPr>
                  <w:tcW w:w="886" w:type="pct"/>
                  <w:vMerge w:val="restart"/>
                  <w:tcBorders>
                    <w:top w:val="single" w:color="000000" w:sz="4" w:space="0"/>
                    <w:left w:val="single" w:color="000000" w:sz="4" w:space="0"/>
                    <w:right w:val="single" w:color="auto" w:sz="4" w:space="0"/>
                  </w:tcBorders>
                  <w:vAlign w:val="center"/>
                </w:tcPr>
                <w:p>
                  <w:pPr>
                    <w:jc w:val="center"/>
                    <w:rPr>
                      <w:rFonts w:ascii="Times New Roman" w:hAnsi="Times New Roman" w:eastAsia="宋体"/>
                      <w:color w:val="auto"/>
                      <w:szCs w:val="21"/>
                    </w:rPr>
                  </w:pPr>
                  <w:r>
                    <w:rPr>
                      <w:rFonts w:ascii="Times New Roman" w:hAnsi="Times New Roman" w:eastAsia="宋体"/>
                      <w:color w:val="auto"/>
                      <w:szCs w:val="21"/>
                    </w:rPr>
                    <w:t>基础固定、减震、隔声</w:t>
                  </w:r>
                </w:p>
              </w:tc>
            </w:tr>
            <w:tr>
              <w:tblPrEx>
                <w:tblCellMar>
                  <w:top w:w="0" w:type="dxa"/>
                  <w:left w:w="0" w:type="dxa"/>
                  <w:bottom w:w="0" w:type="dxa"/>
                  <w:right w:w="0" w:type="dxa"/>
                </w:tblCellMar>
              </w:tblPrEx>
              <w:trPr>
                <w:trHeight w:val="322" w:hRule="exact"/>
                <w:jc w:val="center"/>
              </w:trPr>
              <w:tc>
                <w:tcPr>
                  <w:tcW w:w="526" w:type="pct"/>
                  <w:tcBorders>
                    <w:top w:val="single" w:color="000000" w:sz="4" w:space="0"/>
                    <w:left w:val="single" w:color="000000" w:sz="4" w:space="0"/>
                    <w:bottom w:val="single" w:color="000000" w:sz="4" w:space="0"/>
                    <w:right w:val="single" w:color="000000" w:sz="4" w:space="0"/>
                  </w:tcBorders>
                </w:tcPr>
                <w:p>
                  <w:pPr>
                    <w:jc w:val="center"/>
                    <w:rPr>
                      <w:rFonts w:ascii="Times New Roman" w:hAnsi="Times New Roman" w:eastAsia="宋体"/>
                      <w:color w:val="auto"/>
                      <w:szCs w:val="21"/>
                    </w:rPr>
                  </w:pPr>
                  <w:r>
                    <w:rPr>
                      <w:rFonts w:ascii="Times New Roman" w:hAnsi="Times New Roman" w:eastAsia="宋体"/>
                      <w:color w:val="auto"/>
                      <w:szCs w:val="21"/>
                    </w:rPr>
                    <w:t>2</w:t>
                  </w:r>
                </w:p>
              </w:tc>
              <w:tc>
                <w:tcPr>
                  <w:tcW w:w="1268"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rFonts w:hint="default" w:ascii="Times New Roman" w:hAnsi="Times New Roman" w:eastAsia="宋体"/>
                      <w:bCs/>
                      <w:color w:val="auto"/>
                      <w:szCs w:val="22"/>
                      <w:lang w:val="en-US" w:eastAsia="zh-CN"/>
                    </w:rPr>
                  </w:pPr>
                  <w:r>
                    <w:rPr>
                      <w:rFonts w:hint="eastAsia" w:ascii="Times New Roman" w:hAnsi="Times New Roman" w:eastAsia="宋体"/>
                      <w:bCs/>
                      <w:color w:val="auto"/>
                      <w:szCs w:val="22"/>
                      <w:lang w:val="en-US" w:eastAsia="zh-CN"/>
                    </w:rPr>
                    <w:t>涂衬机</w:t>
                  </w:r>
                </w:p>
              </w:tc>
              <w:tc>
                <w:tcPr>
                  <w:tcW w:w="1057" w:type="pct"/>
                  <w:tcBorders>
                    <w:top w:val="single" w:color="000000" w:sz="4" w:space="0"/>
                    <w:left w:val="single" w:color="000000" w:sz="4" w:space="0"/>
                    <w:bottom w:val="single" w:color="000000" w:sz="4" w:space="0"/>
                    <w:right w:val="single" w:color="000000" w:sz="4" w:space="0"/>
                  </w:tcBorders>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75</w:t>
                  </w:r>
                  <w:r>
                    <w:rPr>
                      <w:rFonts w:ascii="Times New Roman" w:hAnsi="Times New Roman" w:eastAsia="宋体"/>
                      <w:color w:val="auto"/>
                      <w:szCs w:val="21"/>
                    </w:rPr>
                    <w:t>~</w:t>
                  </w:r>
                  <w:r>
                    <w:rPr>
                      <w:rFonts w:hint="eastAsia" w:ascii="Times New Roman" w:hAnsi="Times New Roman" w:eastAsia="宋体"/>
                      <w:color w:val="auto"/>
                      <w:szCs w:val="21"/>
                      <w:lang w:val="en-US" w:eastAsia="zh-CN"/>
                    </w:rPr>
                    <w:t>95</w:t>
                  </w:r>
                </w:p>
              </w:tc>
              <w:tc>
                <w:tcPr>
                  <w:tcW w:w="1260"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lang w:val="en-US" w:eastAsia="zh-CN"/>
                    </w:rPr>
                    <w:t>1</w:t>
                  </w:r>
                </w:p>
              </w:tc>
              <w:tc>
                <w:tcPr>
                  <w:tcW w:w="886" w:type="pct"/>
                  <w:vMerge w:val="continue"/>
                  <w:tcBorders>
                    <w:left w:val="single" w:color="000000" w:sz="4" w:space="0"/>
                    <w:right w:val="single" w:color="auto" w:sz="4" w:space="0"/>
                  </w:tcBorders>
                  <w:vAlign w:val="center"/>
                </w:tcPr>
                <w:p>
                  <w:pPr>
                    <w:jc w:val="center"/>
                    <w:rPr>
                      <w:rFonts w:ascii="Times New Roman" w:hAnsi="Times New Roman" w:eastAsia="宋体"/>
                      <w:color w:val="auto"/>
                      <w:szCs w:val="21"/>
                    </w:rPr>
                  </w:pPr>
                </w:p>
              </w:tc>
            </w:tr>
            <w:tr>
              <w:tblPrEx>
                <w:tblCellMar>
                  <w:top w:w="0" w:type="dxa"/>
                  <w:left w:w="0" w:type="dxa"/>
                  <w:bottom w:w="0" w:type="dxa"/>
                  <w:right w:w="0" w:type="dxa"/>
                </w:tblCellMar>
              </w:tblPrEx>
              <w:trPr>
                <w:trHeight w:val="322" w:hRule="exact"/>
                <w:jc w:val="center"/>
              </w:trPr>
              <w:tc>
                <w:tcPr>
                  <w:tcW w:w="526" w:type="pct"/>
                  <w:tcBorders>
                    <w:top w:val="single" w:color="000000" w:sz="4" w:space="0"/>
                    <w:left w:val="single" w:color="000000" w:sz="4" w:space="0"/>
                    <w:bottom w:val="single" w:color="000000" w:sz="4" w:space="0"/>
                    <w:right w:val="single" w:color="000000" w:sz="4" w:space="0"/>
                  </w:tcBorders>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3</w:t>
                  </w:r>
                </w:p>
              </w:tc>
              <w:tc>
                <w:tcPr>
                  <w:tcW w:w="1268"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rFonts w:hint="default" w:ascii="Times New Roman" w:hAnsi="Times New Roman" w:eastAsia="宋体"/>
                      <w:bCs/>
                      <w:color w:val="auto"/>
                      <w:szCs w:val="22"/>
                      <w:lang w:val="en-US" w:eastAsia="zh-CN"/>
                    </w:rPr>
                  </w:pPr>
                  <w:r>
                    <w:rPr>
                      <w:rFonts w:hint="eastAsia" w:ascii="Times New Roman" w:hAnsi="Times New Roman" w:eastAsia="宋体"/>
                      <w:bCs/>
                      <w:color w:val="auto"/>
                      <w:szCs w:val="22"/>
                      <w:lang w:val="en-US" w:eastAsia="zh-CN"/>
                    </w:rPr>
                    <w:t>水压机</w:t>
                  </w:r>
                </w:p>
              </w:tc>
              <w:tc>
                <w:tcPr>
                  <w:tcW w:w="1057" w:type="pct"/>
                  <w:tcBorders>
                    <w:top w:val="single" w:color="000000" w:sz="4" w:space="0"/>
                    <w:left w:val="single" w:color="000000" w:sz="4" w:space="0"/>
                    <w:bottom w:val="single" w:color="000000" w:sz="4" w:space="0"/>
                    <w:right w:val="single" w:color="000000" w:sz="4" w:space="0"/>
                  </w:tcBorders>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65</w:t>
                  </w:r>
                  <w:r>
                    <w:rPr>
                      <w:rFonts w:ascii="Times New Roman" w:hAnsi="Times New Roman" w:eastAsia="宋体"/>
                      <w:color w:val="auto"/>
                      <w:szCs w:val="21"/>
                    </w:rPr>
                    <w:t>~</w:t>
                  </w:r>
                  <w:r>
                    <w:rPr>
                      <w:rFonts w:hint="eastAsia" w:ascii="Times New Roman" w:hAnsi="Times New Roman" w:eastAsia="宋体"/>
                      <w:color w:val="auto"/>
                      <w:szCs w:val="21"/>
                      <w:lang w:val="en-US" w:eastAsia="zh-CN"/>
                    </w:rPr>
                    <w:t>75</w:t>
                  </w:r>
                </w:p>
              </w:tc>
              <w:tc>
                <w:tcPr>
                  <w:tcW w:w="1260"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rPr>
                    <w:t>1</w:t>
                  </w:r>
                </w:p>
              </w:tc>
              <w:tc>
                <w:tcPr>
                  <w:tcW w:w="886" w:type="pct"/>
                  <w:vMerge w:val="continue"/>
                  <w:tcBorders>
                    <w:left w:val="single" w:color="000000" w:sz="4" w:space="0"/>
                    <w:right w:val="single" w:color="auto" w:sz="4" w:space="0"/>
                  </w:tcBorders>
                  <w:vAlign w:val="center"/>
                </w:tcPr>
                <w:p>
                  <w:pPr>
                    <w:jc w:val="center"/>
                    <w:rPr>
                      <w:rFonts w:ascii="Times New Roman" w:hAnsi="Times New Roman" w:eastAsia="宋体"/>
                      <w:color w:val="auto"/>
                      <w:szCs w:val="21"/>
                    </w:rPr>
                  </w:pPr>
                </w:p>
              </w:tc>
            </w:tr>
            <w:tr>
              <w:tblPrEx>
                <w:tblCellMar>
                  <w:top w:w="0" w:type="dxa"/>
                  <w:left w:w="0" w:type="dxa"/>
                  <w:bottom w:w="0" w:type="dxa"/>
                  <w:right w:w="0" w:type="dxa"/>
                </w:tblCellMar>
              </w:tblPrEx>
              <w:trPr>
                <w:trHeight w:val="322" w:hRule="exact"/>
                <w:jc w:val="center"/>
              </w:trPr>
              <w:tc>
                <w:tcPr>
                  <w:tcW w:w="526" w:type="pct"/>
                  <w:tcBorders>
                    <w:top w:val="single" w:color="000000" w:sz="4" w:space="0"/>
                    <w:left w:val="single" w:color="000000" w:sz="4" w:space="0"/>
                    <w:bottom w:val="single" w:color="000000" w:sz="4" w:space="0"/>
                    <w:right w:val="single" w:color="000000" w:sz="4" w:space="0"/>
                  </w:tcBorders>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4</w:t>
                  </w:r>
                </w:p>
              </w:tc>
              <w:tc>
                <w:tcPr>
                  <w:tcW w:w="1268"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rFonts w:hint="default" w:ascii="Times New Roman" w:hAnsi="Times New Roman" w:eastAsia="宋体"/>
                      <w:bCs/>
                      <w:color w:val="auto"/>
                      <w:szCs w:val="22"/>
                      <w:lang w:val="en-US" w:eastAsia="zh-CN"/>
                    </w:rPr>
                  </w:pPr>
                  <w:r>
                    <w:rPr>
                      <w:rFonts w:hint="eastAsia" w:ascii="Times New Roman" w:hAnsi="Times New Roman" w:eastAsia="宋体"/>
                      <w:bCs/>
                      <w:color w:val="auto"/>
                      <w:szCs w:val="22"/>
                      <w:lang w:val="en-US" w:eastAsia="zh-CN"/>
                    </w:rPr>
                    <w:t>内磨机</w:t>
                  </w:r>
                </w:p>
              </w:tc>
              <w:tc>
                <w:tcPr>
                  <w:tcW w:w="1057" w:type="pct"/>
                  <w:tcBorders>
                    <w:top w:val="single" w:color="000000" w:sz="4" w:space="0"/>
                    <w:left w:val="single" w:color="000000" w:sz="4" w:space="0"/>
                    <w:bottom w:val="single" w:color="000000" w:sz="4" w:space="0"/>
                    <w:right w:val="single" w:color="000000" w:sz="4" w:space="0"/>
                  </w:tcBorders>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80</w:t>
                  </w:r>
                  <w:r>
                    <w:rPr>
                      <w:rFonts w:ascii="Times New Roman" w:hAnsi="Times New Roman" w:eastAsia="宋体"/>
                      <w:color w:val="auto"/>
                      <w:szCs w:val="21"/>
                    </w:rPr>
                    <w:t>~</w:t>
                  </w:r>
                  <w:r>
                    <w:rPr>
                      <w:rFonts w:hint="eastAsia" w:ascii="Times New Roman" w:hAnsi="Times New Roman" w:eastAsia="宋体"/>
                      <w:color w:val="auto"/>
                      <w:szCs w:val="21"/>
                      <w:lang w:val="en-US" w:eastAsia="zh-CN"/>
                    </w:rPr>
                    <w:t>90</w:t>
                  </w:r>
                </w:p>
              </w:tc>
              <w:tc>
                <w:tcPr>
                  <w:tcW w:w="1260" w:type="pct"/>
                  <w:tcBorders>
                    <w:top w:val="single" w:color="000000" w:sz="4" w:space="0"/>
                    <w:left w:val="single" w:color="000000" w:sz="4" w:space="0"/>
                    <w:bottom w:val="single" w:color="000000" w:sz="4" w:space="0"/>
                    <w:right w:val="single" w:color="000000" w:sz="4" w:space="0"/>
                  </w:tcBorders>
                  <w:vAlign w:val="center"/>
                </w:tcPr>
                <w:p>
                  <w:pPr>
                    <w:spacing w:line="240" w:lineRule="atLeast"/>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w:t>
                  </w:r>
                </w:p>
              </w:tc>
              <w:tc>
                <w:tcPr>
                  <w:tcW w:w="886" w:type="pct"/>
                  <w:vMerge w:val="continue"/>
                  <w:tcBorders>
                    <w:left w:val="single" w:color="000000" w:sz="4" w:space="0"/>
                    <w:bottom w:val="single" w:color="auto" w:sz="4" w:space="0"/>
                    <w:right w:val="single" w:color="auto" w:sz="4" w:space="0"/>
                  </w:tcBorders>
                  <w:vAlign w:val="center"/>
                </w:tcPr>
                <w:p>
                  <w:pPr>
                    <w:jc w:val="center"/>
                    <w:rPr>
                      <w:rFonts w:ascii="Times New Roman" w:hAnsi="Times New Roman" w:eastAsia="宋体"/>
                      <w:color w:val="auto"/>
                      <w:szCs w:val="21"/>
                    </w:rPr>
                  </w:pPr>
                </w:p>
              </w:tc>
            </w:tr>
          </w:tbl>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（2）声环境影响预测</w:t>
            </w:r>
          </w:p>
          <w:p>
            <w:pPr>
              <w:pStyle w:val="34"/>
              <w:snapToGrid w:val="0"/>
              <w:spacing w:line="360" w:lineRule="auto"/>
              <w:ind w:firstLine="480" w:firstLineChars="200"/>
              <w:rPr>
                <w:rFonts w:ascii="Times New Roman" w:hAnsi="Times New Roman" w:eastAsia="宋体"/>
                <w:color w:val="auto"/>
                <w:kern w:val="2"/>
              </w:rPr>
            </w:pPr>
            <w:r>
              <w:rPr>
                <w:rFonts w:ascii="Times New Roman" w:hAnsi="Times New Roman" w:eastAsia="宋体"/>
                <w:color w:val="auto"/>
                <w:kern w:val="2"/>
              </w:rPr>
              <w:t>根据本项目所在地块周边环境情况确定噪声影响预测范围为厂界四周。根据噪声的传播规律可知，从噪声源至受声点的噪声衰减总量是由噪声源到受声点的距离、车间墙体隔声量、空气吸收和绿化带阻滞及建筑屏障的衰减综合而成。</w:t>
            </w:r>
          </w:p>
          <w:p>
            <w:pPr>
              <w:pStyle w:val="34"/>
              <w:snapToGrid w:val="0"/>
              <w:spacing w:line="360" w:lineRule="auto"/>
              <w:ind w:firstLine="480" w:firstLineChars="200"/>
              <w:rPr>
                <w:rFonts w:ascii="Times New Roman" w:hAnsi="Times New Roman" w:eastAsia="宋体"/>
                <w:color w:val="auto"/>
                <w:kern w:val="2"/>
                <w:szCs w:val="22"/>
              </w:rPr>
            </w:pPr>
            <w:r>
              <w:rPr>
                <w:rFonts w:ascii="Times New Roman" w:hAnsi="Times New Roman" w:eastAsia="宋体"/>
                <w:color w:val="auto"/>
                <w:kern w:val="2"/>
              </w:rPr>
              <w:t>根据拟建</w:t>
            </w:r>
            <w:r>
              <w:rPr>
                <w:rFonts w:ascii="Times New Roman" w:hAnsi="Times New Roman" w:eastAsia="宋体"/>
                <w:color w:val="auto"/>
                <w:kern w:val="2"/>
                <w:szCs w:val="22"/>
              </w:rPr>
              <w:t>项目设备声源特征和声环境的特点，视设备声源为点源，声场为半自由声场，依据《环境影响评价技术导则-声环境》（HJ2.4-2009），选用无指向性声源几何发散衰减预测模式预测厂界噪声及敏感点噪声贡献值。</w:t>
            </w:r>
          </w:p>
          <w:p>
            <w:pPr>
              <w:pStyle w:val="34"/>
              <w:snapToGrid w:val="0"/>
              <w:spacing w:line="360" w:lineRule="auto"/>
              <w:ind w:firstLine="480" w:firstLineChars="200"/>
              <w:rPr>
                <w:rFonts w:ascii="Times New Roman" w:hAnsi="Times New Roman" w:eastAsia="宋体"/>
                <w:color w:val="auto"/>
                <w:kern w:val="2"/>
                <w:szCs w:val="22"/>
              </w:rPr>
            </w:pPr>
            <w:r>
              <w:rPr>
                <w:rFonts w:ascii="Times New Roman" w:hAnsi="Times New Roman" w:eastAsia="宋体"/>
                <w:color w:val="auto"/>
                <w:kern w:val="2"/>
                <w:szCs w:val="22"/>
              </w:rPr>
              <w:t>①户外声传播衰减计算</w:t>
            </w:r>
          </w:p>
          <w:p>
            <w:pPr>
              <w:pStyle w:val="34"/>
              <w:snapToGrid w:val="0"/>
              <w:spacing w:line="360" w:lineRule="auto"/>
              <w:ind w:firstLine="480" w:firstLineChars="200"/>
              <w:rPr>
                <w:rFonts w:ascii="Times New Roman" w:hAnsi="Times New Roman" w:eastAsia="宋体"/>
                <w:color w:val="auto"/>
              </w:rPr>
            </w:pPr>
            <w:r>
              <w:rPr>
                <w:rFonts w:ascii="Times New Roman" w:hAnsi="Times New Roman" w:eastAsia="宋体"/>
                <w:color w:val="auto"/>
                <w:kern w:val="2"/>
                <w:szCs w:val="22"/>
              </w:rPr>
              <w:t>应根据声源声功率级或靠近</w:t>
            </w:r>
            <w:r>
              <w:rPr>
                <w:rFonts w:ascii="Times New Roman" w:hAnsi="Times New Roman" w:eastAsia="宋体"/>
                <w:color w:val="auto"/>
              </w:rPr>
              <w:t>声源某一参考位置处的已知声级、户外声传播衰减，计算距离声源较远处的预测点的声级，可按下式计算</w:t>
            </w:r>
            <w:r>
              <w:rPr>
                <w:rFonts w:ascii="Times New Roman" w:hAnsi="Times New Roman" w:eastAsia="宋体"/>
                <w:color w:val="auto"/>
                <w:kern w:val="0"/>
              </w:rPr>
              <w:t xml:space="preserve">： </w:t>
            </w:r>
          </w:p>
          <w:p>
            <w:pPr>
              <w:spacing w:line="360" w:lineRule="auto"/>
              <w:jc w:val="center"/>
              <w:rPr>
                <w:rFonts w:ascii="Times New Roman" w:hAnsi="Times New Roman" w:eastAsia="宋体"/>
                <w:color w:val="auto"/>
                <w:kern w:val="0"/>
                <w:sz w:val="24"/>
              </w:rPr>
            </w:pPr>
            <w:r>
              <w:rPr>
                <w:rFonts w:ascii="Times New Roman" w:hAnsi="Times New Roman" w:eastAsia="宋体"/>
                <w:color w:val="auto"/>
                <w:kern w:val="0"/>
                <w:sz w:val="24"/>
              </w:rPr>
              <w:t>L</w:t>
            </w:r>
            <w:r>
              <w:rPr>
                <w:rFonts w:ascii="Times New Roman" w:hAnsi="Times New Roman" w:eastAsia="宋体"/>
                <w:color w:val="auto"/>
                <w:kern w:val="0"/>
                <w:sz w:val="24"/>
                <w:vertAlign w:val="subscript"/>
              </w:rPr>
              <w:t>p</w:t>
            </w:r>
            <w:r>
              <w:rPr>
                <w:rFonts w:ascii="Times New Roman" w:hAnsi="Times New Roman" w:eastAsia="宋体"/>
                <w:color w:val="auto"/>
                <w:kern w:val="0"/>
                <w:sz w:val="24"/>
              </w:rPr>
              <w:t>（r）= L</w:t>
            </w:r>
            <w:r>
              <w:rPr>
                <w:rFonts w:ascii="Times New Roman" w:hAnsi="Times New Roman" w:eastAsia="宋体"/>
                <w:color w:val="auto"/>
                <w:kern w:val="0"/>
                <w:sz w:val="24"/>
                <w:vertAlign w:val="subscript"/>
              </w:rPr>
              <w:t>p</w:t>
            </w:r>
            <w:r>
              <w:rPr>
                <w:rFonts w:ascii="Times New Roman" w:hAnsi="Times New Roman" w:eastAsia="宋体"/>
                <w:color w:val="auto"/>
                <w:kern w:val="0"/>
                <w:sz w:val="24"/>
              </w:rPr>
              <w:t>（r</w:t>
            </w:r>
            <w:r>
              <w:rPr>
                <w:rFonts w:ascii="Times New Roman" w:hAnsi="Times New Roman" w:eastAsia="宋体"/>
                <w:color w:val="auto"/>
                <w:kern w:val="0"/>
                <w:sz w:val="24"/>
                <w:vertAlign w:val="subscript"/>
              </w:rPr>
              <w:t>0</w:t>
            </w:r>
            <w:r>
              <w:rPr>
                <w:rFonts w:ascii="Times New Roman" w:hAnsi="Times New Roman" w:eastAsia="宋体"/>
                <w:color w:val="auto"/>
                <w:kern w:val="0"/>
                <w:sz w:val="24"/>
              </w:rPr>
              <w:t>）- （A</w:t>
            </w:r>
            <w:r>
              <w:rPr>
                <w:rFonts w:ascii="Times New Roman" w:hAnsi="Times New Roman" w:eastAsia="宋体"/>
                <w:color w:val="auto"/>
                <w:kern w:val="0"/>
                <w:sz w:val="24"/>
                <w:vertAlign w:val="subscript"/>
              </w:rPr>
              <w:t xml:space="preserve">div </w:t>
            </w:r>
            <w:r>
              <w:rPr>
                <w:rFonts w:ascii="Times New Roman" w:hAnsi="Times New Roman" w:eastAsia="宋体"/>
                <w:color w:val="auto"/>
                <w:kern w:val="0"/>
                <w:sz w:val="24"/>
              </w:rPr>
              <w:t>+ A</w:t>
            </w:r>
            <w:r>
              <w:rPr>
                <w:rFonts w:ascii="Times New Roman" w:hAnsi="Times New Roman" w:eastAsia="宋体"/>
                <w:color w:val="auto"/>
                <w:kern w:val="0"/>
                <w:sz w:val="24"/>
                <w:vertAlign w:val="subscript"/>
              </w:rPr>
              <w:t xml:space="preserve">atm </w:t>
            </w:r>
            <w:r>
              <w:rPr>
                <w:rFonts w:ascii="Times New Roman" w:hAnsi="Times New Roman" w:eastAsia="宋体"/>
                <w:color w:val="auto"/>
                <w:kern w:val="0"/>
                <w:sz w:val="24"/>
              </w:rPr>
              <w:t>+ A</w:t>
            </w:r>
            <w:r>
              <w:rPr>
                <w:rFonts w:ascii="Times New Roman" w:hAnsi="Times New Roman" w:eastAsia="宋体"/>
                <w:color w:val="auto"/>
                <w:kern w:val="0"/>
                <w:sz w:val="24"/>
                <w:vertAlign w:val="subscript"/>
              </w:rPr>
              <w:t>bar</w:t>
            </w:r>
            <w:r>
              <w:rPr>
                <w:rFonts w:ascii="Times New Roman" w:hAnsi="Times New Roman" w:eastAsia="宋体"/>
                <w:color w:val="auto"/>
                <w:kern w:val="0"/>
                <w:sz w:val="24"/>
              </w:rPr>
              <w:t>+ A</w:t>
            </w:r>
            <w:r>
              <w:rPr>
                <w:rFonts w:ascii="Times New Roman" w:hAnsi="Times New Roman" w:eastAsia="宋体"/>
                <w:color w:val="auto"/>
                <w:kern w:val="0"/>
                <w:sz w:val="24"/>
                <w:vertAlign w:val="subscript"/>
              </w:rPr>
              <w:t>gr</w:t>
            </w:r>
            <w:r>
              <w:rPr>
                <w:rFonts w:ascii="Times New Roman" w:hAnsi="Times New Roman" w:eastAsia="宋体"/>
                <w:color w:val="auto"/>
                <w:kern w:val="0"/>
                <w:sz w:val="24"/>
              </w:rPr>
              <w:t>+ A</w:t>
            </w:r>
            <w:r>
              <w:rPr>
                <w:rFonts w:ascii="Times New Roman" w:hAnsi="Times New Roman" w:eastAsia="宋体"/>
                <w:color w:val="auto"/>
                <w:kern w:val="0"/>
                <w:sz w:val="24"/>
                <w:vertAlign w:val="subscript"/>
              </w:rPr>
              <w:t>misc</w:t>
            </w:r>
            <w:r>
              <w:rPr>
                <w:rFonts w:ascii="Times New Roman" w:hAnsi="Times New Roman" w:eastAsia="宋体"/>
                <w:color w:val="auto"/>
                <w:kern w:val="0"/>
                <w:sz w:val="24"/>
              </w:rPr>
              <w:t>）</w:t>
            </w:r>
          </w:p>
          <w:p>
            <w:pPr>
              <w:autoSpaceDE w:val="0"/>
              <w:autoSpaceDN w:val="0"/>
              <w:adjustRightInd w:val="0"/>
              <w:spacing w:line="360" w:lineRule="auto"/>
              <w:ind w:firstLine="480" w:firstLineChars="200"/>
              <w:rPr>
                <w:rFonts w:ascii="Times New Roman" w:hAnsi="Times New Roman" w:eastAsia="宋体"/>
                <w:color w:val="auto"/>
                <w:kern w:val="0"/>
                <w:sz w:val="24"/>
              </w:rPr>
            </w:pPr>
            <w:r>
              <w:rPr>
                <w:rFonts w:ascii="Times New Roman" w:hAnsi="Times New Roman" w:eastAsia="宋体"/>
                <w:color w:val="auto"/>
                <w:kern w:val="0"/>
                <w:sz w:val="24"/>
              </w:rPr>
              <w:t>式中： A</w:t>
            </w:r>
            <w:r>
              <w:rPr>
                <w:rFonts w:ascii="Times New Roman" w:hAnsi="Times New Roman" w:eastAsia="宋体"/>
                <w:color w:val="auto"/>
                <w:kern w:val="0"/>
                <w:sz w:val="24"/>
                <w:vertAlign w:val="subscript"/>
              </w:rPr>
              <w:t>div</w:t>
            </w:r>
            <w:r>
              <w:rPr>
                <w:rFonts w:ascii="Times New Roman" w:hAnsi="Times New Roman" w:eastAsia="宋体"/>
                <w:color w:val="auto"/>
                <w:kern w:val="0"/>
                <w:sz w:val="24"/>
              </w:rPr>
              <w:t xml:space="preserve">—几何发散引起的倍频带衰减； </w:t>
            </w:r>
          </w:p>
          <w:p>
            <w:pPr>
              <w:autoSpaceDE w:val="0"/>
              <w:autoSpaceDN w:val="0"/>
              <w:adjustRightInd w:val="0"/>
              <w:spacing w:line="360" w:lineRule="auto"/>
              <w:ind w:firstLine="1200" w:firstLineChars="500"/>
              <w:rPr>
                <w:rFonts w:ascii="Times New Roman" w:hAnsi="Times New Roman" w:eastAsia="宋体"/>
                <w:color w:val="auto"/>
                <w:kern w:val="0"/>
                <w:sz w:val="24"/>
              </w:rPr>
            </w:pPr>
            <w:r>
              <w:rPr>
                <w:rFonts w:ascii="Times New Roman" w:hAnsi="Times New Roman" w:eastAsia="宋体"/>
                <w:color w:val="auto"/>
                <w:kern w:val="0"/>
                <w:sz w:val="24"/>
              </w:rPr>
              <w:t>A</w:t>
            </w:r>
            <w:r>
              <w:rPr>
                <w:rFonts w:ascii="Times New Roman" w:hAnsi="Times New Roman" w:eastAsia="宋体"/>
                <w:color w:val="auto"/>
                <w:kern w:val="0"/>
                <w:sz w:val="24"/>
                <w:vertAlign w:val="subscript"/>
              </w:rPr>
              <w:t>atm</w:t>
            </w:r>
            <w:r>
              <w:rPr>
                <w:rFonts w:ascii="Times New Roman" w:hAnsi="Times New Roman" w:eastAsia="宋体"/>
                <w:color w:val="auto"/>
                <w:kern w:val="0"/>
                <w:sz w:val="24"/>
              </w:rPr>
              <w:t xml:space="preserve">—大气吸收引起的倍频带衰减； </w:t>
            </w:r>
          </w:p>
          <w:p>
            <w:pPr>
              <w:autoSpaceDE w:val="0"/>
              <w:autoSpaceDN w:val="0"/>
              <w:adjustRightInd w:val="0"/>
              <w:spacing w:line="360" w:lineRule="auto"/>
              <w:ind w:firstLine="1200" w:firstLineChars="500"/>
              <w:rPr>
                <w:rFonts w:ascii="Times New Roman" w:hAnsi="Times New Roman" w:eastAsia="宋体"/>
                <w:color w:val="auto"/>
                <w:kern w:val="0"/>
                <w:sz w:val="24"/>
              </w:rPr>
            </w:pPr>
            <w:r>
              <w:rPr>
                <w:rFonts w:ascii="Times New Roman" w:hAnsi="Times New Roman" w:eastAsia="宋体"/>
                <w:color w:val="auto"/>
                <w:kern w:val="0"/>
                <w:sz w:val="24"/>
              </w:rPr>
              <w:t>A</w:t>
            </w:r>
            <w:r>
              <w:rPr>
                <w:rFonts w:ascii="Times New Roman" w:hAnsi="Times New Roman" w:eastAsia="宋体"/>
                <w:color w:val="auto"/>
                <w:kern w:val="0"/>
                <w:sz w:val="24"/>
                <w:vertAlign w:val="subscript"/>
              </w:rPr>
              <w:t>gr</w:t>
            </w:r>
            <w:r>
              <w:rPr>
                <w:rFonts w:ascii="Times New Roman" w:hAnsi="Times New Roman" w:eastAsia="宋体"/>
                <w:color w:val="auto"/>
                <w:kern w:val="0"/>
                <w:sz w:val="24"/>
              </w:rPr>
              <w:t xml:space="preserve">—地面效应引起的倍频带衰减； </w:t>
            </w:r>
          </w:p>
          <w:p>
            <w:pPr>
              <w:autoSpaceDE w:val="0"/>
              <w:autoSpaceDN w:val="0"/>
              <w:adjustRightInd w:val="0"/>
              <w:spacing w:line="360" w:lineRule="auto"/>
              <w:ind w:firstLine="1200" w:firstLineChars="500"/>
              <w:rPr>
                <w:rFonts w:ascii="Times New Roman" w:hAnsi="Times New Roman" w:eastAsia="宋体"/>
                <w:color w:val="auto"/>
                <w:kern w:val="0"/>
                <w:sz w:val="24"/>
              </w:rPr>
            </w:pPr>
            <w:r>
              <w:rPr>
                <w:rFonts w:ascii="Times New Roman" w:hAnsi="Times New Roman" w:eastAsia="宋体"/>
                <w:color w:val="auto"/>
                <w:kern w:val="0"/>
                <w:sz w:val="24"/>
              </w:rPr>
              <w:t>A</w:t>
            </w:r>
            <w:r>
              <w:rPr>
                <w:rFonts w:ascii="Times New Roman" w:hAnsi="Times New Roman" w:eastAsia="宋体"/>
                <w:color w:val="auto"/>
                <w:kern w:val="0"/>
                <w:sz w:val="24"/>
                <w:vertAlign w:val="subscript"/>
              </w:rPr>
              <w:t>bar</w:t>
            </w:r>
            <w:r>
              <w:rPr>
                <w:rFonts w:ascii="Times New Roman" w:hAnsi="Times New Roman" w:eastAsia="宋体"/>
                <w:color w:val="auto"/>
                <w:kern w:val="0"/>
                <w:sz w:val="24"/>
              </w:rPr>
              <w:t xml:space="preserve">— 声屏障引起的倍频带衰减； </w:t>
            </w:r>
          </w:p>
          <w:p>
            <w:pPr>
              <w:autoSpaceDE w:val="0"/>
              <w:autoSpaceDN w:val="0"/>
              <w:adjustRightInd w:val="0"/>
              <w:spacing w:line="360" w:lineRule="auto"/>
              <w:ind w:firstLine="1200" w:firstLineChars="500"/>
              <w:jc w:val="left"/>
              <w:rPr>
                <w:rFonts w:ascii="Times New Roman" w:hAnsi="Times New Roman" w:eastAsia="宋体"/>
                <w:color w:val="auto"/>
                <w:kern w:val="0"/>
                <w:sz w:val="24"/>
              </w:rPr>
            </w:pPr>
            <w:r>
              <w:rPr>
                <w:rFonts w:ascii="Times New Roman" w:hAnsi="Times New Roman" w:eastAsia="宋体"/>
                <w:color w:val="auto"/>
                <w:kern w:val="0"/>
                <w:sz w:val="24"/>
              </w:rPr>
              <w:t>A</w:t>
            </w:r>
            <w:r>
              <w:rPr>
                <w:rFonts w:ascii="Times New Roman" w:hAnsi="Times New Roman" w:eastAsia="宋体"/>
                <w:color w:val="auto"/>
                <w:kern w:val="0"/>
                <w:sz w:val="24"/>
                <w:vertAlign w:val="subscript"/>
              </w:rPr>
              <w:t>misc</w:t>
            </w:r>
            <w:r>
              <w:rPr>
                <w:rFonts w:ascii="Times New Roman" w:hAnsi="Times New Roman" w:eastAsia="宋体"/>
                <w:color w:val="auto"/>
                <w:kern w:val="0"/>
                <w:sz w:val="24"/>
              </w:rPr>
              <w:t>—其他多方面效应引起的倍频带衰减。</w:t>
            </w:r>
          </w:p>
          <w:p>
            <w:pPr>
              <w:autoSpaceDE w:val="0"/>
              <w:autoSpaceDN w:val="0"/>
              <w:adjustRightInd w:val="0"/>
              <w:spacing w:line="360" w:lineRule="auto"/>
              <w:ind w:firstLine="480" w:firstLineChars="200"/>
              <w:rPr>
                <w:rFonts w:ascii="Times New Roman" w:hAnsi="Times New Roman" w:eastAsia="宋体"/>
                <w:color w:val="auto"/>
                <w:kern w:val="0"/>
                <w:sz w:val="24"/>
              </w:rPr>
            </w:pPr>
            <w:r>
              <w:rPr>
                <w:rFonts w:ascii="Times New Roman" w:hAnsi="Times New Roman" w:eastAsia="宋体"/>
                <w:color w:val="auto"/>
                <w:kern w:val="0"/>
                <w:sz w:val="24"/>
              </w:rPr>
              <w:t xml:space="preserve">在只考虑几何发散衰减时，可用下式计算： </w:t>
            </w:r>
          </w:p>
          <w:p>
            <w:pPr>
              <w:spacing w:line="360" w:lineRule="auto"/>
              <w:jc w:val="center"/>
              <w:rPr>
                <w:rFonts w:ascii="Times New Roman" w:hAnsi="Times New Roman" w:eastAsia="宋体"/>
                <w:color w:val="auto"/>
                <w:kern w:val="0"/>
                <w:sz w:val="24"/>
              </w:rPr>
            </w:pPr>
            <w:r>
              <w:rPr>
                <w:rFonts w:ascii="Times New Roman" w:hAnsi="Times New Roman" w:eastAsia="宋体"/>
                <w:color w:val="auto"/>
                <w:kern w:val="0"/>
                <w:sz w:val="24"/>
              </w:rPr>
              <w:t>L</w:t>
            </w:r>
            <w:r>
              <w:rPr>
                <w:rFonts w:ascii="Times New Roman" w:hAnsi="Times New Roman" w:eastAsia="宋体"/>
                <w:color w:val="auto"/>
                <w:kern w:val="0"/>
                <w:sz w:val="24"/>
                <w:vertAlign w:val="subscript"/>
              </w:rPr>
              <w:t>A</w:t>
            </w:r>
            <w:r>
              <w:rPr>
                <w:rFonts w:ascii="Times New Roman" w:hAnsi="Times New Roman" w:eastAsia="宋体"/>
                <w:color w:val="auto"/>
                <w:kern w:val="0"/>
                <w:sz w:val="24"/>
              </w:rPr>
              <w:t>（r）= L</w:t>
            </w:r>
            <w:r>
              <w:rPr>
                <w:rFonts w:ascii="Times New Roman" w:hAnsi="Times New Roman" w:eastAsia="宋体"/>
                <w:color w:val="auto"/>
                <w:kern w:val="0"/>
                <w:sz w:val="24"/>
                <w:vertAlign w:val="subscript"/>
              </w:rPr>
              <w:t>A</w:t>
            </w:r>
            <w:r>
              <w:rPr>
                <w:rFonts w:ascii="Times New Roman" w:hAnsi="Times New Roman" w:eastAsia="宋体"/>
                <w:color w:val="auto"/>
                <w:kern w:val="0"/>
                <w:sz w:val="24"/>
              </w:rPr>
              <w:t>（r</w:t>
            </w:r>
            <w:r>
              <w:rPr>
                <w:rFonts w:ascii="Times New Roman" w:hAnsi="Times New Roman" w:eastAsia="宋体"/>
                <w:color w:val="auto"/>
                <w:kern w:val="0"/>
                <w:sz w:val="24"/>
                <w:vertAlign w:val="subscript"/>
              </w:rPr>
              <w:t>0</w:t>
            </w:r>
            <w:r>
              <w:rPr>
                <w:rFonts w:ascii="Times New Roman" w:hAnsi="Times New Roman" w:eastAsia="宋体"/>
                <w:color w:val="auto"/>
                <w:kern w:val="0"/>
                <w:sz w:val="24"/>
              </w:rPr>
              <w:t>）- A</w:t>
            </w:r>
            <w:r>
              <w:rPr>
                <w:rFonts w:ascii="Times New Roman" w:hAnsi="Times New Roman" w:eastAsia="宋体"/>
                <w:color w:val="auto"/>
                <w:kern w:val="0"/>
                <w:sz w:val="24"/>
                <w:vertAlign w:val="subscript"/>
              </w:rPr>
              <w:t>div</w:t>
            </w:r>
          </w:p>
          <w:p>
            <w:pPr>
              <w:adjustRightInd w:val="0"/>
              <w:snapToGrid w:val="0"/>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②无指向性点声源几何发散衰减的基本公式是：</w:t>
            </w:r>
          </w:p>
          <w:p>
            <w:pPr>
              <w:adjustRightInd w:val="0"/>
              <w:snapToGrid w:val="0"/>
              <w:spacing w:line="360" w:lineRule="auto"/>
              <w:jc w:val="center"/>
              <w:rPr>
                <w:rFonts w:ascii="Times New Roman" w:hAnsi="Times New Roman" w:eastAsia="宋体"/>
                <w:color w:val="auto"/>
                <w:sz w:val="24"/>
              </w:rPr>
            </w:pPr>
            <w:r>
              <w:rPr>
                <w:rFonts w:ascii="Times New Roman" w:hAnsi="Times New Roman" w:eastAsia="宋体"/>
                <w:color w:val="auto"/>
                <w:kern w:val="0"/>
                <w:sz w:val="24"/>
              </w:rPr>
              <w:drawing>
                <wp:inline distT="0" distB="0" distL="114300" distR="114300">
                  <wp:extent cx="2105025" cy="258445"/>
                  <wp:effectExtent l="0" t="0" r="9525" b="8255"/>
                  <wp:docPr id="4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5"/>
                          <pic:cNvPicPr>
                            <a:picLocks noChangeAspect="1"/>
                          </pic:cNvPicPr>
                        </pic:nvPicPr>
                        <pic:blipFill>
                          <a:blip r:embed="rId8" cstate="print"/>
                          <a:stretch>
                            <a:fillRect/>
                          </a:stretch>
                        </pic:blipFill>
                        <pic:spPr>
                          <a:xfrm>
                            <a:off x="0" y="0"/>
                            <a:ext cx="2105025" cy="258445"/>
                          </a:xfrm>
                          <a:prstGeom prst="rect">
                            <a:avLst/>
                          </a:prstGeom>
                          <a:noFill/>
                          <a:ln>
                            <a:noFill/>
                          </a:ln>
                        </pic:spPr>
                      </pic:pic>
                    </a:graphicData>
                  </a:graphic>
                </wp:inline>
              </w:drawing>
            </w:r>
          </w:p>
          <w:p>
            <w:pPr>
              <w:spacing w:line="360" w:lineRule="auto"/>
              <w:ind w:firstLine="480" w:firstLineChars="200"/>
              <w:rPr>
                <w:rFonts w:ascii="Times New Roman" w:hAnsi="Times New Roman" w:eastAsia="宋体"/>
                <w:color w:val="auto"/>
                <w:kern w:val="0"/>
                <w:sz w:val="24"/>
              </w:rPr>
            </w:pPr>
            <w:r>
              <w:rPr>
                <w:rFonts w:ascii="Times New Roman" w:hAnsi="Times New Roman" w:eastAsia="宋体"/>
                <w:color w:val="auto"/>
                <w:kern w:val="0"/>
                <w:sz w:val="24"/>
              </w:rPr>
              <w:t>③建设项目声源在预测点产生的等效声级贡献值（L</w:t>
            </w:r>
            <w:r>
              <w:rPr>
                <w:rFonts w:ascii="Times New Roman" w:hAnsi="Times New Roman" w:eastAsia="宋体"/>
                <w:color w:val="auto"/>
                <w:kern w:val="0"/>
                <w:sz w:val="24"/>
                <w:vertAlign w:val="subscript"/>
              </w:rPr>
              <w:t>eqg</w:t>
            </w:r>
            <w:r>
              <w:rPr>
                <w:rFonts w:ascii="Times New Roman" w:hAnsi="Times New Roman" w:eastAsia="宋体"/>
                <w:color w:val="auto"/>
                <w:kern w:val="0"/>
                <w:sz w:val="24"/>
              </w:rPr>
              <w:t>）计算公式：</w:t>
            </w:r>
          </w:p>
          <w:p>
            <w:pPr>
              <w:autoSpaceDE w:val="0"/>
              <w:autoSpaceDN w:val="0"/>
              <w:adjustRightInd w:val="0"/>
              <w:spacing w:line="360" w:lineRule="auto"/>
              <w:rPr>
                <w:rFonts w:ascii="Times New Roman" w:hAnsi="Times New Roman" w:eastAsia="宋体"/>
                <w:color w:val="auto"/>
                <w:kern w:val="0"/>
                <w:sz w:val="24"/>
              </w:rPr>
            </w:pPr>
            <w:r>
              <w:rPr>
                <w:rFonts w:ascii="Times New Roman" w:hAnsi="Times New Roman" w:eastAsia="宋体"/>
                <w:color w:val="auto"/>
                <w:kern w:val="0"/>
                <w:sz w:val="24"/>
              </w:rPr>
              <w:t xml:space="preserve">                       </w:t>
            </w:r>
            <w:r>
              <w:rPr>
                <w:rFonts w:ascii="Times New Roman" w:hAnsi="Times New Roman" w:eastAsia="宋体"/>
                <w:color w:val="auto"/>
                <w:kern w:val="0"/>
                <w:sz w:val="24"/>
              </w:rPr>
              <w:drawing>
                <wp:inline distT="0" distB="0" distL="114300" distR="114300">
                  <wp:extent cx="1871980" cy="396240"/>
                  <wp:effectExtent l="0" t="0" r="13970" b="3810"/>
                  <wp:docPr id="4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6"/>
                          <pic:cNvPicPr>
                            <a:picLocks noChangeAspect="1"/>
                          </pic:cNvPicPr>
                        </pic:nvPicPr>
                        <pic:blipFill>
                          <a:blip r:embed="rId9" cstate="print"/>
                          <a:stretch>
                            <a:fillRect/>
                          </a:stretch>
                        </pic:blipFill>
                        <pic:spPr>
                          <a:xfrm>
                            <a:off x="0" y="0"/>
                            <a:ext cx="1871980" cy="396240"/>
                          </a:xfrm>
                          <a:prstGeom prst="rect">
                            <a:avLst/>
                          </a:prstGeom>
                          <a:noFill/>
                          <a:ln>
                            <a:noFill/>
                          </a:ln>
                        </pic:spPr>
                      </pic:pic>
                    </a:graphicData>
                  </a:graphic>
                </wp:inline>
              </w:drawing>
            </w:r>
          </w:p>
          <w:p>
            <w:pPr>
              <w:autoSpaceDE w:val="0"/>
              <w:autoSpaceDN w:val="0"/>
              <w:adjustRightInd w:val="0"/>
              <w:spacing w:line="360" w:lineRule="auto"/>
              <w:ind w:firstLine="480" w:firstLineChars="200"/>
              <w:rPr>
                <w:rFonts w:ascii="Times New Roman" w:hAnsi="Times New Roman" w:eastAsia="宋体"/>
                <w:color w:val="auto"/>
                <w:kern w:val="0"/>
                <w:sz w:val="24"/>
              </w:rPr>
            </w:pPr>
            <w:r>
              <w:rPr>
                <w:rFonts w:ascii="Times New Roman" w:hAnsi="Times New Roman" w:eastAsia="宋体"/>
                <w:color w:val="auto"/>
                <w:kern w:val="0"/>
                <w:sz w:val="24"/>
              </w:rPr>
              <w:t>式中： L</w:t>
            </w:r>
            <w:r>
              <w:rPr>
                <w:rFonts w:ascii="Times New Roman" w:hAnsi="Times New Roman" w:eastAsia="宋体"/>
                <w:color w:val="auto"/>
                <w:kern w:val="0"/>
                <w:sz w:val="24"/>
                <w:vertAlign w:val="subscript"/>
              </w:rPr>
              <w:t>eqg</w:t>
            </w:r>
            <w:r>
              <w:rPr>
                <w:rFonts w:ascii="Times New Roman" w:hAnsi="Times New Roman" w:eastAsia="宋体"/>
                <w:color w:val="auto"/>
                <w:kern w:val="0"/>
                <w:sz w:val="24"/>
              </w:rPr>
              <w:t>—建设项目声源在预测点的等效声级贡献值，dB(A)；</w:t>
            </w:r>
          </w:p>
          <w:p>
            <w:pPr>
              <w:spacing w:line="360" w:lineRule="auto"/>
              <w:ind w:firstLine="1200" w:firstLineChars="500"/>
              <w:rPr>
                <w:rFonts w:ascii="Times New Roman" w:hAnsi="Times New Roman" w:eastAsia="宋体"/>
                <w:bCs/>
                <w:color w:val="auto"/>
                <w:sz w:val="24"/>
              </w:rPr>
            </w:pPr>
            <w:r>
              <w:rPr>
                <w:rFonts w:ascii="Times New Roman" w:hAnsi="Times New Roman" w:eastAsia="宋体"/>
                <w:bCs/>
                <w:color w:val="auto"/>
                <w:sz w:val="24"/>
              </w:rPr>
              <w:t>L</w:t>
            </w:r>
            <w:r>
              <w:rPr>
                <w:rFonts w:ascii="Times New Roman" w:hAnsi="Times New Roman" w:eastAsia="宋体"/>
                <w:bCs/>
                <w:color w:val="auto"/>
                <w:sz w:val="24"/>
                <w:vertAlign w:val="subscript"/>
              </w:rPr>
              <w:t>Ai</w:t>
            </w:r>
            <w:r>
              <w:rPr>
                <w:rFonts w:ascii="Times New Roman" w:hAnsi="Times New Roman" w:eastAsia="宋体"/>
                <w:bCs/>
                <w:color w:val="auto"/>
                <w:sz w:val="24"/>
              </w:rPr>
              <w:t>—</w:t>
            </w:r>
            <w:r>
              <w:rPr>
                <w:rFonts w:ascii="Times New Roman" w:hAnsi="Times New Roman" w:eastAsia="宋体"/>
                <w:bCs/>
                <w:color w:val="auto"/>
                <w:sz w:val="24"/>
              </w:rPr>
              <w:t>i</w:t>
            </w:r>
            <w:r>
              <w:rPr>
                <w:rFonts w:ascii="Times New Roman" w:hAnsi="Times New Roman" w:eastAsia="宋体"/>
                <w:bCs/>
                <w:color w:val="auto"/>
                <w:sz w:val="24"/>
              </w:rPr>
              <w:t>声源在预测点产生的A声级，dB(A)；</w:t>
            </w:r>
          </w:p>
          <w:p>
            <w:pPr>
              <w:spacing w:line="360" w:lineRule="auto"/>
              <w:ind w:firstLine="1200" w:firstLineChars="500"/>
              <w:rPr>
                <w:rFonts w:ascii="Times New Roman" w:hAnsi="Times New Roman" w:eastAsia="宋体"/>
                <w:bCs/>
                <w:color w:val="auto"/>
                <w:sz w:val="24"/>
              </w:rPr>
            </w:pPr>
            <w:r>
              <w:rPr>
                <w:rFonts w:ascii="Times New Roman" w:hAnsi="Times New Roman" w:eastAsia="宋体"/>
                <w:bCs/>
                <w:color w:val="auto"/>
                <w:sz w:val="24"/>
              </w:rPr>
              <w:t>T—预测计算的时间段，s；</w:t>
            </w:r>
          </w:p>
          <w:p>
            <w:pPr>
              <w:spacing w:line="360" w:lineRule="auto"/>
              <w:ind w:firstLine="1200" w:firstLineChars="500"/>
              <w:rPr>
                <w:rFonts w:ascii="Times New Roman" w:hAnsi="Times New Roman" w:eastAsia="宋体"/>
                <w:bCs/>
                <w:color w:val="auto"/>
                <w:sz w:val="24"/>
              </w:rPr>
            </w:pPr>
            <w:r>
              <w:rPr>
                <w:rFonts w:ascii="Times New Roman" w:hAnsi="Times New Roman" w:eastAsia="宋体"/>
                <w:bCs/>
                <w:color w:val="auto"/>
                <w:sz w:val="24"/>
              </w:rPr>
              <w:t>t</w:t>
            </w:r>
            <w:r>
              <w:rPr>
                <w:rFonts w:ascii="Times New Roman" w:hAnsi="Times New Roman" w:eastAsia="宋体"/>
                <w:bCs/>
                <w:color w:val="auto"/>
                <w:sz w:val="24"/>
                <w:vertAlign w:val="subscript"/>
              </w:rPr>
              <w:t>i</w:t>
            </w:r>
            <w:r>
              <w:rPr>
                <w:rFonts w:ascii="Times New Roman" w:hAnsi="Times New Roman" w:eastAsia="宋体"/>
                <w:bCs/>
                <w:color w:val="auto"/>
                <w:sz w:val="24"/>
              </w:rPr>
              <w:t>—i声源在T时段内的运行时间，s。</w:t>
            </w:r>
          </w:p>
          <w:p>
            <w:pPr>
              <w:autoSpaceDE w:val="0"/>
              <w:autoSpaceDN w:val="0"/>
              <w:adjustRightInd w:val="0"/>
              <w:spacing w:line="360" w:lineRule="auto"/>
              <w:ind w:firstLine="480" w:firstLineChars="200"/>
              <w:rPr>
                <w:rFonts w:ascii="Times New Roman" w:hAnsi="Times New Roman" w:eastAsia="宋体"/>
                <w:color w:val="auto"/>
                <w:kern w:val="0"/>
                <w:sz w:val="24"/>
              </w:rPr>
            </w:pPr>
            <w:r>
              <w:rPr>
                <w:rFonts w:ascii="Times New Roman" w:hAnsi="Times New Roman" w:eastAsia="宋体"/>
                <w:color w:val="auto"/>
                <w:kern w:val="0"/>
                <w:sz w:val="24"/>
              </w:rPr>
              <w:t>④预测点的预测等效声级(L</w:t>
            </w:r>
            <w:r>
              <w:rPr>
                <w:rFonts w:ascii="Times New Roman" w:hAnsi="Times New Roman" w:eastAsia="宋体"/>
                <w:color w:val="auto"/>
                <w:kern w:val="0"/>
                <w:sz w:val="24"/>
                <w:vertAlign w:val="subscript"/>
              </w:rPr>
              <w:t>eq</w:t>
            </w:r>
            <w:r>
              <w:rPr>
                <w:rFonts w:ascii="Times New Roman" w:hAnsi="Times New Roman" w:eastAsia="宋体"/>
                <w:color w:val="auto"/>
                <w:kern w:val="0"/>
                <w:sz w:val="24"/>
              </w:rPr>
              <w:t>)计算公式：</w:t>
            </w:r>
          </w:p>
          <w:p>
            <w:pPr>
              <w:autoSpaceDE w:val="0"/>
              <w:autoSpaceDN w:val="0"/>
              <w:adjustRightInd w:val="0"/>
              <w:spacing w:line="360" w:lineRule="auto"/>
              <w:jc w:val="center"/>
              <w:rPr>
                <w:rFonts w:ascii="Times New Roman" w:hAnsi="Times New Roman" w:eastAsia="宋体"/>
                <w:color w:val="auto"/>
                <w:kern w:val="0"/>
                <w:sz w:val="24"/>
              </w:rPr>
            </w:pPr>
            <w:r>
              <w:rPr>
                <w:rFonts w:ascii="Times New Roman" w:hAnsi="Times New Roman" w:eastAsia="宋体"/>
                <w:color w:val="auto"/>
                <w:kern w:val="0"/>
                <w:sz w:val="24"/>
              </w:rPr>
              <w:t>L</w:t>
            </w:r>
            <w:r>
              <w:rPr>
                <w:rFonts w:ascii="Times New Roman" w:hAnsi="Times New Roman" w:eastAsia="宋体"/>
                <w:color w:val="auto"/>
                <w:kern w:val="0"/>
                <w:sz w:val="24"/>
                <w:vertAlign w:val="subscript"/>
              </w:rPr>
              <w:t>eq</w:t>
            </w:r>
            <w:r>
              <w:rPr>
                <w:rFonts w:ascii="Times New Roman" w:hAnsi="Times New Roman" w:eastAsia="宋体"/>
                <w:color w:val="auto"/>
                <w:kern w:val="0"/>
                <w:sz w:val="24"/>
              </w:rPr>
              <w:t xml:space="preserve"> = 10lg(10</w:t>
            </w:r>
            <w:r>
              <w:rPr>
                <w:rFonts w:ascii="Times New Roman" w:hAnsi="Times New Roman" w:eastAsia="宋体"/>
                <w:color w:val="auto"/>
                <w:kern w:val="0"/>
                <w:sz w:val="24"/>
                <w:vertAlign w:val="superscript"/>
              </w:rPr>
              <w:t xml:space="preserve">0.1Leqg </w:t>
            </w:r>
            <w:r>
              <w:rPr>
                <w:rFonts w:ascii="Times New Roman" w:hAnsi="Times New Roman" w:eastAsia="宋体"/>
                <w:color w:val="auto"/>
                <w:kern w:val="0"/>
                <w:sz w:val="24"/>
              </w:rPr>
              <w:t>+</w:t>
            </w:r>
            <w:r>
              <w:rPr>
                <w:rFonts w:ascii="Times New Roman" w:hAnsi="Times New Roman" w:eastAsia="宋体"/>
                <w:color w:val="auto"/>
                <w:kern w:val="0"/>
                <w:sz w:val="24"/>
                <w:vertAlign w:val="superscript"/>
              </w:rPr>
              <w:t xml:space="preserve"> </w:t>
            </w:r>
            <w:r>
              <w:rPr>
                <w:rFonts w:ascii="Times New Roman" w:hAnsi="Times New Roman" w:eastAsia="宋体"/>
                <w:color w:val="auto"/>
                <w:kern w:val="0"/>
                <w:sz w:val="24"/>
              </w:rPr>
              <w:t>10</w:t>
            </w:r>
            <w:r>
              <w:rPr>
                <w:rFonts w:ascii="Times New Roman" w:hAnsi="Times New Roman" w:eastAsia="宋体"/>
                <w:color w:val="auto"/>
                <w:kern w:val="0"/>
                <w:sz w:val="24"/>
                <w:vertAlign w:val="superscript"/>
              </w:rPr>
              <w:t>0.1Leqb</w:t>
            </w:r>
            <w:r>
              <w:rPr>
                <w:rFonts w:ascii="Times New Roman" w:hAnsi="Times New Roman" w:eastAsia="宋体"/>
                <w:color w:val="auto"/>
                <w:kern w:val="0"/>
                <w:sz w:val="24"/>
              </w:rPr>
              <w:t>)</w:t>
            </w:r>
          </w:p>
          <w:p>
            <w:pPr>
              <w:autoSpaceDE w:val="0"/>
              <w:autoSpaceDN w:val="0"/>
              <w:adjustRightInd w:val="0"/>
              <w:spacing w:line="360" w:lineRule="auto"/>
              <w:ind w:firstLine="480" w:firstLineChars="200"/>
              <w:rPr>
                <w:rFonts w:ascii="Times New Roman" w:hAnsi="Times New Roman" w:eastAsia="宋体"/>
                <w:color w:val="auto"/>
                <w:kern w:val="0"/>
                <w:sz w:val="24"/>
              </w:rPr>
            </w:pPr>
            <w:r>
              <w:rPr>
                <w:rFonts w:ascii="Times New Roman" w:hAnsi="Times New Roman" w:eastAsia="宋体"/>
                <w:color w:val="auto"/>
                <w:kern w:val="0"/>
                <w:sz w:val="24"/>
              </w:rPr>
              <w:t>式中：L</w:t>
            </w:r>
            <w:r>
              <w:rPr>
                <w:rFonts w:ascii="Times New Roman" w:hAnsi="Times New Roman" w:eastAsia="宋体"/>
                <w:color w:val="auto"/>
                <w:kern w:val="0"/>
                <w:sz w:val="24"/>
                <w:vertAlign w:val="subscript"/>
              </w:rPr>
              <w:t>eqg</w:t>
            </w:r>
            <w:r>
              <w:rPr>
                <w:rFonts w:ascii="Times New Roman" w:hAnsi="Times New Roman" w:eastAsia="宋体"/>
                <w:color w:val="auto"/>
                <w:kern w:val="0"/>
                <w:sz w:val="24"/>
              </w:rPr>
              <w:t>—建设项目声源在预测点的等效声级贡献值，dB(A)；</w:t>
            </w:r>
          </w:p>
          <w:p>
            <w:pPr>
              <w:spacing w:line="360" w:lineRule="auto"/>
              <w:ind w:firstLine="1200" w:firstLineChars="500"/>
              <w:rPr>
                <w:rFonts w:ascii="Times New Roman" w:hAnsi="Times New Roman" w:eastAsia="宋体"/>
                <w:bCs/>
                <w:color w:val="auto"/>
                <w:sz w:val="24"/>
              </w:rPr>
            </w:pPr>
            <w:r>
              <w:rPr>
                <w:rFonts w:ascii="Times New Roman" w:hAnsi="Times New Roman" w:eastAsia="宋体"/>
                <w:bCs/>
                <w:color w:val="auto"/>
                <w:sz w:val="24"/>
              </w:rPr>
              <w:t>L</w:t>
            </w:r>
            <w:r>
              <w:rPr>
                <w:rFonts w:ascii="Times New Roman" w:hAnsi="Times New Roman" w:eastAsia="宋体"/>
                <w:bCs/>
                <w:color w:val="auto"/>
                <w:sz w:val="24"/>
                <w:vertAlign w:val="subscript"/>
              </w:rPr>
              <w:t>eqb</w:t>
            </w:r>
            <w:r>
              <w:rPr>
                <w:rFonts w:ascii="Times New Roman" w:hAnsi="Times New Roman" w:eastAsia="宋体"/>
                <w:bCs/>
                <w:color w:val="auto"/>
                <w:sz w:val="24"/>
              </w:rPr>
              <w:t>—预测点的背景值，dB(A)。</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（3）预测前提</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本次预测前提为，企业采取如下噪声控制措施后产生的噪声对厂界噪声贡献情况：</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从总平面布置的角度出发，生产时尽量减少车间门窗的开启频次，利用墙壁的作用，使噪声受到不同程度的隔绝和吸收，做到尽可能屏蔽声源，减少对环境的影响。同时在工厂总体布置上利用建筑物、构筑物来阻隔声波的传播。通常厂房的隔声量为18~22dB(A)。</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（4）噪声预测结果</w:t>
            </w:r>
          </w:p>
          <w:p>
            <w:pPr>
              <w:spacing w:line="360" w:lineRule="auto"/>
              <w:ind w:firstLine="482" w:firstLineChars="200"/>
              <w:jc w:val="center"/>
              <w:rPr>
                <w:rFonts w:ascii="Times New Roman" w:hAnsi="Times New Roman" w:eastAsia="宋体"/>
                <w:b/>
                <w:bCs/>
                <w:color w:val="auto"/>
                <w:sz w:val="24"/>
              </w:rPr>
            </w:pPr>
            <w:r>
              <w:rPr>
                <w:rFonts w:ascii="Times New Roman" w:hAnsi="Times New Roman" w:eastAsia="宋体"/>
                <w:b/>
                <w:bCs/>
                <w:color w:val="auto"/>
                <w:sz w:val="24"/>
              </w:rPr>
              <w:t>表7-</w:t>
            </w:r>
            <w:r>
              <w:rPr>
                <w:rFonts w:hint="eastAsia" w:ascii="Times New Roman" w:hAnsi="Times New Roman" w:eastAsia="宋体"/>
                <w:b/>
                <w:bCs/>
                <w:color w:val="auto"/>
                <w:sz w:val="24"/>
              </w:rPr>
              <w:t>1</w:t>
            </w:r>
            <w:r>
              <w:rPr>
                <w:rFonts w:hint="eastAsia" w:ascii="Times New Roman" w:hAnsi="Times New Roman" w:eastAsia="宋体"/>
                <w:b/>
                <w:bCs/>
                <w:color w:val="auto"/>
                <w:sz w:val="24"/>
                <w:lang w:val="en-US" w:eastAsia="zh-CN"/>
              </w:rPr>
              <w:t>1</w:t>
            </w:r>
            <w:r>
              <w:rPr>
                <w:rFonts w:ascii="Times New Roman" w:hAnsi="Times New Roman" w:eastAsia="宋体"/>
                <w:b/>
                <w:bCs/>
                <w:color w:val="auto"/>
                <w:sz w:val="24"/>
              </w:rPr>
              <w:t xml:space="preserve">  项目厂界噪声贡献值预测表   单位：dB(A)</w:t>
            </w:r>
          </w:p>
          <w:tbl>
            <w:tblPr>
              <w:tblStyle w:val="23"/>
              <w:tblW w:w="88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2"/>
              <w:gridCol w:w="1235"/>
              <w:gridCol w:w="1235"/>
              <w:gridCol w:w="1235"/>
              <w:gridCol w:w="1235"/>
              <w:gridCol w:w="1235"/>
              <w:gridCol w:w="1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432" w:type="dxa"/>
                  <w:vMerge w:val="restart"/>
                  <w:vAlign w:val="center"/>
                </w:tcPr>
                <w:p>
                  <w:pPr>
                    <w:pStyle w:val="39"/>
                    <w:keepNext w:val="0"/>
                    <w:keepLines w:val="0"/>
                    <w:suppressLineNumbers w:val="0"/>
                    <w:bidi w:val="0"/>
                    <w:spacing w:before="0" w:beforeAutospacing="0" w:after="0" w:afterAutospacing="0"/>
                    <w:ind w:left="0" w:right="0"/>
                    <w:jc w:val="center"/>
                    <w:rPr>
                      <w:rFonts w:hint="eastAsia" w:ascii="Times New Roman" w:hAnsi="Times New Roman" w:eastAsia="宋体"/>
                      <w:color w:val="auto"/>
                      <w:sz w:val="21"/>
                      <w:szCs w:val="21"/>
                      <w:lang w:val="en-US" w:eastAsia="zh-CN"/>
                    </w:rPr>
                  </w:pPr>
                  <w:r>
                    <w:rPr>
                      <w:rFonts w:hint="default" w:ascii="Times New Roman" w:hAnsi="Times New Roman" w:eastAsia="宋体"/>
                      <w:color w:val="auto"/>
                      <w:sz w:val="21"/>
                      <w:szCs w:val="21"/>
                    </w:rPr>
                    <w:t>预测地点</w:t>
                  </w:r>
                </w:p>
              </w:tc>
              <w:tc>
                <w:tcPr>
                  <w:tcW w:w="3705" w:type="dxa"/>
                  <w:gridSpan w:val="3"/>
                  <w:vAlign w:val="center"/>
                </w:tcPr>
                <w:p>
                  <w:pPr>
                    <w:pStyle w:val="39"/>
                    <w:keepNext w:val="0"/>
                    <w:keepLines w:val="0"/>
                    <w:suppressLineNumbers w:val="0"/>
                    <w:bidi w:val="0"/>
                    <w:spacing w:before="0" w:beforeAutospacing="0" w:after="0" w:afterAutospacing="0"/>
                    <w:ind w:left="0" w:right="0"/>
                    <w:jc w:val="center"/>
                    <w:rPr>
                      <w:rFonts w:hint="eastAsia" w:ascii="Times New Roman" w:hAnsi="Times New Roman" w:eastAsia="宋体"/>
                      <w:color w:val="auto"/>
                      <w:sz w:val="21"/>
                      <w:szCs w:val="21"/>
                      <w:lang w:val="en-US" w:eastAsia="zh-CN"/>
                    </w:rPr>
                  </w:pPr>
                  <w:r>
                    <w:rPr>
                      <w:rFonts w:hint="default" w:ascii="Times New Roman" w:hAnsi="Times New Roman" w:eastAsia="宋体"/>
                      <w:color w:val="auto"/>
                      <w:sz w:val="21"/>
                      <w:szCs w:val="21"/>
                    </w:rPr>
                    <w:t>昼间</w:t>
                  </w:r>
                </w:p>
              </w:tc>
              <w:tc>
                <w:tcPr>
                  <w:tcW w:w="3706" w:type="dxa"/>
                  <w:gridSpan w:val="3"/>
                  <w:vAlign w:val="center"/>
                </w:tcPr>
                <w:p>
                  <w:pPr>
                    <w:pStyle w:val="39"/>
                    <w:keepNext w:val="0"/>
                    <w:keepLines w:val="0"/>
                    <w:suppressLineNumbers w:val="0"/>
                    <w:bidi w:val="0"/>
                    <w:spacing w:before="0" w:beforeAutospacing="0" w:after="0" w:afterAutospacing="0"/>
                    <w:ind w:left="0" w:right="0"/>
                    <w:jc w:val="center"/>
                    <w:rPr>
                      <w:rFonts w:hint="eastAsia" w:ascii="Times New Roman" w:hAnsi="Times New Roman" w:eastAsia="宋体"/>
                      <w:color w:val="auto"/>
                      <w:sz w:val="21"/>
                      <w:szCs w:val="21"/>
                      <w:lang w:val="en-US" w:eastAsia="zh-CN"/>
                    </w:rPr>
                  </w:pPr>
                  <w:r>
                    <w:rPr>
                      <w:rFonts w:hint="default" w:ascii="Times New Roman" w:hAnsi="Times New Roman" w:eastAsia="宋体"/>
                      <w:color w:val="auto"/>
                      <w:sz w:val="21"/>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 w:hRule="atLeast"/>
              </w:trPr>
              <w:tc>
                <w:tcPr>
                  <w:tcW w:w="1432" w:type="dxa"/>
                  <w:vMerge w:val="continue"/>
                  <w:vAlign w:val="center"/>
                </w:tcPr>
                <w:p>
                  <w:pPr>
                    <w:pStyle w:val="39"/>
                    <w:keepNext w:val="0"/>
                    <w:keepLines w:val="0"/>
                    <w:suppressLineNumbers w:val="0"/>
                    <w:bidi w:val="0"/>
                    <w:spacing w:before="0" w:beforeAutospacing="0" w:after="0" w:afterAutospacing="0"/>
                    <w:ind w:left="0" w:right="0"/>
                    <w:jc w:val="center"/>
                    <w:rPr>
                      <w:rFonts w:hint="default" w:ascii="Times New Roman" w:hAnsi="Times New Roman" w:eastAsia="宋体"/>
                      <w:color w:val="auto"/>
                      <w:sz w:val="21"/>
                      <w:szCs w:val="21"/>
                    </w:rPr>
                  </w:pPr>
                </w:p>
              </w:tc>
              <w:tc>
                <w:tcPr>
                  <w:tcW w:w="1235" w:type="dxa"/>
                  <w:vAlign w:val="center"/>
                </w:tcPr>
                <w:p>
                  <w:pPr>
                    <w:pStyle w:val="39"/>
                    <w:keepNext w:val="0"/>
                    <w:keepLines w:val="0"/>
                    <w:suppressLineNumbers w:val="0"/>
                    <w:bidi w:val="0"/>
                    <w:spacing w:before="0" w:beforeAutospacing="0" w:after="0" w:afterAutospacing="0"/>
                    <w:ind w:left="0" w:right="0"/>
                    <w:jc w:val="center"/>
                    <w:rPr>
                      <w:rFonts w:hint="eastAsia" w:ascii="Times New Roman" w:hAnsi="Times New Roman" w:eastAsia="宋体"/>
                      <w:color w:val="auto"/>
                      <w:sz w:val="21"/>
                      <w:szCs w:val="21"/>
                      <w:lang w:val="en-US" w:eastAsia="zh-CN"/>
                    </w:rPr>
                  </w:pPr>
                  <w:r>
                    <w:rPr>
                      <w:rFonts w:hint="default" w:ascii="Times New Roman" w:hAnsi="Times New Roman" w:eastAsia="宋体"/>
                      <w:color w:val="auto"/>
                      <w:sz w:val="21"/>
                      <w:szCs w:val="21"/>
                    </w:rPr>
                    <w:t>贡献值</w:t>
                  </w:r>
                </w:p>
              </w:tc>
              <w:tc>
                <w:tcPr>
                  <w:tcW w:w="1235" w:type="dxa"/>
                  <w:vAlign w:val="center"/>
                </w:tcPr>
                <w:p>
                  <w:pPr>
                    <w:pStyle w:val="39"/>
                    <w:keepNext w:val="0"/>
                    <w:keepLines w:val="0"/>
                    <w:suppressLineNumbers w:val="0"/>
                    <w:bidi w:val="0"/>
                    <w:spacing w:before="0" w:beforeAutospacing="0" w:after="0" w:afterAutospacing="0"/>
                    <w:ind w:left="0" w:right="0"/>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eastAsia="zh-CN"/>
                    </w:rPr>
                    <w:t>现状值</w:t>
                  </w:r>
                </w:p>
              </w:tc>
              <w:tc>
                <w:tcPr>
                  <w:tcW w:w="1235" w:type="dxa"/>
                  <w:vAlign w:val="center"/>
                </w:tcPr>
                <w:p>
                  <w:pPr>
                    <w:pStyle w:val="39"/>
                    <w:keepNext w:val="0"/>
                    <w:keepLines w:val="0"/>
                    <w:suppressLineNumbers w:val="0"/>
                    <w:bidi w:val="0"/>
                    <w:spacing w:before="0" w:beforeAutospacing="0" w:after="0" w:afterAutospacing="0"/>
                    <w:ind w:left="0" w:right="0"/>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eastAsia="zh-CN"/>
                    </w:rPr>
                    <w:t>预测</w:t>
                  </w:r>
                  <w:r>
                    <w:rPr>
                      <w:rFonts w:hint="default" w:ascii="Times New Roman" w:hAnsi="Times New Roman" w:eastAsia="宋体"/>
                      <w:color w:val="auto"/>
                      <w:sz w:val="21"/>
                      <w:szCs w:val="21"/>
                    </w:rPr>
                    <w:t>值</w:t>
                  </w:r>
                </w:p>
              </w:tc>
              <w:tc>
                <w:tcPr>
                  <w:tcW w:w="1235" w:type="dxa"/>
                  <w:vAlign w:val="center"/>
                </w:tcPr>
                <w:p>
                  <w:pPr>
                    <w:pStyle w:val="39"/>
                    <w:keepNext w:val="0"/>
                    <w:keepLines w:val="0"/>
                    <w:suppressLineNumbers w:val="0"/>
                    <w:bidi w:val="0"/>
                    <w:spacing w:before="0" w:beforeAutospacing="0" w:after="0" w:afterAutospacing="0"/>
                    <w:ind w:left="0" w:right="0"/>
                    <w:jc w:val="center"/>
                    <w:rPr>
                      <w:rFonts w:hint="eastAsia" w:ascii="Times New Roman" w:hAnsi="Times New Roman" w:eastAsia="宋体"/>
                      <w:color w:val="auto"/>
                      <w:sz w:val="21"/>
                      <w:szCs w:val="21"/>
                      <w:lang w:val="en-US" w:eastAsia="zh-CN"/>
                    </w:rPr>
                  </w:pPr>
                  <w:r>
                    <w:rPr>
                      <w:rFonts w:hint="default" w:ascii="Times New Roman" w:hAnsi="Times New Roman" w:eastAsia="宋体"/>
                      <w:color w:val="auto"/>
                      <w:sz w:val="21"/>
                      <w:szCs w:val="21"/>
                    </w:rPr>
                    <w:t>贡献值</w:t>
                  </w:r>
                </w:p>
              </w:tc>
              <w:tc>
                <w:tcPr>
                  <w:tcW w:w="1235" w:type="dxa"/>
                  <w:vAlign w:val="center"/>
                </w:tcPr>
                <w:p>
                  <w:pPr>
                    <w:pStyle w:val="39"/>
                    <w:keepNext w:val="0"/>
                    <w:keepLines w:val="0"/>
                    <w:suppressLineNumbers w:val="0"/>
                    <w:bidi w:val="0"/>
                    <w:spacing w:before="0" w:beforeAutospacing="0" w:after="0" w:afterAutospacing="0"/>
                    <w:ind w:left="0" w:right="0"/>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eastAsia="zh-CN"/>
                    </w:rPr>
                    <w:t>现状值</w:t>
                  </w:r>
                </w:p>
              </w:tc>
              <w:tc>
                <w:tcPr>
                  <w:tcW w:w="1236" w:type="dxa"/>
                  <w:vAlign w:val="center"/>
                </w:tcPr>
                <w:p>
                  <w:pPr>
                    <w:pStyle w:val="39"/>
                    <w:keepNext w:val="0"/>
                    <w:keepLines w:val="0"/>
                    <w:suppressLineNumbers w:val="0"/>
                    <w:bidi w:val="0"/>
                    <w:spacing w:before="0" w:beforeAutospacing="0" w:after="0" w:afterAutospacing="0"/>
                    <w:ind w:left="0" w:right="0"/>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eastAsia="zh-CN"/>
                    </w:rPr>
                    <w:t>预测</w:t>
                  </w:r>
                  <w:r>
                    <w:rPr>
                      <w:rFonts w:hint="default" w:ascii="Times New Roman" w:hAnsi="Times New Roman" w:eastAsia="宋体"/>
                      <w:color w:val="auto"/>
                      <w:sz w:val="21"/>
                      <w:szCs w:val="21"/>
                    </w:rPr>
                    <w:t>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2" w:type="dxa"/>
                  <w:vAlign w:val="center"/>
                </w:tcPr>
                <w:p>
                  <w:pPr>
                    <w:pStyle w:val="39"/>
                    <w:keepNext w:val="0"/>
                    <w:keepLines w:val="0"/>
                    <w:suppressLineNumbers w:val="0"/>
                    <w:bidi w:val="0"/>
                    <w:spacing w:before="0" w:beforeAutospacing="0" w:after="0" w:afterAutospacing="0"/>
                    <w:ind w:left="0" w:right="0"/>
                    <w:jc w:val="center"/>
                    <w:rPr>
                      <w:rFonts w:hint="eastAsia" w:ascii="Times New Roman" w:hAnsi="Times New Roman" w:eastAsia="宋体"/>
                      <w:color w:val="auto"/>
                      <w:sz w:val="21"/>
                      <w:szCs w:val="21"/>
                      <w:lang w:val="en-US" w:eastAsia="zh-CN"/>
                    </w:rPr>
                  </w:pPr>
                  <w:r>
                    <w:rPr>
                      <w:rFonts w:hint="default" w:ascii="Times New Roman" w:hAnsi="Times New Roman" w:eastAsia="宋体"/>
                      <w:color w:val="auto"/>
                      <w:sz w:val="21"/>
                      <w:szCs w:val="21"/>
                    </w:rPr>
                    <w:t>东厂界外1m</w:t>
                  </w:r>
                </w:p>
              </w:tc>
              <w:tc>
                <w:tcPr>
                  <w:tcW w:w="1235" w:type="dxa"/>
                  <w:vAlign w:val="center"/>
                </w:tcPr>
                <w:p>
                  <w:pPr>
                    <w:keepNext w:val="0"/>
                    <w:keepLines w:val="0"/>
                    <w:widowControl/>
                    <w:suppressLineNumbers w:val="0"/>
                    <w:jc w:val="center"/>
                    <w:textAlignment w:val="center"/>
                    <w:rPr>
                      <w:rFonts w:hint="default" w:ascii="Times New Roman" w:hAnsi="Times New Roman" w:eastAsia="宋体"/>
                      <w:color w:val="auto"/>
                      <w:sz w:val="21"/>
                      <w:szCs w:val="21"/>
                      <w:lang w:val="en-US" w:eastAsia="zh-CN"/>
                    </w:rPr>
                  </w:pPr>
                  <w:r>
                    <w:rPr>
                      <w:rFonts w:hint="eastAsia" w:ascii="Times New Roman" w:hAnsi="Times New Roman" w:eastAsia="宋体" w:cs="宋体"/>
                      <w:i w:val="0"/>
                      <w:color w:val="000000"/>
                      <w:kern w:val="0"/>
                      <w:sz w:val="21"/>
                      <w:szCs w:val="21"/>
                      <w:u w:val="none"/>
                      <w:lang w:val="en-US" w:eastAsia="zh-CN" w:bidi="ar"/>
                    </w:rPr>
                    <w:t>53.67</w:t>
                  </w:r>
                </w:p>
              </w:tc>
              <w:tc>
                <w:tcPr>
                  <w:tcW w:w="1235"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54.3</w:t>
                  </w:r>
                </w:p>
              </w:tc>
              <w:tc>
                <w:tcPr>
                  <w:tcW w:w="1235" w:type="dxa"/>
                  <w:vAlign w:val="center"/>
                </w:tcPr>
                <w:p>
                  <w:pPr>
                    <w:keepNext w:val="0"/>
                    <w:keepLines w:val="0"/>
                    <w:widowControl/>
                    <w:suppressLineNumbers w:val="0"/>
                    <w:jc w:val="center"/>
                    <w:textAlignment w:val="center"/>
                    <w:rPr>
                      <w:rFonts w:hint="default" w:ascii="Times New Roman" w:hAnsi="Times New Roman" w:eastAsia="宋体"/>
                      <w:color w:val="auto"/>
                      <w:sz w:val="21"/>
                      <w:szCs w:val="21"/>
                      <w:lang w:val="en-US" w:eastAsia="zh-CN"/>
                    </w:rPr>
                  </w:pPr>
                  <w:r>
                    <w:rPr>
                      <w:rFonts w:hint="eastAsia" w:ascii="Times New Roman" w:hAnsi="Times New Roman" w:eastAsia="宋体" w:cs="宋体"/>
                      <w:i w:val="0"/>
                      <w:color w:val="000000"/>
                      <w:kern w:val="0"/>
                      <w:sz w:val="21"/>
                      <w:szCs w:val="21"/>
                      <w:u w:val="none"/>
                      <w:lang w:val="en-US" w:eastAsia="zh-CN" w:bidi="ar"/>
                    </w:rPr>
                    <w:t>57.01</w:t>
                  </w:r>
                </w:p>
              </w:tc>
              <w:tc>
                <w:tcPr>
                  <w:tcW w:w="1235" w:type="dxa"/>
                  <w:vAlign w:val="center"/>
                </w:tcPr>
                <w:p>
                  <w:pPr>
                    <w:keepNext w:val="0"/>
                    <w:keepLines w:val="0"/>
                    <w:widowControl/>
                    <w:suppressLineNumbers w:val="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000000"/>
                      <w:kern w:val="0"/>
                      <w:sz w:val="21"/>
                      <w:szCs w:val="21"/>
                      <w:u w:val="none"/>
                      <w:lang w:val="en-US" w:eastAsia="zh-CN" w:bidi="ar"/>
                    </w:rPr>
                    <w:t>53.67</w:t>
                  </w:r>
                </w:p>
              </w:tc>
              <w:tc>
                <w:tcPr>
                  <w:tcW w:w="1235"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44.</w:t>
                  </w:r>
                  <w:r>
                    <w:rPr>
                      <w:rFonts w:hint="eastAsia" w:ascii="Times New Roman" w:hAnsi="Times New Roman" w:eastAsia="宋体"/>
                      <w:color w:val="auto"/>
                      <w:sz w:val="21"/>
                      <w:szCs w:val="21"/>
                      <w:lang w:val="en-US" w:eastAsia="zh-CN"/>
                    </w:rPr>
                    <w:t>0</w:t>
                  </w:r>
                </w:p>
              </w:tc>
              <w:tc>
                <w:tcPr>
                  <w:tcW w:w="1236" w:type="dxa"/>
                  <w:vAlign w:val="center"/>
                </w:tcPr>
                <w:p>
                  <w:pPr>
                    <w:keepNext w:val="0"/>
                    <w:keepLines w:val="0"/>
                    <w:widowControl/>
                    <w:suppressLineNumbers w:val="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000000"/>
                      <w:kern w:val="0"/>
                      <w:sz w:val="21"/>
                      <w:szCs w:val="21"/>
                      <w:u w:val="none"/>
                      <w:lang w:val="en-US" w:eastAsia="zh-CN" w:bidi="ar"/>
                    </w:rPr>
                    <w:t>54.11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2" w:type="dxa"/>
                  <w:vAlign w:val="center"/>
                </w:tcPr>
                <w:p>
                  <w:pPr>
                    <w:pStyle w:val="39"/>
                    <w:keepNext w:val="0"/>
                    <w:keepLines w:val="0"/>
                    <w:suppressLineNumbers w:val="0"/>
                    <w:bidi w:val="0"/>
                    <w:spacing w:before="0" w:beforeAutospacing="0" w:after="0" w:afterAutospacing="0"/>
                    <w:ind w:left="0" w:right="0"/>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南</w:t>
                  </w:r>
                  <w:r>
                    <w:rPr>
                      <w:rFonts w:hint="default" w:ascii="Times New Roman" w:hAnsi="Times New Roman" w:eastAsia="宋体"/>
                      <w:color w:val="auto"/>
                      <w:sz w:val="21"/>
                      <w:szCs w:val="21"/>
                    </w:rPr>
                    <w:t>厂界外1m</w:t>
                  </w:r>
                </w:p>
              </w:tc>
              <w:tc>
                <w:tcPr>
                  <w:tcW w:w="1235" w:type="dxa"/>
                  <w:vAlign w:val="center"/>
                </w:tcPr>
                <w:p>
                  <w:pPr>
                    <w:keepNext w:val="0"/>
                    <w:keepLines w:val="0"/>
                    <w:widowControl/>
                    <w:suppressLineNumbers w:val="0"/>
                    <w:jc w:val="center"/>
                    <w:textAlignment w:val="center"/>
                    <w:rPr>
                      <w:rFonts w:hint="default" w:ascii="Times New Roman" w:hAnsi="Times New Roman" w:eastAsia="宋体"/>
                      <w:color w:val="auto"/>
                      <w:sz w:val="21"/>
                      <w:szCs w:val="21"/>
                      <w:lang w:val="en-US" w:eastAsia="zh-CN"/>
                    </w:rPr>
                  </w:pPr>
                  <w:r>
                    <w:rPr>
                      <w:rFonts w:hint="eastAsia" w:ascii="Times New Roman" w:hAnsi="Times New Roman" w:eastAsia="宋体" w:cs="宋体"/>
                      <w:i w:val="0"/>
                      <w:color w:val="000000"/>
                      <w:kern w:val="0"/>
                      <w:sz w:val="21"/>
                      <w:szCs w:val="21"/>
                      <w:u w:val="none"/>
                      <w:lang w:val="en-US" w:eastAsia="zh-CN" w:bidi="ar"/>
                    </w:rPr>
                    <w:t>50.3</w:t>
                  </w:r>
                </w:p>
              </w:tc>
              <w:tc>
                <w:tcPr>
                  <w:tcW w:w="1235"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54.8</w:t>
                  </w:r>
                </w:p>
              </w:tc>
              <w:tc>
                <w:tcPr>
                  <w:tcW w:w="1235" w:type="dxa"/>
                  <w:vAlign w:val="center"/>
                </w:tcPr>
                <w:p>
                  <w:pPr>
                    <w:keepNext w:val="0"/>
                    <w:keepLines w:val="0"/>
                    <w:widowControl/>
                    <w:suppressLineNumbers w:val="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000000"/>
                      <w:kern w:val="0"/>
                      <w:sz w:val="21"/>
                      <w:szCs w:val="21"/>
                      <w:u w:val="none"/>
                      <w:lang w:val="en-US" w:eastAsia="zh-CN" w:bidi="ar"/>
                    </w:rPr>
                    <w:t>56.12</w:t>
                  </w:r>
                </w:p>
              </w:tc>
              <w:tc>
                <w:tcPr>
                  <w:tcW w:w="1235" w:type="dxa"/>
                  <w:vAlign w:val="center"/>
                </w:tcPr>
                <w:p>
                  <w:pPr>
                    <w:keepNext w:val="0"/>
                    <w:keepLines w:val="0"/>
                    <w:widowControl/>
                    <w:suppressLineNumbers w:val="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000000"/>
                      <w:kern w:val="0"/>
                      <w:sz w:val="21"/>
                      <w:szCs w:val="21"/>
                      <w:u w:val="none"/>
                      <w:lang w:val="en-US" w:eastAsia="zh-CN" w:bidi="ar"/>
                    </w:rPr>
                    <w:t>50.3</w:t>
                  </w:r>
                </w:p>
              </w:tc>
              <w:tc>
                <w:tcPr>
                  <w:tcW w:w="1235"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44.4</w:t>
                  </w:r>
                </w:p>
              </w:tc>
              <w:tc>
                <w:tcPr>
                  <w:tcW w:w="1236" w:type="dxa"/>
                  <w:vAlign w:val="center"/>
                </w:tcPr>
                <w:p>
                  <w:pPr>
                    <w:keepNext w:val="0"/>
                    <w:keepLines w:val="0"/>
                    <w:widowControl/>
                    <w:suppressLineNumbers w:val="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000000"/>
                      <w:kern w:val="0"/>
                      <w:sz w:val="21"/>
                      <w:szCs w:val="21"/>
                      <w:u w:val="none"/>
                      <w:lang w:val="en-US" w:eastAsia="zh-CN" w:bidi="ar"/>
                    </w:rPr>
                    <w:t>51.29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2" w:type="dxa"/>
                  <w:vAlign w:val="center"/>
                </w:tcPr>
                <w:p>
                  <w:pPr>
                    <w:pStyle w:val="39"/>
                    <w:keepNext w:val="0"/>
                    <w:keepLines w:val="0"/>
                    <w:suppressLineNumbers w:val="0"/>
                    <w:bidi w:val="0"/>
                    <w:spacing w:before="0" w:beforeAutospacing="0" w:after="0" w:afterAutospacing="0"/>
                    <w:ind w:left="0" w:right="0"/>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西</w:t>
                  </w:r>
                  <w:r>
                    <w:rPr>
                      <w:rFonts w:hint="default" w:ascii="Times New Roman" w:hAnsi="Times New Roman" w:eastAsia="宋体"/>
                      <w:color w:val="auto"/>
                      <w:sz w:val="21"/>
                      <w:szCs w:val="21"/>
                    </w:rPr>
                    <w:t>厂界外1m</w:t>
                  </w:r>
                </w:p>
              </w:tc>
              <w:tc>
                <w:tcPr>
                  <w:tcW w:w="1235" w:type="dxa"/>
                  <w:vAlign w:val="center"/>
                </w:tcPr>
                <w:p>
                  <w:pPr>
                    <w:keepNext w:val="0"/>
                    <w:keepLines w:val="0"/>
                    <w:widowControl/>
                    <w:suppressLineNumbers w:val="0"/>
                    <w:jc w:val="center"/>
                    <w:textAlignment w:val="center"/>
                    <w:rPr>
                      <w:rFonts w:hint="default" w:ascii="Times New Roman" w:hAnsi="Times New Roman" w:eastAsia="宋体"/>
                      <w:color w:val="auto"/>
                      <w:sz w:val="21"/>
                      <w:szCs w:val="21"/>
                      <w:lang w:val="en-US" w:eastAsia="zh-CN"/>
                    </w:rPr>
                  </w:pPr>
                  <w:r>
                    <w:rPr>
                      <w:rFonts w:hint="eastAsia" w:ascii="Times New Roman" w:hAnsi="Times New Roman" w:eastAsia="宋体" w:cs="宋体"/>
                      <w:i w:val="0"/>
                      <w:color w:val="000000"/>
                      <w:kern w:val="0"/>
                      <w:sz w:val="21"/>
                      <w:szCs w:val="21"/>
                      <w:u w:val="none"/>
                      <w:lang w:val="en-US" w:eastAsia="zh-CN" w:bidi="ar"/>
                    </w:rPr>
                    <w:t>51.1</w:t>
                  </w:r>
                </w:p>
              </w:tc>
              <w:tc>
                <w:tcPr>
                  <w:tcW w:w="1235"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55.</w:t>
                  </w:r>
                  <w:r>
                    <w:rPr>
                      <w:rFonts w:hint="eastAsia" w:ascii="Times New Roman" w:hAnsi="Times New Roman" w:eastAsia="宋体"/>
                      <w:color w:val="auto"/>
                      <w:sz w:val="21"/>
                      <w:szCs w:val="21"/>
                      <w:lang w:val="en-US" w:eastAsia="zh-CN"/>
                    </w:rPr>
                    <w:t>0</w:t>
                  </w:r>
                </w:p>
              </w:tc>
              <w:tc>
                <w:tcPr>
                  <w:tcW w:w="1235" w:type="dxa"/>
                  <w:vAlign w:val="center"/>
                </w:tcPr>
                <w:p>
                  <w:pPr>
                    <w:keepNext w:val="0"/>
                    <w:keepLines w:val="0"/>
                    <w:widowControl/>
                    <w:suppressLineNumbers w:val="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000000"/>
                      <w:kern w:val="0"/>
                      <w:sz w:val="21"/>
                      <w:szCs w:val="21"/>
                      <w:u w:val="none"/>
                      <w:lang w:val="en-US" w:eastAsia="zh-CN" w:bidi="ar"/>
                    </w:rPr>
                    <w:t>56.48</w:t>
                  </w:r>
                </w:p>
              </w:tc>
              <w:tc>
                <w:tcPr>
                  <w:tcW w:w="1235" w:type="dxa"/>
                  <w:vAlign w:val="center"/>
                </w:tcPr>
                <w:p>
                  <w:pPr>
                    <w:keepNext w:val="0"/>
                    <w:keepLines w:val="0"/>
                    <w:widowControl/>
                    <w:suppressLineNumbers w:val="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000000"/>
                      <w:kern w:val="0"/>
                      <w:sz w:val="21"/>
                      <w:szCs w:val="21"/>
                      <w:u w:val="none"/>
                      <w:lang w:val="en-US" w:eastAsia="zh-CN" w:bidi="ar"/>
                    </w:rPr>
                    <w:t>51.1</w:t>
                  </w:r>
                </w:p>
              </w:tc>
              <w:tc>
                <w:tcPr>
                  <w:tcW w:w="1235"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44.2</w:t>
                  </w:r>
                </w:p>
              </w:tc>
              <w:tc>
                <w:tcPr>
                  <w:tcW w:w="1236" w:type="dxa"/>
                  <w:vAlign w:val="center"/>
                </w:tcPr>
                <w:p>
                  <w:pPr>
                    <w:keepNext w:val="0"/>
                    <w:keepLines w:val="0"/>
                    <w:widowControl/>
                    <w:suppressLineNumbers w:val="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000000"/>
                      <w:kern w:val="0"/>
                      <w:sz w:val="21"/>
                      <w:szCs w:val="21"/>
                      <w:u w:val="none"/>
                      <w:lang w:val="en-US" w:eastAsia="zh-CN" w:bidi="ar"/>
                    </w:rPr>
                    <w:t>51.91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32" w:type="dxa"/>
                  <w:vAlign w:val="center"/>
                </w:tcPr>
                <w:p>
                  <w:pPr>
                    <w:pStyle w:val="39"/>
                    <w:keepNext w:val="0"/>
                    <w:keepLines w:val="0"/>
                    <w:suppressLineNumbers w:val="0"/>
                    <w:bidi w:val="0"/>
                    <w:spacing w:before="0" w:beforeAutospacing="0" w:after="0" w:afterAutospacing="0"/>
                    <w:ind w:left="0" w:right="0"/>
                    <w:jc w:val="center"/>
                    <w:rPr>
                      <w:rFonts w:hint="eastAsia"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北</w:t>
                  </w:r>
                  <w:r>
                    <w:rPr>
                      <w:rFonts w:hint="default" w:ascii="Times New Roman" w:hAnsi="Times New Roman" w:eastAsia="宋体"/>
                      <w:color w:val="auto"/>
                      <w:sz w:val="21"/>
                      <w:szCs w:val="21"/>
                    </w:rPr>
                    <w:t>厂界外1m</w:t>
                  </w:r>
                </w:p>
              </w:tc>
              <w:tc>
                <w:tcPr>
                  <w:tcW w:w="1235" w:type="dxa"/>
                  <w:vAlign w:val="center"/>
                </w:tcPr>
                <w:p>
                  <w:pPr>
                    <w:keepNext w:val="0"/>
                    <w:keepLines w:val="0"/>
                    <w:widowControl/>
                    <w:suppressLineNumbers w:val="0"/>
                    <w:jc w:val="center"/>
                    <w:textAlignment w:val="center"/>
                    <w:rPr>
                      <w:rFonts w:hint="default" w:ascii="Times New Roman" w:hAnsi="Times New Roman" w:eastAsia="宋体"/>
                      <w:color w:val="auto"/>
                      <w:sz w:val="21"/>
                      <w:szCs w:val="21"/>
                      <w:lang w:val="en-US" w:eastAsia="zh-CN"/>
                    </w:rPr>
                  </w:pPr>
                  <w:r>
                    <w:rPr>
                      <w:rFonts w:hint="eastAsia" w:ascii="Times New Roman" w:hAnsi="Times New Roman" w:eastAsia="宋体" w:cs="宋体"/>
                      <w:i w:val="0"/>
                      <w:color w:val="000000"/>
                      <w:kern w:val="0"/>
                      <w:sz w:val="21"/>
                      <w:szCs w:val="21"/>
                      <w:u w:val="none"/>
                      <w:lang w:val="en-US" w:eastAsia="zh-CN" w:bidi="ar"/>
                    </w:rPr>
                    <w:t>47.5</w:t>
                  </w:r>
                </w:p>
              </w:tc>
              <w:tc>
                <w:tcPr>
                  <w:tcW w:w="1235"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54.</w:t>
                  </w:r>
                  <w:r>
                    <w:rPr>
                      <w:rFonts w:hint="eastAsia" w:ascii="Times New Roman" w:hAnsi="Times New Roman" w:eastAsia="宋体"/>
                      <w:color w:val="auto"/>
                      <w:sz w:val="21"/>
                      <w:szCs w:val="21"/>
                      <w:lang w:val="en-US" w:eastAsia="zh-CN"/>
                    </w:rPr>
                    <w:t>6</w:t>
                  </w:r>
                </w:p>
              </w:tc>
              <w:tc>
                <w:tcPr>
                  <w:tcW w:w="1235" w:type="dxa"/>
                  <w:vAlign w:val="center"/>
                </w:tcPr>
                <w:p>
                  <w:pPr>
                    <w:keepNext w:val="0"/>
                    <w:keepLines w:val="0"/>
                    <w:widowControl/>
                    <w:suppressLineNumbers w:val="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000000"/>
                      <w:kern w:val="0"/>
                      <w:sz w:val="21"/>
                      <w:szCs w:val="21"/>
                      <w:u w:val="none"/>
                      <w:lang w:val="en-US" w:eastAsia="zh-CN" w:bidi="ar"/>
                    </w:rPr>
                    <w:t>55.37</w:t>
                  </w:r>
                </w:p>
              </w:tc>
              <w:tc>
                <w:tcPr>
                  <w:tcW w:w="1235" w:type="dxa"/>
                  <w:vAlign w:val="center"/>
                </w:tcPr>
                <w:p>
                  <w:pPr>
                    <w:keepNext w:val="0"/>
                    <w:keepLines w:val="0"/>
                    <w:widowControl/>
                    <w:suppressLineNumbers w:val="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000000"/>
                      <w:kern w:val="0"/>
                      <w:sz w:val="21"/>
                      <w:szCs w:val="21"/>
                      <w:u w:val="none"/>
                      <w:lang w:val="en-US" w:eastAsia="zh-CN" w:bidi="ar"/>
                    </w:rPr>
                    <w:t>47.5</w:t>
                  </w:r>
                </w:p>
              </w:tc>
              <w:tc>
                <w:tcPr>
                  <w:tcW w:w="1235"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eastAsia="宋体"/>
                      <w:color w:val="auto"/>
                      <w:sz w:val="21"/>
                      <w:szCs w:val="21"/>
                      <w:lang w:val="en-US" w:eastAsia="zh-CN"/>
                    </w:rPr>
                  </w:pPr>
                  <w:r>
                    <w:rPr>
                      <w:rFonts w:hint="eastAsia" w:ascii="Times New Roman" w:hAnsi="Times New Roman" w:eastAsia="宋体"/>
                      <w:color w:val="auto"/>
                      <w:sz w:val="21"/>
                      <w:szCs w:val="21"/>
                      <w:lang w:val="en-US" w:eastAsia="zh-CN"/>
                    </w:rPr>
                    <w:t>43.8</w:t>
                  </w:r>
                </w:p>
              </w:tc>
              <w:tc>
                <w:tcPr>
                  <w:tcW w:w="1236" w:type="dxa"/>
                  <w:vAlign w:val="center"/>
                </w:tcPr>
                <w:p>
                  <w:pPr>
                    <w:keepNext w:val="0"/>
                    <w:keepLines w:val="0"/>
                    <w:widowControl/>
                    <w:suppressLineNumbers w:val="0"/>
                    <w:jc w:val="center"/>
                    <w:textAlignment w:val="center"/>
                    <w:rPr>
                      <w:rFonts w:hint="eastAsia" w:ascii="Times New Roman" w:hAnsi="Times New Roman" w:eastAsia="宋体"/>
                      <w:color w:val="auto"/>
                      <w:sz w:val="21"/>
                      <w:szCs w:val="21"/>
                      <w:lang w:val="en-US" w:eastAsia="zh-CN"/>
                    </w:rPr>
                  </w:pPr>
                  <w:r>
                    <w:rPr>
                      <w:rFonts w:hint="eastAsia" w:ascii="Times New Roman" w:hAnsi="Times New Roman" w:eastAsia="宋体" w:cs="宋体"/>
                      <w:i w:val="0"/>
                      <w:color w:val="000000"/>
                      <w:kern w:val="0"/>
                      <w:sz w:val="21"/>
                      <w:szCs w:val="21"/>
                      <w:u w:val="none"/>
                      <w:lang w:val="en-US" w:eastAsia="zh-CN" w:bidi="ar"/>
                    </w:rPr>
                    <w:t>49.04</w:t>
                  </w:r>
                </w:p>
              </w:tc>
            </w:tr>
          </w:tbl>
          <w:p>
            <w:pPr>
              <w:ind w:firstLine="472"/>
              <w:rPr>
                <w:rFonts w:ascii="Times New Roman" w:hAnsi="Times New Roman" w:eastAsia="宋体"/>
                <w:color w:val="auto"/>
              </w:rPr>
            </w:pP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由上表预测可知，本项目</w:t>
            </w:r>
            <w:r>
              <w:rPr>
                <w:rFonts w:ascii="Times New Roman" w:hAnsi="Times New Roman" w:eastAsia="宋体"/>
                <w:bCs/>
                <w:color w:val="auto"/>
                <w:sz w:val="24"/>
              </w:rPr>
              <w:t>昼间各厂界噪声贡献值较小。运营后项目厂界四周噪声可以满足</w:t>
            </w:r>
            <w:r>
              <w:rPr>
                <w:rFonts w:ascii="Times New Roman" w:hAnsi="Times New Roman" w:eastAsia="宋体"/>
                <w:color w:val="auto"/>
                <w:sz w:val="24"/>
              </w:rPr>
              <w:t>《工业企业厂界环境噪声排放标准》</w:t>
            </w:r>
            <w:r>
              <w:rPr>
                <w:rFonts w:ascii="Times New Roman" w:hAnsi="Times New Roman" w:eastAsia="宋体"/>
                <w:bCs/>
                <w:color w:val="auto"/>
                <w:sz w:val="24"/>
              </w:rPr>
              <w:t>（GB12348-2008）</w:t>
            </w:r>
            <w:r>
              <w:rPr>
                <w:rFonts w:ascii="Times New Roman" w:hAnsi="Times New Roman" w:eastAsia="宋体"/>
                <w:color w:val="auto"/>
                <w:sz w:val="24"/>
              </w:rPr>
              <w:t>中3类区标</w:t>
            </w:r>
            <w:r>
              <w:rPr>
                <w:rFonts w:ascii="Times New Roman" w:hAnsi="Times New Roman" w:eastAsia="宋体"/>
                <w:color w:val="auto"/>
                <w:sz w:val="24"/>
                <w:szCs w:val="22"/>
              </w:rPr>
              <w:t>准</w:t>
            </w:r>
            <w:r>
              <w:rPr>
                <w:rFonts w:ascii="Times New Roman" w:hAnsi="Times New Roman" w:eastAsia="宋体"/>
                <w:color w:val="auto"/>
                <w:sz w:val="24"/>
              </w:rPr>
              <w:t>。</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本项目</w:t>
            </w:r>
            <w:r>
              <w:rPr>
                <w:rFonts w:hint="eastAsia" w:ascii="Times New Roman" w:hAnsi="Times New Roman" w:eastAsia="宋体"/>
                <w:color w:val="auto"/>
                <w:sz w:val="24"/>
                <w:szCs w:val="24"/>
                <w:lang w:val="en-US" w:eastAsia="zh-CN"/>
              </w:rPr>
              <w:t>对</w:t>
            </w:r>
            <w:r>
              <w:rPr>
                <w:rFonts w:ascii="Times New Roman" w:hAnsi="Times New Roman" w:eastAsia="宋体"/>
                <w:color w:val="auto"/>
                <w:sz w:val="24"/>
                <w:szCs w:val="24"/>
              </w:rPr>
              <w:t>平面布置进行优化布设，已有效降低生产噪声影响，为了有效降低生产车间的噪声影响，建议采取减振、隔声、吸声、消声等综合治理措施</w:t>
            </w:r>
            <w:r>
              <w:rPr>
                <w:rFonts w:hint="eastAsia" w:ascii="Times New Roman" w:hAnsi="Times New Roman" w:eastAsia="宋体"/>
                <w:color w:val="auto"/>
                <w:sz w:val="24"/>
                <w:szCs w:val="24"/>
              </w:rPr>
              <w:t>。</w:t>
            </w:r>
          </w:p>
          <w:p>
            <w:pPr>
              <w:spacing w:line="360" w:lineRule="auto"/>
              <w:ind w:firstLine="480" w:firstLineChars="200"/>
              <w:rPr>
                <w:rFonts w:ascii="Times New Roman" w:hAnsi="Times New Roman" w:eastAsia="宋体"/>
                <w:color w:val="auto"/>
                <w:sz w:val="36"/>
                <w:szCs w:val="36"/>
              </w:rPr>
            </w:pPr>
            <w:r>
              <w:rPr>
                <w:rFonts w:ascii="Times New Roman" w:hAnsi="Times New Roman" w:eastAsia="宋体"/>
                <w:color w:val="auto"/>
                <w:sz w:val="24"/>
                <w:szCs w:val="24"/>
              </w:rPr>
              <w:t>四、固体废物影响分析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本项目营运期产生的固体废弃物主要为：</w:t>
            </w:r>
            <w:r>
              <w:rPr>
                <w:rFonts w:hint="eastAsia" w:ascii="Times New Roman" w:hAnsi="Times New Roman" w:eastAsia="宋体" w:cs="Times New Roman"/>
                <w:color w:val="auto"/>
                <w:sz w:val="24"/>
                <w:szCs w:val="22"/>
                <w:lang w:val="en-US" w:eastAsia="zh-CN"/>
              </w:rPr>
              <w:t>不合格铸管、铸管边角料、铁屑、含铁除尘灰、喷锌除尘灰、涂料渣、废油漆桶、废活性炭、生活垃圾</w:t>
            </w:r>
            <w:r>
              <w:rPr>
                <w:rFonts w:hint="default" w:ascii="Times New Roman" w:hAnsi="Times New Roman" w:eastAsia="宋体" w:cs="Times New Roman"/>
                <w:color w:val="auto"/>
                <w:sz w:val="24"/>
                <w:szCs w:val="22"/>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textAlignment w:val="auto"/>
              <w:rPr>
                <w:rFonts w:hint="eastAsia" w:ascii="Times New Roman" w:hAnsi="Times New Roman" w:eastAsia="宋体" w:cs="Times New Roman"/>
                <w:color w:val="auto"/>
                <w:sz w:val="24"/>
                <w:szCs w:val="22"/>
                <w:lang w:val="en-US" w:eastAsia="zh-CN"/>
              </w:rPr>
            </w:pPr>
            <w:r>
              <w:rPr>
                <w:rFonts w:hint="eastAsia" w:ascii="Times New Roman" w:hAnsi="Times New Roman" w:eastAsia="宋体" w:cs="Times New Roman"/>
                <w:color w:val="auto"/>
                <w:sz w:val="24"/>
                <w:szCs w:val="22"/>
                <w:lang w:val="en-US" w:eastAsia="zh-CN"/>
              </w:rPr>
              <w:t>不合格铸管、铸管边角料回炉熔炼，铁屑作高炉炼铁原料使用，含铁除尘灰作烧结原料使用</w:t>
            </w:r>
            <w:r>
              <w:rPr>
                <w:rFonts w:hint="eastAsia" w:ascii="Times New Roman" w:hAnsi="Times New Roman" w:eastAsia="宋体" w:cs="Times New Roman"/>
                <w:color w:val="auto"/>
                <w:sz w:val="24"/>
                <w:szCs w:val="22"/>
                <w:lang w:val="en-US" w:eastAsia="zh-CN"/>
              </w:rPr>
              <w:t>。</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textAlignment w:val="auto"/>
              <w:rPr>
                <w:rFonts w:hint="default" w:ascii="Times New Roman" w:hAnsi="Times New Roman" w:eastAsia="宋体" w:cs="Times New Roman"/>
                <w:color w:val="auto"/>
                <w:sz w:val="24"/>
                <w:szCs w:val="22"/>
              </w:rPr>
            </w:pPr>
            <w:r>
              <w:rPr>
                <w:rFonts w:hint="eastAsia" w:ascii="Times New Roman" w:hAnsi="Times New Roman" w:eastAsia="宋体" w:cs="Times New Roman"/>
                <w:color w:val="auto"/>
                <w:sz w:val="24"/>
                <w:szCs w:val="22"/>
                <w:lang w:val="en-US" w:eastAsia="zh-CN"/>
              </w:rPr>
              <w:t>喷锌除尘灰、废油漆桶交由有资质单位处置，铝粉漆渣作腻子使用、其它漆渣交危废处置单位处置，</w:t>
            </w:r>
            <w:r>
              <w:rPr>
                <w:rFonts w:hint="eastAsia" w:ascii="Times New Roman" w:hAnsi="Times New Roman" w:eastAsia="宋体" w:cs="Times New Roman"/>
                <w:color w:val="auto"/>
                <w:sz w:val="24"/>
                <w:szCs w:val="22"/>
                <w:lang w:val="en-US" w:eastAsia="zh-CN"/>
              </w:rPr>
              <w:t>废活性炭</w:t>
            </w:r>
            <w:r>
              <w:rPr>
                <w:rFonts w:hint="eastAsia" w:ascii="Times New Roman" w:hAnsi="Times New Roman" w:eastAsia="宋体" w:cs="Times New Roman"/>
                <w:color w:val="auto"/>
                <w:sz w:val="24"/>
                <w:szCs w:val="22"/>
                <w:lang w:val="en-US" w:eastAsia="zh-CN"/>
              </w:rPr>
              <w:t>作炼铁燃料使用</w:t>
            </w:r>
            <w:r>
              <w:rPr>
                <w:rFonts w:hint="default" w:ascii="Times New Roman" w:hAnsi="Times New Roman" w:eastAsia="宋体" w:cs="Times New Roman"/>
                <w:color w:val="auto"/>
                <w:sz w:val="24"/>
                <w:szCs w:val="22"/>
              </w:rPr>
              <w:t>。</w:t>
            </w:r>
          </w:p>
          <w:p>
            <w:pPr>
              <w:pStyle w:val="11"/>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default" w:ascii="Times New Roman" w:hAnsi="Times New Roman" w:eastAsia="宋体"/>
                <w:lang w:val="en-US" w:eastAsia="zh-CN"/>
              </w:rPr>
            </w:pPr>
            <w:r>
              <w:rPr>
                <w:rFonts w:hint="eastAsia" w:ascii="Times New Roman" w:hAnsi="Times New Roman" w:eastAsia="宋体" w:cs="Times New Roman"/>
                <w:color w:val="auto"/>
                <w:sz w:val="24"/>
                <w:szCs w:val="22"/>
                <w:lang w:val="en-US" w:eastAsia="zh-CN"/>
              </w:rPr>
              <w:t>生活垃圾由环卫部门定时清运。</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危废暂存要求：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危险废物应按照《危险废物贮存污染控制标准》（GB18597-2001）的相关规定，对项目产生的危险废物进行妥善管理和处置。</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对危险废物的收集、暂存按国家标准有如下要求：</w:t>
            </w:r>
          </w:p>
          <w:p>
            <w:pPr>
              <w:keepNext w:val="0"/>
              <w:keepLines w:val="0"/>
              <w:pageBreakBefore w:val="0"/>
              <w:widowControl w:val="0"/>
              <w:numPr>
                <w:ilvl w:val="0"/>
                <w:numId w:val="6"/>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危险废物的收集包装</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a．有符合要求的包装容器、收集人员的个人防护设备；</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b．危险废物的收集容器应在醒目位置贴有危险废物标签，在收集场所醒目的地方设置危险废物警告标识。所有收集容器必须密闭。</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c．危险废物标签应标明以下信息：主要化学成分或危险废物名称、数量、物理形态、危险类别、安全措施以及危险废物产生单位名称、地址、联系人及电话。</w:t>
            </w:r>
          </w:p>
          <w:p>
            <w:pPr>
              <w:keepNext w:val="0"/>
              <w:keepLines w:val="0"/>
              <w:pageBreakBefore w:val="0"/>
              <w:widowControl w:val="0"/>
              <w:numPr>
                <w:ilvl w:val="0"/>
                <w:numId w:val="6"/>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危险废物的暂存要求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危险废物堆放场应满足GB18597-2001《危险废物贮存污染控制标准》有关规定：</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a．按GB15562.2《环境保护图形标识－－固体废物贮存（处置）场》设置警示标志。</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b．必须有耐腐蚀的硬化地面和基础防渗层，地面无裂隙；设施底部必须高于地下水最高水位。</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c．要求必要的防风、防雨、防晒措施。</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d．要有隔离设施或其它防护栅栏。</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e．应配备通讯设备、照明设施、安全防护服装及共聚，并设有报警装置和应急防护设施。</w:t>
            </w:r>
          </w:p>
          <w:p>
            <w:pPr>
              <w:keepNext w:val="0"/>
              <w:keepLines w:val="0"/>
              <w:pageBreakBefore w:val="0"/>
              <w:widowControl w:val="0"/>
              <w:numPr>
                <w:ilvl w:val="0"/>
                <w:numId w:val="6"/>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textAlignment w:val="auto"/>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危险废物的运输要求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危险废物运输中应做到以下几点：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a．危险废物的运输车辆须经主管单位检查，并持有有关单位签发的许可证，负责运输的司机应通过培训，持有证明文件。</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b．承载危险废物的车辆须有明显的标志或适当的危险符号，以引起注意。载有危险废物的车辆在公路上行驶时，需持有运输许可证，其上应注明废物来源、性质和运往地点。</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color w:val="auto"/>
                <w:sz w:val="24"/>
                <w:szCs w:val="22"/>
              </w:rPr>
            </w:pPr>
            <w:r>
              <w:rPr>
                <w:rFonts w:hint="default" w:ascii="Times New Roman" w:hAnsi="Times New Roman" w:eastAsia="宋体" w:cs="Times New Roman"/>
                <w:color w:val="auto"/>
                <w:sz w:val="24"/>
                <w:szCs w:val="22"/>
              </w:rPr>
              <w:t>c．组织危险废物的运输单位，在事先需作出周密的运输计划和行驶路线，其中包括有效的废物泄漏情况下的应急措施。</w:t>
            </w:r>
          </w:p>
          <w:p>
            <w:pPr>
              <w:widowControl/>
              <w:spacing w:line="360" w:lineRule="auto"/>
              <w:ind w:firstLine="480" w:firstLineChars="200"/>
              <w:rPr>
                <w:rFonts w:ascii="Times New Roman" w:hAnsi="Times New Roman" w:eastAsia="宋体"/>
                <w:color w:val="auto"/>
                <w:sz w:val="24"/>
                <w:szCs w:val="22"/>
              </w:rPr>
            </w:pPr>
            <w:r>
              <w:rPr>
                <w:rFonts w:hint="eastAsia" w:ascii="Times New Roman" w:hAnsi="Times New Roman" w:eastAsia="宋体"/>
                <w:color w:val="auto"/>
                <w:sz w:val="24"/>
                <w:szCs w:val="22"/>
                <w:lang w:val="en-US" w:eastAsia="zh-CN"/>
              </w:rPr>
              <w:t>五</w:t>
            </w:r>
            <w:r>
              <w:rPr>
                <w:rFonts w:ascii="Times New Roman" w:hAnsi="Times New Roman" w:eastAsia="宋体"/>
                <w:color w:val="auto"/>
                <w:sz w:val="24"/>
                <w:szCs w:val="22"/>
              </w:rPr>
              <w:t>、土壤环境影响分析</w:t>
            </w:r>
          </w:p>
          <w:p>
            <w:pPr>
              <w:widowControl/>
              <w:spacing w:line="360" w:lineRule="auto"/>
              <w:ind w:firstLine="480" w:firstLineChars="200"/>
              <w:rPr>
                <w:rFonts w:hint="eastAsia" w:ascii="Times New Roman" w:hAnsi="Times New Roman" w:eastAsia="宋体"/>
                <w:color w:val="auto"/>
                <w:sz w:val="24"/>
                <w:szCs w:val="22"/>
                <w:lang w:val="en-US" w:eastAsia="zh-CN"/>
              </w:rPr>
            </w:pPr>
            <w:r>
              <w:rPr>
                <w:rFonts w:ascii="Times New Roman" w:hAnsi="Times New Roman" w:eastAsia="宋体"/>
                <w:color w:val="auto"/>
                <w:sz w:val="24"/>
                <w:szCs w:val="22"/>
              </w:rPr>
              <w:t>根据《环境影响评价技术导则土壤环境（试行）》（HJ964-2018）中附录A土壤环境影响评价项目类别可知，本项目属于附录A中</w:t>
            </w:r>
            <w:r>
              <w:rPr>
                <w:rFonts w:hint="eastAsia" w:ascii="Times New Roman" w:hAnsi="Times New Roman" w:eastAsia="宋体"/>
                <w:color w:val="auto"/>
                <w:sz w:val="24"/>
                <w:szCs w:val="22"/>
                <w:lang w:val="en-US" w:eastAsia="zh-CN"/>
              </w:rPr>
              <w:t>设备制造、金属制品、汽车制造及其他用品制造</w:t>
            </w:r>
            <w:r>
              <w:rPr>
                <w:rFonts w:ascii="Times New Roman" w:hAnsi="Times New Roman" w:eastAsia="宋体"/>
                <w:color w:val="auto"/>
                <w:sz w:val="24"/>
                <w:szCs w:val="22"/>
              </w:rPr>
              <w:t>—其他。土壤环境影响评价项目类别为</w:t>
            </w:r>
            <w:r>
              <w:rPr>
                <w:rFonts w:hint="eastAsia" w:ascii="Times New Roman" w:hAnsi="Times New Roman" w:eastAsia="宋体"/>
                <w:color w:val="auto"/>
                <w:sz w:val="24"/>
                <w:szCs w:val="22"/>
              </w:rPr>
              <w:t>III</w:t>
            </w:r>
            <w:r>
              <w:rPr>
                <w:rFonts w:ascii="Times New Roman" w:hAnsi="Times New Roman" w:eastAsia="宋体"/>
                <w:color w:val="auto"/>
                <w:sz w:val="24"/>
                <w:szCs w:val="22"/>
              </w:rPr>
              <w:t>类。</w:t>
            </w:r>
            <w:r>
              <w:rPr>
                <w:rFonts w:hint="eastAsia" w:ascii="Times New Roman" w:hAnsi="Times New Roman" w:eastAsia="宋体"/>
                <w:color w:val="auto"/>
                <w:sz w:val="24"/>
                <w:szCs w:val="22"/>
                <w:lang w:val="en-US" w:eastAsia="zh-CN"/>
              </w:rPr>
              <w:t>本项目占地规模为小型，敏感程度为不敏感，</w:t>
            </w:r>
            <w:r>
              <w:rPr>
                <w:rFonts w:ascii="Times New Roman" w:hAnsi="Times New Roman" w:eastAsia="宋体"/>
                <w:color w:val="auto"/>
                <w:sz w:val="24"/>
                <w:szCs w:val="22"/>
              </w:rPr>
              <w:t>可不开展土壤环境影响评价。</w:t>
            </w:r>
            <w:r>
              <w:rPr>
                <w:rFonts w:hint="eastAsia" w:ascii="Times New Roman" w:hAnsi="Times New Roman" w:eastAsia="宋体"/>
                <w:color w:val="auto"/>
                <w:sz w:val="24"/>
                <w:szCs w:val="22"/>
                <w:lang w:val="en-US" w:eastAsia="zh-CN"/>
              </w:rPr>
              <w:t xml:space="preserve"> </w:t>
            </w:r>
          </w:p>
          <w:p>
            <w:pPr>
              <w:widowControl/>
              <w:spacing w:line="360" w:lineRule="auto"/>
              <w:ind w:firstLine="480" w:firstLineChars="200"/>
              <w:rPr>
                <w:rFonts w:ascii="Times New Roman" w:hAnsi="Times New Roman" w:eastAsia="宋体"/>
                <w:color w:val="auto"/>
                <w:sz w:val="24"/>
                <w:szCs w:val="22"/>
              </w:rPr>
            </w:pPr>
            <w:r>
              <w:rPr>
                <w:rFonts w:hint="eastAsia" w:ascii="Times New Roman" w:hAnsi="Times New Roman" w:eastAsia="宋体"/>
                <w:color w:val="auto"/>
                <w:sz w:val="24"/>
                <w:szCs w:val="22"/>
                <w:lang w:val="en-US" w:eastAsia="zh-CN"/>
              </w:rPr>
              <w:t>六</w:t>
            </w:r>
            <w:r>
              <w:rPr>
                <w:rFonts w:ascii="Times New Roman" w:hAnsi="Times New Roman" w:eastAsia="宋体"/>
                <w:color w:val="auto"/>
                <w:sz w:val="24"/>
                <w:szCs w:val="22"/>
              </w:rPr>
              <w:t>、</w:t>
            </w:r>
            <w:r>
              <w:rPr>
                <w:rFonts w:hint="eastAsia" w:ascii="Times New Roman" w:hAnsi="Times New Roman" w:eastAsia="宋体"/>
                <w:color w:val="auto"/>
                <w:sz w:val="24"/>
                <w:szCs w:val="22"/>
              </w:rPr>
              <w:t>风险影响分析</w:t>
            </w:r>
          </w:p>
          <w:p>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right="0" w:rightChars="0" w:firstLine="480" w:firstLineChars="200"/>
              <w:textAlignment w:val="auto"/>
              <w:rPr>
                <w:rFonts w:hint="default" w:ascii="Times New Roman" w:hAnsi="Times New Roman" w:eastAsia="宋体" w:cs="Times New Roman"/>
                <w:color w:val="auto"/>
                <w:sz w:val="24"/>
                <w:szCs w:val="22"/>
                <w:lang w:eastAsia="zh-CN"/>
              </w:rPr>
            </w:pPr>
            <w:r>
              <w:rPr>
                <w:rFonts w:hint="default" w:ascii="Times New Roman" w:hAnsi="Times New Roman" w:eastAsia="宋体" w:cs="Times New Roman"/>
                <w:color w:val="auto"/>
                <w:sz w:val="24"/>
                <w:szCs w:val="22"/>
                <w:lang w:eastAsia="zh-CN"/>
              </w:rPr>
              <w:t>根据工程分析，本项目的主要环境风险</w:t>
            </w:r>
            <w:r>
              <w:rPr>
                <w:rFonts w:hint="eastAsia" w:ascii="Times New Roman" w:hAnsi="Times New Roman" w:eastAsia="宋体" w:cs="Times New Roman"/>
                <w:color w:val="auto"/>
                <w:sz w:val="24"/>
                <w:szCs w:val="22"/>
                <w:lang w:val="en-US" w:eastAsia="zh-CN"/>
              </w:rPr>
              <w:t>为废气处理设施发生故障，导致大量有机废气外泄</w:t>
            </w:r>
            <w:r>
              <w:rPr>
                <w:rFonts w:hint="default" w:ascii="Times New Roman" w:hAnsi="Times New Roman" w:eastAsia="宋体" w:cs="Times New Roman"/>
                <w:color w:val="auto"/>
                <w:sz w:val="24"/>
                <w:szCs w:val="22"/>
                <w:lang w:eastAsia="zh-CN"/>
              </w:rPr>
              <w:t>，对照《建设项目环境风险评价技术导则》(HJ/T169-2018)的相关要求，本项目环境风险潜势为Ⅰ级，仅进行简单分析即可。</w:t>
            </w:r>
          </w:p>
          <w:p>
            <w:pPr>
              <w:pStyle w:val="29"/>
              <w:keepNext w:val="0"/>
              <w:keepLines w:val="0"/>
              <w:suppressLineNumbers w:val="0"/>
              <w:bidi w:val="0"/>
              <w:spacing w:before="0" w:beforeAutospacing="0" w:after="0" w:afterAutospacing="0"/>
              <w:ind w:left="0" w:right="0"/>
              <w:rPr>
                <w:rFonts w:hint="default" w:ascii="Times New Roman" w:hAnsi="Times New Roman" w:eastAsia="宋体"/>
                <w:b/>
                <w:bCs/>
                <w:color w:val="auto"/>
                <w:lang w:eastAsia="zh-CN"/>
              </w:rPr>
            </w:pPr>
            <w:r>
              <w:rPr>
                <w:rFonts w:hint="eastAsia" w:ascii="Times New Roman" w:hAnsi="Times New Roman" w:eastAsia="宋体"/>
                <w:b/>
                <w:bCs/>
                <w:color w:val="auto"/>
                <w:lang w:val="en-US" w:eastAsia="zh-CN"/>
              </w:rPr>
              <w:t xml:space="preserve">表 7-12  </w:t>
            </w:r>
            <w:r>
              <w:rPr>
                <w:rFonts w:hint="default" w:ascii="Times New Roman" w:hAnsi="Times New Roman" w:eastAsia="宋体"/>
                <w:b/>
                <w:bCs/>
                <w:color w:val="auto"/>
                <w:lang w:eastAsia="zh-CN"/>
              </w:rPr>
              <w:t>建设项目环境风险简单分析内容表</w:t>
            </w:r>
          </w:p>
          <w:tbl>
            <w:tblPr>
              <w:tblStyle w:val="22"/>
              <w:tblW w:w="8957"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autofit"/>
              <w:tblCellMar>
                <w:top w:w="0" w:type="dxa"/>
                <w:left w:w="0" w:type="dxa"/>
                <w:bottom w:w="0" w:type="dxa"/>
                <w:right w:w="0" w:type="dxa"/>
              </w:tblCellMar>
            </w:tblPr>
            <w:tblGrid>
              <w:gridCol w:w="2484"/>
              <w:gridCol w:w="2799"/>
              <w:gridCol w:w="3674"/>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82" w:hRule="atLeast"/>
                <w:jc w:val="center"/>
              </w:trPr>
              <w:tc>
                <w:tcPr>
                  <w:tcW w:w="2484" w:type="dxa"/>
                  <w:tcBorders>
                    <w:bottom w:val="single" w:color="000000" w:sz="4" w:space="0"/>
                    <w:right w:val="single" w:color="000000" w:sz="4" w:space="0"/>
                  </w:tcBorders>
                  <w:vAlign w:val="center"/>
                </w:tcPr>
                <w:p>
                  <w:pPr>
                    <w:pStyle w:val="39"/>
                    <w:keepNext w:val="0"/>
                    <w:keepLines w:val="0"/>
                    <w:suppressLineNumbers w:val="0"/>
                    <w:bidi w:val="0"/>
                    <w:spacing w:before="0" w:beforeAutospacing="0" w:after="0" w:afterAutospacing="0"/>
                    <w:ind w:left="0" w:right="0"/>
                    <w:rPr>
                      <w:rFonts w:hint="default" w:ascii="Times New Roman" w:hAnsi="Times New Roman" w:eastAsia="宋体"/>
                      <w:color w:val="auto"/>
                    </w:rPr>
                  </w:pPr>
                  <w:r>
                    <w:rPr>
                      <w:rFonts w:hint="default" w:ascii="Times New Roman" w:hAnsi="Times New Roman" w:eastAsia="宋体"/>
                      <w:color w:val="auto"/>
                    </w:rPr>
                    <w:t>建设项目名称</w:t>
                  </w:r>
                </w:p>
              </w:tc>
              <w:tc>
                <w:tcPr>
                  <w:tcW w:w="6473" w:type="dxa"/>
                  <w:gridSpan w:val="2"/>
                  <w:tcBorders>
                    <w:left w:val="single" w:color="000000" w:sz="4" w:space="0"/>
                    <w:bottom w:val="single" w:color="000000" w:sz="4" w:space="0"/>
                  </w:tcBorders>
                  <w:vAlign w:val="center"/>
                </w:tcPr>
                <w:p>
                  <w:pPr>
                    <w:pStyle w:val="39"/>
                    <w:keepNext w:val="0"/>
                    <w:keepLines w:val="0"/>
                    <w:suppressLineNumbers w:val="0"/>
                    <w:bidi w:val="0"/>
                    <w:spacing w:before="0" w:beforeAutospacing="0" w:after="0" w:afterAutospacing="0"/>
                    <w:ind w:left="0" w:right="0"/>
                    <w:rPr>
                      <w:rFonts w:hint="default" w:ascii="Times New Roman" w:hAnsi="Times New Roman" w:eastAsia="宋体"/>
                      <w:color w:val="auto"/>
                    </w:rPr>
                  </w:pPr>
                  <w:r>
                    <w:rPr>
                      <w:rFonts w:hint="default" w:ascii="Times New Roman" w:hAnsi="Times New Roman" w:eastAsia="宋体"/>
                      <w:color w:val="auto"/>
                    </w:rPr>
                    <w:t>新增大管整理线车间工程项目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82" w:hRule="atLeast"/>
                <w:jc w:val="center"/>
              </w:trPr>
              <w:tc>
                <w:tcPr>
                  <w:tcW w:w="2484" w:type="dxa"/>
                  <w:tcBorders>
                    <w:top w:val="single" w:color="000000" w:sz="4" w:space="0"/>
                    <w:bottom w:val="single" w:color="000000" w:sz="4" w:space="0"/>
                    <w:right w:val="single" w:color="000000" w:sz="4" w:space="0"/>
                  </w:tcBorders>
                  <w:vAlign w:val="center"/>
                </w:tcPr>
                <w:p>
                  <w:pPr>
                    <w:pStyle w:val="39"/>
                    <w:keepNext w:val="0"/>
                    <w:keepLines w:val="0"/>
                    <w:suppressLineNumbers w:val="0"/>
                    <w:bidi w:val="0"/>
                    <w:spacing w:before="0" w:beforeAutospacing="0" w:after="0" w:afterAutospacing="0"/>
                    <w:ind w:left="0" w:right="0"/>
                    <w:rPr>
                      <w:rFonts w:hint="default" w:ascii="Times New Roman" w:hAnsi="Times New Roman" w:eastAsia="宋体"/>
                      <w:color w:val="auto"/>
                    </w:rPr>
                  </w:pPr>
                  <w:r>
                    <w:rPr>
                      <w:rFonts w:hint="default" w:ascii="Times New Roman" w:hAnsi="Times New Roman" w:eastAsia="宋体"/>
                      <w:color w:val="auto"/>
                    </w:rPr>
                    <w:t>建设地点</w:t>
                  </w:r>
                </w:p>
              </w:tc>
              <w:tc>
                <w:tcPr>
                  <w:tcW w:w="6473" w:type="dxa"/>
                  <w:gridSpan w:val="2"/>
                  <w:tcBorders>
                    <w:top w:val="single" w:color="000000" w:sz="4" w:space="0"/>
                    <w:left w:val="single" w:color="000000" w:sz="4" w:space="0"/>
                    <w:bottom w:val="single" w:color="000000" w:sz="4" w:space="0"/>
                  </w:tcBorders>
                  <w:vAlign w:val="center"/>
                </w:tcPr>
                <w:p>
                  <w:pPr>
                    <w:pStyle w:val="39"/>
                    <w:keepNext w:val="0"/>
                    <w:keepLines w:val="0"/>
                    <w:suppressLineNumbers w:val="0"/>
                    <w:bidi w:val="0"/>
                    <w:spacing w:before="0" w:beforeAutospacing="0" w:after="0" w:afterAutospacing="0"/>
                    <w:ind w:left="0" w:right="0"/>
                    <w:rPr>
                      <w:rFonts w:hint="default" w:ascii="Times New Roman" w:hAnsi="Times New Roman" w:eastAsia="宋体"/>
                      <w:color w:val="auto"/>
                    </w:rPr>
                  </w:pPr>
                  <w:r>
                    <w:rPr>
                      <w:rFonts w:hint="default" w:ascii="Times New Roman" w:hAnsi="Times New Roman" w:eastAsia="宋体"/>
                      <w:color w:val="auto"/>
                    </w:rPr>
                    <w:t>芜湖新兴铸管有限责任公司</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82" w:hRule="atLeast"/>
                <w:jc w:val="center"/>
              </w:trPr>
              <w:tc>
                <w:tcPr>
                  <w:tcW w:w="2484" w:type="dxa"/>
                  <w:tcBorders>
                    <w:top w:val="single" w:color="000000" w:sz="4" w:space="0"/>
                    <w:bottom w:val="single" w:color="000000" w:sz="4" w:space="0"/>
                    <w:right w:val="single" w:color="000000" w:sz="4" w:space="0"/>
                  </w:tcBorders>
                  <w:vAlign w:val="center"/>
                </w:tcPr>
                <w:p>
                  <w:pPr>
                    <w:pStyle w:val="39"/>
                    <w:keepNext w:val="0"/>
                    <w:keepLines w:val="0"/>
                    <w:suppressLineNumbers w:val="0"/>
                    <w:bidi w:val="0"/>
                    <w:spacing w:before="0" w:beforeAutospacing="0" w:after="0" w:afterAutospacing="0"/>
                    <w:ind w:left="0" w:right="0"/>
                    <w:rPr>
                      <w:rFonts w:hint="default" w:ascii="Times New Roman" w:hAnsi="Times New Roman" w:eastAsia="宋体"/>
                      <w:color w:val="auto"/>
                    </w:rPr>
                  </w:pPr>
                  <w:r>
                    <w:rPr>
                      <w:rFonts w:hint="default" w:ascii="Times New Roman" w:hAnsi="Times New Roman" w:eastAsia="宋体"/>
                      <w:color w:val="auto"/>
                    </w:rPr>
                    <w:t>地理坐标</w:t>
                  </w:r>
                </w:p>
              </w:tc>
              <w:tc>
                <w:tcPr>
                  <w:tcW w:w="2799" w:type="dxa"/>
                  <w:tcBorders>
                    <w:top w:val="single" w:color="000000" w:sz="4" w:space="0"/>
                    <w:left w:val="single" w:color="000000" w:sz="4" w:space="0"/>
                    <w:bottom w:val="single" w:color="000000" w:sz="4" w:space="0"/>
                    <w:right w:val="single" w:color="000000" w:sz="4" w:space="0"/>
                  </w:tcBorders>
                  <w:vAlign w:val="center"/>
                </w:tcPr>
                <w:p>
                  <w:pPr>
                    <w:pStyle w:val="39"/>
                    <w:keepNext w:val="0"/>
                    <w:keepLines w:val="0"/>
                    <w:suppressLineNumbers w:val="0"/>
                    <w:bidi w:val="0"/>
                    <w:spacing w:before="0" w:beforeAutospacing="0" w:after="0" w:afterAutospacing="0"/>
                    <w:ind w:left="0" w:right="0"/>
                    <w:rPr>
                      <w:rFonts w:hint="default" w:ascii="Times New Roman" w:hAnsi="Times New Roman" w:eastAsia="宋体"/>
                      <w:color w:val="auto"/>
                    </w:rPr>
                  </w:pPr>
                  <w:r>
                    <w:rPr>
                      <w:rFonts w:hint="default" w:ascii="Times New Roman" w:hAnsi="Times New Roman" w:eastAsia="宋体"/>
                      <w:color w:val="auto"/>
                    </w:rPr>
                    <w:t>东经118.161671</w:t>
                  </w:r>
                </w:p>
              </w:tc>
              <w:tc>
                <w:tcPr>
                  <w:tcW w:w="3674" w:type="dxa"/>
                  <w:tcBorders>
                    <w:top w:val="single" w:color="000000" w:sz="4" w:space="0"/>
                    <w:left w:val="single" w:color="000000" w:sz="4" w:space="0"/>
                    <w:bottom w:val="single" w:color="000000" w:sz="4" w:space="0"/>
                  </w:tcBorders>
                  <w:vAlign w:val="center"/>
                </w:tcPr>
                <w:p>
                  <w:pPr>
                    <w:pStyle w:val="39"/>
                    <w:keepNext w:val="0"/>
                    <w:keepLines w:val="0"/>
                    <w:suppressLineNumbers w:val="0"/>
                    <w:bidi w:val="0"/>
                    <w:spacing w:before="0" w:beforeAutospacing="0" w:after="0" w:afterAutospacing="0"/>
                    <w:ind w:left="0" w:right="0"/>
                    <w:rPr>
                      <w:rFonts w:hint="default" w:ascii="Times New Roman" w:hAnsi="Times New Roman" w:eastAsia="宋体"/>
                      <w:color w:val="auto"/>
                    </w:rPr>
                  </w:pPr>
                  <w:r>
                    <w:rPr>
                      <w:rFonts w:hint="default" w:ascii="Times New Roman" w:hAnsi="Times New Roman" w:eastAsia="宋体"/>
                      <w:color w:val="auto"/>
                    </w:rPr>
                    <w:t>北纬31.228702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82" w:hRule="atLeast"/>
                <w:jc w:val="center"/>
              </w:trPr>
              <w:tc>
                <w:tcPr>
                  <w:tcW w:w="2484" w:type="dxa"/>
                  <w:tcBorders>
                    <w:top w:val="single" w:color="000000" w:sz="4" w:space="0"/>
                    <w:bottom w:val="single" w:color="000000" w:sz="4" w:space="0"/>
                    <w:right w:val="single" w:color="000000" w:sz="4" w:space="0"/>
                  </w:tcBorders>
                  <w:vAlign w:val="center"/>
                </w:tcPr>
                <w:p>
                  <w:pPr>
                    <w:pStyle w:val="39"/>
                    <w:keepNext w:val="0"/>
                    <w:keepLines w:val="0"/>
                    <w:suppressLineNumbers w:val="0"/>
                    <w:bidi w:val="0"/>
                    <w:spacing w:before="0" w:beforeAutospacing="0" w:after="0" w:afterAutospacing="0"/>
                    <w:ind w:left="0" w:right="0"/>
                    <w:rPr>
                      <w:rFonts w:hint="default" w:ascii="Times New Roman" w:hAnsi="Times New Roman" w:eastAsia="宋体"/>
                      <w:color w:val="auto"/>
                    </w:rPr>
                  </w:pPr>
                  <w:r>
                    <w:rPr>
                      <w:rFonts w:hint="default" w:ascii="Times New Roman" w:hAnsi="Times New Roman" w:eastAsia="宋体"/>
                      <w:color w:val="auto"/>
                    </w:rPr>
                    <w:t>主要危险物质及分布</w:t>
                  </w:r>
                </w:p>
              </w:tc>
              <w:tc>
                <w:tcPr>
                  <w:tcW w:w="6473" w:type="dxa"/>
                  <w:gridSpan w:val="2"/>
                  <w:tcBorders>
                    <w:top w:val="single" w:color="000000" w:sz="4" w:space="0"/>
                    <w:left w:val="single" w:color="000000" w:sz="4" w:space="0"/>
                    <w:bottom w:val="single" w:color="000000" w:sz="4" w:space="0"/>
                  </w:tcBorders>
                  <w:vAlign w:val="center"/>
                </w:tcPr>
                <w:p>
                  <w:pPr>
                    <w:pStyle w:val="39"/>
                    <w:keepNext w:val="0"/>
                    <w:keepLines w:val="0"/>
                    <w:suppressLineNumbers w:val="0"/>
                    <w:bidi w:val="0"/>
                    <w:spacing w:before="0" w:beforeAutospacing="0" w:after="0" w:afterAutospacing="0"/>
                    <w:ind w:left="0" w:right="0"/>
                    <w:rPr>
                      <w:rFonts w:hint="default" w:ascii="Times New Roman" w:hAnsi="Times New Roman" w:eastAsia="宋体"/>
                      <w:color w:val="auto"/>
                      <w:lang w:val="en-US" w:eastAsia="zh-CN"/>
                    </w:rPr>
                  </w:pPr>
                  <w:r>
                    <w:rPr>
                      <w:rFonts w:hint="eastAsia" w:ascii="Times New Roman" w:hAnsi="Times New Roman" w:eastAsia="宋体"/>
                      <w:color w:val="auto"/>
                      <w:lang w:val="en-US" w:eastAsia="zh-CN"/>
                    </w:rPr>
                    <w:t>废气处理设置</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482" w:hRule="atLeast"/>
                <w:jc w:val="center"/>
              </w:trPr>
              <w:tc>
                <w:tcPr>
                  <w:tcW w:w="2484" w:type="dxa"/>
                  <w:tcBorders>
                    <w:top w:val="single" w:color="000000" w:sz="4" w:space="0"/>
                    <w:bottom w:val="single" w:color="000000" w:sz="4" w:space="0"/>
                    <w:right w:val="single" w:color="000000" w:sz="4" w:space="0"/>
                  </w:tcBorders>
                  <w:vAlign w:val="center"/>
                </w:tcPr>
                <w:p>
                  <w:pPr>
                    <w:pStyle w:val="39"/>
                    <w:keepNext w:val="0"/>
                    <w:keepLines w:val="0"/>
                    <w:suppressLineNumbers w:val="0"/>
                    <w:bidi w:val="0"/>
                    <w:spacing w:before="0" w:beforeAutospacing="0" w:after="0" w:afterAutospacing="0"/>
                    <w:ind w:left="0" w:right="0"/>
                    <w:rPr>
                      <w:rFonts w:hint="default" w:ascii="Times New Roman" w:hAnsi="Times New Roman" w:eastAsia="宋体"/>
                      <w:color w:val="auto"/>
                    </w:rPr>
                  </w:pPr>
                  <w:r>
                    <w:rPr>
                      <w:rFonts w:hint="default" w:ascii="Times New Roman" w:hAnsi="Times New Roman" w:eastAsia="宋体"/>
                      <w:color w:val="auto"/>
                    </w:rPr>
                    <w:t>环境影响途径及危害后果</w:t>
                  </w:r>
                </w:p>
                <w:p>
                  <w:pPr>
                    <w:pStyle w:val="39"/>
                    <w:keepNext w:val="0"/>
                    <w:keepLines w:val="0"/>
                    <w:suppressLineNumbers w:val="0"/>
                    <w:bidi w:val="0"/>
                    <w:spacing w:before="0" w:beforeAutospacing="0" w:after="0" w:afterAutospacing="0"/>
                    <w:ind w:left="0" w:right="0"/>
                    <w:rPr>
                      <w:rFonts w:hint="default" w:ascii="Times New Roman" w:hAnsi="Times New Roman" w:eastAsia="宋体"/>
                      <w:color w:val="auto"/>
                    </w:rPr>
                  </w:pPr>
                  <w:r>
                    <w:rPr>
                      <w:rFonts w:hint="default" w:ascii="Times New Roman" w:hAnsi="Times New Roman" w:eastAsia="宋体"/>
                      <w:color w:val="auto"/>
                    </w:rPr>
                    <w:t>（大气、地表水、地下水等）</w:t>
                  </w:r>
                </w:p>
              </w:tc>
              <w:tc>
                <w:tcPr>
                  <w:tcW w:w="6473" w:type="dxa"/>
                  <w:gridSpan w:val="2"/>
                  <w:tcBorders>
                    <w:top w:val="single" w:color="000000" w:sz="4" w:space="0"/>
                    <w:left w:val="single" w:color="000000" w:sz="4" w:space="0"/>
                    <w:bottom w:val="single" w:color="000000" w:sz="4" w:space="0"/>
                  </w:tcBorders>
                  <w:vAlign w:val="center"/>
                </w:tcPr>
                <w:p>
                  <w:pPr>
                    <w:pStyle w:val="3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22" w:firstLineChars="200"/>
                    <w:jc w:val="both"/>
                    <w:textAlignment w:val="auto"/>
                    <w:rPr>
                      <w:rFonts w:hint="default" w:ascii="Times New Roman" w:hAnsi="Times New Roman" w:eastAsia="宋体"/>
                      <w:color w:val="auto"/>
                    </w:rPr>
                  </w:pPr>
                  <w:r>
                    <w:rPr>
                      <w:rFonts w:hint="default" w:ascii="Times New Roman" w:hAnsi="Times New Roman" w:eastAsia="宋体"/>
                      <w:b/>
                      <w:bCs/>
                      <w:color w:val="auto"/>
                    </w:rPr>
                    <w:t>危险废物风险</w:t>
                  </w:r>
                  <w:r>
                    <w:rPr>
                      <w:rFonts w:hint="default" w:ascii="Times New Roman" w:hAnsi="Times New Roman" w:eastAsia="宋体"/>
                      <w:color w:val="auto"/>
                    </w:rPr>
                    <w:t>：泄露会对</w:t>
                  </w:r>
                  <w:r>
                    <w:rPr>
                      <w:rFonts w:hint="eastAsia" w:ascii="Times New Roman" w:hAnsi="Times New Roman" w:eastAsia="宋体"/>
                      <w:color w:val="auto"/>
                      <w:lang w:val="en-US" w:eastAsia="zh-CN"/>
                    </w:rPr>
                    <w:t>大气</w:t>
                  </w:r>
                  <w:r>
                    <w:rPr>
                      <w:rFonts w:hint="default" w:ascii="Times New Roman" w:hAnsi="Times New Roman" w:eastAsia="宋体"/>
                      <w:color w:val="auto"/>
                    </w:rPr>
                    <w:t>造成影响。</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753" w:hRule="atLeast"/>
                <w:jc w:val="center"/>
              </w:trPr>
              <w:tc>
                <w:tcPr>
                  <w:tcW w:w="2484" w:type="dxa"/>
                  <w:tcBorders>
                    <w:top w:val="single" w:color="000000" w:sz="4" w:space="0"/>
                    <w:bottom w:val="single" w:color="000000" w:sz="4" w:space="0"/>
                    <w:right w:val="single" w:color="000000" w:sz="4" w:space="0"/>
                  </w:tcBorders>
                  <w:vAlign w:val="center"/>
                </w:tcPr>
                <w:p>
                  <w:pPr>
                    <w:pStyle w:val="39"/>
                    <w:keepNext w:val="0"/>
                    <w:keepLines w:val="0"/>
                    <w:suppressLineNumbers w:val="0"/>
                    <w:bidi w:val="0"/>
                    <w:spacing w:before="0" w:beforeAutospacing="0" w:after="0" w:afterAutospacing="0"/>
                    <w:ind w:left="0" w:right="0"/>
                    <w:rPr>
                      <w:rFonts w:hint="default" w:ascii="Times New Roman" w:hAnsi="Times New Roman" w:eastAsia="宋体"/>
                      <w:color w:val="auto"/>
                    </w:rPr>
                  </w:pPr>
                  <w:r>
                    <w:rPr>
                      <w:rFonts w:hint="default" w:ascii="Times New Roman" w:hAnsi="Times New Roman" w:eastAsia="宋体"/>
                      <w:color w:val="auto"/>
                    </w:rPr>
                    <w:t>风险防范措施要求</w:t>
                  </w:r>
                </w:p>
              </w:tc>
              <w:tc>
                <w:tcPr>
                  <w:tcW w:w="6473" w:type="dxa"/>
                  <w:gridSpan w:val="2"/>
                  <w:tcBorders>
                    <w:top w:val="single" w:color="000000" w:sz="4" w:space="0"/>
                    <w:left w:val="single" w:color="000000" w:sz="4" w:space="0"/>
                    <w:bottom w:val="single" w:color="000000" w:sz="4" w:space="0"/>
                  </w:tcBorders>
                  <w:vAlign w:val="center"/>
                </w:tcPr>
                <w:p>
                  <w:pPr>
                    <w:pStyle w:val="3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22" w:firstLineChars="200"/>
                    <w:jc w:val="both"/>
                    <w:textAlignment w:val="auto"/>
                    <w:rPr>
                      <w:rFonts w:hint="default" w:ascii="Times New Roman" w:hAnsi="Times New Roman" w:eastAsia="宋体"/>
                      <w:b/>
                      <w:bCs/>
                      <w:color w:val="auto"/>
                    </w:rPr>
                  </w:pPr>
                  <w:r>
                    <w:rPr>
                      <w:rFonts w:hint="default" w:ascii="Times New Roman" w:hAnsi="Times New Roman" w:eastAsia="宋体"/>
                      <w:b/>
                      <w:bCs/>
                      <w:color w:val="auto"/>
                    </w:rPr>
                    <w:t>危险化学品风险防范措施要求：</w:t>
                  </w:r>
                </w:p>
                <w:p>
                  <w:pPr>
                    <w:pStyle w:val="3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20" w:firstLineChars="200"/>
                    <w:jc w:val="left"/>
                    <w:textAlignment w:val="auto"/>
                    <w:rPr>
                      <w:rFonts w:hint="default" w:ascii="Times New Roman" w:hAnsi="Times New Roman" w:eastAsia="宋体"/>
                      <w:color w:val="auto"/>
                    </w:rPr>
                  </w:pPr>
                  <w:r>
                    <w:rPr>
                      <w:rFonts w:hint="default" w:ascii="Times New Roman" w:hAnsi="Times New Roman" w:eastAsia="宋体"/>
                      <w:color w:val="auto"/>
                    </w:rPr>
                    <w:t>1）保管人员应熟知管理操作规范，并接受定期培训；</w:t>
                  </w:r>
                </w:p>
                <w:p>
                  <w:pPr>
                    <w:pStyle w:val="3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20" w:firstLineChars="200"/>
                    <w:jc w:val="left"/>
                    <w:textAlignment w:val="auto"/>
                    <w:rPr>
                      <w:rFonts w:hint="default" w:ascii="Times New Roman" w:hAnsi="Times New Roman" w:eastAsia="宋体"/>
                      <w:color w:val="auto"/>
                    </w:rPr>
                  </w:pPr>
                  <w:r>
                    <w:rPr>
                      <w:rFonts w:hint="eastAsia" w:ascii="Times New Roman" w:hAnsi="Times New Roman" w:eastAsia="宋体"/>
                      <w:color w:val="auto"/>
                      <w:lang w:val="en-US" w:eastAsia="zh-CN"/>
                    </w:rPr>
                    <w:t>2</w:t>
                  </w:r>
                  <w:r>
                    <w:rPr>
                      <w:rFonts w:hint="default" w:ascii="Times New Roman" w:hAnsi="Times New Roman" w:eastAsia="宋体"/>
                      <w:color w:val="auto"/>
                    </w:rPr>
                    <w:t>）定期对</w:t>
                  </w:r>
                  <w:r>
                    <w:rPr>
                      <w:rFonts w:hint="eastAsia" w:ascii="Times New Roman" w:hAnsi="Times New Roman" w:eastAsia="宋体"/>
                      <w:color w:val="auto"/>
                      <w:lang w:val="en-US" w:eastAsia="zh-CN"/>
                    </w:rPr>
                    <w:t>设备进行检查维修</w:t>
                  </w:r>
                  <w:r>
                    <w:rPr>
                      <w:rFonts w:hint="default" w:ascii="Times New Roman" w:hAnsi="Times New Roman" w:eastAsia="宋体"/>
                      <w:color w:val="auto"/>
                    </w:rPr>
                    <w:t>；</w:t>
                  </w:r>
                </w:p>
                <w:p>
                  <w:pPr>
                    <w:pStyle w:val="39"/>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ind w:left="0" w:right="0" w:firstLine="420" w:firstLineChars="200"/>
                    <w:jc w:val="left"/>
                    <w:textAlignment w:val="auto"/>
                    <w:rPr>
                      <w:rFonts w:hint="default" w:ascii="Times New Roman" w:hAnsi="Times New Roman" w:eastAsia="宋体"/>
                      <w:color w:val="auto"/>
                    </w:rPr>
                  </w:pPr>
                  <w:r>
                    <w:rPr>
                      <w:rFonts w:hint="eastAsia" w:ascii="Times New Roman" w:hAnsi="Times New Roman" w:eastAsia="宋体"/>
                      <w:color w:val="auto"/>
                      <w:lang w:val="en-US" w:eastAsia="zh-CN"/>
                    </w:rPr>
                    <w:t>3</w:t>
                  </w:r>
                  <w:r>
                    <w:rPr>
                      <w:rFonts w:hint="default" w:ascii="Times New Roman" w:hAnsi="Times New Roman" w:eastAsia="宋体"/>
                      <w:color w:val="auto"/>
                    </w:rPr>
                    <w:t>）加强地面硬化和防渗，如</w:t>
                  </w:r>
                  <w:r>
                    <w:rPr>
                      <w:rFonts w:hint="eastAsia" w:ascii="Times New Roman" w:hAnsi="Times New Roman" w:eastAsia="宋体"/>
                      <w:color w:val="auto"/>
                      <w:lang w:val="en-US" w:eastAsia="zh-CN"/>
                    </w:rPr>
                    <w:t>油漆</w:t>
                  </w:r>
                  <w:r>
                    <w:rPr>
                      <w:rFonts w:hint="default" w:ascii="Times New Roman" w:hAnsi="Times New Roman" w:eastAsia="宋体"/>
                      <w:color w:val="auto"/>
                    </w:rPr>
                    <w:t>发生泄露，迅速堵漏；</w:t>
                  </w:r>
                </w:p>
              </w:tc>
            </w:tr>
          </w:tbl>
          <w:p>
            <w:pPr>
              <w:tabs>
                <w:tab w:val="left" w:pos="2445"/>
              </w:tabs>
              <w:spacing w:line="360" w:lineRule="auto"/>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七</w:t>
            </w:r>
            <w:r>
              <w:rPr>
                <w:rFonts w:ascii="Times New Roman" w:hAnsi="Times New Roman" w:eastAsia="宋体"/>
                <w:color w:val="auto"/>
                <w:sz w:val="24"/>
                <w:szCs w:val="24"/>
              </w:rPr>
              <w:t>、环境管理及监测计划</w:t>
            </w:r>
          </w:p>
          <w:p>
            <w:pPr>
              <w:pStyle w:val="36"/>
              <w:spacing w:line="360" w:lineRule="auto"/>
              <w:ind w:firstLine="482" w:firstLineChars="200"/>
              <w:rPr>
                <w:rFonts w:ascii="Times New Roman" w:hAnsi="Times New Roman" w:eastAsia="宋体"/>
                <w:b/>
                <w:color w:val="auto"/>
                <w:sz w:val="24"/>
                <w:szCs w:val="24"/>
              </w:rPr>
            </w:pPr>
            <w:bookmarkStart w:id="88" w:name="_Toc478472540"/>
            <w:bookmarkStart w:id="89" w:name="_Toc10657"/>
            <w:bookmarkStart w:id="90" w:name="_Toc188870984"/>
            <w:r>
              <w:rPr>
                <w:rFonts w:ascii="Times New Roman" w:hAnsi="Times New Roman" w:eastAsia="宋体"/>
                <w:b/>
                <w:color w:val="auto"/>
                <w:sz w:val="24"/>
                <w:szCs w:val="24"/>
              </w:rPr>
              <w:t>环境管理</w:t>
            </w:r>
            <w:bookmarkEnd w:id="88"/>
            <w:bookmarkEnd w:id="89"/>
            <w:bookmarkEnd w:id="90"/>
          </w:p>
          <w:p>
            <w:pPr>
              <w:pStyle w:val="35"/>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①环境管理目的</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环境管理是企业管理的重要组成部分，同生产管理、劳动管理、财务管理和销售管理一样也是一项专业管理。企业环境管理要利用行政、经济、技术、法律和教育等手段对生产经营发展和环境保护的关系进行协调，对环境问题进行综合治理，以达到既发展生产、增加经济效益，又能保护环境的目的。</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②机构设置</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本评价建议企业设置专门的环保机构，并设专职环保技术管理员，负责</w:t>
            </w:r>
            <w:r>
              <w:rPr>
                <w:rFonts w:hint="eastAsia" w:ascii="Times New Roman" w:hAnsi="Times New Roman" w:eastAsia="宋体"/>
                <w:color w:val="auto"/>
                <w:sz w:val="24"/>
                <w:szCs w:val="24"/>
              </w:rPr>
              <w:t>新增大管整理线车间工程项目</w:t>
            </w:r>
            <w:r>
              <w:rPr>
                <w:rFonts w:ascii="Times New Roman" w:hAnsi="Times New Roman" w:eastAsia="宋体"/>
                <w:color w:val="auto"/>
                <w:sz w:val="24"/>
                <w:szCs w:val="24"/>
              </w:rPr>
              <w:t>的运行监督及其工作人员的管理。</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各项治理设备要做到建制齐全，设专职分析员及维修员。</w:t>
            </w:r>
          </w:p>
          <w:p>
            <w:pPr>
              <w:pStyle w:val="35"/>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③环境管理机构的职责</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（1）执行环保法律法令和环境标准，编制并组织实施全厂的环境保护规划和计划，并对本企业的执行情况进行监督。</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（2）制定生产过程中各项污染物的排放指标和各项环保设施运转指标，定期考核统计，向厂领导和环保管理部门汇报。</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（3）负责全厂环保设施的日常运行管理工作，制定事故防范措施。一旦发生运行故障，马上组织应急方案，并及时总结经验教训。</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（4）负责推广清洁生产工艺及污染治理先进技术和经验，不断提高全厂污染治理设施的技术水平及全厂环保工作的管理水平。</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（5）负责组织制订本企业的环境保护发展规划和年度实施计划，监督检查计划执行情况。</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（6）负责组织与领导环境监测与统计工作，掌握污染动态，提出改善措施。</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（7）负责企业与地方各级环保部门的联系与协调工作。</w:t>
            </w:r>
          </w:p>
          <w:p>
            <w:pPr>
              <w:pStyle w:val="35"/>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1、环境管理的主要工作</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（1）有组织污染源调查和环境监测，查清和掌握工厂“三废”的排放情况和污染现状及变化趋势，建立污染源挡案，为工厂解决重大环境问题和进行综合治理，提供可靠依据。</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（2）编制工厂的环境保护规划，提供恰当的环境保护目标，制定和完善工厂的环境管理办法、规章和制度。</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（3）制定便于考核的污染物排放指标、环保设施运行效果考核指标及“三废”综合利用指标、绿化指标等各项环保指标责任指标，制定考核计划和组织考核。</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（4）组织和协调全厂的污染治理工作和“三废”综合利用技术攻关，推广先进的污染治理技术和“三废”综合利用技术。</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（5）组织环境保护宣传教育和技术培训。</w:t>
            </w:r>
          </w:p>
          <w:p>
            <w:pPr>
              <w:pStyle w:val="35"/>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2、工作方案</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（1）将环境管理纳入生产管理，避免工艺操作异常；</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（2）加强设备养护，堵截跑、冒、滴、漏；</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（3）大修期间应同时对环保设施进行检修，清除杂物，保证管路畅通，需要更换的零部件应予更换；</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（4）推广应用先进的环保技术和经验，促进污染的综合防治和废物的回收利用或循环利用。</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（5）组织开展环境保护宣传和教育，加强群众的环保意识与工人的清洁生产意识。</w:t>
            </w:r>
          </w:p>
          <w:p>
            <w:pPr>
              <w:pStyle w:val="35"/>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3、环境管理依据</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（1）国家和地方的环保法律、法规</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① 《中华人民共和国环境保护法》及国家的各种环保法律、法规</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② 地方政府和各级环保部门颁布的地方性环保法规</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（2）工厂制定的各种环境保护规定和制度</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（3）环境标准</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适用的环境标准主要有：</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① 《环境空气质量标准》（GB3095－2012）；</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②《地表水环境质量标准》（GB3838-2002）；</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③《声环境质量标准》（GB3096-2008）；</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适用的污染物排放标准主要有：</w:t>
            </w:r>
          </w:p>
          <w:p>
            <w:pPr>
              <w:spacing w:line="360" w:lineRule="auto"/>
              <w:ind w:firstLine="480" w:firstLineChars="200"/>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①《工业企业厂界环境噪声排放标准》（GB12348－2008）</w:t>
            </w:r>
            <w:bookmarkStart w:id="91" w:name="_Toc478472541"/>
            <w:bookmarkStart w:id="92" w:name="_Toc14274"/>
            <w:bookmarkStart w:id="93" w:name="_Toc188870985"/>
            <w:r>
              <w:rPr>
                <w:rFonts w:hint="eastAsia" w:ascii="Times New Roman" w:hAnsi="Times New Roman" w:eastAsia="宋体"/>
                <w:color w:val="auto"/>
                <w:sz w:val="24"/>
                <w:szCs w:val="24"/>
                <w:lang w:eastAsia="zh-CN"/>
              </w:rPr>
              <w:t>；</w:t>
            </w:r>
          </w:p>
          <w:p>
            <w:pPr>
              <w:spacing w:line="360" w:lineRule="auto"/>
              <w:ind w:firstLine="480" w:firstLineChars="200"/>
              <w:rPr>
                <w:rFonts w:hint="eastAsia" w:ascii="Times New Roman" w:hAnsi="Times New Roman" w:eastAsia="宋体" w:cs="Times New Roman"/>
                <w:color w:val="auto"/>
                <w:sz w:val="24"/>
                <w:lang w:val="en-US" w:eastAsia="zh-CN"/>
              </w:rPr>
            </w:pPr>
            <w:r>
              <w:rPr>
                <w:rFonts w:hint="eastAsia" w:ascii="Times New Roman" w:hAnsi="Times New Roman" w:eastAsia="宋体"/>
                <w:b w:val="0"/>
                <w:bCs/>
                <w:color w:val="auto"/>
                <w:sz w:val="24"/>
                <w:szCs w:val="24"/>
                <w:lang w:val="en-US" w:eastAsia="zh-CN"/>
              </w:rPr>
              <w:t>②</w:t>
            </w:r>
            <w:r>
              <w:rPr>
                <w:rFonts w:hint="eastAsia" w:ascii="Times New Roman" w:hAnsi="Times New Roman" w:eastAsia="宋体" w:cs="Times New Roman"/>
                <w:color w:val="auto"/>
                <w:sz w:val="24"/>
                <w:lang w:val="en-US" w:eastAsia="zh-CN"/>
              </w:rPr>
              <w:t>上海市《大气污染物综合排放标准》（DB31/933—2015）</w:t>
            </w:r>
            <w:r>
              <w:rPr>
                <w:rFonts w:hint="eastAsia" w:ascii="Times New Roman" w:hAnsi="Times New Roman" w:eastAsia="宋体" w:cs="Times New Roman"/>
                <w:color w:val="auto"/>
                <w:sz w:val="24"/>
                <w:lang w:val="en-US" w:eastAsia="zh-CN"/>
              </w:rPr>
              <w:t>；</w:t>
            </w:r>
          </w:p>
          <w:p>
            <w:pPr>
              <w:pStyle w:val="11"/>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eastAsia" w:ascii="Times New Roman" w:hAnsi="Times New Roman" w:eastAsia="宋体" w:cs="Times New Roman"/>
                <w:color w:val="auto"/>
                <w:sz w:val="24"/>
                <w:lang w:val="en-US" w:eastAsia="zh-CN"/>
              </w:rPr>
            </w:pPr>
            <w:r>
              <w:rPr>
                <w:rFonts w:hint="eastAsia" w:ascii="Times New Roman" w:hAnsi="Times New Roman" w:eastAsia="宋体" w:cs="Times New Roman"/>
                <w:color w:val="auto"/>
                <w:sz w:val="24"/>
                <w:lang w:val="en-US" w:eastAsia="zh-CN"/>
              </w:rPr>
              <w:t>③</w:t>
            </w:r>
            <w:r>
              <w:rPr>
                <w:rFonts w:hint="eastAsia" w:ascii="Times New Roman" w:hAnsi="Times New Roman" w:eastAsia="宋体"/>
                <w:color w:val="000000"/>
                <w:spacing w:val="0"/>
                <w:kern w:val="2"/>
                <w:sz w:val="24"/>
                <w:szCs w:val="24"/>
              </w:rPr>
              <w:t>河北</w:t>
            </w:r>
            <w:r>
              <w:rPr>
                <w:rFonts w:hint="eastAsia" w:ascii="Times New Roman" w:hAnsi="Times New Roman" w:eastAsia="宋体"/>
                <w:color w:val="000000"/>
                <w:spacing w:val="0"/>
                <w:kern w:val="2"/>
                <w:sz w:val="24"/>
                <w:szCs w:val="24"/>
                <w:lang w:val="en-US" w:eastAsia="zh-CN"/>
              </w:rPr>
              <w:t>省</w:t>
            </w:r>
            <w:r>
              <w:rPr>
                <w:rFonts w:ascii="Times New Roman" w:hAnsi="Times New Roman" w:eastAsia="宋体"/>
                <w:color w:val="000000"/>
                <w:spacing w:val="0"/>
                <w:kern w:val="2"/>
                <w:sz w:val="24"/>
                <w:szCs w:val="24"/>
              </w:rPr>
              <w:t>《工业企业挥发性有机物排放控制标准》（DB1</w:t>
            </w:r>
            <w:r>
              <w:rPr>
                <w:rFonts w:hint="eastAsia" w:ascii="Times New Roman" w:hAnsi="Times New Roman" w:eastAsia="宋体"/>
                <w:color w:val="000000"/>
                <w:spacing w:val="0"/>
                <w:kern w:val="2"/>
                <w:sz w:val="24"/>
                <w:szCs w:val="24"/>
              </w:rPr>
              <w:t>3</w:t>
            </w:r>
            <w:r>
              <w:rPr>
                <w:rFonts w:ascii="Times New Roman" w:hAnsi="Times New Roman" w:eastAsia="宋体"/>
                <w:color w:val="000000"/>
                <w:spacing w:val="0"/>
                <w:kern w:val="2"/>
                <w:sz w:val="24"/>
                <w:szCs w:val="24"/>
              </w:rPr>
              <w:t>/</w:t>
            </w:r>
            <w:r>
              <w:rPr>
                <w:rFonts w:hint="eastAsia" w:ascii="Times New Roman" w:hAnsi="Times New Roman" w:eastAsia="宋体"/>
                <w:color w:val="000000"/>
                <w:spacing w:val="0"/>
                <w:kern w:val="2"/>
                <w:sz w:val="24"/>
                <w:szCs w:val="24"/>
              </w:rPr>
              <w:t>2322</w:t>
            </w:r>
            <w:r>
              <w:rPr>
                <w:rFonts w:ascii="Times New Roman" w:hAnsi="Times New Roman" w:eastAsia="宋体"/>
                <w:color w:val="000000"/>
                <w:spacing w:val="0"/>
                <w:kern w:val="2"/>
                <w:sz w:val="24"/>
                <w:szCs w:val="24"/>
              </w:rPr>
              <w:t>-201</w:t>
            </w:r>
            <w:r>
              <w:rPr>
                <w:rFonts w:hint="eastAsia" w:ascii="Times New Roman" w:hAnsi="Times New Roman" w:eastAsia="宋体"/>
                <w:color w:val="000000"/>
                <w:spacing w:val="0"/>
                <w:kern w:val="2"/>
                <w:sz w:val="24"/>
                <w:szCs w:val="24"/>
              </w:rPr>
              <w:t>6</w:t>
            </w:r>
            <w:r>
              <w:rPr>
                <w:rFonts w:ascii="Times New Roman" w:hAnsi="Times New Roman" w:eastAsia="宋体"/>
                <w:color w:val="000000"/>
                <w:spacing w:val="0"/>
                <w:kern w:val="2"/>
                <w:sz w:val="24"/>
                <w:szCs w:val="24"/>
              </w:rPr>
              <w:t>）</w:t>
            </w:r>
          </w:p>
          <w:p>
            <w:pPr>
              <w:pStyle w:val="12"/>
              <w:keepNext w:val="0"/>
              <w:keepLines w:val="0"/>
              <w:pageBreakBefore w:val="0"/>
              <w:widowControl w:val="0"/>
              <w:kinsoku/>
              <w:wordWrap/>
              <w:overflowPunct/>
              <w:topLinePunct w:val="0"/>
              <w:autoSpaceDE/>
              <w:autoSpaceDN/>
              <w:bidi w:val="0"/>
              <w:adjustRightInd/>
              <w:snapToGrid/>
              <w:ind w:left="0" w:leftChars="0" w:firstLine="480" w:firstLineChars="200"/>
              <w:textAlignment w:val="auto"/>
              <w:rPr>
                <w:rFonts w:hint="default" w:ascii="Times New Roman" w:hAnsi="Times New Roman" w:eastAsia="宋体"/>
                <w:lang w:val="en-US" w:eastAsia="zh-CN"/>
              </w:rPr>
            </w:pPr>
            <w:r>
              <w:rPr>
                <w:rFonts w:hint="eastAsia" w:ascii="Times New Roman" w:hAnsi="Times New Roman" w:eastAsia="宋体" w:cs="Times New Roman"/>
                <w:color w:val="auto"/>
                <w:sz w:val="24"/>
                <w:lang w:val="en-US" w:eastAsia="zh-CN"/>
              </w:rPr>
              <w:t>④</w:t>
            </w:r>
            <w:r>
              <w:rPr>
                <w:rFonts w:ascii="Times New Roman" w:hAnsi="Times New Roman" w:eastAsia="宋体"/>
                <w:color w:val="000000"/>
                <w:sz w:val="24"/>
                <w:szCs w:val="24"/>
              </w:rPr>
              <w:t>《挥发性有机物无组织排放控制标准》（GB37822-2019）</w:t>
            </w:r>
          </w:p>
          <w:p>
            <w:pPr>
              <w:spacing w:line="360" w:lineRule="auto"/>
              <w:ind w:firstLine="482" w:firstLineChars="200"/>
              <w:rPr>
                <w:rFonts w:ascii="Times New Roman" w:hAnsi="Times New Roman" w:eastAsia="宋体"/>
                <w:b/>
                <w:color w:val="auto"/>
                <w:sz w:val="24"/>
                <w:szCs w:val="24"/>
              </w:rPr>
            </w:pPr>
            <w:r>
              <w:rPr>
                <w:rFonts w:ascii="Times New Roman" w:hAnsi="Times New Roman" w:eastAsia="宋体"/>
                <w:b/>
                <w:color w:val="auto"/>
                <w:sz w:val="24"/>
                <w:szCs w:val="24"/>
              </w:rPr>
              <w:t>环境监测</w:t>
            </w:r>
            <w:bookmarkEnd w:id="91"/>
            <w:bookmarkEnd w:id="92"/>
            <w:bookmarkEnd w:id="93"/>
          </w:p>
          <w:p>
            <w:pPr>
              <w:pStyle w:val="35"/>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1、监测目的、任务、意义</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监测机构的设置，是为了保证项目建成投产后，能迅速全面地反映项目的污染现状和变化趋势，为环境管理，污染管理，环境保护规划提供准确、可靠的监测数据和资料。</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环境监测的主要任务是，定期监测项目主要污染源，掌握项目排污状况，为制定污染控制对策提供依据。</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环境监测是环境保护的耳目，是环境管理必不可少的组成部分，因此公司应设置环境监测机构，对环境进行监测，及时发现环境污染问题，以便及时加以解决和控制。</w:t>
            </w:r>
          </w:p>
          <w:p>
            <w:pPr>
              <w:pStyle w:val="35"/>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2、监测人员职责</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根据国家颁布的环境质量标准和污染物排放标准，参与制定监测工作计划。配备相应的环境监测设备和仪器、对排污口施行规范化管理、完成预定的监测计划、填写监测记录和编制监测报告并及时报告给环境管理人员、对监测结果做好档案管理工作。应定期参加技术培训，参加主管部门的技术考核。</w:t>
            </w:r>
          </w:p>
          <w:p>
            <w:pPr>
              <w:pStyle w:val="35"/>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3、监测计划</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根据公司污染源分布实际情况，依据《环境监测技术规范》的布点原则，本评价建议按以下监测计划实施监测：</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生产期厂内污染源监测点位、监测项目等详见下表。</w:t>
            </w:r>
          </w:p>
          <w:p>
            <w:pPr>
              <w:spacing w:line="360" w:lineRule="auto"/>
              <w:jc w:val="center"/>
              <w:rPr>
                <w:rFonts w:ascii="Times New Roman" w:hAnsi="Times New Roman" w:eastAsia="宋体"/>
                <w:b/>
                <w:color w:val="auto"/>
                <w:sz w:val="24"/>
                <w:szCs w:val="24"/>
              </w:rPr>
            </w:pPr>
            <w:r>
              <w:rPr>
                <w:rFonts w:ascii="Times New Roman" w:hAnsi="Times New Roman" w:eastAsia="宋体"/>
                <w:b/>
                <w:color w:val="auto"/>
                <w:sz w:val="24"/>
                <w:szCs w:val="24"/>
              </w:rPr>
              <w:t>表7-</w:t>
            </w: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 xml:space="preserve">  </w:t>
            </w:r>
            <w:r>
              <w:rPr>
                <w:rFonts w:ascii="Times New Roman" w:hAnsi="Times New Roman" w:eastAsia="宋体"/>
                <w:b/>
                <w:color w:val="auto"/>
                <w:sz w:val="24"/>
                <w:szCs w:val="24"/>
              </w:rPr>
              <w:t xml:space="preserve"> 监测计划一览表</w:t>
            </w:r>
          </w:p>
          <w:tbl>
            <w:tblPr>
              <w:tblStyle w:val="22"/>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0" w:type="dxa"/>
                <w:bottom w:w="0" w:type="dxa"/>
                <w:right w:w="0" w:type="dxa"/>
              </w:tblCellMar>
            </w:tblPr>
            <w:tblGrid>
              <w:gridCol w:w="763"/>
              <w:gridCol w:w="2155"/>
              <w:gridCol w:w="1696"/>
              <w:gridCol w:w="979"/>
              <w:gridCol w:w="268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71" w:hRule="atLeast"/>
                <w:jc w:val="center"/>
              </w:trPr>
              <w:tc>
                <w:tcPr>
                  <w:tcW w:w="763" w:type="dxa"/>
                  <w:tcBorders>
                    <w:top w:val="single" w:color="auto" w:sz="4" w:space="0"/>
                    <w:left w:val="single" w:color="auto" w:sz="4" w:space="0"/>
                    <w:bottom w:val="single" w:color="auto" w:sz="6" w:space="0"/>
                  </w:tcBorders>
                  <w:noWrap w:val="0"/>
                  <w:vAlign w:val="center"/>
                </w:tcPr>
                <w:p>
                  <w:pPr>
                    <w:pStyle w:val="37"/>
                    <w:spacing w:line="240" w:lineRule="atLeast"/>
                    <w:rPr>
                      <w:rFonts w:ascii="Times New Roman" w:hAnsi="Times New Roman" w:eastAsia="宋体"/>
                      <w:color w:val="auto"/>
                      <w:szCs w:val="21"/>
                      <w:highlight w:val="none"/>
                    </w:rPr>
                  </w:pPr>
                  <w:r>
                    <w:rPr>
                      <w:rFonts w:ascii="Times New Roman" w:hAnsi="Times New Roman" w:eastAsia="宋体"/>
                      <w:color w:val="auto"/>
                      <w:szCs w:val="21"/>
                      <w:highlight w:val="none"/>
                    </w:rPr>
                    <w:t>项目</w:t>
                  </w:r>
                </w:p>
              </w:tc>
              <w:tc>
                <w:tcPr>
                  <w:tcW w:w="2155" w:type="dxa"/>
                  <w:tcBorders>
                    <w:top w:val="single" w:color="auto" w:sz="4" w:space="0"/>
                    <w:bottom w:val="single" w:color="auto" w:sz="6" w:space="0"/>
                  </w:tcBorders>
                  <w:noWrap w:val="0"/>
                  <w:vAlign w:val="center"/>
                </w:tcPr>
                <w:p>
                  <w:pPr>
                    <w:pStyle w:val="37"/>
                    <w:spacing w:line="240" w:lineRule="atLeast"/>
                    <w:rPr>
                      <w:rFonts w:ascii="Times New Roman" w:hAnsi="Times New Roman" w:eastAsia="宋体"/>
                      <w:color w:val="auto"/>
                      <w:szCs w:val="21"/>
                      <w:highlight w:val="none"/>
                    </w:rPr>
                  </w:pPr>
                  <w:r>
                    <w:rPr>
                      <w:rFonts w:ascii="Times New Roman" w:hAnsi="Times New Roman" w:eastAsia="宋体"/>
                      <w:color w:val="auto"/>
                      <w:szCs w:val="21"/>
                      <w:highlight w:val="none"/>
                    </w:rPr>
                    <w:t>监测点位</w:t>
                  </w:r>
                </w:p>
              </w:tc>
              <w:tc>
                <w:tcPr>
                  <w:tcW w:w="1696" w:type="dxa"/>
                  <w:tcBorders>
                    <w:top w:val="single" w:color="auto" w:sz="4" w:space="0"/>
                    <w:bottom w:val="single" w:color="auto" w:sz="6" w:space="0"/>
                  </w:tcBorders>
                  <w:noWrap w:val="0"/>
                  <w:vAlign w:val="center"/>
                </w:tcPr>
                <w:p>
                  <w:pPr>
                    <w:pStyle w:val="37"/>
                    <w:spacing w:line="240" w:lineRule="atLeast"/>
                    <w:rPr>
                      <w:rFonts w:ascii="Times New Roman" w:hAnsi="Times New Roman" w:eastAsia="宋体"/>
                      <w:color w:val="auto"/>
                      <w:szCs w:val="21"/>
                      <w:highlight w:val="none"/>
                    </w:rPr>
                  </w:pPr>
                  <w:r>
                    <w:rPr>
                      <w:rFonts w:ascii="Times New Roman" w:hAnsi="Times New Roman" w:eastAsia="宋体"/>
                      <w:color w:val="auto"/>
                      <w:szCs w:val="21"/>
                      <w:highlight w:val="none"/>
                    </w:rPr>
                    <w:t>监测因子</w:t>
                  </w:r>
                </w:p>
              </w:tc>
              <w:tc>
                <w:tcPr>
                  <w:tcW w:w="979" w:type="dxa"/>
                  <w:tcBorders>
                    <w:top w:val="single" w:color="auto" w:sz="4" w:space="0"/>
                    <w:bottom w:val="single" w:color="auto" w:sz="6" w:space="0"/>
                  </w:tcBorders>
                  <w:noWrap w:val="0"/>
                  <w:vAlign w:val="center"/>
                </w:tcPr>
                <w:p>
                  <w:pPr>
                    <w:pStyle w:val="37"/>
                    <w:spacing w:line="240" w:lineRule="atLeast"/>
                    <w:rPr>
                      <w:rFonts w:ascii="Times New Roman" w:hAnsi="Times New Roman" w:eastAsia="宋体"/>
                      <w:color w:val="auto"/>
                      <w:szCs w:val="21"/>
                      <w:highlight w:val="none"/>
                    </w:rPr>
                  </w:pPr>
                  <w:r>
                    <w:rPr>
                      <w:rFonts w:ascii="Times New Roman" w:hAnsi="Times New Roman" w:eastAsia="宋体"/>
                      <w:color w:val="auto"/>
                      <w:szCs w:val="21"/>
                      <w:highlight w:val="none"/>
                    </w:rPr>
                    <w:t>监测频率</w:t>
                  </w:r>
                </w:p>
              </w:tc>
              <w:tc>
                <w:tcPr>
                  <w:tcW w:w="2683" w:type="dxa"/>
                  <w:tcBorders>
                    <w:top w:val="single" w:color="auto" w:sz="4" w:space="0"/>
                    <w:bottom w:val="single" w:color="auto" w:sz="6" w:space="0"/>
                    <w:right w:val="single" w:color="auto" w:sz="4" w:space="0"/>
                  </w:tcBorders>
                  <w:noWrap w:val="0"/>
                  <w:vAlign w:val="center"/>
                </w:tcPr>
                <w:p>
                  <w:pPr>
                    <w:pStyle w:val="37"/>
                    <w:spacing w:line="240" w:lineRule="atLeast"/>
                    <w:rPr>
                      <w:rFonts w:ascii="Times New Roman" w:hAnsi="Times New Roman" w:eastAsia="宋体"/>
                      <w:color w:val="auto"/>
                      <w:szCs w:val="21"/>
                      <w:highlight w:val="none"/>
                    </w:rPr>
                  </w:pPr>
                  <w:r>
                    <w:rPr>
                      <w:rFonts w:ascii="Times New Roman" w:hAnsi="Times New Roman" w:eastAsia="宋体"/>
                      <w:color w:val="auto"/>
                      <w:szCs w:val="21"/>
                      <w:highlight w:val="none"/>
                    </w:rPr>
                    <w:t>执行标准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71" w:hRule="atLeast"/>
                <w:jc w:val="center"/>
              </w:trPr>
              <w:tc>
                <w:tcPr>
                  <w:tcW w:w="763" w:type="dxa"/>
                  <w:vMerge w:val="restart"/>
                  <w:tcBorders>
                    <w:top w:val="single" w:color="auto" w:sz="4" w:space="0"/>
                    <w:left w:val="single" w:color="auto" w:sz="4" w:space="0"/>
                  </w:tcBorders>
                  <w:noWrap w:val="0"/>
                  <w:vAlign w:val="center"/>
                </w:tcPr>
                <w:p>
                  <w:pPr>
                    <w:pStyle w:val="37"/>
                    <w:spacing w:line="240" w:lineRule="atLeast"/>
                    <w:rPr>
                      <w:rFonts w:ascii="Times New Roman" w:hAnsi="Times New Roman" w:eastAsia="宋体"/>
                      <w:color w:val="auto"/>
                      <w:szCs w:val="21"/>
                      <w:highlight w:val="none"/>
                    </w:rPr>
                  </w:pPr>
                  <w:r>
                    <w:rPr>
                      <w:rFonts w:ascii="Times New Roman" w:hAnsi="Times New Roman" w:eastAsia="宋体"/>
                      <w:color w:val="auto"/>
                      <w:szCs w:val="21"/>
                      <w:highlight w:val="none"/>
                    </w:rPr>
                    <w:t>废气</w:t>
                  </w:r>
                </w:p>
              </w:tc>
              <w:tc>
                <w:tcPr>
                  <w:tcW w:w="2155" w:type="dxa"/>
                  <w:tcBorders>
                    <w:top w:val="single" w:color="auto" w:sz="4" w:space="0"/>
                    <w:bottom w:val="single" w:color="auto" w:sz="6" w:space="0"/>
                  </w:tcBorders>
                  <w:noWrap w:val="0"/>
                  <w:vAlign w:val="center"/>
                </w:tcPr>
                <w:p>
                  <w:pPr>
                    <w:pStyle w:val="37"/>
                    <w:spacing w:line="240" w:lineRule="atLeast"/>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highlight w:val="none"/>
                      <w:lang w:val="en-US" w:eastAsia="zh-CN"/>
                    </w:rPr>
                    <w:t>三磨排气筒</w:t>
                  </w:r>
                </w:p>
              </w:tc>
              <w:tc>
                <w:tcPr>
                  <w:tcW w:w="1696" w:type="dxa"/>
                  <w:tcBorders>
                    <w:top w:val="single" w:color="auto" w:sz="4" w:space="0"/>
                    <w:bottom w:val="single" w:color="auto" w:sz="6" w:space="0"/>
                  </w:tcBorders>
                  <w:noWrap w:val="0"/>
                  <w:vAlign w:val="center"/>
                </w:tcPr>
                <w:p>
                  <w:pPr>
                    <w:pStyle w:val="37"/>
                    <w:spacing w:line="240" w:lineRule="atLeast"/>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TSP</w:t>
                  </w:r>
                </w:p>
              </w:tc>
              <w:tc>
                <w:tcPr>
                  <w:tcW w:w="979" w:type="dxa"/>
                  <w:tcBorders>
                    <w:top w:val="single" w:color="auto" w:sz="4" w:space="0"/>
                    <w:bottom w:val="single" w:color="auto" w:sz="6" w:space="0"/>
                  </w:tcBorders>
                  <w:noWrap w:val="0"/>
                  <w:vAlign w:val="center"/>
                </w:tcPr>
                <w:p>
                  <w:pPr>
                    <w:pStyle w:val="37"/>
                    <w:spacing w:line="240" w:lineRule="atLeast"/>
                    <w:rPr>
                      <w:rFonts w:ascii="Times New Roman" w:hAnsi="Times New Roman" w:eastAsia="宋体"/>
                      <w:color w:val="auto"/>
                      <w:szCs w:val="21"/>
                      <w:highlight w:val="none"/>
                    </w:rPr>
                  </w:pPr>
                  <w:r>
                    <w:rPr>
                      <w:rFonts w:ascii="Times New Roman" w:hAnsi="Times New Roman" w:eastAsia="宋体"/>
                      <w:color w:val="auto"/>
                      <w:szCs w:val="21"/>
                      <w:highlight w:val="none"/>
                    </w:rPr>
                    <w:t>每年一次</w:t>
                  </w:r>
                </w:p>
              </w:tc>
              <w:tc>
                <w:tcPr>
                  <w:tcW w:w="2683" w:type="dxa"/>
                  <w:vMerge w:val="restart"/>
                  <w:tcBorders>
                    <w:top w:val="single" w:color="auto" w:sz="4" w:space="0"/>
                    <w:right w:val="single" w:color="auto" w:sz="4" w:space="0"/>
                  </w:tcBorders>
                  <w:noWrap w:val="0"/>
                  <w:vAlign w:val="center"/>
                </w:tcPr>
                <w:p>
                  <w:pPr>
                    <w:pStyle w:val="37"/>
                    <w:spacing w:line="240" w:lineRule="atLeast"/>
                    <w:rPr>
                      <w:rFonts w:hint="eastAsia" w:ascii="Times New Roman" w:hAnsi="Times New Roman" w:eastAsia="宋体"/>
                      <w:color w:val="auto"/>
                      <w:szCs w:val="21"/>
                      <w:highlight w:val="none"/>
                      <w:lang w:eastAsia="zh-CN"/>
                    </w:rPr>
                  </w:pPr>
                  <w:r>
                    <w:rPr>
                      <w:rFonts w:hint="eastAsia" w:ascii="Times New Roman" w:hAnsi="Times New Roman" w:eastAsia="宋体"/>
                      <w:color w:val="auto"/>
                      <w:szCs w:val="21"/>
                      <w:highlight w:val="none"/>
                      <w:lang w:eastAsia="zh-CN"/>
                    </w:rPr>
                    <w:t>上海市《大气污染物综合排放标准》（DB31/933—2015）表1中的大气污染物项目排放限值</w:t>
                  </w:r>
                  <w:r>
                    <w:rPr>
                      <w:rFonts w:hint="eastAsia" w:ascii="Times New Roman" w:hAnsi="Times New Roman" w:eastAsia="宋体"/>
                      <w:color w:val="auto"/>
                      <w:szCs w:val="21"/>
                      <w:highlight w:val="none"/>
                      <w:lang w:eastAsia="zh-CN"/>
                    </w:rPr>
                    <w:t>、河北省《工业企业挥发性有机物排放控制标准》（DB13/2322-2016）其他行业中的排放限值、《挥发性有机物无组织排放控制标准》（GB37822-2019）附录A中的无组织特别排放限值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71" w:hRule="atLeast"/>
                <w:jc w:val="center"/>
              </w:trPr>
              <w:tc>
                <w:tcPr>
                  <w:tcW w:w="763" w:type="dxa"/>
                  <w:vMerge w:val="continue"/>
                  <w:tcBorders>
                    <w:left w:val="single" w:color="auto" w:sz="4" w:space="0"/>
                  </w:tcBorders>
                  <w:noWrap w:val="0"/>
                  <w:vAlign w:val="center"/>
                </w:tcPr>
                <w:p>
                  <w:pPr>
                    <w:pStyle w:val="37"/>
                    <w:spacing w:line="240" w:lineRule="atLeast"/>
                    <w:rPr>
                      <w:rFonts w:ascii="Times New Roman" w:hAnsi="Times New Roman" w:eastAsia="宋体"/>
                      <w:color w:val="auto"/>
                      <w:szCs w:val="21"/>
                      <w:highlight w:val="none"/>
                    </w:rPr>
                  </w:pPr>
                </w:p>
              </w:tc>
              <w:tc>
                <w:tcPr>
                  <w:tcW w:w="2155" w:type="dxa"/>
                  <w:tcBorders>
                    <w:top w:val="single" w:color="auto" w:sz="4" w:space="0"/>
                    <w:bottom w:val="single" w:color="auto" w:sz="6" w:space="0"/>
                  </w:tcBorders>
                  <w:noWrap w:val="0"/>
                  <w:vAlign w:val="center"/>
                </w:tcPr>
                <w:p>
                  <w:pPr>
                    <w:pStyle w:val="37"/>
                    <w:spacing w:line="240" w:lineRule="atLeast"/>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喷锌排气筒</w:t>
                  </w:r>
                </w:p>
              </w:tc>
              <w:tc>
                <w:tcPr>
                  <w:tcW w:w="1696" w:type="dxa"/>
                  <w:tcBorders>
                    <w:top w:val="single" w:color="auto" w:sz="4" w:space="0"/>
                    <w:bottom w:val="single" w:color="auto" w:sz="6" w:space="0"/>
                  </w:tcBorders>
                  <w:noWrap w:val="0"/>
                  <w:vAlign w:val="center"/>
                </w:tcPr>
                <w:p>
                  <w:pPr>
                    <w:pStyle w:val="37"/>
                    <w:spacing w:line="240" w:lineRule="atLeast"/>
                    <w:rPr>
                      <w:rFonts w:hint="eastAsia"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TSP</w:t>
                  </w:r>
                </w:p>
              </w:tc>
              <w:tc>
                <w:tcPr>
                  <w:tcW w:w="979" w:type="dxa"/>
                  <w:tcBorders>
                    <w:top w:val="single" w:color="auto" w:sz="4" w:space="0"/>
                    <w:bottom w:val="single" w:color="auto" w:sz="6" w:space="0"/>
                  </w:tcBorders>
                  <w:noWrap w:val="0"/>
                  <w:vAlign w:val="center"/>
                </w:tcPr>
                <w:p>
                  <w:pPr>
                    <w:spacing w:line="240" w:lineRule="atLeast"/>
                    <w:rPr>
                      <w:rFonts w:ascii="Times New Roman" w:hAnsi="Times New Roman" w:eastAsia="宋体"/>
                      <w:color w:val="auto"/>
                      <w:szCs w:val="21"/>
                      <w:highlight w:val="none"/>
                    </w:rPr>
                  </w:pPr>
                  <w:r>
                    <w:rPr>
                      <w:rFonts w:ascii="Times New Roman" w:hAnsi="Times New Roman" w:eastAsia="宋体"/>
                      <w:color w:val="auto"/>
                      <w:szCs w:val="21"/>
                      <w:highlight w:val="none"/>
                    </w:rPr>
                    <w:t>每年一次</w:t>
                  </w:r>
                </w:p>
              </w:tc>
              <w:tc>
                <w:tcPr>
                  <w:tcW w:w="2683" w:type="dxa"/>
                  <w:vMerge w:val="continue"/>
                  <w:tcBorders>
                    <w:right w:val="single" w:color="auto" w:sz="4" w:space="0"/>
                  </w:tcBorders>
                  <w:noWrap w:val="0"/>
                  <w:vAlign w:val="center"/>
                </w:tcPr>
                <w:p>
                  <w:pPr>
                    <w:pStyle w:val="37"/>
                    <w:spacing w:line="240" w:lineRule="atLeast"/>
                    <w:rPr>
                      <w:rFonts w:hint="eastAsia" w:ascii="Times New Roman" w:hAnsi="Times New Roman" w:eastAsia="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71" w:hRule="atLeast"/>
                <w:jc w:val="center"/>
              </w:trPr>
              <w:tc>
                <w:tcPr>
                  <w:tcW w:w="763" w:type="dxa"/>
                  <w:vMerge w:val="continue"/>
                  <w:tcBorders>
                    <w:left w:val="single" w:color="auto" w:sz="4" w:space="0"/>
                  </w:tcBorders>
                  <w:noWrap w:val="0"/>
                  <w:vAlign w:val="center"/>
                </w:tcPr>
                <w:p>
                  <w:pPr>
                    <w:pStyle w:val="37"/>
                    <w:spacing w:line="240" w:lineRule="atLeast"/>
                    <w:rPr>
                      <w:rFonts w:ascii="Times New Roman" w:hAnsi="Times New Roman" w:eastAsia="宋体"/>
                      <w:color w:val="auto"/>
                      <w:szCs w:val="21"/>
                      <w:highlight w:val="none"/>
                    </w:rPr>
                  </w:pPr>
                </w:p>
              </w:tc>
              <w:tc>
                <w:tcPr>
                  <w:tcW w:w="2155" w:type="dxa"/>
                  <w:tcBorders>
                    <w:top w:val="single" w:color="auto" w:sz="4" w:space="0"/>
                    <w:bottom w:val="single" w:color="auto" w:sz="6" w:space="0"/>
                  </w:tcBorders>
                  <w:noWrap w:val="0"/>
                  <w:vAlign w:val="center"/>
                </w:tcPr>
                <w:p>
                  <w:pPr>
                    <w:pStyle w:val="37"/>
                    <w:spacing w:line="240" w:lineRule="atLeast"/>
                    <w:rPr>
                      <w:rFonts w:hint="default"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喷涂排气筒</w:t>
                  </w:r>
                </w:p>
              </w:tc>
              <w:tc>
                <w:tcPr>
                  <w:tcW w:w="1696" w:type="dxa"/>
                  <w:tcBorders>
                    <w:top w:val="single" w:color="auto" w:sz="4" w:space="0"/>
                    <w:bottom w:val="single" w:color="auto" w:sz="6" w:space="0"/>
                  </w:tcBorders>
                  <w:noWrap w:val="0"/>
                  <w:vAlign w:val="center"/>
                </w:tcPr>
                <w:p>
                  <w:pPr>
                    <w:pStyle w:val="37"/>
                    <w:spacing w:line="240" w:lineRule="atLeast"/>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非甲烷总烃</w:t>
                  </w:r>
                </w:p>
              </w:tc>
              <w:tc>
                <w:tcPr>
                  <w:tcW w:w="979" w:type="dxa"/>
                  <w:tcBorders>
                    <w:top w:val="single" w:color="auto" w:sz="4" w:space="0"/>
                    <w:bottom w:val="single" w:color="auto" w:sz="6" w:space="0"/>
                  </w:tcBorders>
                  <w:noWrap w:val="0"/>
                  <w:vAlign w:val="center"/>
                </w:tcPr>
                <w:p>
                  <w:pPr>
                    <w:spacing w:line="240" w:lineRule="atLeast"/>
                    <w:rPr>
                      <w:rFonts w:ascii="Times New Roman" w:hAnsi="Times New Roman" w:eastAsia="宋体"/>
                      <w:color w:val="auto"/>
                      <w:szCs w:val="21"/>
                      <w:highlight w:val="none"/>
                    </w:rPr>
                  </w:pPr>
                  <w:r>
                    <w:rPr>
                      <w:rFonts w:ascii="Times New Roman" w:hAnsi="Times New Roman" w:eastAsia="宋体"/>
                      <w:color w:val="auto"/>
                      <w:szCs w:val="21"/>
                      <w:highlight w:val="none"/>
                    </w:rPr>
                    <w:t>每年一次</w:t>
                  </w:r>
                </w:p>
              </w:tc>
              <w:tc>
                <w:tcPr>
                  <w:tcW w:w="2683" w:type="dxa"/>
                  <w:vMerge w:val="continue"/>
                  <w:tcBorders>
                    <w:right w:val="single" w:color="auto" w:sz="4" w:space="0"/>
                  </w:tcBorders>
                  <w:noWrap w:val="0"/>
                  <w:vAlign w:val="center"/>
                </w:tcPr>
                <w:p>
                  <w:pPr>
                    <w:pStyle w:val="37"/>
                    <w:spacing w:line="240" w:lineRule="atLeast"/>
                    <w:rPr>
                      <w:rFonts w:hint="eastAsia" w:ascii="Times New Roman" w:hAnsi="Times New Roman" w:eastAsia="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371" w:hRule="atLeast"/>
                <w:jc w:val="center"/>
              </w:trPr>
              <w:tc>
                <w:tcPr>
                  <w:tcW w:w="763" w:type="dxa"/>
                  <w:vMerge w:val="continue"/>
                  <w:tcBorders>
                    <w:left w:val="single" w:color="auto" w:sz="4" w:space="0"/>
                  </w:tcBorders>
                  <w:noWrap w:val="0"/>
                  <w:vAlign w:val="center"/>
                </w:tcPr>
                <w:p>
                  <w:pPr>
                    <w:pStyle w:val="37"/>
                    <w:spacing w:line="240" w:lineRule="atLeast"/>
                    <w:rPr>
                      <w:rFonts w:ascii="Times New Roman" w:hAnsi="Times New Roman" w:eastAsia="宋体"/>
                      <w:color w:val="auto"/>
                      <w:szCs w:val="21"/>
                      <w:highlight w:val="none"/>
                    </w:rPr>
                  </w:pPr>
                </w:p>
              </w:tc>
              <w:tc>
                <w:tcPr>
                  <w:tcW w:w="2155" w:type="dxa"/>
                  <w:tcBorders>
                    <w:top w:val="single" w:color="auto" w:sz="4" w:space="0"/>
                    <w:bottom w:val="single" w:color="auto" w:sz="6" w:space="0"/>
                  </w:tcBorders>
                  <w:noWrap w:val="0"/>
                  <w:vAlign w:val="center"/>
                </w:tcPr>
                <w:p>
                  <w:pPr>
                    <w:pStyle w:val="37"/>
                    <w:spacing w:line="240" w:lineRule="atLeast"/>
                    <w:rPr>
                      <w:rFonts w:hint="eastAsia" w:ascii="Times New Roman" w:hAnsi="Times New Roman" w:eastAsia="宋体"/>
                      <w:color w:val="auto"/>
                      <w:highlight w:val="none"/>
                      <w:lang w:val="en-US" w:eastAsia="zh-CN"/>
                    </w:rPr>
                  </w:pPr>
                  <w:r>
                    <w:rPr>
                      <w:rFonts w:hint="eastAsia" w:ascii="Times New Roman" w:hAnsi="Times New Roman" w:eastAsia="宋体"/>
                      <w:color w:val="auto"/>
                      <w:highlight w:val="none"/>
                      <w:lang w:val="en-US" w:eastAsia="zh-CN"/>
                    </w:rPr>
                    <w:t>厂界</w:t>
                  </w:r>
                </w:p>
              </w:tc>
              <w:tc>
                <w:tcPr>
                  <w:tcW w:w="1696" w:type="dxa"/>
                  <w:tcBorders>
                    <w:top w:val="single" w:color="auto" w:sz="4" w:space="0"/>
                    <w:bottom w:val="single" w:color="auto" w:sz="6" w:space="0"/>
                  </w:tcBorders>
                  <w:noWrap w:val="0"/>
                  <w:vAlign w:val="center"/>
                </w:tcPr>
                <w:p>
                  <w:pPr>
                    <w:pStyle w:val="37"/>
                    <w:spacing w:line="240" w:lineRule="atLeast"/>
                    <w:rPr>
                      <w:rFonts w:hint="default"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TSP、非甲烷总烃</w:t>
                  </w:r>
                </w:p>
              </w:tc>
              <w:tc>
                <w:tcPr>
                  <w:tcW w:w="979" w:type="dxa"/>
                  <w:tcBorders>
                    <w:top w:val="single" w:color="auto" w:sz="4" w:space="0"/>
                    <w:bottom w:val="single" w:color="auto" w:sz="6" w:space="0"/>
                  </w:tcBorders>
                  <w:noWrap w:val="0"/>
                  <w:vAlign w:val="center"/>
                </w:tcPr>
                <w:p>
                  <w:pPr>
                    <w:pStyle w:val="37"/>
                    <w:spacing w:line="240" w:lineRule="atLeast"/>
                    <w:rPr>
                      <w:rFonts w:ascii="Times New Roman" w:hAnsi="Times New Roman" w:eastAsia="宋体"/>
                      <w:color w:val="auto"/>
                      <w:szCs w:val="21"/>
                      <w:highlight w:val="none"/>
                    </w:rPr>
                  </w:pPr>
                  <w:r>
                    <w:rPr>
                      <w:rFonts w:ascii="Times New Roman" w:hAnsi="Times New Roman" w:eastAsia="宋体"/>
                      <w:color w:val="auto"/>
                      <w:szCs w:val="21"/>
                      <w:highlight w:val="none"/>
                    </w:rPr>
                    <w:t>每年一次</w:t>
                  </w:r>
                </w:p>
              </w:tc>
              <w:tc>
                <w:tcPr>
                  <w:tcW w:w="2683" w:type="dxa"/>
                  <w:vMerge w:val="continue"/>
                  <w:tcBorders>
                    <w:right w:val="single" w:color="auto" w:sz="4" w:space="0"/>
                  </w:tcBorders>
                  <w:noWrap w:val="0"/>
                  <w:vAlign w:val="center"/>
                </w:tcPr>
                <w:p>
                  <w:pPr>
                    <w:pStyle w:val="37"/>
                    <w:spacing w:line="240" w:lineRule="atLeast"/>
                    <w:rPr>
                      <w:rFonts w:hint="eastAsia" w:ascii="Times New Roman" w:hAnsi="Times New Roman" w:eastAsia="宋体"/>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170" w:hRule="atLeast"/>
                <w:jc w:val="center"/>
              </w:trPr>
              <w:tc>
                <w:tcPr>
                  <w:tcW w:w="763" w:type="dxa"/>
                  <w:tcBorders>
                    <w:top w:val="single" w:color="auto" w:sz="4" w:space="0"/>
                    <w:left w:val="single" w:color="auto" w:sz="4" w:space="0"/>
                    <w:bottom w:val="single" w:color="auto" w:sz="4" w:space="0"/>
                    <w:right w:val="single" w:color="auto" w:sz="4" w:space="0"/>
                  </w:tcBorders>
                  <w:noWrap w:val="0"/>
                  <w:vAlign w:val="center"/>
                </w:tcPr>
                <w:p>
                  <w:pPr>
                    <w:pStyle w:val="37"/>
                    <w:spacing w:line="240" w:lineRule="atLeast"/>
                    <w:rPr>
                      <w:rFonts w:ascii="Times New Roman" w:hAnsi="Times New Roman" w:eastAsia="宋体"/>
                      <w:color w:val="auto"/>
                      <w:szCs w:val="21"/>
                      <w:highlight w:val="none"/>
                    </w:rPr>
                  </w:pPr>
                  <w:r>
                    <w:rPr>
                      <w:rFonts w:ascii="Times New Roman" w:hAnsi="Times New Roman" w:eastAsia="宋体"/>
                      <w:color w:val="auto"/>
                      <w:szCs w:val="21"/>
                      <w:highlight w:val="none"/>
                    </w:rPr>
                    <w:t>噪声</w:t>
                  </w:r>
                </w:p>
              </w:tc>
              <w:tc>
                <w:tcPr>
                  <w:tcW w:w="2155" w:type="dxa"/>
                  <w:tcBorders>
                    <w:top w:val="single" w:color="auto" w:sz="6" w:space="0"/>
                    <w:left w:val="single" w:color="auto" w:sz="4" w:space="0"/>
                    <w:bottom w:val="single" w:color="auto" w:sz="4" w:space="0"/>
                  </w:tcBorders>
                  <w:noWrap w:val="0"/>
                  <w:vAlign w:val="center"/>
                </w:tcPr>
                <w:p>
                  <w:pPr>
                    <w:pStyle w:val="37"/>
                    <w:spacing w:line="240" w:lineRule="atLeast"/>
                    <w:rPr>
                      <w:rFonts w:ascii="Times New Roman" w:hAnsi="Times New Roman" w:eastAsia="宋体"/>
                      <w:color w:val="auto"/>
                      <w:szCs w:val="21"/>
                      <w:highlight w:val="none"/>
                    </w:rPr>
                  </w:pPr>
                  <w:r>
                    <w:rPr>
                      <w:rFonts w:ascii="Times New Roman" w:hAnsi="Times New Roman" w:eastAsia="宋体"/>
                      <w:color w:val="auto"/>
                      <w:szCs w:val="21"/>
                      <w:highlight w:val="none"/>
                    </w:rPr>
                    <w:t>厂界四周</w:t>
                  </w:r>
                </w:p>
              </w:tc>
              <w:tc>
                <w:tcPr>
                  <w:tcW w:w="1696" w:type="dxa"/>
                  <w:tcBorders>
                    <w:top w:val="single" w:color="auto" w:sz="6" w:space="0"/>
                    <w:bottom w:val="single" w:color="auto" w:sz="4" w:space="0"/>
                  </w:tcBorders>
                  <w:noWrap w:val="0"/>
                  <w:vAlign w:val="center"/>
                </w:tcPr>
                <w:p>
                  <w:pPr>
                    <w:pStyle w:val="37"/>
                    <w:spacing w:line="240" w:lineRule="atLeast"/>
                    <w:rPr>
                      <w:rFonts w:ascii="Times New Roman" w:hAnsi="Times New Roman" w:eastAsia="宋体"/>
                      <w:color w:val="auto"/>
                      <w:szCs w:val="21"/>
                      <w:highlight w:val="none"/>
                    </w:rPr>
                  </w:pPr>
                  <w:r>
                    <w:rPr>
                      <w:rFonts w:ascii="Times New Roman" w:hAnsi="Times New Roman" w:eastAsia="宋体"/>
                      <w:color w:val="auto"/>
                      <w:szCs w:val="21"/>
                      <w:highlight w:val="none"/>
                    </w:rPr>
                    <w:t>Leq(A)</w:t>
                  </w:r>
                </w:p>
              </w:tc>
              <w:tc>
                <w:tcPr>
                  <w:tcW w:w="979" w:type="dxa"/>
                  <w:tcBorders>
                    <w:top w:val="single" w:color="auto" w:sz="6" w:space="0"/>
                    <w:bottom w:val="single" w:color="auto" w:sz="4" w:space="0"/>
                  </w:tcBorders>
                  <w:noWrap w:val="0"/>
                  <w:vAlign w:val="center"/>
                </w:tcPr>
                <w:p>
                  <w:pPr>
                    <w:spacing w:line="240" w:lineRule="atLeast"/>
                    <w:jc w:val="center"/>
                    <w:rPr>
                      <w:rFonts w:ascii="Times New Roman" w:hAnsi="Times New Roman" w:eastAsia="宋体"/>
                      <w:color w:val="auto"/>
                      <w:szCs w:val="21"/>
                      <w:highlight w:val="none"/>
                    </w:rPr>
                  </w:pPr>
                  <w:r>
                    <w:rPr>
                      <w:rFonts w:ascii="Times New Roman" w:hAnsi="Times New Roman" w:eastAsia="宋体"/>
                      <w:color w:val="auto"/>
                      <w:szCs w:val="21"/>
                      <w:highlight w:val="none"/>
                    </w:rPr>
                    <w:t>每年一次</w:t>
                  </w:r>
                </w:p>
              </w:tc>
              <w:tc>
                <w:tcPr>
                  <w:tcW w:w="2683" w:type="dxa"/>
                  <w:tcBorders>
                    <w:top w:val="single" w:color="auto" w:sz="6" w:space="0"/>
                    <w:bottom w:val="single" w:color="auto" w:sz="4" w:space="0"/>
                    <w:right w:val="single" w:color="auto" w:sz="4" w:space="0"/>
                  </w:tcBorders>
                  <w:noWrap w:val="0"/>
                  <w:vAlign w:val="center"/>
                </w:tcPr>
                <w:p>
                  <w:pPr>
                    <w:pStyle w:val="37"/>
                    <w:spacing w:line="240" w:lineRule="atLeast"/>
                    <w:rPr>
                      <w:rFonts w:ascii="Times New Roman" w:hAnsi="Times New Roman" w:eastAsia="宋体"/>
                      <w:color w:val="auto"/>
                      <w:szCs w:val="21"/>
                      <w:highlight w:val="none"/>
                    </w:rPr>
                  </w:pPr>
                  <w:r>
                    <w:rPr>
                      <w:rFonts w:ascii="Times New Roman" w:hAnsi="Times New Roman" w:eastAsia="宋体"/>
                      <w:color w:val="auto"/>
                      <w:szCs w:val="21"/>
                      <w:highlight w:val="none"/>
                    </w:rPr>
                    <w:t>执行《工业企业厂界环境噪声排放标准》（GB12348-2008）中3类标准</w:t>
                  </w:r>
                </w:p>
              </w:tc>
            </w:tr>
          </w:tbl>
          <w:p>
            <w:pPr>
              <w:spacing w:line="360" w:lineRule="auto"/>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八</w:t>
            </w:r>
            <w:r>
              <w:rPr>
                <w:rFonts w:ascii="Times New Roman" w:hAnsi="Times New Roman" w:eastAsia="宋体"/>
                <w:color w:val="auto"/>
                <w:sz w:val="24"/>
                <w:szCs w:val="24"/>
              </w:rPr>
              <w:t>、环保投资估算</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本项目总投资为</w:t>
            </w:r>
            <w:r>
              <w:rPr>
                <w:rFonts w:hint="eastAsia" w:ascii="Times New Roman" w:hAnsi="Times New Roman" w:eastAsia="宋体"/>
                <w:color w:val="auto"/>
                <w:sz w:val="24"/>
                <w:szCs w:val="24"/>
                <w:lang w:val="en-US" w:eastAsia="zh-CN"/>
              </w:rPr>
              <w:t>3036</w:t>
            </w:r>
            <w:r>
              <w:rPr>
                <w:rFonts w:ascii="Times New Roman" w:hAnsi="Times New Roman" w:eastAsia="宋体"/>
                <w:color w:val="auto"/>
                <w:sz w:val="24"/>
                <w:szCs w:val="24"/>
              </w:rPr>
              <w:t>万元，其中环保投资为</w:t>
            </w:r>
            <w:r>
              <w:rPr>
                <w:rFonts w:hint="eastAsia" w:ascii="Times New Roman" w:hAnsi="Times New Roman" w:eastAsia="宋体"/>
                <w:color w:val="auto"/>
                <w:sz w:val="24"/>
                <w:szCs w:val="24"/>
                <w:lang w:val="en-US" w:eastAsia="zh-CN"/>
              </w:rPr>
              <w:t>155</w:t>
            </w:r>
            <w:r>
              <w:rPr>
                <w:rFonts w:ascii="Times New Roman" w:hAnsi="Times New Roman" w:eastAsia="宋体"/>
                <w:color w:val="auto"/>
                <w:sz w:val="24"/>
                <w:szCs w:val="24"/>
              </w:rPr>
              <w:t>万元，占总投资的</w:t>
            </w:r>
            <w:r>
              <w:rPr>
                <w:rFonts w:hint="eastAsia" w:ascii="Times New Roman" w:hAnsi="Times New Roman" w:eastAsia="宋体"/>
                <w:color w:val="auto"/>
                <w:sz w:val="24"/>
                <w:szCs w:val="24"/>
                <w:lang w:val="en-US" w:eastAsia="zh-CN"/>
              </w:rPr>
              <w:t>5.1</w:t>
            </w:r>
            <w:r>
              <w:rPr>
                <w:rFonts w:ascii="Times New Roman" w:hAnsi="Times New Roman" w:eastAsia="宋体"/>
                <w:color w:val="auto"/>
                <w:sz w:val="24"/>
                <w:szCs w:val="24"/>
              </w:rPr>
              <w:t>%，环保投资估算详见下表。</w:t>
            </w:r>
          </w:p>
          <w:p>
            <w:pPr>
              <w:pStyle w:val="11"/>
              <w:spacing w:after="0" w:line="360" w:lineRule="auto"/>
              <w:ind w:left="0" w:leftChars="0"/>
              <w:jc w:val="center"/>
              <w:rPr>
                <w:rFonts w:ascii="Times New Roman" w:hAnsi="Times New Roman" w:eastAsia="宋体"/>
                <w:b/>
                <w:color w:val="auto"/>
                <w:sz w:val="24"/>
                <w:szCs w:val="24"/>
              </w:rPr>
            </w:pPr>
            <w:r>
              <w:rPr>
                <w:rFonts w:ascii="Times New Roman" w:hAnsi="Times New Roman" w:eastAsia="宋体"/>
                <w:b/>
                <w:bCs/>
                <w:color w:val="auto"/>
                <w:sz w:val="24"/>
                <w:szCs w:val="24"/>
              </w:rPr>
              <w:t>表7-</w:t>
            </w:r>
            <w:r>
              <w:rPr>
                <w:rFonts w:hint="eastAsia" w:ascii="Times New Roman" w:hAnsi="Times New Roman" w:eastAsia="宋体"/>
                <w:b/>
                <w:bCs/>
                <w:color w:val="auto"/>
                <w:sz w:val="24"/>
                <w:szCs w:val="24"/>
              </w:rPr>
              <w:t>1</w:t>
            </w:r>
            <w:r>
              <w:rPr>
                <w:rFonts w:hint="eastAsia" w:ascii="Times New Roman" w:hAnsi="Times New Roman" w:eastAsia="宋体"/>
                <w:b/>
                <w:bCs/>
                <w:color w:val="auto"/>
                <w:sz w:val="24"/>
                <w:szCs w:val="24"/>
                <w:lang w:val="en-US" w:eastAsia="zh-CN"/>
              </w:rPr>
              <w:t>4</w:t>
            </w:r>
            <w:r>
              <w:rPr>
                <w:rFonts w:ascii="Times New Roman" w:hAnsi="Times New Roman" w:eastAsia="宋体"/>
                <w:b/>
                <w:bCs/>
                <w:color w:val="auto"/>
                <w:sz w:val="24"/>
                <w:szCs w:val="24"/>
              </w:rPr>
              <w:t xml:space="preserve">  </w:t>
            </w:r>
            <w:r>
              <w:rPr>
                <w:rFonts w:ascii="Times New Roman" w:hAnsi="Times New Roman" w:eastAsia="宋体"/>
                <w:b/>
                <w:color w:val="auto"/>
                <w:sz w:val="24"/>
                <w:szCs w:val="24"/>
              </w:rPr>
              <w:t>处理设施环保投资估算</w:t>
            </w:r>
          </w:p>
          <w:tbl>
            <w:tblPr>
              <w:tblStyle w:val="22"/>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4"/>
              <w:gridCol w:w="1676"/>
              <w:gridCol w:w="4231"/>
              <w:gridCol w:w="2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6" w:type="pct"/>
                  <w:vAlign w:val="center"/>
                </w:tcPr>
                <w:p>
                  <w:pPr>
                    <w:ind w:left="-105" w:leftChars="-50" w:right="-105" w:rightChars="-50"/>
                    <w:jc w:val="center"/>
                    <w:rPr>
                      <w:rFonts w:ascii="Times New Roman" w:hAnsi="Times New Roman" w:eastAsia="宋体"/>
                      <w:color w:val="auto"/>
                      <w:szCs w:val="21"/>
                    </w:rPr>
                  </w:pPr>
                  <w:r>
                    <w:rPr>
                      <w:rFonts w:ascii="Times New Roman" w:hAnsi="Times New Roman" w:eastAsia="宋体"/>
                      <w:color w:val="auto"/>
                      <w:szCs w:val="21"/>
                    </w:rPr>
                    <w:t>时段</w:t>
                  </w:r>
                </w:p>
              </w:tc>
              <w:tc>
                <w:tcPr>
                  <w:tcW w:w="924" w:type="pct"/>
                  <w:vAlign w:val="center"/>
                </w:tcPr>
                <w:p>
                  <w:pPr>
                    <w:jc w:val="center"/>
                    <w:rPr>
                      <w:rFonts w:ascii="Times New Roman" w:hAnsi="Times New Roman" w:eastAsia="宋体"/>
                      <w:color w:val="auto"/>
                      <w:szCs w:val="21"/>
                    </w:rPr>
                  </w:pPr>
                  <w:r>
                    <w:rPr>
                      <w:rFonts w:ascii="Times New Roman" w:hAnsi="Times New Roman" w:eastAsia="宋体"/>
                      <w:color w:val="auto"/>
                      <w:szCs w:val="21"/>
                    </w:rPr>
                    <w:t>污染源</w:t>
                  </w:r>
                </w:p>
              </w:tc>
              <w:tc>
                <w:tcPr>
                  <w:tcW w:w="2332" w:type="pct"/>
                  <w:vAlign w:val="center"/>
                </w:tcPr>
                <w:p>
                  <w:pPr>
                    <w:jc w:val="center"/>
                    <w:rPr>
                      <w:rFonts w:ascii="Times New Roman" w:hAnsi="Times New Roman" w:eastAsia="宋体"/>
                      <w:color w:val="auto"/>
                      <w:szCs w:val="21"/>
                    </w:rPr>
                  </w:pPr>
                  <w:r>
                    <w:rPr>
                      <w:rFonts w:ascii="Times New Roman" w:hAnsi="Times New Roman" w:eastAsia="宋体"/>
                      <w:color w:val="auto"/>
                      <w:szCs w:val="21"/>
                    </w:rPr>
                    <w:t>处理设施名称</w:t>
                  </w:r>
                </w:p>
              </w:tc>
              <w:tc>
                <w:tcPr>
                  <w:tcW w:w="1166" w:type="pct"/>
                  <w:vAlign w:val="center"/>
                </w:tcPr>
                <w:p>
                  <w:pPr>
                    <w:jc w:val="center"/>
                    <w:rPr>
                      <w:rFonts w:ascii="Times New Roman" w:hAnsi="Times New Roman" w:eastAsia="宋体"/>
                      <w:color w:val="auto"/>
                      <w:szCs w:val="21"/>
                    </w:rPr>
                  </w:pPr>
                  <w:r>
                    <w:rPr>
                      <w:rFonts w:ascii="Times New Roman" w:hAnsi="Times New Roman" w:eastAsia="宋体"/>
                      <w:color w:val="auto"/>
                      <w:szCs w:val="21"/>
                    </w:rPr>
                    <w:t>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6" w:type="pct"/>
                  <w:vMerge w:val="restart"/>
                  <w:vAlign w:val="center"/>
                </w:tcPr>
                <w:p>
                  <w:pPr>
                    <w:ind w:left="-105" w:leftChars="-50" w:right="-105" w:rightChars="-50"/>
                    <w:jc w:val="center"/>
                    <w:rPr>
                      <w:rFonts w:ascii="Times New Roman" w:hAnsi="Times New Roman" w:eastAsia="宋体"/>
                      <w:color w:val="auto"/>
                      <w:szCs w:val="21"/>
                    </w:rPr>
                  </w:pPr>
                  <w:r>
                    <w:rPr>
                      <w:rFonts w:ascii="Times New Roman" w:hAnsi="Times New Roman" w:eastAsia="宋体"/>
                      <w:color w:val="auto"/>
                      <w:szCs w:val="21"/>
                    </w:rPr>
                    <w:t>营运期</w:t>
                  </w:r>
                </w:p>
              </w:tc>
              <w:tc>
                <w:tcPr>
                  <w:tcW w:w="924" w:type="pct"/>
                  <w:vAlign w:val="center"/>
                </w:tcPr>
                <w:p>
                  <w:pPr>
                    <w:spacing w:line="240" w:lineRule="atLeast"/>
                    <w:jc w:val="center"/>
                    <w:rPr>
                      <w:rFonts w:ascii="Times New Roman" w:hAnsi="Times New Roman" w:eastAsia="宋体"/>
                      <w:color w:val="auto"/>
                      <w:szCs w:val="21"/>
                    </w:rPr>
                  </w:pPr>
                  <w:r>
                    <w:rPr>
                      <w:rFonts w:ascii="Times New Roman" w:hAnsi="Times New Roman" w:eastAsia="宋体"/>
                      <w:color w:val="auto"/>
                      <w:szCs w:val="21"/>
                      <w:lang w:eastAsia="en-US"/>
                    </w:rPr>
                    <w:t>废气</w:t>
                  </w:r>
                  <w:r>
                    <w:rPr>
                      <w:rFonts w:ascii="Times New Roman" w:hAnsi="Times New Roman" w:eastAsia="宋体"/>
                      <w:color w:val="auto"/>
                      <w:szCs w:val="21"/>
                    </w:rPr>
                    <w:t>处理</w:t>
                  </w:r>
                </w:p>
              </w:tc>
              <w:tc>
                <w:tcPr>
                  <w:tcW w:w="2332" w:type="pct"/>
                  <w:vAlign w:val="center"/>
                </w:tcPr>
                <w:p>
                  <w:pPr>
                    <w:pStyle w:val="27"/>
                    <w:rPr>
                      <w:rFonts w:hint="default" w:ascii="Times New Roman" w:hAnsi="Times New Roman" w:eastAsia="宋体" w:cs="Times New Roman"/>
                      <w:color w:val="auto"/>
                      <w:szCs w:val="21"/>
                      <w:lang w:val="en-US"/>
                    </w:rPr>
                  </w:pPr>
                  <w:r>
                    <w:rPr>
                      <w:rFonts w:hint="eastAsia" w:ascii="Times New Roman" w:hAnsi="Times New Roman" w:eastAsia="宋体" w:cs="Times New Roman"/>
                      <w:color w:val="auto"/>
                      <w:szCs w:val="21"/>
                      <w:lang w:val="en-US" w:eastAsia="zh-CN"/>
                    </w:rPr>
                    <w:t>三磨废气采用脉冲式布袋除尘器+15m排气筒进行处置、喷锌废气</w:t>
                  </w:r>
                  <w:r>
                    <w:rPr>
                      <w:rFonts w:hint="eastAsia" w:ascii="Times New Roman" w:hAnsi="Times New Roman" w:eastAsia="宋体" w:cs="Times New Roman"/>
                      <w:color w:val="auto"/>
                      <w:szCs w:val="21"/>
                      <w:lang w:val="en-US" w:eastAsia="zh-CN"/>
                    </w:rPr>
                    <w:t>采用脉冲式布袋除尘器+15m排气筒进行处置、喷涂废气采用过滤棉+两级活性炭装置+15m排气筒进行处置</w:t>
                  </w:r>
                </w:p>
              </w:tc>
              <w:tc>
                <w:tcPr>
                  <w:tcW w:w="1166" w:type="pct"/>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6" w:type="pct"/>
                  <w:vMerge w:val="continue"/>
                  <w:vAlign w:val="center"/>
                </w:tcPr>
                <w:p>
                  <w:pPr>
                    <w:ind w:left="-105" w:leftChars="-50" w:right="-105" w:rightChars="-50"/>
                    <w:jc w:val="center"/>
                    <w:rPr>
                      <w:rFonts w:ascii="Times New Roman" w:hAnsi="Times New Roman" w:eastAsia="宋体"/>
                      <w:color w:val="auto"/>
                      <w:szCs w:val="21"/>
                    </w:rPr>
                  </w:pPr>
                </w:p>
              </w:tc>
              <w:tc>
                <w:tcPr>
                  <w:tcW w:w="924" w:type="pct"/>
                  <w:vAlign w:val="center"/>
                </w:tcPr>
                <w:p>
                  <w:pPr>
                    <w:spacing w:line="240" w:lineRule="atLeast"/>
                    <w:jc w:val="center"/>
                    <w:rPr>
                      <w:rFonts w:ascii="Times New Roman" w:hAnsi="Times New Roman" w:eastAsia="宋体"/>
                      <w:color w:val="auto"/>
                      <w:szCs w:val="21"/>
                    </w:rPr>
                  </w:pPr>
                  <w:r>
                    <w:rPr>
                      <w:rFonts w:hint="eastAsia" w:ascii="Times New Roman" w:hAnsi="Times New Roman" w:eastAsia="宋体"/>
                      <w:color w:val="auto"/>
                      <w:szCs w:val="21"/>
                    </w:rPr>
                    <w:t>噪声治理</w:t>
                  </w:r>
                </w:p>
              </w:tc>
              <w:tc>
                <w:tcPr>
                  <w:tcW w:w="2332" w:type="pct"/>
                  <w:vAlign w:val="center"/>
                </w:tcPr>
                <w:p>
                  <w:pPr>
                    <w:pStyle w:val="27"/>
                    <w:rPr>
                      <w:rFonts w:ascii="Times New Roman" w:hAnsi="Times New Roman" w:eastAsia="宋体" w:cs="Times New Roman"/>
                      <w:color w:val="auto"/>
                      <w:szCs w:val="21"/>
                    </w:rPr>
                  </w:pPr>
                  <w:r>
                    <w:rPr>
                      <w:rFonts w:ascii="Times New Roman" w:hAnsi="Times New Roman" w:eastAsia="宋体" w:cs="Times New Roman"/>
                      <w:color w:val="auto"/>
                      <w:szCs w:val="21"/>
                    </w:rPr>
                    <w:t>优选低噪设备；设隔声、减震基座等</w:t>
                  </w:r>
                </w:p>
              </w:tc>
              <w:tc>
                <w:tcPr>
                  <w:tcW w:w="1166" w:type="pct"/>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76" w:type="pct"/>
                  <w:vMerge w:val="continue"/>
                  <w:vAlign w:val="center"/>
                </w:tcPr>
                <w:p>
                  <w:pPr>
                    <w:ind w:left="-105" w:leftChars="-50" w:right="-105" w:rightChars="-50"/>
                    <w:jc w:val="center"/>
                    <w:rPr>
                      <w:rFonts w:ascii="Times New Roman" w:hAnsi="Times New Roman" w:eastAsia="宋体"/>
                      <w:color w:val="auto"/>
                      <w:szCs w:val="21"/>
                    </w:rPr>
                  </w:pPr>
                </w:p>
              </w:tc>
              <w:tc>
                <w:tcPr>
                  <w:tcW w:w="924" w:type="pct"/>
                  <w:vAlign w:val="center"/>
                </w:tcPr>
                <w:p>
                  <w:pPr>
                    <w:spacing w:line="240" w:lineRule="atLeast"/>
                    <w:jc w:val="center"/>
                    <w:rPr>
                      <w:rFonts w:ascii="Times New Roman" w:hAnsi="Times New Roman" w:eastAsia="宋体"/>
                      <w:color w:val="auto"/>
                      <w:szCs w:val="21"/>
                    </w:rPr>
                  </w:pPr>
                  <w:r>
                    <w:rPr>
                      <w:rFonts w:hint="eastAsia" w:ascii="Times New Roman" w:hAnsi="Times New Roman" w:eastAsia="宋体"/>
                      <w:color w:val="auto"/>
                      <w:szCs w:val="21"/>
                    </w:rPr>
                    <w:t>固废治理</w:t>
                  </w:r>
                </w:p>
              </w:tc>
              <w:tc>
                <w:tcPr>
                  <w:tcW w:w="2332" w:type="pct"/>
                  <w:vAlign w:val="center"/>
                </w:tcPr>
                <w:p>
                  <w:pPr>
                    <w:pStyle w:val="27"/>
                    <w:jc w:val="both"/>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不合格铸管、铸管边角料回炉熔炼，铁屑作高炉炼铁原料使用，含铁除尘灰作烧结原料使用。</w:t>
                  </w:r>
                </w:p>
                <w:p>
                  <w:pPr>
                    <w:pStyle w:val="27"/>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喷锌除尘灰、废油漆桶交由有资质单位处置，铝粉漆渣作腻子使用、其它漆渣交危废处置单位处置，废活性炭作炼铁燃料使用。</w:t>
                  </w:r>
                </w:p>
                <w:p>
                  <w:pPr>
                    <w:pStyle w:val="27"/>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生活垃圾由环卫部门定时清运。</w:t>
                  </w:r>
                </w:p>
              </w:tc>
              <w:tc>
                <w:tcPr>
                  <w:tcW w:w="1166" w:type="pct"/>
                  <w:vAlign w:val="center"/>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833" w:type="pct"/>
                  <w:gridSpan w:val="3"/>
                  <w:vAlign w:val="center"/>
                </w:tcPr>
                <w:p>
                  <w:pPr>
                    <w:jc w:val="center"/>
                    <w:rPr>
                      <w:rFonts w:ascii="Times New Roman" w:hAnsi="Times New Roman" w:eastAsia="宋体"/>
                      <w:color w:val="auto"/>
                      <w:szCs w:val="21"/>
                    </w:rPr>
                  </w:pPr>
                  <w:r>
                    <w:rPr>
                      <w:rFonts w:ascii="Times New Roman" w:hAnsi="Times New Roman" w:eastAsia="宋体"/>
                      <w:color w:val="auto"/>
                      <w:szCs w:val="21"/>
                    </w:rPr>
                    <w:t>合计</w:t>
                  </w:r>
                </w:p>
              </w:tc>
              <w:tc>
                <w:tcPr>
                  <w:tcW w:w="1166" w:type="pct"/>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155</w:t>
                  </w:r>
                </w:p>
              </w:tc>
            </w:tr>
          </w:tbl>
          <w:p>
            <w:pPr>
              <w:spacing w:line="360" w:lineRule="auto"/>
              <w:ind w:firstLine="480" w:firstLineChars="200"/>
              <w:rPr>
                <w:rFonts w:ascii="Times New Roman" w:hAnsi="Times New Roman" w:eastAsia="宋体"/>
                <w:bCs/>
                <w:color w:val="auto"/>
                <w:sz w:val="24"/>
              </w:rPr>
            </w:pPr>
            <w:r>
              <w:rPr>
                <w:rFonts w:hint="eastAsia" w:ascii="Times New Roman" w:hAnsi="Times New Roman" w:eastAsia="宋体"/>
                <w:bCs/>
                <w:color w:val="auto"/>
                <w:sz w:val="24"/>
                <w:lang w:val="en-US" w:eastAsia="zh-CN"/>
              </w:rPr>
              <w:t>九</w:t>
            </w:r>
            <w:r>
              <w:rPr>
                <w:rFonts w:ascii="Times New Roman" w:hAnsi="Times New Roman" w:eastAsia="宋体"/>
                <w:bCs/>
                <w:color w:val="auto"/>
                <w:sz w:val="24"/>
              </w:rPr>
              <w:t>、“三同时”验收</w:t>
            </w:r>
          </w:p>
          <w:p>
            <w:pPr>
              <w:spacing w:line="360" w:lineRule="auto"/>
              <w:ind w:firstLine="480" w:firstLineChars="200"/>
              <w:rPr>
                <w:rFonts w:ascii="Times New Roman" w:hAnsi="Times New Roman" w:eastAsia="宋体"/>
                <w:b/>
                <w:bCs/>
                <w:color w:val="auto"/>
                <w:sz w:val="24"/>
              </w:rPr>
            </w:pPr>
            <w:r>
              <w:rPr>
                <w:rFonts w:ascii="Times New Roman" w:hAnsi="Times New Roman" w:eastAsia="宋体"/>
                <w:color w:val="auto"/>
                <w:sz w:val="24"/>
              </w:rPr>
              <w:t>拟建项目所有环保设施均应执行“三同时”制度，具体验收内容见表。</w:t>
            </w:r>
          </w:p>
          <w:p>
            <w:pPr>
              <w:pStyle w:val="21"/>
              <w:spacing w:after="0" w:line="360" w:lineRule="auto"/>
              <w:ind w:firstLine="241"/>
              <w:jc w:val="center"/>
              <w:rPr>
                <w:rFonts w:ascii="Times New Roman" w:hAnsi="Times New Roman" w:eastAsia="宋体"/>
                <w:b/>
                <w:bCs/>
                <w:color w:val="auto"/>
                <w:sz w:val="24"/>
              </w:rPr>
            </w:pPr>
            <w:r>
              <w:rPr>
                <w:rFonts w:ascii="Times New Roman" w:hAnsi="Times New Roman" w:eastAsia="宋体"/>
                <w:b/>
                <w:bCs/>
                <w:color w:val="auto"/>
                <w:sz w:val="24"/>
              </w:rPr>
              <w:t>表7-</w:t>
            </w:r>
            <w:r>
              <w:rPr>
                <w:rFonts w:hint="eastAsia" w:ascii="Times New Roman" w:hAnsi="Times New Roman" w:eastAsia="宋体"/>
                <w:b/>
                <w:bCs/>
                <w:color w:val="auto"/>
                <w:sz w:val="24"/>
              </w:rPr>
              <w:t>1</w:t>
            </w:r>
            <w:r>
              <w:rPr>
                <w:rFonts w:hint="eastAsia" w:ascii="Times New Roman" w:hAnsi="Times New Roman" w:eastAsia="宋体"/>
                <w:b/>
                <w:bCs/>
                <w:color w:val="auto"/>
                <w:sz w:val="24"/>
                <w:lang w:val="en-US" w:eastAsia="zh-CN"/>
              </w:rPr>
              <w:t>5</w:t>
            </w:r>
            <w:bookmarkStart w:id="95" w:name="_GoBack"/>
            <w:bookmarkEnd w:id="95"/>
            <w:r>
              <w:rPr>
                <w:rFonts w:ascii="Times New Roman" w:hAnsi="Times New Roman" w:eastAsia="宋体"/>
                <w:b/>
                <w:bCs/>
                <w:color w:val="auto"/>
                <w:sz w:val="24"/>
              </w:rPr>
              <w:t xml:space="preserve">  环保措施“三同时”验收一览表</w:t>
            </w:r>
          </w:p>
          <w:tbl>
            <w:tblPr>
              <w:tblStyle w:val="22"/>
              <w:tblW w:w="8857" w:type="dxa"/>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487"/>
              <w:gridCol w:w="738"/>
              <w:gridCol w:w="1195"/>
              <w:gridCol w:w="3587"/>
              <w:gridCol w:w="2850"/>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tcMar>
                    <w:left w:w="34" w:type="dxa"/>
                    <w:right w:w="34" w:type="dxa"/>
                  </w:tcMar>
                  <w:vAlign w:val="center"/>
                </w:tcPr>
                <w:p>
                  <w:pPr>
                    <w:jc w:val="center"/>
                    <w:rPr>
                      <w:rFonts w:ascii="Times New Roman" w:hAnsi="Times New Roman" w:eastAsia="宋体"/>
                      <w:color w:val="auto"/>
                      <w:szCs w:val="21"/>
                    </w:rPr>
                  </w:pPr>
                  <w:r>
                    <w:rPr>
                      <w:rFonts w:ascii="Times New Roman" w:hAnsi="Times New Roman" w:eastAsia="宋体"/>
                      <w:color w:val="auto"/>
                      <w:szCs w:val="21"/>
                    </w:rPr>
                    <w:t>项目</w:t>
                  </w:r>
                </w:p>
              </w:tc>
              <w:tc>
                <w:tcPr>
                  <w:tcW w:w="738" w:type="dxa"/>
                  <w:tcMar>
                    <w:left w:w="34" w:type="dxa"/>
                    <w:right w:w="34" w:type="dxa"/>
                  </w:tcMar>
                  <w:vAlign w:val="center"/>
                </w:tcPr>
                <w:p>
                  <w:pPr>
                    <w:jc w:val="center"/>
                    <w:rPr>
                      <w:rFonts w:ascii="Times New Roman" w:hAnsi="Times New Roman" w:eastAsia="宋体"/>
                      <w:color w:val="auto"/>
                      <w:szCs w:val="21"/>
                    </w:rPr>
                  </w:pPr>
                  <w:r>
                    <w:rPr>
                      <w:rFonts w:ascii="Times New Roman" w:hAnsi="Times New Roman" w:eastAsia="宋体"/>
                      <w:color w:val="auto"/>
                      <w:szCs w:val="21"/>
                    </w:rPr>
                    <w:t>污染源分类</w:t>
                  </w:r>
                </w:p>
              </w:tc>
              <w:tc>
                <w:tcPr>
                  <w:tcW w:w="1195" w:type="dxa"/>
                  <w:tcMar>
                    <w:left w:w="34" w:type="dxa"/>
                    <w:right w:w="34" w:type="dxa"/>
                  </w:tcMar>
                  <w:vAlign w:val="center"/>
                </w:tcPr>
                <w:p>
                  <w:pPr>
                    <w:jc w:val="center"/>
                    <w:rPr>
                      <w:rFonts w:ascii="Times New Roman" w:hAnsi="Times New Roman" w:eastAsia="宋体"/>
                      <w:color w:val="auto"/>
                      <w:szCs w:val="21"/>
                    </w:rPr>
                  </w:pPr>
                  <w:r>
                    <w:rPr>
                      <w:rFonts w:ascii="Times New Roman" w:hAnsi="Times New Roman" w:eastAsia="宋体"/>
                      <w:color w:val="auto"/>
                      <w:szCs w:val="21"/>
                    </w:rPr>
                    <w:t>污染防治对象</w:t>
                  </w:r>
                </w:p>
              </w:tc>
              <w:tc>
                <w:tcPr>
                  <w:tcW w:w="3587" w:type="dxa"/>
                  <w:tcMar>
                    <w:left w:w="34" w:type="dxa"/>
                    <w:right w:w="34" w:type="dxa"/>
                  </w:tcMar>
                  <w:vAlign w:val="center"/>
                </w:tcPr>
                <w:p>
                  <w:pPr>
                    <w:jc w:val="center"/>
                    <w:rPr>
                      <w:rFonts w:ascii="Times New Roman" w:hAnsi="Times New Roman" w:eastAsia="宋体"/>
                      <w:color w:val="auto"/>
                      <w:szCs w:val="21"/>
                    </w:rPr>
                  </w:pPr>
                  <w:r>
                    <w:rPr>
                      <w:rFonts w:ascii="Times New Roman" w:hAnsi="Times New Roman" w:eastAsia="宋体"/>
                      <w:color w:val="auto"/>
                      <w:szCs w:val="21"/>
                    </w:rPr>
                    <w:t>主要工程内容</w:t>
                  </w:r>
                </w:p>
              </w:tc>
              <w:tc>
                <w:tcPr>
                  <w:tcW w:w="2850" w:type="dxa"/>
                  <w:tcMar>
                    <w:left w:w="34" w:type="dxa"/>
                    <w:right w:w="34" w:type="dxa"/>
                  </w:tcMar>
                  <w:vAlign w:val="center"/>
                </w:tcPr>
                <w:p>
                  <w:pPr>
                    <w:jc w:val="center"/>
                    <w:rPr>
                      <w:rFonts w:ascii="Times New Roman" w:hAnsi="Times New Roman" w:eastAsia="宋体"/>
                      <w:color w:val="auto"/>
                      <w:szCs w:val="21"/>
                    </w:rPr>
                  </w:pPr>
                  <w:r>
                    <w:rPr>
                      <w:rFonts w:ascii="Times New Roman" w:hAnsi="Times New Roman" w:eastAsia="宋体"/>
                      <w:color w:val="auto"/>
                      <w:szCs w:val="21"/>
                    </w:rPr>
                    <w:t>预期效果</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restart"/>
                  <w:tcMar>
                    <w:left w:w="34" w:type="dxa"/>
                    <w:right w:w="34" w:type="dxa"/>
                  </w:tcMar>
                  <w:textDirection w:val="tbRlV"/>
                  <w:vAlign w:val="center"/>
                </w:tcPr>
                <w:p>
                  <w:pPr>
                    <w:jc w:val="center"/>
                    <w:rPr>
                      <w:rFonts w:ascii="Times New Roman" w:hAnsi="Times New Roman" w:eastAsia="宋体"/>
                      <w:color w:val="auto"/>
                      <w:szCs w:val="21"/>
                    </w:rPr>
                  </w:pPr>
                  <w:r>
                    <w:rPr>
                      <w:rFonts w:ascii="Times New Roman" w:hAnsi="Times New Roman" w:eastAsia="宋体"/>
                      <w:color w:val="auto"/>
                      <w:szCs w:val="21"/>
                    </w:rPr>
                    <w:t>营运期</w:t>
                  </w:r>
                </w:p>
              </w:tc>
              <w:tc>
                <w:tcPr>
                  <w:tcW w:w="738" w:type="dxa"/>
                  <w:vMerge w:val="restart"/>
                  <w:tcMar>
                    <w:left w:w="34" w:type="dxa"/>
                    <w:right w:w="34" w:type="dxa"/>
                  </w:tcMar>
                  <w:vAlign w:val="center"/>
                </w:tcPr>
                <w:p>
                  <w:pPr>
                    <w:jc w:val="center"/>
                    <w:rPr>
                      <w:rFonts w:ascii="Times New Roman" w:hAnsi="Times New Roman" w:eastAsia="宋体"/>
                      <w:color w:val="auto"/>
                      <w:szCs w:val="21"/>
                    </w:rPr>
                  </w:pPr>
                  <w:r>
                    <w:rPr>
                      <w:rFonts w:ascii="Times New Roman" w:hAnsi="Times New Roman" w:eastAsia="宋体"/>
                      <w:color w:val="auto"/>
                      <w:szCs w:val="21"/>
                    </w:rPr>
                    <w:t>大气</w:t>
                  </w:r>
                </w:p>
                <w:p>
                  <w:pPr>
                    <w:jc w:val="center"/>
                    <w:rPr>
                      <w:rFonts w:ascii="Times New Roman" w:hAnsi="Times New Roman" w:eastAsia="宋体"/>
                      <w:color w:val="auto"/>
                      <w:szCs w:val="21"/>
                    </w:rPr>
                  </w:pPr>
                  <w:r>
                    <w:rPr>
                      <w:rFonts w:ascii="Times New Roman" w:hAnsi="Times New Roman" w:eastAsia="宋体"/>
                      <w:color w:val="auto"/>
                      <w:szCs w:val="21"/>
                    </w:rPr>
                    <w:t>污染源</w:t>
                  </w:r>
                </w:p>
              </w:tc>
              <w:tc>
                <w:tcPr>
                  <w:tcW w:w="1195" w:type="dxa"/>
                  <w:tcMar>
                    <w:left w:w="34" w:type="dxa"/>
                    <w:right w:w="34" w:type="dxa"/>
                  </w:tcMar>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颗粒物</w:t>
                  </w:r>
                </w:p>
              </w:tc>
              <w:tc>
                <w:tcPr>
                  <w:tcW w:w="3587" w:type="dxa"/>
                  <w:tcMar>
                    <w:left w:w="34" w:type="dxa"/>
                    <w:right w:w="34" w:type="dxa"/>
                  </w:tcMar>
                  <w:vAlign w:val="center"/>
                </w:tcPr>
                <w:p>
                  <w:pPr>
                    <w:pStyle w:val="27"/>
                    <w:rPr>
                      <w:rFonts w:ascii="Times New Roman" w:hAnsi="Times New Roman" w:eastAsia="宋体"/>
                      <w:color w:val="auto"/>
                      <w:szCs w:val="21"/>
                    </w:rPr>
                  </w:pPr>
                  <w:r>
                    <w:rPr>
                      <w:rFonts w:hint="eastAsia" w:ascii="Times New Roman" w:hAnsi="Times New Roman" w:eastAsia="宋体" w:cs="Times New Roman"/>
                      <w:color w:val="auto"/>
                      <w:szCs w:val="21"/>
                      <w:lang w:val="en-US" w:eastAsia="zh-CN"/>
                    </w:rPr>
                    <w:t>三磨粉尘配套一套脉冲布袋除尘收集处理后通过一根不低于15m排气筒排放</w:t>
                  </w:r>
                </w:p>
              </w:tc>
              <w:tc>
                <w:tcPr>
                  <w:tcW w:w="2850" w:type="dxa"/>
                  <w:vMerge w:val="restart"/>
                  <w:tcMar>
                    <w:left w:w="34" w:type="dxa"/>
                    <w:right w:w="34" w:type="dxa"/>
                  </w:tcMar>
                  <w:vAlign w:val="center"/>
                </w:tcPr>
                <w:p>
                  <w:pPr>
                    <w:jc w:val="center"/>
                    <w:rPr>
                      <w:rFonts w:hint="eastAsia" w:ascii="Times New Roman" w:hAnsi="Times New Roman" w:eastAsia="宋体"/>
                      <w:color w:val="auto"/>
                      <w:szCs w:val="21"/>
                      <w:lang w:eastAsia="zh-CN"/>
                    </w:rPr>
                  </w:pPr>
                  <w:r>
                    <w:rPr>
                      <w:rFonts w:hint="eastAsia" w:ascii="Times New Roman" w:hAnsi="Times New Roman" w:eastAsia="宋体"/>
                      <w:color w:val="auto"/>
                      <w:szCs w:val="21"/>
                      <w:highlight w:val="none"/>
                      <w:lang w:eastAsia="zh-CN"/>
                    </w:rPr>
                    <w:t>上海市《大气污染物综合排放标准》（DB31/933—2015）表1中的大气污染物项目排放限值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tcBorders/>
                  <w:tcMar>
                    <w:left w:w="34" w:type="dxa"/>
                    <w:right w:w="34" w:type="dxa"/>
                  </w:tcMar>
                  <w:textDirection w:val="tbRlV"/>
                  <w:vAlign w:val="center"/>
                </w:tcPr>
                <w:p>
                  <w:pPr>
                    <w:jc w:val="center"/>
                    <w:rPr>
                      <w:rFonts w:ascii="Times New Roman" w:hAnsi="Times New Roman" w:eastAsia="宋体"/>
                      <w:color w:val="auto"/>
                      <w:szCs w:val="21"/>
                    </w:rPr>
                  </w:pPr>
                </w:p>
              </w:tc>
              <w:tc>
                <w:tcPr>
                  <w:tcW w:w="738" w:type="dxa"/>
                  <w:vMerge w:val="continue"/>
                  <w:tcBorders/>
                  <w:tcMar>
                    <w:left w:w="34" w:type="dxa"/>
                    <w:right w:w="34" w:type="dxa"/>
                  </w:tcMar>
                  <w:vAlign w:val="center"/>
                </w:tcPr>
                <w:p>
                  <w:pPr>
                    <w:jc w:val="center"/>
                    <w:rPr>
                      <w:rFonts w:ascii="Times New Roman" w:hAnsi="Times New Roman" w:eastAsia="宋体"/>
                      <w:color w:val="auto"/>
                      <w:szCs w:val="21"/>
                    </w:rPr>
                  </w:pPr>
                </w:p>
              </w:tc>
              <w:tc>
                <w:tcPr>
                  <w:tcW w:w="1195" w:type="dxa"/>
                  <w:tcMar>
                    <w:left w:w="34" w:type="dxa"/>
                    <w:right w:w="34" w:type="dxa"/>
                  </w:tcMar>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颗粒物</w:t>
                  </w:r>
                </w:p>
              </w:tc>
              <w:tc>
                <w:tcPr>
                  <w:tcW w:w="3587" w:type="dxa"/>
                  <w:tcMar>
                    <w:left w:w="34" w:type="dxa"/>
                    <w:right w:w="34" w:type="dxa"/>
                  </w:tcMar>
                  <w:vAlign w:val="center"/>
                </w:tcPr>
                <w:p>
                  <w:pPr>
                    <w:pStyle w:val="27"/>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喷锌粉尘配套一套脉冲布袋除尘收集处理后通过一根不低于15m排气筒排放</w:t>
                  </w:r>
                </w:p>
              </w:tc>
              <w:tc>
                <w:tcPr>
                  <w:tcW w:w="2850" w:type="dxa"/>
                  <w:vMerge w:val="continue"/>
                  <w:tcBorders/>
                  <w:tcMar>
                    <w:left w:w="34" w:type="dxa"/>
                    <w:right w:w="34" w:type="dxa"/>
                  </w:tcMar>
                  <w:vAlign w:val="center"/>
                </w:tcPr>
                <w:p>
                  <w:pPr>
                    <w:jc w:val="center"/>
                    <w:rPr>
                      <w:rFonts w:hint="eastAsia" w:ascii="Times New Roman" w:hAnsi="Times New Roman" w:eastAsia="宋体"/>
                      <w:color w:val="auto"/>
                      <w:szCs w:val="21"/>
                      <w:highlight w:val="none"/>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tcBorders/>
                  <w:tcMar>
                    <w:left w:w="34" w:type="dxa"/>
                    <w:right w:w="34" w:type="dxa"/>
                  </w:tcMar>
                  <w:textDirection w:val="tbRlV"/>
                  <w:vAlign w:val="center"/>
                </w:tcPr>
                <w:p>
                  <w:pPr>
                    <w:jc w:val="center"/>
                    <w:rPr>
                      <w:rFonts w:ascii="Times New Roman" w:hAnsi="Times New Roman" w:eastAsia="宋体"/>
                      <w:color w:val="auto"/>
                      <w:szCs w:val="21"/>
                    </w:rPr>
                  </w:pPr>
                </w:p>
              </w:tc>
              <w:tc>
                <w:tcPr>
                  <w:tcW w:w="738" w:type="dxa"/>
                  <w:vMerge w:val="continue"/>
                  <w:tcBorders/>
                  <w:tcMar>
                    <w:left w:w="34" w:type="dxa"/>
                    <w:right w:w="34" w:type="dxa"/>
                  </w:tcMar>
                  <w:vAlign w:val="center"/>
                </w:tcPr>
                <w:p>
                  <w:pPr>
                    <w:jc w:val="center"/>
                    <w:rPr>
                      <w:rFonts w:ascii="Times New Roman" w:hAnsi="Times New Roman" w:eastAsia="宋体"/>
                      <w:color w:val="auto"/>
                      <w:szCs w:val="21"/>
                    </w:rPr>
                  </w:pPr>
                </w:p>
              </w:tc>
              <w:tc>
                <w:tcPr>
                  <w:tcW w:w="1195" w:type="dxa"/>
                  <w:tcMar>
                    <w:left w:w="34" w:type="dxa"/>
                    <w:right w:w="34" w:type="dxa"/>
                  </w:tcMar>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非甲烷总烃</w:t>
                  </w:r>
                </w:p>
              </w:tc>
              <w:tc>
                <w:tcPr>
                  <w:tcW w:w="3587" w:type="dxa"/>
                  <w:tcMar>
                    <w:left w:w="34" w:type="dxa"/>
                    <w:right w:w="34" w:type="dxa"/>
                  </w:tcMar>
                  <w:vAlign w:val="center"/>
                </w:tcPr>
                <w:p>
                  <w:pPr>
                    <w:pStyle w:val="27"/>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喷涂废气配套有1套过滤棉过滤和2套活性炭吸附的喷涂废气净化装置处理后通过一根不低于15m排气筒排放</w:t>
                  </w:r>
                </w:p>
              </w:tc>
              <w:tc>
                <w:tcPr>
                  <w:tcW w:w="2850" w:type="dxa"/>
                  <w:tcMar>
                    <w:left w:w="34" w:type="dxa"/>
                    <w:right w:w="34" w:type="dxa"/>
                  </w:tcMar>
                  <w:vAlign w:val="center"/>
                </w:tcPr>
                <w:p>
                  <w:pPr>
                    <w:jc w:val="center"/>
                    <w:rPr>
                      <w:rFonts w:hint="eastAsia" w:ascii="Times New Roman" w:hAnsi="Times New Roman" w:eastAsia="宋体"/>
                      <w:color w:val="auto"/>
                      <w:szCs w:val="21"/>
                      <w:highlight w:val="none"/>
                    </w:rPr>
                  </w:pPr>
                  <w:r>
                    <w:rPr>
                      <w:rFonts w:hint="eastAsia" w:ascii="Times New Roman" w:hAnsi="Times New Roman" w:eastAsia="宋体"/>
                      <w:color w:val="auto"/>
                      <w:szCs w:val="21"/>
                      <w:highlight w:val="none"/>
                      <w:lang w:eastAsia="zh-CN"/>
                    </w:rPr>
                    <w:t>河北省《工业企业挥发性有机物排放控制标准》（DB13/2322-2016）其他行业中的排放限值、《挥发性有机物无组织排放控制标准》（GB37822-2019）附录A中的无组织特别排放限值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tcBorders/>
                  <w:tcMar>
                    <w:left w:w="34" w:type="dxa"/>
                    <w:right w:w="34" w:type="dxa"/>
                  </w:tcMar>
                  <w:textDirection w:val="tbRlV"/>
                  <w:vAlign w:val="center"/>
                </w:tcPr>
                <w:p>
                  <w:pPr>
                    <w:jc w:val="center"/>
                    <w:rPr>
                      <w:rFonts w:ascii="Times New Roman" w:hAnsi="Times New Roman" w:eastAsia="宋体"/>
                      <w:color w:val="auto"/>
                      <w:szCs w:val="21"/>
                    </w:rPr>
                  </w:pPr>
                </w:p>
              </w:tc>
              <w:tc>
                <w:tcPr>
                  <w:tcW w:w="738" w:type="dxa"/>
                  <w:tcMar>
                    <w:left w:w="34" w:type="dxa"/>
                    <w:right w:w="34" w:type="dxa"/>
                  </w:tcMar>
                  <w:vAlign w:val="center"/>
                </w:tcPr>
                <w:p>
                  <w:pPr>
                    <w:jc w:val="center"/>
                    <w:rPr>
                      <w:rFonts w:hint="eastAsia"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水污染源</w:t>
                  </w:r>
                </w:p>
              </w:tc>
              <w:tc>
                <w:tcPr>
                  <w:tcW w:w="1195" w:type="dxa"/>
                  <w:tcMar>
                    <w:left w:w="34" w:type="dxa"/>
                    <w:right w:w="34" w:type="dxa"/>
                  </w:tcMar>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生产废水</w:t>
                  </w:r>
                </w:p>
              </w:tc>
              <w:tc>
                <w:tcPr>
                  <w:tcW w:w="3587" w:type="dxa"/>
                  <w:tcMar>
                    <w:left w:w="34" w:type="dxa"/>
                    <w:right w:w="34" w:type="dxa"/>
                  </w:tcMar>
                  <w:vAlign w:val="center"/>
                </w:tcPr>
                <w:p>
                  <w:pPr>
                    <w:pStyle w:val="27"/>
                    <w:rPr>
                      <w:rFonts w:hint="default" w:ascii="Times New Roman" w:hAnsi="Times New Roman" w:eastAsia="宋体" w:cs="Times New Roman"/>
                      <w:color w:val="auto"/>
                      <w:szCs w:val="21"/>
                      <w:lang w:val="en-US" w:eastAsia="zh-CN"/>
                    </w:rPr>
                  </w:pPr>
                  <w:r>
                    <w:rPr>
                      <w:rFonts w:hint="default" w:ascii="Times New Roman" w:hAnsi="Times New Roman" w:eastAsia="宋体" w:cs="Times New Roman"/>
                      <w:color w:val="auto"/>
                      <w:szCs w:val="21"/>
                      <w:lang w:val="en-US" w:eastAsia="zh-CN"/>
                    </w:rPr>
                    <w:t>水泥涂衬和水泥内磨产生的废水泥浆采用泥浆处理系统进行处理</w:t>
                  </w:r>
                </w:p>
              </w:tc>
              <w:tc>
                <w:tcPr>
                  <w:tcW w:w="2850" w:type="dxa"/>
                  <w:tcMar>
                    <w:left w:w="34" w:type="dxa"/>
                    <w:right w:w="34" w:type="dxa"/>
                  </w:tcMar>
                  <w:vAlign w:val="center"/>
                </w:tcPr>
                <w:p>
                  <w:pPr>
                    <w:jc w:val="center"/>
                    <w:rPr>
                      <w:rFonts w:hint="eastAsia" w:ascii="Times New Roman" w:hAnsi="Times New Roman" w:eastAsia="宋体"/>
                      <w:color w:val="auto"/>
                      <w:szCs w:val="21"/>
                      <w:highlight w:val="none"/>
                      <w:lang w:val="en-US" w:eastAsia="zh-CN"/>
                    </w:rPr>
                  </w:pPr>
                  <w:r>
                    <w:rPr>
                      <w:rFonts w:hint="eastAsia" w:ascii="Times New Roman" w:hAnsi="Times New Roman" w:eastAsia="宋体"/>
                      <w:color w:val="auto"/>
                      <w:szCs w:val="21"/>
                      <w:highlight w:val="none"/>
                      <w:lang w:val="en-US" w:eastAsia="zh-CN"/>
                    </w:rPr>
                    <w:t>不外排</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tcBorders/>
                  <w:tcMar>
                    <w:left w:w="34" w:type="dxa"/>
                    <w:right w:w="34" w:type="dxa"/>
                  </w:tcMar>
                  <w:vAlign w:val="center"/>
                </w:tcPr>
                <w:p>
                  <w:pPr>
                    <w:jc w:val="center"/>
                    <w:rPr>
                      <w:rFonts w:ascii="Times New Roman" w:hAnsi="Times New Roman" w:eastAsia="宋体"/>
                      <w:color w:val="auto"/>
                      <w:szCs w:val="21"/>
                    </w:rPr>
                  </w:pPr>
                </w:p>
              </w:tc>
              <w:tc>
                <w:tcPr>
                  <w:tcW w:w="738" w:type="dxa"/>
                  <w:tcMar>
                    <w:left w:w="34" w:type="dxa"/>
                    <w:right w:w="34" w:type="dxa"/>
                  </w:tcMar>
                  <w:vAlign w:val="center"/>
                </w:tcPr>
                <w:p>
                  <w:pPr>
                    <w:jc w:val="center"/>
                    <w:rPr>
                      <w:rFonts w:ascii="Times New Roman" w:hAnsi="Times New Roman" w:eastAsia="宋体"/>
                      <w:color w:val="000000" w:themeColor="text1"/>
                      <w:szCs w:val="21"/>
                      <w14:textFill>
                        <w14:solidFill>
                          <w14:schemeClr w14:val="tx1"/>
                        </w14:solidFill>
                      </w14:textFill>
                    </w:rPr>
                  </w:pPr>
                  <w:r>
                    <w:rPr>
                      <w:rFonts w:ascii="Times New Roman" w:hAnsi="Times New Roman" w:eastAsia="宋体"/>
                      <w:color w:val="000000" w:themeColor="text1"/>
                      <w:szCs w:val="21"/>
                      <w14:textFill>
                        <w14:solidFill>
                          <w14:schemeClr w14:val="tx1"/>
                        </w14:solidFill>
                      </w14:textFill>
                    </w:rPr>
                    <w:t>噪声</w:t>
                  </w:r>
                </w:p>
                <w:p>
                  <w:pPr>
                    <w:jc w:val="center"/>
                    <w:rPr>
                      <w:rFonts w:ascii="Times New Roman" w:hAnsi="Times New Roman" w:eastAsia="宋体"/>
                      <w:color w:val="000000" w:themeColor="text1"/>
                      <w:szCs w:val="21"/>
                      <w14:textFill>
                        <w14:solidFill>
                          <w14:schemeClr w14:val="tx1"/>
                        </w14:solidFill>
                      </w14:textFill>
                    </w:rPr>
                  </w:pPr>
                  <w:r>
                    <w:rPr>
                      <w:rFonts w:ascii="Times New Roman" w:hAnsi="Times New Roman" w:eastAsia="宋体"/>
                      <w:color w:val="000000" w:themeColor="text1"/>
                      <w:szCs w:val="21"/>
                      <w14:textFill>
                        <w14:solidFill>
                          <w14:schemeClr w14:val="tx1"/>
                        </w14:solidFill>
                      </w14:textFill>
                    </w:rPr>
                    <w:t>污染源</w:t>
                  </w:r>
                </w:p>
              </w:tc>
              <w:tc>
                <w:tcPr>
                  <w:tcW w:w="1195" w:type="dxa"/>
                  <w:tcMar>
                    <w:left w:w="34" w:type="dxa"/>
                    <w:right w:w="34" w:type="dxa"/>
                  </w:tcMar>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噪声</w:t>
                  </w:r>
                </w:p>
              </w:tc>
              <w:tc>
                <w:tcPr>
                  <w:tcW w:w="3587" w:type="dxa"/>
                  <w:tcMar>
                    <w:left w:w="34" w:type="dxa"/>
                    <w:right w:w="34" w:type="dxa"/>
                  </w:tcMar>
                  <w:vAlign w:val="center"/>
                </w:tcPr>
                <w:p>
                  <w:pPr>
                    <w:pStyle w:val="27"/>
                    <w:rPr>
                      <w:rFonts w:ascii="Times New Roman" w:hAnsi="Times New Roman" w:eastAsia="宋体"/>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优选低噪设备；设隔声、减震基座等</w:t>
                  </w:r>
                </w:p>
              </w:tc>
              <w:tc>
                <w:tcPr>
                  <w:tcW w:w="2850" w:type="dxa"/>
                  <w:tcMar>
                    <w:left w:w="34" w:type="dxa"/>
                    <w:right w:w="34" w:type="dxa"/>
                  </w:tcMar>
                  <w:vAlign w:val="center"/>
                </w:tcPr>
                <w:p>
                  <w:pPr>
                    <w:jc w:val="center"/>
                    <w:rPr>
                      <w:rFonts w:ascii="Times New Roman" w:hAnsi="Times New Roman" w:eastAsia="宋体"/>
                      <w:color w:val="auto"/>
                      <w:szCs w:val="21"/>
                    </w:rPr>
                  </w:pPr>
                  <w:r>
                    <w:rPr>
                      <w:rFonts w:ascii="Times New Roman" w:hAnsi="Times New Roman" w:eastAsia="宋体"/>
                      <w:color w:val="auto"/>
                      <w:szCs w:val="21"/>
                    </w:rPr>
                    <w:t>厂界噪声满足《工业企业厂界环境噪声排放标准》（GB12348-2008）中的3类区标准要求</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tcBorders/>
                  <w:tcMar>
                    <w:left w:w="34" w:type="dxa"/>
                    <w:right w:w="34" w:type="dxa"/>
                  </w:tcMar>
                  <w:vAlign w:val="center"/>
                </w:tcPr>
                <w:p>
                  <w:pPr>
                    <w:jc w:val="center"/>
                    <w:rPr>
                      <w:rFonts w:ascii="Times New Roman" w:hAnsi="Times New Roman" w:eastAsia="宋体"/>
                      <w:color w:val="auto"/>
                      <w:szCs w:val="21"/>
                    </w:rPr>
                  </w:pPr>
                </w:p>
              </w:tc>
              <w:tc>
                <w:tcPr>
                  <w:tcW w:w="738" w:type="dxa"/>
                  <w:vMerge w:val="restart"/>
                  <w:tcMar>
                    <w:left w:w="34" w:type="dxa"/>
                    <w:right w:w="34" w:type="dxa"/>
                  </w:tcMar>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固废</w:t>
                  </w:r>
                </w:p>
                <w:p>
                  <w:pPr>
                    <w:jc w:val="center"/>
                    <w:rPr>
                      <w:rFonts w:ascii="Times New Roman" w:hAnsi="Times New Roman" w:eastAsia="宋体"/>
                      <w:color w:val="000000" w:themeColor="text1"/>
                      <w:szCs w:val="21"/>
                      <w14:textFill>
                        <w14:solidFill>
                          <w14:schemeClr w14:val="tx1"/>
                        </w14:solidFill>
                      </w14:textFill>
                    </w:rPr>
                  </w:pPr>
                  <w:r>
                    <w:rPr>
                      <w:rFonts w:ascii="Times New Roman" w:hAnsi="Times New Roman" w:eastAsia="宋体"/>
                      <w:color w:val="000000" w:themeColor="text1"/>
                      <w:szCs w:val="21"/>
                      <w14:textFill>
                        <w14:solidFill>
                          <w14:schemeClr w14:val="tx1"/>
                        </w14:solidFill>
                      </w14:textFill>
                    </w:rPr>
                    <w:t>污染源</w:t>
                  </w:r>
                </w:p>
              </w:tc>
              <w:tc>
                <w:tcPr>
                  <w:tcW w:w="1195" w:type="dxa"/>
                  <w:tcMar>
                    <w:left w:w="34" w:type="dxa"/>
                    <w:right w:w="34" w:type="dxa"/>
                  </w:tcMar>
                  <w:vAlign w:val="center"/>
                </w:tcPr>
                <w:p>
                  <w:pPr>
                    <w:jc w:val="center"/>
                    <w:rPr>
                      <w:rFonts w:hint="eastAsia" w:ascii="Times New Roman" w:hAnsi="Times New Roman" w:eastAsia="宋体"/>
                      <w:color w:val="000000" w:themeColor="text1"/>
                      <w:szCs w:val="21"/>
                      <w:lang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不合格</w:t>
                  </w:r>
                  <w:r>
                    <w:rPr>
                      <w:rFonts w:hint="eastAsia" w:ascii="Times New Roman" w:hAnsi="Times New Roman" w:eastAsia="宋体"/>
                      <w:color w:val="000000" w:themeColor="text1"/>
                      <w:szCs w:val="21"/>
                      <w:lang w:val="en-US" w:eastAsia="zh-CN"/>
                      <w14:textFill>
                        <w14:solidFill>
                          <w14:schemeClr w14:val="tx1"/>
                        </w14:solidFill>
                      </w14:textFill>
                    </w:rPr>
                    <w:t>铸</w:t>
                  </w:r>
                  <w:r>
                    <w:rPr>
                      <w:rFonts w:hint="eastAsia" w:ascii="Times New Roman" w:hAnsi="Times New Roman" w:eastAsia="宋体"/>
                      <w:color w:val="000000" w:themeColor="text1"/>
                      <w:szCs w:val="21"/>
                      <w14:textFill>
                        <w14:solidFill>
                          <w14:schemeClr w14:val="tx1"/>
                        </w14:solidFill>
                      </w14:textFill>
                    </w:rPr>
                    <w:t>管</w:t>
                  </w:r>
                </w:p>
              </w:tc>
              <w:tc>
                <w:tcPr>
                  <w:tcW w:w="3587" w:type="dxa"/>
                  <w:tcMar>
                    <w:left w:w="34" w:type="dxa"/>
                    <w:right w:w="34" w:type="dxa"/>
                  </w:tcMar>
                  <w:vAlign w:val="center"/>
                </w:tcPr>
                <w:p>
                  <w:pPr>
                    <w:jc w:val="center"/>
                    <w:rPr>
                      <w:rFonts w:ascii="Times New Roman" w:hAnsi="Times New Roman" w:eastAsia="宋体"/>
                      <w:color w:val="000000" w:themeColor="text1"/>
                      <w:szCs w:val="21"/>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回炉熔炼</w:t>
                  </w:r>
                </w:p>
              </w:tc>
              <w:tc>
                <w:tcPr>
                  <w:tcW w:w="2850" w:type="dxa"/>
                  <w:vMerge w:val="restart"/>
                  <w:tcMar>
                    <w:left w:w="34" w:type="dxa"/>
                    <w:right w:w="34" w:type="dxa"/>
                  </w:tcMar>
                  <w:vAlign w:val="center"/>
                </w:tcPr>
                <w:p>
                  <w:pPr>
                    <w:jc w:val="center"/>
                    <w:rPr>
                      <w:rFonts w:hint="default" w:ascii="Times New Roman" w:hAnsi="Times New Roman" w:eastAsia="宋体"/>
                      <w:color w:val="auto"/>
                      <w:szCs w:val="21"/>
                      <w:lang w:val="en-US" w:eastAsia="zh-CN"/>
                    </w:rPr>
                  </w:pPr>
                  <w:r>
                    <w:rPr>
                      <w:rFonts w:hint="eastAsia" w:ascii="Times New Roman" w:hAnsi="Times New Roman" w:eastAsia="宋体"/>
                      <w:color w:val="auto"/>
                      <w:szCs w:val="21"/>
                      <w:lang w:val="en-US" w:eastAsia="zh-CN"/>
                    </w:rPr>
                    <w:t>/</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tcBorders/>
                  <w:tcMar>
                    <w:left w:w="34" w:type="dxa"/>
                    <w:right w:w="34" w:type="dxa"/>
                  </w:tcMar>
                  <w:vAlign w:val="center"/>
                </w:tcPr>
                <w:p>
                  <w:pPr>
                    <w:jc w:val="center"/>
                    <w:rPr>
                      <w:rFonts w:ascii="Times New Roman" w:hAnsi="Times New Roman" w:eastAsia="宋体"/>
                      <w:color w:val="auto"/>
                      <w:szCs w:val="21"/>
                    </w:rPr>
                  </w:pPr>
                </w:p>
              </w:tc>
              <w:tc>
                <w:tcPr>
                  <w:tcW w:w="738" w:type="dxa"/>
                  <w:vMerge w:val="continue"/>
                  <w:tcBorders/>
                  <w:tcMar>
                    <w:left w:w="34" w:type="dxa"/>
                    <w:right w:w="34" w:type="dxa"/>
                  </w:tcMar>
                  <w:vAlign w:val="center"/>
                </w:tcPr>
                <w:p>
                  <w:pPr>
                    <w:jc w:val="center"/>
                    <w:rPr>
                      <w:rFonts w:ascii="Times New Roman" w:hAnsi="Times New Roman" w:eastAsia="宋体"/>
                      <w:color w:val="000000" w:themeColor="text1"/>
                      <w:szCs w:val="21"/>
                      <w14:textFill>
                        <w14:solidFill>
                          <w14:schemeClr w14:val="tx1"/>
                        </w14:solidFill>
                      </w14:textFill>
                    </w:rPr>
                  </w:pPr>
                </w:p>
              </w:tc>
              <w:tc>
                <w:tcPr>
                  <w:tcW w:w="1195" w:type="dxa"/>
                  <w:tcMar>
                    <w:left w:w="34" w:type="dxa"/>
                    <w:right w:w="34" w:type="dxa"/>
                  </w:tcMar>
                  <w:vAlign w:val="center"/>
                </w:tcPr>
                <w:p>
                  <w:pPr>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铸管边角料</w:t>
                  </w:r>
                </w:p>
              </w:tc>
              <w:tc>
                <w:tcPr>
                  <w:tcW w:w="3587" w:type="dxa"/>
                  <w:tcMar>
                    <w:left w:w="34" w:type="dxa"/>
                    <w:right w:w="34" w:type="dxa"/>
                  </w:tcMar>
                  <w:vAlign w:val="center"/>
                </w:tcPr>
                <w:p>
                  <w:pPr>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回炉熔炼</w:t>
                  </w:r>
                </w:p>
              </w:tc>
              <w:tc>
                <w:tcPr>
                  <w:tcW w:w="2850" w:type="dxa"/>
                  <w:vMerge w:val="continue"/>
                  <w:tcBorders/>
                  <w:tcMar>
                    <w:left w:w="34" w:type="dxa"/>
                    <w:right w:w="34" w:type="dxa"/>
                  </w:tcMar>
                  <w:vAlign w:val="center"/>
                </w:tcPr>
                <w:p>
                  <w:pPr>
                    <w:jc w:val="center"/>
                    <w:rPr>
                      <w:rFonts w:hint="default" w:ascii="Times New Roman" w:hAnsi="Times New Roman" w:eastAsia="宋体"/>
                      <w:color w:val="auto"/>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tcBorders/>
                  <w:tcMar>
                    <w:left w:w="34" w:type="dxa"/>
                    <w:right w:w="34" w:type="dxa"/>
                  </w:tcMar>
                  <w:vAlign w:val="center"/>
                </w:tcPr>
                <w:p>
                  <w:pPr>
                    <w:jc w:val="center"/>
                    <w:rPr>
                      <w:rFonts w:ascii="Times New Roman" w:hAnsi="Times New Roman" w:eastAsia="宋体"/>
                      <w:color w:val="auto"/>
                      <w:szCs w:val="21"/>
                    </w:rPr>
                  </w:pPr>
                </w:p>
              </w:tc>
              <w:tc>
                <w:tcPr>
                  <w:tcW w:w="738" w:type="dxa"/>
                  <w:vMerge w:val="continue"/>
                  <w:tcBorders/>
                  <w:tcMar>
                    <w:left w:w="34" w:type="dxa"/>
                    <w:right w:w="34" w:type="dxa"/>
                  </w:tcMar>
                  <w:vAlign w:val="center"/>
                </w:tcPr>
                <w:p>
                  <w:pPr>
                    <w:jc w:val="center"/>
                    <w:rPr>
                      <w:rFonts w:ascii="Times New Roman" w:hAnsi="Times New Roman" w:eastAsia="宋体"/>
                      <w:color w:val="000000" w:themeColor="text1"/>
                      <w:szCs w:val="21"/>
                      <w14:textFill>
                        <w14:solidFill>
                          <w14:schemeClr w14:val="tx1"/>
                        </w14:solidFill>
                      </w14:textFill>
                    </w:rPr>
                  </w:pPr>
                </w:p>
              </w:tc>
              <w:tc>
                <w:tcPr>
                  <w:tcW w:w="1195" w:type="dxa"/>
                  <w:tcMar>
                    <w:left w:w="34" w:type="dxa"/>
                    <w:right w:w="34" w:type="dxa"/>
                  </w:tcMar>
                  <w:vAlign w:val="center"/>
                </w:tcPr>
                <w:p>
                  <w:pPr>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铁屑</w:t>
                  </w:r>
                </w:p>
              </w:tc>
              <w:tc>
                <w:tcPr>
                  <w:tcW w:w="3587" w:type="dxa"/>
                  <w:tcMar>
                    <w:left w:w="34" w:type="dxa"/>
                    <w:right w:w="34" w:type="dxa"/>
                  </w:tcMar>
                  <w:vAlign w:val="center"/>
                </w:tcPr>
                <w:p>
                  <w:pPr>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作高炉炼铁原料使用</w:t>
                  </w:r>
                </w:p>
              </w:tc>
              <w:tc>
                <w:tcPr>
                  <w:tcW w:w="2850" w:type="dxa"/>
                  <w:vMerge w:val="continue"/>
                  <w:tcBorders/>
                  <w:tcMar>
                    <w:left w:w="34" w:type="dxa"/>
                    <w:right w:w="34" w:type="dxa"/>
                  </w:tcMar>
                  <w:vAlign w:val="center"/>
                </w:tcPr>
                <w:p>
                  <w:pPr>
                    <w:jc w:val="center"/>
                    <w:rPr>
                      <w:rFonts w:hint="eastAsia" w:ascii="Times New Roman" w:hAnsi="Times New Roman" w:eastAsia="宋体"/>
                      <w:color w:val="auto"/>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tcBorders/>
                  <w:tcMar>
                    <w:left w:w="34" w:type="dxa"/>
                    <w:right w:w="34" w:type="dxa"/>
                  </w:tcMar>
                  <w:vAlign w:val="center"/>
                </w:tcPr>
                <w:p>
                  <w:pPr>
                    <w:jc w:val="center"/>
                    <w:rPr>
                      <w:rFonts w:ascii="Times New Roman" w:hAnsi="Times New Roman" w:eastAsia="宋体"/>
                      <w:color w:val="auto"/>
                      <w:szCs w:val="21"/>
                    </w:rPr>
                  </w:pPr>
                </w:p>
              </w:tc>
              <w:tc>
                <w:tcPr>
                  <w:tcW w:w="738" w:type="dxa"/>
                  <w:vMerge w:val="continue"/>
                  <w:tcBorders/>
                  <w:tcMar>
                    <w:left w:w="34" w:type="dxa"/>
                    <w:right w:w="34" w:type="dxa"/>
                  </w:tcMar>
                  <w:vAlign w:val="center"/>
                </w:tcPr>
                <w:p>
                  <w:pPr>
                    <w:jc w:val="center"/>
                    <w:rPr>
                      <w:rFonts w:ascii="Times New Roman" w:hAnsi="Times New Roman" w:eastAsia="宋体"/>
                      <w:color w:val="000000" w:themeColor="text1"/>
                      <w:szCs w:val="21"/>
                      <w14:textFill>
                        <w14:solidFill>
                          <w14:schemeClr w14:val="tx1"/>
                        </w14:solidFill>
                      </w14:textFill>
                    </w:rPr>
                  </w:pPr>
                </w:p>
              </w:tc>
              <w:tc>
                <w:tcPr>
                  <w:tcW w:w="1195" w:type="dxa"/>
                  <w:tcMar>
                    <w:left w:w="34" w:type="dxa"/>
                    <w:right w:w="34" w:type="dxa"/>
                  </w:tcMar>
                  <w:vAlign w:val="center"/>
                </w:tcPr>
                <w:p>
                  <w:pPr>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含铁除尘灰</w:t>
                  </w:r>
                </w:p>
              </w:tc>
              <w:tc>
                <w:tcPr>
                  <w:tcW w:w="3587" w:type="dxa"/>
                  <w:tcMar>
                    <w:left w:w="34" w:type="dxa"/>
                    <w:right w:w="34" w:type="dxa"/>
                  </w:tcMar>
                  <w:vAlign w:val="center"/>
                </w:tcPr>
                <w:p>
                  <w:pPr>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作烧结原料使用</w:t>
                  </w:r>
                </w:p>
              </w:tc>
              <w:tc>
                <w:tcPr>
                  <w:tcW w:w="2850" w:type="dxa"/>
                  <w:vMerge w:val="continue"/>
                  <w:tcBorders/>
                  <w:tcMar>
                    <w:left w:w="34" w:type="dxa"/>
                    <w:right w:w="34" w:type="dxa"/>
                  </w:tcMar>
                  <w:vAlign w:val="center"/>
                </w:tcPr>
                <w:p>
                  <w:pPr>
                    <w:jc w:val="center"/>
                    <w:rPr>
                      <w:rFonts w:hint="eastAsia" w:ascii="Times New Roman" w:hAnsi="Times New Roman" w:eastAsia="宋体"/>
                      <w:color w:val="auto"/>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tcBorders/>
                  <w:tcMar>
                    <w:left w:w="34" w:type="dxa"/>
                    <w:right w:w="34" w:type="dxa"/>
                  </w:tcMar>
                  <w:vAlign w:val="center"/>
                </w:tcPr>
                <w:p>
                  <w:pPr>
                    <w:jc w:val="center"/>
                    <w:rPr>
                      <w:rFonts w:ascii="Times New Roman" w:hAnsi="Times New Roman" w:eastAsia="宋体"/>
                      <w:color w:val="auto"/>
                      <w:szCs w:val="21"/>
                    </w:rPr>
                  </w:pPr>
                </w:p>
              </w:tc>
              <w:tc>
                <w:tcPr>
                  <w:tcW w:w="738" w:type="dxa"/>
                  <w:vMerge w:val="continue"/>
                  <w:tcBorders/>
                  <w:tcMar>
                    <w:left w:w="34" w:type="dxa"/>
                    <w:right w:w="34" w:type="dxa"/>
                  </w:tcMar>
                  <w:vAlign w:val="center"/>
                </w:tcPr>
                <w:p>
                  <w:pPr>
                    <w:jc w:val="center"/>
                    <w:rPr>
                      <w:rFonts w:ascii="Times New Roman" w:hAnsi="Times New Roman" w:eastAsia="宋体"/>
                      <w:color w:val="000000" w:themeColor="text1"/>
                      <w:szCs w:val="21"/>
                      <w14:textFill>
                        <w14:solidFill>
                          <w14:schemeClr w14:val="tx1"/>
                        </w14:solidFill>
                      </w14:textFill>
                    </w:rPr>
                  </w:pPr>
                </w:p>
              </w:tc>
              <w:tc>
                <w:tcPr>
                  <w:tcW w:w="1195" w:type="dxa"/>
                  <w:tcMar>
                    <w:left w:w="34" w:type="dxa"/>
                    <w:right w:w="34" w:type="dxa"/>
                  </w:tcMar>
                  <w:vAlign w:val="center"/>
                </w:tcPr>
                <w:p>
                  <w:pPr>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喷锌除尘灰</w:t>
                  </w:r>
                </w:p>
              </w:tc>
              <w:tc>
                <w:tcPr>
                  <w:tcW w:w="3587" w:type="dxa"/>
                  <w:tcMar>
                    <w:left w:w="34" w:type="dxa"/>
                    <w:right w:w="34" w:type="dxa"/>
                  </w:tcMar>
                  <w:vAlign w:val="center"/>
                </w:tcPr>
                <w:p>
                  <w:pPr>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交有资质单位处置</w:t>
                  </w:r>
                </w:p>
              </w:tc>
              <w:tc>
                <w:tcPr>
                  <w:tcW w:w="2850" w:type="dxa"/>
                  <w:vMerge w:val="continue"/>
                  <w:tcBorders/>
                  <w:tcMar>
                    <w:left w:w="34" w:type="dxa"/>
                    <w:right w:w="34" w:type="dxa"/>
                  </w:tcMar>
                  <w:vAlign w:val="center"/>
                </w:tcPr>
                <w:p>
                  <w:pPr>
                    <w:jc w:val="center"/>
                    <w:rPr>
                      <w:rFonts w:hint="eastAsia" w:ascii="Times New Roman" w:hAnsi="Times New Roman" w:eastAsia="宋体"/>
                      <w:color w:val="auto"/>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tcBorders/>
                  <w:tcMar>
                    <w:left w:w="34" w:type="dxa"/>
                    <w:right w:w="34" w:type="dxa"/>
                  </w:tcMar>
                  <w:vAlign w:val="center"/>
                </w:tcPr>
                <w:p>
                  <w:pPr>
                    <w:jc w:val="center"/>
                    <w:rPr>
                      <w:rFonts w:ascii="Times New Roman" w:hAnsi="Times New Roman" w:eastAsia="宋体"/>
                      <w:color w:val="auto"/>
                      <w:szCs w:val="21"/>
                    </w:rPr>
                  </w:pPr>
                </w:p>
              </w:tc>
              <w:tc>
                <w:tcPr>
                  <w:tcW w:w="738" w:type="dxa"/>
                  <w:vMerge w:val="continue"/>
                  <w:tcBorders/>
                  <w:tcMar>
                    <w:left w:w="34" w:type="dxa"/>
                    <w:right w:w="34" w:type="dxa"/>
                  </w:tcMar>
                  <w:vAlign w:val="center"/>
                </w:tcPr>
                <w:p>
                  <w:pPr>
                    <w:jc w:val="center"/>
                    <w:rPr>
                      <w:rFonts w:ascii="Times New Roman" w:hAnsi="Times New Roman" w:eastAsia="宋体"/>
                      <w:color w:val="000000" w:themeColor="text1"/>
                      <w:szCs w:val="21"/>
                      <w14:textFill>
                        <w14:solidFill>
                          <w14:schemeClr w14:val="tx1"/>
                        </w14:solidFill>
                      </w14:textFill>
                    </w:rPr>
                  </w:pPr>
                </w:p>
              </w:tc>
              <w:tc>
                <w:tcPr>
                  <w:tcW w:w="1195" w:type="dxa"/>
                  <w:tcMar>
                    <w:left w:w="34" w:type="dxa"/>
                    <w:right w:w="34" w:type="dxa"/>
                  </w:tcMar>
                  <w:vAlign w:val="center"/>
                </w:tcPr>
                <w:p>
                  <w:pPr>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涂料渣</w:t>
                  </w:r>
                </w:p>
              </w:tc>
              <w:tc>
                <w:tcPr>
                  <w:tcW w:w="3587" w:type="dxa"/>
                  <w:tcMar>
                    <w:left w:w="34" w:type="dxa"/>
                    <w:right w:w="34" w:type="dxa"/>
                  </w:tcMar>
                  <w:vAlign w:val="center"/>
                </w:tcPr>
                <w:p>
                  <w:pPr>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铝粉漆渣作腻子使用、其它漆渣交危废处置单位处置</w:t>
                  </w:r>
                </w:p>
              </w:tc>
              <w:tc>
                <w:tcPr>
                  <w:tcW w:w="2850" w:type="dxa"/>
                  <w:vMerge w:val="continue"/>
                  <w:tcBorders/>
                  <w:tcMar>
                    <w:left w:w="34" w:type="dxa"/>
                    <w:right w:w="34" w:type="dxa"/>
                  </w:tcMar>
                  <w:vAlign w:val="center"/>
                </w:tcPr>
                <w:p>
                  <w:pPr>
                    <w:jc w:val="center"/>
                    <w:rPr>
                      <w:rFonts w:hint="eastAsia" w:ascii="Times New Roman" w:hAnsi="Times New Roman" w:eastAsia="宋体"/>
                      <w:color w:val="auto"/>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tcBorders/>
                  <w:tcMar>
                    <w:left w:w="34" w:type="dxa"/>
                    <w:right w:w="34" w:type="dxa"/>
                  </w:tcMar>
                  <w:vAlign w:val="center"/>
                </w:tcPr>
                <w:p>
                  <w:pPr>
                    <w:jc w:val="center"/>
                    <w:rPr>
                      <w:rFonts w:ascii="Times New Roman" w:hAnsi="Times New Roman" w:eastAsia="宋体"/>
                      <w:color w:val="auto"/>
                      <w:szCs w:val="21"/>
                    </w:rPr>
                  </w:pPr>
                </w:p>
              </w:tc>
              <w:tc>
                <w:tcPr>
                  <w:tcW w:w="738" w:type="dxa"/>
                  <w:vMerge w:val="continue"/>
                  <w:tcBorders/>
                  <w:tcMar>
                    <w:left w:w="34" w:type="dxa"/>
                    <w:right w:w="34" w:type="dxa"/>
                  </w:tcMar>
                  <w:vAlign w:val="center"/>
                </w:tcPr>
                <w:p>
                  <w:pPr>
                    <w:jc w:val="center"/>
                    <w:rPr>
                      <w:rFonts w:ascii="Times New Roman" w:hAnsi="Times New Roman" w:eastAsia="宋体"/>
                      <w:color w:val="000000" w:themeColor="text1"/>
                      <w:szCs w:val="21"/>
                      <w14:textFill>
                        <w14:solidFill>
                          <w14:schemeClr w14:val="tx1"/>
                        </w14:solidFill>
                      </w14:textFill>
                    </w:rPr>
                  </w:pPr>
                </w:p>
              </w:tc>
              <w:tc>
                <w:tcPr>
                  <w:tcW w:w="1195" w:type="dxa"/>
                  <w:tcMar>
                    <w:left w:w="34" w:type="dxa"/>
                    <w:right w:w="34" w:type="dxa"/>
                  </w:tcMar>
                  <w:vAlign w:val="center"/>
                </w:tcPr>
                <w:p>
                  <w:pPr>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废油漆桶</w:t>
                  </w:r>
                </w:p>
              </w:tc>
              <w:tc>
                <w:tcPr>
                  <w:tcW w:w="3587" w:type="dxa"/>
                  <w:tcMar>
                    <w:left w:w="34" w:type="dxa"/>
                    <w:right w:w="34" w:type="dxa"/>
                  </w:tcMar>
                  <w:vAlign w:val="center"/>
                </w:tcPr>
                <w:p>
                  <w:pPr>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交有资质单位处置</w:t>
                  </w:r>
                </w:p>
              </w:tc>
              <w:tc>
                <w:tcPr>
                  <w:tcW w:w="2850" w:type="dxa"/>
                  <w:vMerge w:val="continue"/>
                  <w:tcBorders/>
                  <w:tcMar>
                    <w:left w:w="34" w:type="dxa"/>
                    <w:right w:w="34" w:type="dxa"/>
                  </w:tcMar>
                  <w:vAlign w:val="center"/>
                </w:tcPr>
                <w:p>
                  <w:pPr>
                    <w:jc w:val="center"/>
                    <w:rPr>
                      <w:rFonts w:hint="eastAsia" w:ascii="Times New Roman" w:hAnsi="Times New Roman" w:eastAsia="宋体"/>
                      <w:color w:val="auto"/>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tcBorders/>
                  <w:tcMar>
                    <w:left w:w="34" w:type="dxa"/>
                    <w:right w:w="34" w:type="dxa"/>
                  </w:tcMar>
                  <w:vAlign w:val="center"/>
                </w:tcPr>
                <w:p>
                  <w:pPr>
                    <w:jc w:val="center"/>
                    <w:rPr>
                      <w:rFonts w:ascii="Times New Roman" w:hAnsi="Times New Roman" w:eastAsia="宋体"/>
                      <w:color w:val="auto"/>
                      <w:szCs w:val="21"/>
                    </w:rPr>
                  </w:pPr>
                </w:p>
              </w:tc>
              <w:tc>
                <w:tcPr>
                  <w:tcW w:w="738" w:type="dxa"/>
                  <w:vMerge w:val="continue"/>
                  <w:tcBorders/>
                  <w:tcMar>
                    <w:left w:w="34" w:type="dxa"/>
                    <w:right w:w="34" w:type="dxa"/>
                  </w:tcMar>
                  <w:vAlign w:val="center"/>
                </w:tcPr>
                <w:p>
                  <w:pPr>
                    <w:jc w:val="center"/>
                    <w:rPr>
                      <w:rFonts w:ascii="Times New Roman" w:hAnsi="Times New Roman" w:eastAsia="宋体"/>
                      <w:color w:val="000000" w:themeColor="text1"/>
                      <w:szCs w:val="21"/>
                      <w14:textFill>
                        <w14:solidFill>
                          <w14:schemeClr w14:val="tx1"/>
                        </w14:solidFill>
                      </w14:textFill>
                    </w:rPr>
                  </w:pPr>
                </w:p>
              </w:tc>
              <w:tc>
                <w:tcPr>
                  <w:tcW w:w="1195" w:type="dxa"/>
                  <w:tcMar>
                    <w:left w:w="34" w:type="dxa"/>
                    <w:right w:w="34" w:type="dxa"/>
                  </w:tcMar>
                  <w:vAlign w:val="center"/>
                </w:tcPr>
                <w:p>
                  <w:pPr>
                    <w:jc w:val="center"/>
                    <w:rPr>
                      <w:rFonts w:hint="eastAsia"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废活性炭</w:t>
                  </w:r>
                </w:p>
              </w:tc>
              <w:tc>
                <w:tcPr>
                  <w:tcW w:w="3587" w:type="dxa"/>
                  <w:tcMar>
                    <w:left w:w="34" w:type="dxa"/>
                    <w:right w:w="34" w:type="dxa"/>
                  </w:tcMar>
                  <w:vAlign w:val="center"/>
                </w:tcPr>
                <w:p>
                  <w:pPr>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14:textFill>
                        <w14:solidFill>
                          <w14:schemeClr w14:val="tx1"/>
                        </w14:solidFill>
                      </w14:textFill>
                    </w:rPr>
                    <w:t>作炼铁燃料使用</w:t>
                  </w:r>
                </w:p>
              </w:tc>
              <w:tc>
                <w:tcPr>
                  <w:tcW w:w="2850" w:type="dxa"/>
                  <w:vMerge w:val="continue"/>
                  <w:tcBorders/>
                  <w:tcMar>
                    <w:left w:w="34" w:type="dxa"/>
                    <w:right w:w="34" w:type="dxa"/>
                  </w:tcMar>
                  <w:vAlign w:val="center"/>
                </w:tcPr>
                <w:p>
                  <w:pPr>
                    <w:jc w:val="center"/>
                    <w:rPr>
                      <w:rFonts w:hint="eastAsia" w:ascii="Times New Roman" w:hAnsi="Times New Roman" w:eastAsia="宋体"/>
                      <w:color w:val="auto"/>
                      <w:szCs w:val="21"/>
                      <w:lang w:val="en-US" w:eastAsia="zh-CN"/>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23" w:hRule="atLeast"/>
                <w:jc w:val="center"/>
              </w:trPr>
              <w:tc>
                <w:tcPr>
                  <w:tcW w:w="487" w:type="dxa"/>
                  <w:vMerge w:val="continue"/>
                  <w:tcBorders/>
                  <w:tcMar>
                    <w:left w:w="34" w:type="dxa"/>
                    <w:right w:w="34" w:type="dxa"/>
                  </w:tcMar>
                  <w:vAlign w:val="center"/>
                </w:tcPr>
                <w:p>
                  <w:pPr>
                    <w:jc w:val="center"/>
                    <w:rPr>
                      <w:rFonts w:ascii="Times New Roman" w:hAnsi="Times New Roman" w:eastAsia="宋体"/>
                      <w:color w:val="auto"/>
                      <w:szCs w:val="21"/>
                    </w:rPr>
                  </w:pPr>
                </w:p>
              </w:tc>
              <w:tc>
                <w:tcPr>
                  <w:tcW w:w="738" w:type="dxa"/>
                  <w:vMerge w:val="continue"/>
                  <w:tcBorders/>
                  <w:tcMar>
                    <w:left w:w="34" w:type="dxa"/>
                    <w:right w:w="34" w:type="dxa"/>
                  </w:tcMar>
                  <w:vAlign w:val="center"/>
                </w:tcPr>
                <w:p>
                  <w:pPr>
                    <w:jc w:val="center"/>
                    <w:rPr>
                      <w:rFonts w:ascii="Times New Roman" w:hAnsi="Times New Roman" w:eastAsia="宋体"/>
                      <w:color w:val="000000" w:themeColor="text1"/>
                      <w:szCs w:val="21"/>
                      <w14:textFill>
                        <w14:solidFill>
                          <w14:schemeClr w14:val="tx1"/>
                        </w14:solidFill>
                      </w14:textFill>
                    </w:rPr>
                  </w:pPr>
                </w:p>
              </w:tc>
              <w:tc>
                <w:tcPr>
                  <w:tcW w:w="1195" w:type="dxa"/>
                  <w:tcMar>
                    <w:left w:w="34" w:type="dxa"/>
                    <w:right w:w="34" w:type="dxa"/>
                  </w:tcMar>
                  <w:vAlign w:val="center"/>
                </w:tcPr>
                <w:p>
                  <w:pPr>
                    <w:jc w:val="center"/>
                    <w:rPr>
                      <w:rFonts w:hint="default" w:ascii="Times New Roman" w:hAnsi="Times New Roman" w:eastAsia="宋体"/>
                      <w:color w:val="000000" w:themeColor="text1"/>
                      <w:szCs w:val="21"/>
                      <w:lang w:val="en-US" w:eastAsia="zh-CN"/>
                      <w14:textFill>
                        <w14:solidFill>
                          <w14:schemeClr w14:val="tx1"/>
                        </w14:solidFill>
                      </w14:textFill>
                    </w:rPr>
                  </w:pPr>
                  <w:r>
                    <w:rPr>
                      <w:rFonts w:hint="eastAsia" w:ascii="Times New Roman" w:hAnsi="Times New Roman" w:eastAsia="宋体"/>
                      <w:color w:val="000000" w:themeColor="text1"/>
                      <w:szCs w:val="21"/>
                      <w:lang w:val="en-US" w:eastAsia="zh-CN"/>
                      <w14:textFill>
                        <w14:solidFill>
                          <w14:schemeClr w14:val="tx1"/>
                        </w14:solidFill>
                      </w14:textFill>
                    </w:rPr>
                    <w:t>生活垃圾</w:t>
                  </w:r>
                </w:p>
              </w:tc>
              <w:tc>
                <w:tcPr>
                  <w:tcW w:w="3587" w:type="dxa"/>
                  <w:tcMar>
                    <w:left w:w="34" w:type="dxa"/>
                    <w:right w:w="34" w:type="dxa"/>
                  </w:tcMar>
                  <w:vAlign w:val="center"/>
                </w:tcPr>
                <w:p>
                  <w:pPr>
                    <w:pStyle w:val="27"/>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环卫部门清运</w:t>
                  </w:r>
                </w:p>
              </w:tc>
              <w:tc>
                <w:tcPr>
                  <w:tcW w:w="2850" w:type="dxa"/>
                  <w:vMerge w:val="continue"/>
                  <w:tcBorders/>
                  <w:tcMar>
                    <w:left w:w="34" w:type="dxa"/>
                    <w:right w:w="34" w:type="dxa"/>
                  </w:tcMar>
                  <w:vAlign w:val="center"/>
                </w:tcPr>
                <w:p>
                  <w:pPr>
                    <w:jc w:val="center"/>
                    <w:rPr>
                      <w:rFonts w:hint="eastAsia" w:ascii="Times New Roman" w:hAnsi="Times New Roman" w:eastAsia="宋体"/>
                      <w:color w:val="auto"/>
                      <w:szCs w:val="21"/>
                      <w:lang w:val="en-US" w:eastAsia="zh-CN"/>
                    </w:rPr>
                  </w:pPr>
                </w:p>
              </w:tc>
            </w:tr>
          </w:tbl>
          <w:p>
            <w:pPr>
              <w:pStyle w:val="10"/>
              <w:spacing w:line="360" w:lineRule="auto"/>
              <w:ind w:firstLine="0"/>
              <w:rPr>
                <w:rFonts w:ascii="Times New Roman" w:hAnsi="Times New Roman" w:eastAsia="宋体"/>
                <w:color w:val="auto"/>
                <w:sz w:val="24"/>
              </w:rPr>
            </w:pPr>
          </w:p>
        </w:tc>
      </w:tr>
    </w:tbl>
    <w:p>
      <w:pPr>
        <w:pStyle w:val="3"/>
        <w:rPr>
          <w:rFonts w:ascii="Times New Roman" w:hAnsi="Times New Roman" w:eastAsia="宋体"/>
          <w:color w:val="auto"/>
        </w:rPr>
      </w:pPr>
      <w:bookmarkStart w:id="94" w:name="_Hlk484172954"/>
      <w:r>
        <w:rPr>
          <w:rFonts w:ascii="Times New Roman" w:hAnsi="Times New Roman" w:eastAsia="宋体"/>
          <w:color w:val="auto"/>
        </w:rPr>
        <w:t>建设项目拟采取的防治措施及预期治理效果</w:t>
      </w:r>
    </w:p>
    <w:bookmarkEnd w:id="94"/>
    <w:tbl>
      <w:tblPr>
        <w:tblStyle w:val="22"/>
        <w:tblW w:w="9373"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85"/>
        <w:gridCol w:w="465"/>
        <w:gridCol w:w="1389"/>
        <w:gridCol w:w="1632"/>
        <w:gridCol w:w="2874"/>
        <w:gridCol w:w="262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gridSpan w:val="2"/>
            <w:tcBorders>
              <w:top w:val="single" w:color="auto" w:sz="4" w:space="0"/>
              <w:left w:val="single" w:color="auto" w:sz="4" w:space="0"/>
              <w:tl2br w:val="single" w:color="auto" w:sz="6" w:space="0"/>
            </w:tcBorders>
          </w:tcPr>
          <w:p>
            <w:pPr>
              <w:spacing w:line="240" w:lineRule="atLeast"/>
              <w:jc w:val="right"/>
              <w:rPr>
                <w:rFonts w:ascii="Times New Roman" w:hAnsi="Times New Roman" w:eastAsia="宋体"/>
                <w:color w:val="auto"/>
                <w:sz w:val="24"/>
                <w:szCs w:val="24"/>
              </w:rPr>
            </w:pPr>
            <w:r>
              <w:rPr>
                <w:rFonts w:ascii="Times New Roman" w:hAnsi="Times New Roman" w:eastAsia="宋体"/>
                <w:color w:val="auto"/>
                <w:sz w:val="24"/>
                <w:szCs w:val="24"/>
              </w:rPr>
              <w:t>内容</w:t>
            </w:r>
          </w:p>
          <w:p>
            <w:pPr>
              <w:spacing w:line="240" w:lineRule="atLeast"/>
              <w:rPr>
                <w:rFonts w:ascii="Times New Roman" w:hAnsi="Times New Roman" w:eastAsia="宋体"/>
                <w:color w:val="auto"/>
                <w:sz w:val="24"/>
                <w:szCs w:val="24"/>
              </w:rPr>
            </w:pPr>
            <w:r>
              <w:rPr>
                <w:rFonts w:ascii="Times New Roman" w:hAnsi="Times New Roman" w:eastAsia="宋体"/>
                <w:color w:val="auto"/>
                <w:sz w:val="24"/>
                <w:szCs w:val="24"/>
              </w:rPr>
              <w:t>类型</w:t>
            </w:r>
          </w:p>
        </w:tc>
        <w:tc>
          <w:tcPr>
            <w:tcW w:w="1389" w:type="dxa"/>
            <w:tcBorders>
              <w:top w:val="single" w:color="auto" w:sz="4" w:space="0"/>
            </w:tcBorders>
            <w:vAlign w:val="center"/>
          </w:tcPr>
          <w:p>
            <w:pPr>
              <w:spacing w:line="240" w:lineRule="atLeast"/>
              <w:jc w:val="center"/>
              <w:rPr>
                <w:rFonts w:ascii="Times New Roman" w:hAnsi="Times New Roman" w:eastAsia="宋体"/>
                <w:color w:val="auto"/>
                <w:sz w:val="24"/>
                <w:szCs w:val="24"/>
              </w:rPr>
            </w:pPr>
            <w:r>
              <w:rPr>
                <w:rFonts w:ascii="Times New Roman" w:hAnsi="Times New Roman" w:eastAsia="宋体"/>
                <w:color w:val="auto"/>
                <w:sz w:val="24"/>
                <w:szCs w:val="24"/>
              </w:rPr>
              <w:t>排放源</w:t>
            </w:r>
          </w:p>
          <w:p>
            <w:pPr>
              <w:spacing w:line="240" w:lineRule="atLeast"/>
              <w:jc w:val="center"/>
              <w:rPr>
                <w:rFonts w:ascii="Times New Roman" w:hAnsi="Times New Roman" w:eastAsia="宋体"/>
                <w:color w:val="auto"/>
                <w:sz w:val="24"/>
                <w:szCs w:val="24"/>
              </w:rPr>
            </w:pPr>
            <w:r>
              <w:rPr>
                <w:rFonts w:ascii="Times New Roman" w:hAnsi="Times New Roman" w:eastAsia="宋体"/>
                <w:color w:val="auto"/>
                <w:sz w:val="24"/>
                <w:szCs w:val="24"/>
              </w:rPr>
              <w:t>（编号）</w:t>
            </w:r>
          </w:p>
        </w:tc>
        <w:tc>
          <w:tcPr>
            <w:tcW w:w="1632" w:type="dxa"/>
            <w:tcBorders>
              <w:top w:val="single" w:color="auto" w:sz="4" w:space="0"/>
            </w:tcBorders>
            <w:vAlign w:val="center"/>
          </w:tcPr>
          <w:p>
            <w:pPr>
              <w:spacing w:line="240" w:lineRule="atLeast"/>
              <w:jc w:val="center"/>
              <w:rPr>
                <w:rFonts w:ascii="Times New Roman" w:hAnsi="Times New Roman" w:eastAsia="宋体"/>
                <w:color w:val="auto"/>
                <w:sz w:val="24"/>
                <w:szCs w:val="24"/>
              </w:rPr>
            </w:pPr>
            <w:r>
              <w:rPr>
                <w:rFonts w:ascii="Times New Roman" w:hAnsi="Times New Roman" w:eastAsia="宋体"/>
                <w:color w:val="auto"/>
                <w:sz w:val="24"/>
                <w:szCs w:val="24"/>
              </w:rPr>
              <w:t>污染物名称</w:t>
            </w:r>
          </w:p>
        </w:tc>
        <w:tc>
          <w:tcPr>
            <w:tcW w:w="2874" w:type="dxa"/>
            <w:tcBorders>
              <w:top w:val="single" w:color="auto" w:sz="4" w:space="0"/>
              <w:bottom w:val="single" w:color="auto" w:sz="4" w:space="0"/>
            </w:tcBorders>
            <w:vAlign w:val="center"/>
          </w:tcPr>
          <w:p>
            <w:pPr>
              <w:spacing w:line="240" w:lineRule="atLeast"/>
              <w:jc w:val="center"/>
              <w:rPr>
                <w:rFonts w:ascii="Times New Roman" w:hAnsi="Times New Roman" w:eastAsia="宋体"/>
                <w:color w:val="auto"/>
                <w:sz w:val="24"/>
                <w:szCs w:val="24"/>
              </w:rPr>
            </w:pPr>
            <w:r>
              <w:rPr>
                <w:rFonts w:ascii="Times New Roman" w:hAnsi="Times New Roman" w:eastAsia="宋体"/>
                <w:color w:val="auto"/>
                <w:sz w:val="24"/>
                <w:szCs w:val="24"/>
              </w:rPr>
              <w:t>防治措施</w:t>
            </w:r>
          </w:p>
        </w:tc>
        <w:tc>
          <w:tcPr>
            <w:tcW w:w="2628" w:type="dxa"/>
            <w:tcBorders>
              <w:top w:val="single" w:color="auto" w:sz="4" w:space="0"/>
              <w:bottom w:val="single" w:color="auto" w:sz="4" w:space="0"/>
              <w:right w:val="single" w:color="auto" w:sz="4" w:space="0"/>
            </w:tcBorders>
            <w:vAlign w:val="center"/>
          </w:tcPr>
          <w:p>
            <w:pPr>
              <w:spacing w:line="240" w:lineRule="atLeast"/>
              <w:jc w:val="center"/>
              <w:rPr>
                <w:rFonts w:ascii="Times New Roman" w:hAnsi="Times New Roman" w:eastAsia="宋体"/>
                <w:color w:val="auto"/>
                <w:sz w:val="24"/>
                <w:szCs w:val="24"/>
              </w:rPr>
            </w:pPr>
            <w:r>
              <w:rPr>
                <w:rFonts w:ascii="Times New Roman" w:hAnsi="Times New Roman" w:eastAsia="宋体"/>
                <w:color w:val="auto"/>
                <w:sz w:val="24"/>
                <w:szCs w:val="24"/>
              </w:rPr>
              <w:t>预期治理效果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85" w:type="dxa"/>
            <w:vMerge w:val="restart"/>
            <w:tcBorders>
              <w:top w:val="single" w:color="auto" w:sz="4" w:space="0"/>
              <w:left w:val="single" w:color="auto" w:sz="4" w:space="0"/>
              <w:right w:val="single" w:color="auto" w:sz="4" w:space="0"/>
            </w:tcBorders>
            <w:vAlign w:val="center"/>
          </w:tcPr>
          <w:p>
            <w:pPr>
              <w:spacing w:line="240" w:lineRule="atLeast"/>
              <w:jc w:val="center"/>
              <w:rPr>
                <w:rFonts w:ascii="Times New Roman" w:hAnsi="Times New Roman" w:eastAsia="宋体"/>
                <w:color w:val="auto"/>
                <w:sz w:val="24"/>
                <w:szCs w:val="24"/>
              </w:rPr>
            </w:pPr>
            <w:r>
              <w:rPr>
                <w:rFonts w:ascii="Times New Roman" w:hAnsi="Times New Roman" w:eastAsia="宋体"/>
                <w:color w:val="auto"/>
                <w:sz w:val="24"/>
                <w:szCs w:val="24"/>
              </w:rPr>
              <w:t>营运期</w:t>
            </w:r>
          </w:p>
        </w:tc>
        <w:tc>
          <w:tcPr>
            <w:tcW w:w="465" w:type="dxa"/>
            <w:vMerge w:val="restart"/>
            <w:tcBorders>
              <w:top w:val="single" w:color="auto" w:sz="4" w:space="0"/>
              <w:left w:val="single" w:color="auto" w:sz="4" w:space="0"/>
            </w:tcBorders>
            <w:vAlign w:val="center"/>
          </w:tcPr>
          <w:p>
            <w:pPr>
              <w:spacing w:line="240" w:lineRule="atLeast"/>
              <w:jc w:val="center"/>
              <w:rPr>
                <w:rFonts w:ascii="Times New Roman" w:hAnsi="Times New Roman" w:eastAsia="宋体"/>
                <w:color w:val="auto"/>
                <w:sz w:val="24"/>
                <w:szCs w:val="24"/>
              </w:rPr>
            </w:pPr>
            <w:r>
              <w:rPr>
                <w:rFonts w:ascii="Times New Roman" w:hAnsi="Times New Roman" w:eastAsia="宋体"/>
                <w:color w:val="auto"/>
                <w:sz w:val="24"/>
                <w:szCs w:val="24"/>
              </w:rPr>
              <w:t>大</w:t>
            </w:r>
          </w:p>
          <w:p>
            <w:pPr>
              <w:spacing w:line="240" w:lineRule="atLeast"/>
              <w:jc w:val="center"/>
              <w:rPr>
                <w:rFonts w:ascii="Times New Roman" w:hAnsi="Times New Roman" w:eastAsia="宋体"/>
                <w:color w:val="auto"/>
                <w:sz w:val="24"/>
                <w:szCs w:val="24"/>
              </w:rPr>
            </w:pPr>
            <w:r>
              <w:rPr>
                <w:rFonts w:ascii="Times New Roman" w:hAnsi="Times New Roman" w:eastAsia="宋体"/>
                <w:color w:val="auto"/>
                <w:sz w:val="24"/>
                <w:szCs w:val="24"/>
              </w:rPr>
              <w:t>气</w:t>
            </w:r>
          </w:p>
          <w:p>
            <w:pPr>
              <w:spacing w:line="240" w:lineRule="atLeast"/>
              <w:jc w:val="center"/>
              <w:rPr>
                <w:rFonts w:ascii="Times New Roman" w:hAnsi="Times New Roman" w:eastAsia="宋体"/>
                <w:color w:val="auto"/>
                <w:sz w:val="24"/>
                <w:szCs w:val="24"/>
              </w:rPr>
            </w:pPr>
            <w:r>
              <w:rPr>
                <w:rFonts w:ascii="Times New Roman" w:hAnsi="Times New Roman" w:eastAsia="宋体"/>
                <w:color w:val="auto"/>
                <w:sz w:val="24"/>
                <w:szCs w:val="24"/>
              </w:rPr>
              <w:t>污</w:t>
            </w:r>
          </w:p>
          <w:p>
            <w:pPr>
              <w:spacing w:line="240" w:lineRule="atLeast"/>
              <w:jc w:val="center"/>
              <w:rPr>
                <w:rFonts w:ascii="Times New Roman" w:hAnsi="Times New Roman" w:eastAsia="宋体"/>
                <w:color w:val="auto"/>
                <w:sz w:val="24"/>
                <w:szCs w:val="24"/>
              </w:rPr>
            </w:pPr>
            <w:r>
              <w:rPr>
                <w:rFonts w:ascii="Times New Roman" w:hAnsi="Times New Roman" w:eastAsia="宋体"/>
                <w:color w:val="auto"/>
                <w:sz w:val="24"/>
                <w:szCs w:val="24"/>
              </w:rPr>
              <w:t>染</w:t>
            </w:r>
          </w:p>
          <w:p>
            <w:pPr>
              <w:spacing w:line="240" w:lineRule="atLeast"/>
              <w:jc w:val="center"/>
              <w:rPr>
                <w:rFonts w:ascii="Times New Roman" w:hAnsi="Times New Roman" w:eastAsia="宋体"/>
                <w:color w:val="auto"/>
                <w:sz w:val="24"/>
                <w:szCs w:val="24"/>
              </w:rPr>
            </w:pPr>
            <w:r>
              <w:rPr>
                <w:rFonts w:ascii="Times New Roman" w:hAnsi="Times New Roman" w:eastAsia="宋体"/>
                <w:color w:val="auto"/>
                <w:sz w:val="24"/>
                <w:szCs w:val="24"/>
              </w:rPr>
              <w:t>物</w:t>
            </w:r>
          </w:p>
        </w:tc>
        <w:tc>
          <w:tcPr>
            <w:tcW w:w="1389" w:type="dxa"/>
            <w:tcBorders>
              <w:top w:val="single" w:color="auto" w:sz="4" w:space="0"/>
            </w:tcBorders>
            <w:vAlign w:val="center"/>
          </w:tcPr>
          <w:p>
            <w:pPr>
              <w:spacing w:line="240" w:lineRule="atLeast"/>
              <w:jc w:val="center"/>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三磨</w:t>
            </w:r>
          </w:p>
        </w:tc>
        <w:tc>
          <w:tcPr>
            <w:tcW w:w="1632" w:type="dxa"/>
            <w:tcBorders>
              <w:top w:val="single" w:color="auto" w:sz="4" w:space="0"/>
            </w:tcBorders>
            <w:vAlign w:val="center"/>
          </w:tcPr>
          <w:p>
            <w:pPr>
              <w:jc w:val="center"/>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颗粒物</w:t>
            </w:r>
          </w:p>
        </w:tc>
        <w:tc>
          <w:tcPr>
            <w:tcW w:w="2874" w:type="dxa"/>
            <w:tcBorders>
              <w:top w:val="single" w:color="auto" w:sz="4" w:space="0"/>
              <w:bottom w:val="single" w:color="auto" w:sz="4" w:space="0"/>
            </w:tcBorders>
            <w:vAlign w:val="center"/>
          </w:tcPr>
          <w:p>
            <w:pPr>
              <w:pStyle w:val="27"/>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val="en-US" w:eastAsia="zh-CN"/>
              </w:rPr>
              <w:t>三磨粉尘配套一套脉冲布袋除尘收集处理后通过一根不低于15m排气筒排放</w:t>
            </w:r>
          </w:p>
        </w:tc>
        <w:tc>
          <w:tcPr>
            <w:tcW w:w="2628" w:type="dxa"/>
            <w:vMerge w:val="restart"/>
            <w:tcBorders>
              <w:top w:val="single" w:color="auto" w:sz="4" w:space="0"/>
              <w:right w:val="single" w:color="auto" w:sz="4" w:space="0"/>
            </w:tcBorders>
            <w:vAlign w:val="center"/>
          </w:tcPr>
          <w:p>
            <w:pPr>
              <w:jc w:val="center"/>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highlight w:val="none"/>
                <w:lang w:eastAsia="zh-CN"/>
              </w:rPr>
              <w:t>上海市《大气污染物综合排放标准》（DB31/933—2015）表1中的大气污染物项目排放限值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85" w:type="dxa"/>
            <w:vMerge w:val="continue"/>
            <w:tcBorders>
              <w:left w:val="single" w:color="auto" w:sz="4" w:space="0"/>
              <w:right w:val="single" w:color="auto" w:sz="4" w:space="0"/>
            </w:tcBorders>
            <w:vAlign w:val="center"/>
          </w:tcPr>
          <w:p>
            <w:pPr>
              <w:spacing w:line="240" w:lineRule="atLeast"/>
              <w:jc w:val="center"/>
              <w:rPr>
                <w:rFonts w:ascii="Times New Roman" w:hAnsi="Times New Roman" w:eastAsia="宋体"/>
                <w:color w:val="auto"/>
                <w:sz w:val="24"/>
                <w:szCs w:val="24"/>
              </w:rPr>
            </w:pPr>
          </w:p>
        </w:tc>
        <w:tc>
          <w:tcPr>
            <w:tcW w:w="465" w:type="dxa"/>
            <w:vMerge w:val="continue"/>
            <w:tcBorders>
              <w:left w:val="single" w:color="auto" w:sz="4" w:space="0"/>
            </w:tcBorders>
            <w:vAlign w:val="center"/>
          </w:tcPr>
          <w:p>
            <w:pPr>
              <w:spacing w:line="240" w:lineRule="atLeast"/>
              <w:jc w:val="center"/>
              <w:rPr>
                <w:rFonts w:ascii="Times New Roman" w:hAnsi="Times New Roman" w:eastAsia="宋体"/>
                <w:color w:val="auto"/>
                <w:sz w:val="24"/>
                <w:szCs w:val="24"/>
              </w:rPr>
            </w:pPr>
          </w:p>
        </w:tc>
        <w:tc>
          <w:tcPr>
            <w:tcW w:w="1389" w:type="dxa"/>
            <w:tcBorders>
              <w:top w:val="single" w:color="auto" w:sz="4" w:space="0"/>
            </w:tcBorders>
            <w:vAlign w:val="center"/>
          </w:tcPr>
          <w:p>
            <w:pPr>
              <w:spacing w:line="240" w:lineRule="atLeast"/>
              <w:jc w:val="center"/>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喷锌</w:t>
            </w:r>
          </w:p>
        </w:tc>
        <w:tc>
          <w:tcPr>
            <w:tcW w:w="1632" w:type="dxa"/>
            <w:tcBorders>
              <w:top w:val="single" w:color="auto" w:sz="4" w:space="0"/>
            </w:tcBorders>
            <w:vAlign w:val="center"/>
          </w:tcPr>
          <w:p>
            <w:pPr>
              <w:jc w:val="center"/>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颗粒物</w:t>
            </w:r>
          </w:p>
        </w:tc>
        <w:tc>
          <w:tcPr>
            <w:tcW w:w="2874" w:type="dxa"/>
            <w:tcBorders>
              <w:top w:val="single" w:color="auto" w:sz="4" w:space="0"/>
              <w:bottom w:val="single" w:color="auto" w:sz="4" w:space="0"/>
            </w:tcBorders>
            <w:vAlign w:val="center"/>
          </w:tcPr>
          <w:p>
            <w:pPr>
              <w:pStyle w:val="27"/>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喷锌粉尘配套一套脉冲布袋除尘收集处理后通过一根不低于15m排气筒排放</w:t>
            </w:r>
          </w:p>
        </w:tc>
        <w:tc>
          <w:tcPr>
            <w:tcW w:w="2628" w:type="dxa"/>
            <w:vMerge w:val="continue"/>
            <w:tcBorders>
              <w:top w:val="single" w:color="auto" w:sz="4" w:space="0"/>
              <w:right w:val="single" w:color="auto" w:sz="4" w:space="0"/>
            </w:tcBorders>
            <w:vAlign w:val="center"/>
          </w:tcPr>
          <w:p>
            <w:pPr>
              <w:jc w:val="center"/>
              <w:rPr>
                <w:rFonts w:hint="eastAsia" w:ascii="Times New Roman" w:hAnsi="Times New Roman" w:eastAsia="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85" w:type="dxa"/>
            <w:vMerge w:val="continue"/>
            <w:tcBorders>
              <w:left w:val="single" w:color="auto" w:sz="4" w:space="0"/>
              <w:right w:val="single" w:color="auto" w:sz="4" w:space="0"/>
            </w:tcBorders>
            <w:vAlign w:val="center"/>
          </w:tcPr>
          <w:p>
            <w:pPr>
              <w:spacing w:line="240" w:lineRule="atLeast"/>
              <w:jc w:val="center"/>
              <w:rPr>
                <w:rFonts w:ascii="Times New Roman" w:hAnsi="Times New Roman" w:eastAsia="宋体"/>
                <w:color w:val="auto"/>
                <w:sz w:val="24"/>
                <w:szCs w:val="24"/>
              </w:rPr>
            </w:pPr>
          </w:p>
        </w:tc>
        <w:tc>
          <w:tcPr>
            <w:tcW w:w="465" w:type="dxa"/>
            <w:vMerge w:val="continue"/>
            <w:tcBorders>
              <w:left w:val="single" w:color="auto" w:sz="4" w:space="0"/>
            </w:tcBorders>
            <w:vAlign w:val="center"/>
          </w:tcPr>
          <w:p>
            <w:pPr>
              <w:spacing w:line="240" w:lineRule="atLeast"/>
              <w:jc w:val="center"/>
              <w:rPr>
                <w:rFonts w:ascii="Times New Roman" w:hAnsi="Times New Roman" w:eastAsia="宋体"/>
                <w:color w:val="auto"/>
                <w:sz w:val="24"/>
                <w:szCs w:val="24"/>
              </w:rPr>
            </w:pPr>
          </w:p>
        </w:tc>
        <w:tc>
          <w:tcPr>
            <w:tcW w:w="1389" w:type="dxa"/>
            <w:tcBorders>
              <w:top w:val="single" w:color="auto" w:sz="4" w:space="0"/>
            </w:tcBorders>
            <w:vAlign w:val="center"/>
          </w:tcPr>
          <w:p>
            <w:pPr>
              <w:spacing w:line="240" w:lineRule="atLeast"/>
              <w:jc w:val="center"/>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喷涂</w:t>
            </w:r>
          </w:p>
        </w:tc>
        <w:tc>
          <w:tcPr>
            <w:tcW w:w="1632" w:type="dxa"/>
            <w:tcBorders>
              <w:top w:val="single" w:color="auto" w:sz="4" w:space="0"/>
            </w:tcBorders>
            <w:vAlign w:val="center"/>
          </w:tcPr>
          <w:p>
            <w:pPr>
              <w:jc w:val="center"/>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非甲烷总烃</w:t>
            </w:r>
          </w:p>
        </w:tc>
        <w:tc>
          <w:tcPr>
            <w:tcW w:w="2874" w:type="dxa"/>
            <w:tcBorders>
              <w:top w:val="single" w:color="auto" w:sz="4" w:space="0"/>
              <w:bottom w:val="single" w:color="auto" w:sz="4" w:space="0"/>
            </w:tcBorders>
            <w:vAlign w:val="center"/>
          </w:tcPr>
          <w:p>
            <w:pPr>
              <w:pStyle w:val="27"/>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喷涂废气配套有1套过滤棉过滤和2套活性炭吸附的喷涂废气净化装置处理后通过一根不低于15m排气筒排放</w:t>
            </w:r>
          </w:p>
        </w:tc>
        <w:tc>
          <w:tcPr>
            <w:tcW w:w="2628" w:type="dxa"/>
            <w:tcBorders>
              <w:top w:val="single" w:color="auto" w:sz="4" w:space="0"/>
              <w:right w:val="single" w:color="auto" w:sz="4" w:space="0"/>
            </w:tcBorders>
            <w:vAlign w:val="center"/>
          </w:tcPr>
          <w:p>
            <w:pPr>
              <w:jc w:val="center"/>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eastAsia="zh-CN"/>
              </w:rPr>
              <w:t>河北省《工业企业挥发性有机物排放控制标准》（DB13/2322-2016）其他行业中的排放限值、《挥发性有机物无组织排放控制标准》（GB37822-2019）附录A中的无组织特别排放限值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85" w:type="dxa"/>
            <w:vMerge w:val="continue"/>
            <w:tcBorders>
              <w:left w:val="single" w:color="auto" w:sz="4" w:space="0"/>
              <w:right w:val="single" w:color="auto" w:sz="4" w:space="0"/>
            </w:tcBorders>
            <w:vAlign w:val="center"/>
          </w:tcPr>
          <w:p>
            <w:pPr>
              <w:spacing w:line="240" w:lineRule="atLeast"/>
              <w:jc w:val="center"/>
              <w:rPr>
                <w:rFonts w:ascii="Times New Roman" w:hAnsi="Times New Roman" w:eastAsia="宋体"/>
                <w:color w:val="auto"/>
                <w:sz w:val="24"/>
                <w:szCs w:val="24"/>
              </w:rPr>
            </w:pPr>
          </w:p>
        </w:tc>
        <w:tc>
          <w:tcPr>
            <w:tcW w:w="465" w:type="dxa"/>
            <w:tcBorders>
              <w:top w:val="single" w:color="auto" w:sz="4" w:space="0"/>
              <w:left w:val="single" w:color="auto" w:sz="4" w:space="0"/>
            </w:tcBorders>
            <w:vAlign w:val="center"/>
          </w:tcPr>
          <w:p>
            <w:pPr>
              <w:spacing w:line="240" w:lineRule="atLeast"/>
              <w:jc w:val="center"/>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水污染物</w:t>
            </w:r>
          </w:p>
        </w:tc>
        <w:tc>
          <w:tcPr>
            <w:tcW w:w="1389" w:type="dxa"/>
            <w:tcBorders>
              <w:top w:val="single" w:color="auto" w:sz="4" w:space="0"/>
            </w:tcBorders>
            <w:vAlign w:val="center"/>
          </w:tcPr>
          <w:p>
            <w:pPr>
              <w:spacing w:line="240" w:lineRule="atLeast"/>
              <w:jc w:val="center"/>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生产废水</w:t>
            </w:r>
          </w:p>
        </w:tc>
        <w:tc>
          <w:tcPr>
            <w:tcW w:w="1632" w:type="dxa"/>
            <w:tcBorders>
              <w:top w:val="single" w:color="auto" w:sz="4" w:space="0"/>
            </w:tcBorders>
            <w:vAlign w:val="center"/>
          </w:tcPr>
          <w:p>
            <w:pPr>
              <w:jc w:val="center"/>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生产废水</w:t>
            </w:r>
          </w:p>
        </w:tc>
        <w:tc>
          <w:tcPr>
            <w:tcW w:w="2874" w:type="dxa"/>
            <w:tcBorders>
              <w:top w:val="single" w:color="auto" w:sz="4" w:space="0"/>
              <w:bottom w:val="single" w:color="auto" w:sz="4" w:space="0"/>
            </w:tcBorders>
            <w:vAlign w:val="center"/>
          </w:tcPr>
          <w:p>
            <w:pPr>
              <w:pStyle w:val="27"/>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水泥涂衬和水泥内磨产生的废水泥浆采用泥浆处理系统进行处理</w:t>
            </w:r>
          </w:p>
        </w:tc>
        <w:tc>
          <w:tcPr>
            <w:tcW w:w="2628" w:type="dxa"/>
            <w:tcBorders>
              <w:top w:val="single" w:color="auto" w:sz="4" w:space="0"/>
              <w:right w:val="single" w:color="auto" w:sz="4" w:space="0"/>
            </w:tcBorders>
            <w:vAlign w:val="center"/>
          </w:tcPr>
          <w:p>
            <w:pPr>
              <w:jc w:val="center"/>
              <w:rPr>
                <w:rFonts w:hint="eastAsia" w:ascii="Times New Roman" w:hAnsi="Times New Roman" w:eastAsia="宋体"/>
                <w:color w:val="auto"/>
                <w:sz w:val="24"/>
                <w:szCs w:val="24"/>
                <w:highlight w:val="none"/>
              </w:rPr>
            </w:pPr>
            <w:r>
              <w:rPr>
                <w:rFonts w:hint="eastAsia" w:ascii="Times New Roman" w:hAnsi="Times New Roman" w:eastAsia="宋体"/>
                <w:color w:val="auto"/>
                <w:sz w:val="24"/>
                <w:szCs w:val="24"/>
                <w:highlight w:val="none"/>
                <w:lang w:val="en-US" w:eastAsia="zh-CN"/>
              </w:rPr>
              <w:t>不外排</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85" w:type="dxa"/>
            <w:vMerge w:val="continue"/>
            <w:tcBorders>
              <w:left w:val="single" w:color="auto" w:sz="4" w:space="0"/>
              <w:right w:val="single" w:color="auto" w:sz="4" w:space="0"/>
            </w:tcBorders>
            <w:vAlign w:val="center"/>
          </w:tcPr>
          <w:p>
            <w:pPr>
              <w:spacing w:line="240" w:lineRule="atLeast"/>
              <w:jc w:val="center"/>
              <w:rPr>
                <w:rFonts w:ascii="Times New Roman" w:hAnsi="Times New Roman" w:eastAsia="宋体"/>
                <w:color w:val="auto"/>
                <w:sz w:val="24"/>
                <w:szCs w:val="24"/>
              </w:rPr>
            </w:pPr>
          </w:p>
        </w:tc>
        <w:tc>
          <w:tcPr>
            <w:tcW w:w="465" w:type="dxa"/>
            <w:vMerge w:val="restart"/>
            <w:tcBorders>
              <w:top w:val="single" w:color="auto" w:sz="4" w:space="0"/>
              <w:left w:val="single" w:color="auto" w:sz="4" w:space="0"/>
            </w:tcBorders>
            <w:vAlign w:val="center"/>
          </w:tcPr>
          <w:p>
            <w:pPr>
              <w:spacing w:line="240" w:lineRule="atLeast"/>
              <w:jc w:val="center"/>
              <w:rPr>
                <w:rFonts w:ascii="Times New Roman" w:hAnsi="Times New Roman" w:eastAsia="宋体"/>
                <w:color w:val="auto"/>
                <w:sz w:val="24"/>
                <w:szCs w:val="24"/>
              </w:rPr>
            </w:pPr>
            <w:r>
              <w:rPr>
                <w:rFonts w:ascii="Times New Roman" w:hAnsi="Times New Roman" w:eastAsia="宋体"/>
                <w:color w:val="auto"/>
                <w:sz w:val="24"/>
                <w:szCs w:val="24"/>
              </w:rPr>
              <w:t>固体废物</w:t>
            </w:r>
          </w:p>
        </w:tc>
        <w:tc>
          <w:tcPr>
            <w:tcW w:w="1389" w:type="dxa"/>
            <w:vMerge w:val="restart"/>
            <w:tcBorders>
              <w:top w:val="single" w:color="auto" w:sz="4" w:space="0"/>
            </w:tcBorders>
            <w:vAlign w:val="center"/>
          </w:tcPr>
          <w:p>
            <w:pPr>
              <w:spacing w:line="240" w:lineRule="atLeast"/>
              <w:jc w:val="center"/>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生产车间</w:t>
            </w:r>
          </w:p>
        </w:tc>
        <w:tc>
          <w:tcPr>
            <w:tcW w:w="1632" w:type="dxa"/>
            <w:tcBorders>
              <w:top w:val="single" w:color="auto" w:sz="4" w:space="0"/>
            </w:tcBorders>
            <w:vAlign w:val="center"/>
          </w:tcPr>
          <w:p>
            <w:pPr>
              <w:jc w:val="center"/>
              <w:rPr>
                <w:rFonts w:ascii="Times New Roman" w:hAnsi="Times New Roman" w:eastAsia="宋体"/>
                <w:color w:val="000000" w:themeColor="text1"/>
                <w:sz w:val="24"/>
                <w:szCs w:val="24"/>
                <w14:textFill>
                  <w14:solidFill>
                    <w14:schemeClr w14:val="tx1"/>
                  </w14:solidFill>
                </w14:textFill>
              </w:rPr>
            </w:pPr>
            <w:r>
              <w:rPr>
                <w:rFonts w:hint="eastAsia" w:ascii="Times New Roman" w:hAnsi="Times New Roman" w:eastAsia="宋体"/>
                <w:color w:val="000000" w:themeColor="text1"/>
                <w:sz w:val="24"/>
                <w:szCs w:val="24"/>
                <w14:textFill>
                  <w14:solidFill>
                    <w14:schemeClr w14:val="tx1"/>
                  </w14:solidFill>
                </w14:textFill>
              </w:rPr>
              <w:t>不合格</w:t>
            </w:r>
            <w:r>
              <w:rPr>
                <w:rFonts w:hint="eastAsia" w:ascii="Times New Roman" w:hAnsi="Times New Roman" w:eastAsia="宋体"/>
                <w:color w:val="000000" w:themeColor="text1"/>
                <w:sz w:val="24"/>
                <w:szCs w:val="24"/>
                <w:lang w:val="en-US" w:eastAsia="zh-CN"/>
                <w14:textFill>
                  <w14:solidFill>
                    <w14:schemeClr w14:val="tx1"/>
                  </w14:solidFill>
                </w14:textFill>
              </w:rPr>
              <w:t>铸</w:t>
            </w:r>
            <w:r>
              <w:rPr>
                <w:rFonts w:hint="eastAsia" w:ascii="Times New Roman" w:hAnsi="Times New Roman" w:eastAsia="宋体"/>
                <w:color w:val="000000" w:themeColor="text1"/>
                <w:sz w:val="24"/>
                <w:szCs w:val="24"/>
                <w14:textFill>
                  <w14:solidFill>
                    <w14:schemeClr w14:val="tx1"/>
                  </w14:solidFill>
                </w14:textFill>
              </w:rPr>
              <w:t>管</w:t>
            </w:r>
          </w:p>
        </w:tc>
        <w:tc>
          <w:tcPr>
            <w:tcW w:w="2874" w:type="dxa"/>
            <w:tcBorders>
              <w:top w:val="single" w:color="auto" w:sz="4" w:space="0"/>
              <w:bottom w:val="single" w:color="auto" w:sz="4" w:space="0"/>
            </w:tcBorders>
            <w:vAlign w:val="center"/>
          </w:tcPr>
          <w:p>
            <w:pPr>
              <w:jc w:val="center"/>
              <w:rPr>
                <w:rFonts w:ascii="Times New Roman" w:hAnsi="Times New Roman" w:eastAsia="宋体"/>
                <w:color w:val="000000" w:themeColor="text1"/>
                <w:kern w:val="0"/>
                <w:sz w:val="24"/>
                <w:szCs w:val="24"/>
                <w14:textFill>
                  <w14:solidFill>
                    <w14:schemeClr w14:val="tx1"/>
                  </w14:solidFill>
                </w14:textFill>
              </w:rPr>
            </w:pPr>
            <w:r>
              <w:rPr>
                <w:rFonts w:hint="eastAsia" w:ascii="Times New Roman" w:hAnsi="Times New Roman" w:eastAsia="宋体"/>
                <w:color w:val="000000" w:themeColor="text1"/>
                <w:sz w:val="24"/>
                <w:szCs w:val="24"/>
                <w14:textFill>
                  <w14:solidFill>
                    <w14:schemeClr w14:val="tx1"/>
                  </w14:solidFill>
                </w14:textFill>
              </w:rPr>
              <w:t>回炉熔炼</w:t>
            </w:r>
          </w:p>
        </w:tc>
        <w:tc>
          <w:tcPr>
            <w:tcW w:w="2628" w:type="dxa"/>
            <w:vMerge w:val="restart"/>
            <w:tcBorders>
              <w:top w:val="single" w:color="auto" w:sz="4" w:space="0"/>
              <w:right w:val="single" w:color="auto" w:sz="4" w:space="0"/>
            </w:tcBorders>
            <w:vAlign w:val="center"/>
          </w:tcPr>
          <w:p>
            <w:pPr>
              <w:jc w:val="center"/>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85" w:type="dxa"/>
            <w:vMerge w:val="continue"/>
            <w:tcBorders>
              <w:left w:val="single" w:color="auto" w:sz="4" w:space="0"/>
              <w:right w:val="single" w:color="auto" w:sz="4" w:space="0"/>
            </w:tcBorders>
            <w:vAlign w:val="center"/>
          </w:tcPr>
          <w:p>
            <w:pPr>
              <w:spacing w:line="240" w:lineRule="atLeast"/>
              <w:jc w:val="center"/>
              <w:rPr>
                <w:rFonts w:ascii="Times New Roman" w:hAnsi="Times New Roman" w:eastAsia="宋体"/>
                <w:color w:val="auto"/>
                <w:sz w:val="24"/>
                <w:szCs w:val="24"/>
              </w:rPr>
            </w:pPr>
          </w:p>
        </w:tc>
        <w:tc>
          <w:tcPr>
            <w:tcW w:w="465" w:type="dxa"/>
            <w:vMerge w:val="continue"/>
            <w:tcBorders>
              <w:left w:val="single" w:color="auto" w:sz="4" w:space="0"/>
            </w:tcBorders>
            <w:vAlign w:val="center"/>
          </w:tcPr>
          <w:p>
            <w:pPr>
              <w:spacing w:line="240" w:lineRule="atLeast"/>
              <w:jc w:val="center"/>
              <w:rPr>
                <w:rFonts w:ascii="Times New Roman" w:hAnsi="Times New Roman" w:eastAsia="宋体"/>
                <w:color w:val="auto"/>
                <w:sz w:val="24"/>
                <w:szCs w:val="24"/>
              </w:rPr>
            </w:pPr>
          </w:p>
        </w:tc>
        <w:tc>
          <w:tcPr>
            <w:tcW w:w="1389" w:type="dxa"/>
            <w:vMerge w:val="continue"/>
            <w:tcBorders/>
            <w:vAlign w:val="center"/>
          </w:tcPr>
          <w:p>
            <w:pPr>
              <w:spacing w:line="240" w:lineRule="atLeast"/>
              <w:jc w:val="center"/>
              <w:rPr>
                <w:rFonts w:hint="eastAsia" w:ascii="Times New Roman" w:hAnsi="Times New Roman" w:eastAsia="宋体"/>
                <w:color w:val="auto"/>
                <w:sz w:val="24"/>
                <w:szCs w:val="24"/>
                <w:lang w:val="en-US" w:eastAsia="zh-CN"/>
              </w:rPr>
            </w:pPr>
          </w:p>
        </w:tc>
        <w:tc>
          <w:tcPr>
            <w:tcW w:w="1632" w:type="dxa"/>
            <w:tcBorders>
              <w:top w:val="single" w:color="auto" w:sz="4" w:space="0"/>
            </w:tcBorders>
            <w:vAlign w:val="center"/>
          </w:tcPr>
          <w:p>
            <w:pPr>
              <w:jc w:val="center"/>
              <w:rPr>
                <w:rFonts w:hint="default" w:ascii="Times New Roman" w:hAnsi="Times New Roman" w:eastAsia="宋体"/>
                <w:color w:val="000000" w:themeColor="text1"/>
                <w:sz w:val="24"/>
                <w:szCs w:val="24"/>
                <w:lang w:val="en-US" w:eastAsia="zh-CN"/>
                <w14:textFill>
                  <w14:solidFill>
                    <w14:schemeClr w14:val="tx1"/>
                  </w14:solidFill>
                </w14:textFill>
              </w:rPr>
            </w:pPr>
            <w:r>
              <w:rPr>
                <w:rFonts w:hint="eastAsia" w:ascii="Times New Roman" w:hAnsi="Times New Roman" w:eastAsia="宋体"/>
                <w:color w:val="000000" w:themeColor="text1"/>
                <w:sz w:val="24"/>
                <w:szCs w:val="24"/>
                <w14:textFill>
                  <w14:solidFill>
                    <w14:schemeClr w14:val="tx1"/>
                  </w14:solidFill>
                </w14:textFill>
              </w:rPr>
              <w:t>铸管边角料</w:t>
            </w:r>
          </w:p>
        </w:tc>
        <w:tc>
          <w:tcPr>
            <w:tcW w:w="2874" w:type="dxa"/>
            <w:tcBorders>
              <w:top w:val="single" w:color="auto" w:sz="4" w:space="0"/>
              <w:bottom w:val="single" w:color="auto" w:sz="4" w:space="0"/>
            </w:tcBorders>
            <w:vAlign w:val="center"/>
          </w:tcPr>
          <w:p>
            <w:pPr>
              <w:jc w:val="center"/>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olor w:val="000000" w:themeColor="text1"/>
                <w:sz w:val="24"/>
                <w:szCs w:val="24"/>
                <w14:textFill>
                  <w14:solidFill>
                    <w14:schemeClr w14:val="tx1"/>
                  </w14:solidFill>
                </w14:textFill>
              </w:rPr>
              <w:t>回炉熔炼</w:t>
            </w:r>
          </w:p>
        </w:tc>
        <w:tc>
          <w:tcPr>
            <w:tcW w:w="2628" w:type="dxa"/>
            <w:vMerge w:val="continue"/>
            <w:tcBorders>
              <w:right w:val="single" w:color="auto" w:sz="4" w:space="0"/>
            </w:tcBorders>
            <w:vAlign w:val="center"/>
          </w:tcPr>
          <w:p>
            <w:pPr>
              <w:jc w:val="center"/>
              <w:rPr>
                <w:rFonts w:hint="default" w:ascii="Times New Roman" w:hAnsi="Times New Roman" w:eastAsia="宋体"/>
                <w:color w:val="auto"/>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85" w:type="dxa"/>
            <w:vMerge w:val="continue"/>
            <w:tcBorders>
              <w:left w:val="single" w:color="auto" w:sz="4" w:space="0"/>
              <w:right w:val="single" w:color="auto" w:sz="4" w:space="0"/>
            </w:tcBorders>
            <w:vAlign w:val="center"/>
          </w:tcPr>
          <w:p>
            <w:pPr>
              <w:spacing w:line="240" w:lineRule="atLeast"/>
              <w:jc w:val="center"/>
              <w:rPr>
                <w:rFonts w:ascii="Times New Roman" w:hAnsi="Times New Roman" w:eastAsia="宋体"/>
                <w:color w:val="auto"/>
                <w:sz w:val="24"/>
                <w:szCs w:val="24"/>
              </w:rPr>
            </w:pPr>
          </w:p>
        </w:tc>
        <w:tc>
          <w:tcPr>
            <w:tcW w:w="465" w:type="dxa"/>
            <w:vMerge w:val="continue"/>
            <w:tcBorders>
              <w:left w:val="single" w:color="auto" w:sz="4" w:space="0"/>
            </w:tcBorders>
            <w:vAlign w:val="center"/>
          </w:tcPr>
          <w:p>
            <w:pPr>
              <w:spacing w:line="240" w:lineRule="atLeast"/>
              <w:jc w:val="center"/>
              <w:rPr>
                <w:rFonts w:ascii="Times New Roman" w:hAnsi="Times New Roman" w:eastAsia="宋体"/>
                <w:color w:val="auto"/>
                <w:sz w:val="24"/>
                <w:szCs w:val="24"/>
              </w:rPr>
            </w:pPr>
          </w:p>
        </w:tc>
        <w:tc>
          <w:tcPr>
            <w:tcW w:w="1389" w:type="dxa"/>
            <w:vMerge w:val="continue"/>
            <w:tcBorders/>
            <w:vAlign w:val="center"/>
          </w:tcPr>
          <w:p>
            <w:pPr>
              <w:spacing w:line="240" w:lineRule="atLeast"/>
              <w:jc w:val="center"/>
              <w:rPr>
                <w:rFonts w:hint="eastAsia" w:ascii="Times New Roman" w:hAnsi="Times New Roman" w:eastAsia="宋体"/>
                <w:color w:val="auto"/>
                <w:sz w:val="24"/>
                <w:szCs w:val="24"/>
                <w:lang w:val="en-US" w:eastAsia="zh-CN"/>
              </w:rPr>
            </w:pPr>
          </w:p>
        </w:tc>
        <w:tc>
          <w:tcPr>
            <w:tcW w:w="1632" w:type="dxa"/>
            <w:tcBorders>
              <w:top w:val="single" w:color="auto" w:sz="4" w:space="0"/>
            </w:tcBorders>
            <w:vAlign w:val="center"/>
          </w:tcPr>
          <w:p>
            <w:pPr>
              <w:jc w:val="center"/>
              <w:rPr>
                <w:rFonts w:hint="eastAsia" w:ascii="Times New Roman" w:hAnsi="Times New Roman" w:eastAsia="宋体"/>
                <w:color w:val="000000" w:themeColor="text1"/>
                <w:sz w:val="24"/>
                <w:szCs w:val="24"/>
                <w:lang w:val="en-US" w:eastAsia="zh-CN"/>
                <w14:textFill>
                  <w14:solidFill>
                    <w14:schemeClr w14:val="tx1"/>
                  </w14:solidFill>
                </w14:textFill>
              </w:rPr>
            </w:pPr>
            <w:r>
              <w:rPr>
                <w:rFonts w:hint="eastAsia" w:ascii="Times New Roman" w:hAnsi="Times New Roman" w:eastAsia="宋体"/>
                <w:color w:val="000000" w:themeColor="text1"/>
                <w:sz w:val="24"/>
                <w:szCs w:val="24"/>
                <w14:textFill>
                  <w14:solidFill>
                    <w14:schemeClr w14:val="tx1"/>
                  </w14:solidFill>
                </w14:textFill>
              </w:rPr>
              <w:t>铁屑</w:t>
            </w:r>
          </w:p>
        </w:tc>
        <w:tc>
          <w:tcPr>
            <w:tcW w:w="2874" w:type="dxa"/>
            <w:tcBorders>
              <w:top w:val="single" w:color="auto" w:sz="4" w:space="0"/>
              <w:bottom w:val="single" w:color="auto" w:sz="4" w:space="0"/>
            </w:tcBorders>
            <w:vAlign w:val="center"/>
          </w:tcPr>
          <w:p>
            <w:pPr>
              <w:jc w:val="center"/>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olor w:val="000000" w:themeColor="text1"/>
                <w:sz w:val="24"/>
                <w:szCs w:val="24"/>
                <w14:textFill>
                  <w14:solidFill>
                    <w14:schemeClr w14:val="tx1"/>
                  </w14:solidFill>
                </w14:textFill>
              </w:rPr>
              <w:t>作高炉炼铁原料使用</w:t>
            </w:r>
          </w:p>
        </w:tc>
        <w:tc>
          <w:tcPr>
            <w:tcW w:w="2628" w:type="dxa"/>
            <w:vMerge w:val="continue"/>
            <w:tcBorders>
              <w:right w:val="single" w:color="auto" w:sz="4" w:space="0"/>
            </w:tcBorders>
            <w:vAlign w:val="center"/>
          </w:tcPr>
          <w:p>
            <w:pPr>
              <w:jc w:val="center"/>
              <w:rPr>
                <w:rFonts w:hint="eastAsia" w:ascii="Times New Roman" w:hAnsi="Times New Roman" w:eastAsia="宋体"/>
                <w:color w:val="auto"/>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trHeight w:val="567" w:hRule="atLeast"/>
          <w:jc w:val="center"/>
        </w:trPr>
        <w:tc>
          <w:tcPr>
            <w:tcW w:w="385" w:type="dxa"/>
            <w:vMerge w:val="continue"/>
            <w:tcBorders>
              <w:left w:val="single" w:color="auto" w:sz="4" w:space="0"/>
              <w:right w:val="single" w:color="auto" w:sz="4" w:space="0"/>
            </w:tcBorders>
            <w:vAlign w:val="center"/>
          </w:tcPr>
          <w:p>
            <w:pPr>
              <w:spacing w:line="240" w:lineRule="atLeast"/>
              <w:jc w:val="center"/>
              <w:rPr>
                <w:rFonts w:ascii="Times New Roman" w:hAnsi="Times New Roman" w:eastAsia="宋体"/>
                <w:color w:val="auto"/>
                <w:sz w:val="24"/>
                <w:szCs w:val="24"/>
              </w:rPr>
            </w:pPr>
          </w:p>
        </w:tc>
        <w:tc>
          <w:tcPr>
            <w:tcW w:w="465" w:type="dxa"/>
            <w:vMerge w:val="continue"/>
            <w:tcBorders>
              <w:left w:val="single" w:color="auto" w:sz="4" w:space="0"/>
            </w:tcBorders>
            <w:vAlign w:val="center"/>
          </w:tcPr>
          <w:p>
            <w:pPr>
              <w:spacing w:line="240" w:lineRule="atLeast"/>
              <w:jc w:val="center"/>
              <w:rPr>
                <w:rFonts w:ascii="Times New Roman" w:hAnsi="Times New Roman" w:eastAsia="宋体"/>
                <w:color w:val="auto"/>
                <w:sz w:val="24"/>
                <w:szCs w:val="24"/>
              </w:rPr>
            </w:pPr>
          </w:p>
        </w:tc>
        <w:tc>
          <w:tcPr>
            <w:tcW w:w="1389" w:type="dxa"/>
            <w:vMerge w:val="continue"/>
            <w:tcBorders/>
            <w:vAlign w:val="center"/>
          </w:tcPr>
          <w:p>
            <w:pPr>
              <w:spacing w:line="240" w:lineRule="atLeast"/>
              <w:jc w:val="center"/>
              <w:rPr>
                <w:rFonts w:hint="eastAsia" w:ascii="Times New Roman" w:hAnsi="Times New Roman" w:eastAsia="宋体"/>
                <w:color w:val="auto"/>
                <w:sz w:val="24"/>
                <w:szCs w:val="24"/>
                <w:lang w:val="en-US" w:eastAsia="zh-CN"/>
              </w:rPr>
            </w:pPr>
          </w:p>
        </w:tc>
        <w:tc>
          <w:tcPr>
            <w:tcW w:w="1632" w:type="dxa"/>
            <w:tcBorders>
              <w:top w:val="single" w:color="auto" w:sz="4" w:space="0"/>
            </w:tcBorders>
            <w:vAlign w:val="center"/>
          </w:tcPr>
          <w:p>
            <w:pPr>
              <w:jc w:val="center"/>
              <w:rPr>
                <w:rFonts w:hint="eastAsia" w:ascii="Times New Roman" w:hAnsi="Times New Roman" w:eastAsia="宋体"/>
                <w:color w:val="000000" w:themeColor="text1"/>
                <w:sz w:val="24"/>
                <w:szCs w:val="24"/>
                <w:lang w:val="en-US" w:eastAsia="zh-CN"/>
                <w14:textFill>
                  <w14:solidFill>
                    <w14:schemeClr w14:val="tx1"/>
                  </w14:solidFill>
                </w14:textFill>
              </w:rPr>
            </w:pPr>
            <w:r>
              <w:rPr>
                <w:rFonts w:hint="eastAsia" w:ascii="Times New Roman" w:hAnsi="Times New Roman" w:eastAsia="宋体"/>
                <w:color w:val="000000" w:themeColor="text1"/>
                <w:sz w:val="24"/>
                <w:szCs w:val="24"/>
                <w14:textFill>
                  <w14:solidFill>
                    <w14:schemeClr w14:val="tx1"/>
                  </w14:solidFill>
                </w14:textFill>
              </w:rPr>
              <w:t>含铁除尘灰</w:t>
            </w:r>
          </w:p>
        </w:tc>
        <w:tc>
          <w:tcPr>
            <w:tcW w:w="2874" w:type="dxa"/>
            <w:tcBorders>
              <w:top w:val="single" w:color="auto" w:sz="4" w:space="0"/>
              <w:bottom w:val="single" w:color="auto" w:sz="4" w:space="0"/>
            </w:tcBorders>
            <w:vAlign w:val="center"/>
          </w:tcPr>
          <w:p>
            <w:pPr>
              <w:jc w:val="center"/>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olor w:val="000000" w:themeColor="text1"/>
                <w:sz w:val="24"/>
                <w:szCs w:val="24"/>
                <w14:textFill>
                  <w14:solidFill>
                    <w14:schemeClr w14:val="tx1"/>
                  </w14:solidFill>
                </w14:textFill>
              </w:rPr>
              <w:t>作烧结原料使用</w:t>
            </w:r>
          </w:p>
        </w:tc>
        <w:tc>
          <w:tcPr>
            <w:tcW w:w="2628" w:type="dxa"/>
            <w:vMerge w:val="continue"/>
            <w:tcBorders>
              <w:right w:val="single" w:color="auto" w:sz="4" w:space="0"/>
            </w:tcBorders>
            <w:vAlign w:val="center"/>
          </w:tcPr>
          <w:p>
            <w:pPr>
              <w:jc w:val="center"/>
              <w:rPr>
                <w:rFonts w:hint="eastAsia" w:ascii="Times New Roman" w:hAnsi="Times New Roman" w:eastAsia="宋体"/>
                <w:color w:val="auto"/>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85" w:type="dxa"/>
            <w:vMerge w:val="continue"/>
            <w:tcBorders>
              <w:left w:val="single" w:color="auto" w:sz="4" w:space="0"/>
              <w:right w:val="single" w:color="auto" w:sz="4" w:space="0"/>
            </w:tcBorders>
            <w:vAlign w:val="center"/>
          </w:tcPr>
          <w:p>
            <w:pPr>
              <w:spacing w:line="240" w:lineRule="atLeast"/>
              <w:jc w:val="center"/>
              <w:rPr>
                <w:rFonts w:ascii="Times New Roman" w:hAnsi="Times New Roman" w:eastAsia="宋体"/>
                <w:color w:val="auto"/>
                <w:sz w:val="24"/>
                <w:szCs w:val="24"/>
              </w:rPr>
            </w:pPr>
          </w:p>
        </w:tc>
        <w:tc>
          <w:tcPr>
            <w:tcW w:w="465" w:type="dxa"/>
            <w:vMerge w:val="continue"/>
            <w:tcBorders>
              <w:left w:val="single" w:color="auto" w:sz="4" w:space="0"/>
            </w:tcBorders>
            <w:vAlign w:val="center"/>
          </w:tcPr>
          <w:p>
            <w:pPr>
              <w:spacing w:line="240" w:lineRule="atLeast"/>
              <w:jc w:val="center"/>
              <w:rPr>
                <w:rFonts w:ascii="Times New Roman" w:hAnsi="Times New Roman" w:eastAsia="宋体"/>
                <w:color w:val="auto"/>
                <w:sz w:val="24"/>
                <w:szCs w:val="24"/>
              </w:rPr>
            </w:pPr>
          </w:p>
        </w:tc>
        <w:tc>
          <w:tcPr>
            <w:tcW w:w="1389" w:type="dxa"/>
            <w:vMerge w:val="continue"/>
            <w:tcBorders/>
            <w:vAlign w:val="center"/>
          </w:tcPr>
          <w:p>
            <w:pPr>
              <w:spacing w:line="240" w:lineRule="atLeast"/>
              <w:jc w:val="center"/>
              <w:rPr>
                <w:rFonts w:hint="eastAsia" w:ascii="Times New Roman" w:hAnsi="Times New Roman" w:eastAsia="宋体"/>
                <w:color w:val="auto"/>
                <w:sz w:val="24"/>
                <w:szCs w:val="24"/>
                <w:lang w:val="en-US" w:eastAsia="zh-CN"/>
              </w:rPr>
            </w:pPr>
          </w:p>
        </w:tc>
        <w:tc>
          <w:tcPr>
            <w:tcW w:w="1632" w:type="dxa"/>
            <w:tcBorders>
              <w:top w:val="single" w:color="auto" w:sz="4" w:space="0"/>
            </w:tcBorders>
            <w:vAlign w:val="center"/>
          </w:tcPr>
          <w:p>
            <w:pPr>
              <w:jc w:val="center"/>
              <w:rPr>
                <w:rFonts w:hint="eastAsia" w:ascii="Times New Roman" w:hAnsi="Times New Roman" w:eastAsia="宋体"/>
                <w:color w:val="000000" w:themeColor="text1"/>
                <w:sz w:val="24"/>
                <w:szCs w:val="24"/>
                <w:lang w:val="en-US" w:eastAsia="zh-CN"/>
                <w14:textFill>
                  <w14:solidFill>
                    <w14:schemeClr w14:val="tx1"/>
                  </w14:solidFill>
                </w14:textFill>
              </w:rPr>
            </w:pPr>
            <w:r>
              <w:rPr>
                <w:rFonts w:hint="eastAsia" w:ascii="Times New Roman" w:hAnsi="Times New Roman" w:eastAsia="宋体"/>
                <w:color w:val="000000" w:themeColor="text1"/>
                <w:sz w:val="24"/>
                <w:szCs w:val="24"/>
                <w14:textFill>
                  <w14:solidFill>
                    <w14:schemeClr w14:val="tx1"/>
                  </w14:solidFill>
                </w14:textFill>
              </w:rPr>
              <w:t>喷锌除尘灰</w:t>
            </w:r>
          </w:p>
        </w:tc>
        <w:tc>
          <w:tcPr>
            <w:tcW w:w="2874" w:type="dxa"/>
            <w:tcBorders>
              <w:top w:val="single" w:color="auto" w:sz="4" w:space="0"/>
              <w:bottom w:val="single" w:color="auto" w:sz="4" w:space="0"/>
            </w:tcBorders>
            <w:vAlign w:val="center"/>
          </w:tcPr>
          <w:p>
            <w:pPr>
              <w:jc w:val="center"/>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olor w:val="000000" w:themeColor="text1"/>
                <w:sz w:val="24"/>
                <w:szCs w:val="24"/>
                <w14:textFill>
                  <w14:solidFill>
                    <w14:schemeClr w14:val="tx1"/>
                  </w14:solidFill>
                </w14:textFill>
              </w:rPr>
              <w:t>交有资质单位处置</w:t>
            </w:r>
          </w:p>
        </w:tc>
        <w:tc>
          <w:tcPr>
            <w:tcW w:w="2628" w:type="dxa"/>
            <w:vMerge w:val="continue"/>
            <w:tcBorders>
              <w:right w:val="single" w:color="auto" w:sz="4" w:space="0"/>
            </w:tcBorders>
            <w:vAlign w:val="center"/>
          </w:tcPr>
          <w:p>
            <w:pPr>
              <w:jc w:val="center"/>
              <w:rPr>
                <w:rFonts w:hint="eastAsia" w:ascii="Times New Roman" w:hAnsi="Times New Roman" w:eastAsia="宋体"/>
                <w:color w:val="auto"/>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85" w:type="dxa"/>
            <w:vMerge w:val="continue"/>
            <w:tcBorders>
              <w:left w:val="single" w:color="auto" w:sz="4" w:space="0"/>
              <w:right w:val="single" w:color="auto" w:sz="4" w:space="0"/>
            </w:tcBorders>
            <w:vAlign w:val="center"/>
          </w:tcPr>
          <w:p>
            <w:pPr>
              <w:spacing w:line="240" w:lineRule="atLeast"/>
              <w:jc w:val="center"/>
              <w:rPr>
                <w:rFonts w:ascii="Times New Roman" w:hAnsi="Times New Roman" w:eastAsia="宋体"/>
                <w:color w:val="auto"/>
                <w:sz w:val="24"/>
                <w:szCs w:val="24"/>
              </w:rPr>
            </w:pPr>
          </w:p>
        </w:tc>
        <w:tc>
          <w:tcPr>
            <w:tcW w:w="465" w:type="dxa"/>
            <w:vMerge w:val="continue"/>
            <w:tcBorders>
              <w:left w:val="single" w:color="auto" w:sz="4" w:space="0"/>
            </w:tcBorders>
            <w:vAlign w:val="center"/>
          </w:tcPr>
          <w:p>
            <w:pPr>
              <w:spacing w:line="240" w:lineRule="atLeast"/>
              <w:jc w:val="center"/>
              <w:rPr>
                <w:rFonts w:ascii="Times New Roman" w:hAnsi="Times New Roman" w:eastAsia="宋体"/>
                <w:color w:val="auto"/>
                <w:sz w:val="24"/>
                <w:szCs w:val="24"/>
              </w:rPr>
            </w:pPr>
          </w:p>
        </w:tc>
        <w:tc>
          <w:tcPr>
            <w:tcW w:w="1389" w:type="dxa"/>
            <w:vMerge w:val="continue"/>
            <w:tcBorders/>
            <w:vAlign w:val="center"/>
          </w:tcPr>
          <w:p>
            <w:pPr>
              <w:spacing w:line="240" w:lineRule="atLeast"/>
              <w:jc w:val="center"/>
              <w:rPr>
                <w:rFonts w:hint="eastAsia" w:ascii="Times New Roman" w:hAnsi="Times New Roman" w:eastAsia="宋体"/>
                <w:color w:val="auto"/>
                <w:sz w:val="24"/>
                <w:szCs w:val="24"/>
                <w:lang w:val="en-US" w:eastAsia="zh-CN"/>
              </w:rPr>
            </w:pPr>
          </w:p>
        </w:tc>
        <w:tc>
          <w:tcPr>
            <w:tcW w:w="1632" w:type="dxa"/>
            <w:tcBorders>
              <w:top w:val="single" w:color="auto" w:sz="4" w:space="0"/>
            </w:tcBorders>
            <w:vAlign w:val="center"/>
          </w:tcPr>
          <w:p>
            <w:pPr>
              <w:jc w:val="center"/>
              <w:rPr>
                <w:rFonts w:hint="eastAsia" w:ascii="Times New Roman" w:hAnsi="Times New Roman" w:eastAsia="宋体"/>
                <w:color w:val="000000" w:themeColor="text1"/>
                <w:sz w:val="24"/>
                <w:szCs w:val="24"/>
                <w:lang w:val="en-US" w:eastAsia="zh-CN"/>
                <w14:textFill>
                  <w14:solidFill>
                    <w14:schemeClr w14:val="tx1"/>
                  </w14:solidFill>
                </w14:textFill>
              </w:rPr>
            </w:pPr>
            <w:r>
              <w:rPr>
                <w:rFonts w:hint="eastAsia" w:ascii="Times New Roman" w:hAnsi="Times New Roman" w:eastAsia="宋体"/>
                <w:color w:val="000000" w:themeColor="text1"/>
                <w:sz w:val="24"/>
                <w:szCs w:val="24"/>
                <w14:textFill>
                  <w14:solidFill>
                    <w14:schemeClr w14:val="tx1"/>
                  </w14:solidFill>
                </w14:textFill>
              </w:rPr>
              <w:t>涂料渣</w:t>
            </w:r>
          </w:p>
        </w:tc>
        <w:tc>
          <w:tcPr>
            <w:tcW w:w="2874" w:type="dxa"/>
            <w:tcBorders>
              <w:top w:val="single" w:color="auto" w:sz="4" w:space="0"/>
              <w:bottom w:val="single" w:color="auto" w:sz="4" w:space="0"/>
            </w:tcBorders>
            <w:vAlign w:val="center"/>
          </w:tcPr>
          <w:p>
            <w:pPr>
              <w:jc w:val="center"/>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olor w:val="000000" w:themeColor="text1"/>
                <w:sz w:val="24"/>
                <w:szCs w:val="24"/>
                <w14:textFill>
                  <w14:solidFill>
                    <w14:schemeClr w14:val="tx1"/>
                  </w14:solidFill>
                </w14:textFill>
              </w:rPr>
              <w:t>铝粉漆渣作腻子使用、其它漆渣交危废处置单位处置</w:t>
            </w:r>
          </w:p>
        </w:tc>
        <w:tc>
          <w:tcPr>
            <w:tcW w:w="2628" w:type="dxa"/>
            <w:vMerge w:val="continue"/>
            <w:tcBorders>
              <w:right w:val="single" w:color="auto" w:sz="4" w:space="0"/>
            </w:tcBorders>
            <w:vAlign w:val="center"/>
          </w:tcPr>
          <w:p>
            <w:pPr>
              <w:jc w:val="center"/>
              <w:rPr>
                <w:rFonts w:hint="eastAsia" w:ascii="Times New Roman" w:hAnsi="Times New Roman" w:eastAsia="宋体"/>
                <w:color w:val="auto"/>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85" w:type="dxa"/>
            <w:vMerge w:val="continue"/>
            <w:tcBorders>
              <w:left w:val="single" w:color="auto" w:sz="4" w:space="0"/>
              <w:right w:val="single" w:color="auto" w:sz="4" w:space="0"/>
            </w:tcBorders>
            <w:vAlign w:val="center"/>
          </w:tcPr>
          <w:p>
            <w:pPr>
              <w:spacing w:line="240" w:lineRule="atLeast"/>
              <w:jc w:val="center"/>
              <w:rPr>
                <w:rFonts w:ascii="Times New Roman" w:hAnsi="Times New Roman" w:eastAsia="宋体"/>
                <w:color w:val="auto"/>
                <w:sz w:val="24"/>
                <w:szCs w:val="24"/>
              </w:rPr>
            </w:pPr>
          </w:p>
        </w:tc>
        <w:tc>
          <w:tcPr>
            <w:tcW w:w="465" w:type="dxa"/>
            <w:vMerge w:val="continue"/>
            <w:tcBorders>
              <w:left w:val="single" w:color="auto" w:sz="4" w:space="0"/>
            </w:tcBorders>
            <w:vAlign w:val="center"/>
          </w:tcPr>
          <w:p>
            <w:pPr>
              <w:spacing w:line="240" w:lineRule="atLeast"/>
              <w:jc w:val="center"/>
              <w:rPr>
                <w:rFonts w:ascii="Times New Roman" w:hAnsi="Times New Roman" w:eastAsia="宋体"/>
                <w:color w:val="auto"/>
                <w:sz w:val="24"/>
                <w:szCs w:val="24"/>
              </w:rPr>
            </w:pPr>
          </w:p>
        </w:tc>
        <w:tc>
          <w:tcPr>
            <w:tcW w:w="1389" w:type="dxa"/>
            <w:vMerge w:val="continue"/>
            <w:tcBorders/>
            <w:vAlign w:val="center"/>
          </w:tcPr>
          <w:p>
            <w:pPr>
              <w:spacing w:line="240" w:lineRule="atLeast"/>
              <w:jc w:val="center"/>
              <w:rPr>
                <w:rFonts w:hint="eastAsia" w:ascii="Times New Roman" w:hAnsi="Times New Roman" w:eastAsia="宋体"/>
                <w:color w:val="auto"/>
                <w:sz w:val="24"/>
                <w:szCs w:val="24"/>
                <w:lang w:val="en-US" w:eastAsia="zh-CN"/>
              </w:rPr>
            </w:pPr>
          </w:p>
        </w:tc>
        <w:tc>
          <w:tcPr>
            <w:tcW w:w="1632" w:type="dxa"/>
            <w:tcBorders>
              <w:top w:val="single" w:color="auto" w:sz="4" w:space="0"/>
            </w:tcBorders>
            <w:vAlign w:val="center"/>
          </w:tcPr>
          <w:p>
            <w:pPr>
              <w:jc w:val="center"/>
              <w:rPr>
                <w:rFonts w:hint="eastAsia" w:ascii="Times New Roman" w:hAnsi="Times New Roman" w:eastAsia="宋体"/>
                <w:color w:val="000000" w:themeColor="text1"/>
                <w:sz w:val="24"/>
                <w:szCs w:val="24"/>
                <w:lang w:val="en-US" w:eastAsia="zh-CN"/>
                <w14:textFill>
                  <w14:solidFill>
                    <w14:schemeClr w14:val="tx1"/>
                  </w14:solidFill>
                </w14:textFill>
              </w:rPr>
            </w:pPr>
            <w:r>
              <w:rPr>
                <w:rFonts w:hint="eastAsia" w:ascii="Times New Roman" w:hAnsi="Times New Roman" w:eastAsia="宋体"/>
                <w:color w:val="000000" w:themeColor="text1"/>
                <w:sz w:val="24"/>
                <w:szCs w:val="24"/>
                <w14:textFill>
                  <w14:solidFill>
                    <w14:schemeClr w14:val="tx1"/>
                  </w14:solidFill>
                </w14:textFill>
              </w:rPr>
              <w:t>废油漆桶</w:t>
            </w:r>
          </w:p>
        </w:tc>
        <w:tc>
          <w:tcPr>
            <w:tcW w:w="2874" w:type="dxa"/>
            <w:tcBorders>
              <w:top w:val="single" w:color="auto" w:sz="4" w:space="0"/>
              <w:bottom w:val="single" w:color="auto" w:sz="4" w:space="0"/>
            </w:tcBorders>
            <w:vAlign w:val="center"/>
          </w:tcPr>
          <w:p>
            <w:pPr>
              <w:jc w:val="center"/>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olor w:val="000000" w:themeColor="text1"/>
                <w:sz w:val="24"/>
                <w:szCs w:val="24"/>
                <w14:textFill>
                  <w14:solidFill>
                    <w14:schemeClr w14:val="tx1"/>
                  </w14:solidFill>
                </w14:textFill>
              </w:rPr>
              <w:t>交有资质单位处置</w:t>
            </w:r>
          </w:p>
        </w:tc>
        <w:tc>
          <w:tcPr>
            <w:tcW w:w="2628" w:type="dxa"/>
            <w:vMerge w:val="continue"/>
            <w:tcBorders>
              <w:right w:val="single" w:color="auto" w:sz="4" w:space="0"/>
            </w:tcBorders>
            <w:vAlign w:val="center"/>
          </w:tcPr>
          <w:p>
            <w:pPr>
              <w:jc w:val="center"/>
              <w:rPr>
                <w:rFonts w:hint="eastAsia" w:ascii="Times New Roman" w:hAnsi="Times New Roman" w:eastAsia="宋体"/>
                <w:color w:val="auto"/>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85" w:type="dxa"/>
            <w:vMerge w:val="continue"/>
            <w:tcBorders>
              <w:left w:val="single" w:color="auto" w:sz="4" w:space="0"/>
              <w:right w:val="single" w:color="auto" w:sz="4" w:space="0"/>
            </w:tcBorders>
            <w:vAlign w:val="center"/>
          </w:tcPr>
          <w:p>
            <w:pPr>
              <w:spacing w:line="240" w:lineRule="atLeast"/>
              <w:jc w:val="center"/>
              <w:rPr>
                <w:rFonts w:ascii="Times New Roman" w:hAnsi="Times New Roman" w:eastAsia="宋体"/>
                <w:color w:val="auto"/>
                <w:sz w:val="24"/>
                <w:szCs w:val="24"/>
              </w:rPr>
            </w:pPr>
          </w:p>
        </w:tc>
        <w:tc>
          <w:tcPr>
            <w:tcW w:w="465" w:type="dxa"/>
            <w:vMerge w:val="continue"/>
            <w:tcBorders>
              <w:left w:val="single" w:color="auto" w:sz="4" w:space="0"/>
            </w:tcBorders>
            <w:vAlign w:val="center"/>
          </w:tcPr>
          <w:p>
            <w:pPr>
              <w:spacing w:line="240" w:lineRule="atLeast"/>
              <w:jc w:val="center"/>
              <w:rPr>
                <w:rFonts w:ascii="Times New Roman" w:hAnsi="Times New Roman" w:eastAsia="宋体"/>
                <w:color w:val="auto"/>
                <w:sz w:val="24"/>
                <w:szCs w:val="24"/>
              </w:rPr>
            </w:pPr>
          </w:p>
        </w:tc>
        <w:tc>
          <w:tcPr>
            <w:tcW w:w="1389" w:type="dxa"/>
            <w:vMerge w:val="continue"/>
            <w:tcBorders/>
            <w:vAlign w:val="center"/>
          </w:tcPr>
          <w:p>
            <w:pPr>
              <w:spacing w:line="240" w:lineRule="atLeast"/>
              <w:jc w:val="center"/>
              <w:rPr>
                <w:rFonts w:hint="eastAsia" w:ascii="Times New Roman" w:hAnsi="Times New Roman" w:eastAsia="宋体"/>
                <w:color w:val="auto"/>
                <w:sz w:val="24"/>
                <w:szCs w:val="24"/>
                <w:lang w:val="en-US" w:eastAsia="zh-CN"/>
              </w:rPr>
            </w:pPr>
          </w:p>
        </w:tc>
        <w:tc>
          <w:tcPr>
            <w:tcW w:w="1632" w:type="dxa"/>
            <w:tcBorders>
              <w:top w:val="single" w:color="auto" w:sz="4" w:space="0"/>
            </w:tcBorders>
            <w:vAlign w:val="center"/>
          </w:tcPr>
          <w:p>
            <w:pPr>
              <w:jc w:val="center"/>
              <w:rPr>
                <w:rFonts w:hint="eastAsia" w:ascii="Times New Roman" w:hAnsi="Times New Roman" w:eastAsia="宋体"/>
                <w:color w:val="auto"/>
                <w:sz w:val="24"/>
                <w:szCs w:val="24"/>
                <w:lang w:val="en-US" w:eastAsia="zh-CN"/>
              </w:rPr>
            </w:pPr>
            <w:r>
              <w:rPr>
                <w:rFonts w:hint="eastAsia" w:ascii="Times New Roman" w:hAnsi="Times New Roman" w:eastAsia="宋体"/>
                <w:color w:val="000000"/>
                <w:sz w:val="24"/>
                <w:szCs w:val="24"/>
              </w:rPr>
              <w:t>废活性炭</w:t>
            </w:r>
          </w:p>
        </w:tc>
        <w:tc>
          <w:tcPr>
            <w:tcW w:w="2874" w:type="dxa"/>
            <w:tcBorders>
              <w:top w:val="single" w:color="auto" w:sz="4" w:space="0"/>
              <w:bottom w:val="single" w:color="auto" w:sz="4" w:space="0"/>
            </w:tcBorders>
            <w:vAlign w:val="center"/>
          </w:tcPr>
          <w:p>
            <w:pPr>
              <w:jc w:val="center"/>
              <w:rPr>
                <w:rFonts w:hint="eastAsia" w:ascii="Times New Roman" w:hAnsi="Times New Roman" w:eastAsia="宋体" w:cs="Times New Roman"/>
                <w:color w:val="auto"/>
                <w:sz w:val="24"/>
                <w:szCs w:val="24"/>
                <w:lang w:val="en-US" w:eastAsia="zh-CN"/>
              </w:rPr>
            </w:pPr>
            <w:r>
              <w:rPr>
                <w:rFonts w:hint="eastAsia" w:ascii="Times New Roman" w:hAnsi="Times New Roman" w:eastAsia="宋体"/>
                <w:color w:val="000000"/>
                <w:sz w:val="24"/>
                <w:szCs w:val="24"/>
              </w:rPr>
              <w:t>作炼铁燃料使用</w:t>
            </w:r>
          </w:p>
        </w:tc>
        <w:tc>
          <w:tcPr>
            <w:tcW w:w="2628" w:type="dxa"/>
            <w:vMerge w:val="continue"/>
            <w:tcBorders>
              <w:right w:val="single" w:color="auto" w:sz="4" w:space="0"/>
            </w:tcBorders>
            <w:vAlign w:val="center"/>
          </w:tcPr>
          <w:p>
            <w:pPr>
              <w:jc w:val="center"/>
              <w:rPr>
                <w:rFonts w:hint="eastAsia" w:ascii="Times New Roman" w:hAnsi="Times New Roman" w:eastAsia="宋体"/>
                <w:color w:val="auto"/>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385" w:type="dxa"/>
            <w:vMerge w:val="continue"/>
            <w:tcBorders>
              <w:left w:val="single" w:color="auto" w:sz="4" w:space="0"/>
              <w:right w:val="single" w:color="auto" w:sz="4" w:space="0"/>
            </w:tcBorders>
            <w:vAlign w:val="center"/>
          </w:tcPr>
          <w:p>
            <w:pPr>
              <w:spacing w:line="240" w:lineRule="atLeast"/>
              <w:jc w:val="center"/>
              <w:rPr>
                <w:rFonts w:ascii="Times New Roman" w:hAnsi="Times New Roman" w:eastAsia="宋体"/>
                <w:color w:val="auto"/>
                <w:sz w:val="24"/>
                <w:szCs w:val="24"/>
              </w:rPr>
            </w:pPr>
          </w:p>
        </w:tc>
        <w:tc>
          <w:tcPr>
            <w:tcW w:w="465" w:type="dxa"/>
            <w:vMerge w:val="continue"/>
            <w:tcBorders>
              <w:left w:val="single" w:color="auto" w:sz="4" w:space="0"/>
            </w:tcBorders>
            <w:vAlign w:val="center"/>
          </w:tcPr>
          <w:p>
            <w:pPr>
              <w:spacing w:line="240" w:lineRule="atLeast"/>
              <w:jc w:val="center"/>
              <w:rPr>
                <w:rFonts w:ascii="Times New Roman" w:hAnsi="Times New Roman" w:eastAsia="宋体"/>
                <w:color w:val="auto"/>
                <w:sz w:val="24"/>
                <w:szCs w:val="24"/>
              </w:rPr>
            </w:pPr>
          </w:p>
        </w:tc>
        <w:tc>
          <w:tcPr>
            <w:tcW w:w="1389" w:type="dxa"/>
            <w:vMerge w:val="continue"/>
            <w:tcBorders/>
            <w:vAlign w:val="center"/>
          </w:tcPr>
          <w:p>
            <w:pPr>
              <w:spacing w:line="240" w:lineRule="atLeast"/>
              <w:jc w:val="center"/>
              <w:rPr>
                <w:rFonts w:hint="eastAsia" w:ascii="Times New Roman" w:hAnsi="Times New Roman" w:eastAsia="宋体"/>
                <w:color w:val="auto"/>
                <w:sz w:val="24"/>
                <w:szCs w:val="24"/>
                <w:lang w:val="en-US" w:eastAsia="zh-CN"/>
              </w:rPr>
            </w:pPr>
          </w:p>
        </w:tc>
        <w:tc>
          <w:tcPr>
            <w:tcW w:w="1632" w:type="dxa"/>
            <w:tcBorders>
              <w:top w:val="single" w:color="auto" w:sz="4" w:space="0"/>
            </w:tcBorders>
            <w:vAlign w:val="center"/>
          </w:tcPr>
          <w:p>
            <w:pPr>
              <w:jc w:val="center"/>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生活垃圾</w:t>
            </w:r>
          </w:p>
        </w:tc>
        <w:tc>
          <w:tcPr>
            <w:tcW w:w="2874" w:type="dxa"/>
            <w:tcBorders>
              <w:top w:val="single" w:color="auto" w:sz="4" w:space="0"/>
              <w:bottom w:val="single" w:color="auto" w:sz="4" w:space="0"/>
            </w:tcBorders>
            <w:vAlign w:val="center"/>
          </w:tcPr>
          <w:p>
            <w:pPr>
              <w:pStyle w:val="27"/>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环卫部门清运</w:t>
            </w:r>
          </w:p>
        </w:tc>
        <w:tc>
          <w:tcPr>
            <w:tcW w:w="2628" w:type="dxa"/>
            <w:vMerge w:val="continue"/>
            <w:tcBorders>
              <w:right w:val="single" w:color="auto" w:sz="4" w:space="0"/>
            </w:tcBorders>
            <w:vAlign w:val="center"/>
          </w:tcPr>
          <w:p>
            <w:pPr>
              <w:jc w:val="center"/>
              <w:rPr>
                <w:rFonts w:hint="eastAsia" w:ascii="Times New Roman" w:hAnsi="Times New Roman" w:eastAsia="宋体"/>
                <w:color w:val="auto"/>
                <w:sz w:val="24"/>
                <w:szCs w:val="24"/>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62" w:hRule="atLeast"/>
          <w:jc w:val="center"/>
        </w:trPr>
        <w:tc>
          <w:tcPr>
            <w:tcW w:w="385" w:type="dxa"/>
            <w:vMerge w:val="continue"/>
            <w:tcBorders>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napToGrid/>
              <w:spacing w:line="360" w:lineRule="auto"/>
              <w:jc w:val="center"/>
              <w:textAlignment w:val="auto"/>
              <w:rPr>
                <w:rFonts w:ascii="Times New Roman" w:hAnsi="Times New Roman" w:eastAsia="宋体"/>
                <w:color w:val="auto"/>
                <w:sz w:val="24"/>
                <w:szCs w:val="24"/>
              </w:rPr>
            </w:pPr>
          </w:p>
        </w:tc>
        <w:tc>
          <w:tcPr>
            <w:tcW w:w="46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napToGrid/>
              <w:spacing w:line="360" w:lineRule="auto"/>
              <w:jc w:val="center"/>
              <w:textAlignment w:val="auto"/>
              <w:rPr>
                <w:rFonts w:ascii="Times New Roman" w:hAnsi="Times New Roman" w:eastAsia="宋体"/>
                <w:color w:val="auto"/>
                <w:sz w:val="24"/>
                <w:szCs w:val="24"/>
              </w:rPr>
            </w:pPr>
            <w:r>
              <w:rPr>
                <w:rFonts w:ascii="Times New Roman" w:hAnsi="Times New Roman" w:eastAsia="宋体"/>
                <w:color w:val="auto"/>
                <w:sz w:val="24"/>
                <w:szCs w:val="24"/>
              </w:rPr>
              <w:t>噪</w:t>
            </w:r>
          </w:p>
          <w:p>
            <w:pPr>
              <w:keepNext w:val="0"/>
              <w:keepLines w:val="0"/>
              <w:pageBreakBefore w:val="0"/>
              <w:widowControl w:val="0"/>
              <w:kinsoku/>
              <w:wordWrap/>
              <w:overflowPunct/>
              <w:topLinePunct w:val="0"/>
              <w:bidi w:val="0"/>
              <w:snapToGrid/>
              <w:spacing w:line="360" w:lineRule="auto"/>
              <w:jc w:val="center"/>
              <w:textAlignment w:val="auto"/>
              <w:rPr>
                <w:rFonts w:ascii="Times New Roman" w:hAnsi="Times New Roman" w:eastAsia="宋体" w:cs="Times New Roman"/>
                <w:color w:val="auto"/>
                <w:kern w:val="2"/>
                <w:sz w:val="24"/>
                <w:szCs w:val="24"/>
                <w:lang w:val="en-US" w:eastAsia="zh-CN" w:bidi="ar-SA"/>
              </w:rPr>
            </w:pPr>
            <w:r>
              <w:rPr>
                <w:rFonts w:ascii="Times New Roman" w:hAnsi="Times New Roman" w:eastAsia="宋体"/>
                <w:color w:val="auto"/>
                <w:sz w:val="24"/>
                <w:szCs w:val="24"/>
              </w:rPr>
              <w:t>声</w:t>
            </w:r>
          </w:p>
        </w:tc>
        <w:tc>
          <w:tcPr>
            <w:tcW w:w="8523"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napToGrid/>
              <w:spacing w:line="360" w:lineRule="auto"/>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营运期项目厂界噪声可满足《工业企业厂界环境噪声排放标准》（GB12348-2008）中的</w:t>
            </w:r>
            <w:r>
              <w:rPr>
                <w:rFonts w:hint="eastAsia" w:ascii="Times New Roman" w:hAnsi="Times New Roman" w:eastAsia="宋体"/>
                <w:color w:val="auto"/>
                <w:sz w:val="24"/>
                <w:szCs w:val="24"/>
              </w:rPr>
              <w:t>3类</w:t>
            </w:r>
            <w:r>
              <w:rPr>
                <w:rFonts w:ascii="Times New Roman" w:hAnsi="Times New Roman" w:eastAsia="宋体"/>
                <w:color w:val="auto"/>
                <w:sz w:val="24"/>
                <w:szCs w:val="24"/>
              </w:rPr>
              <w:t>区标准要求。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62" w:hRule="atLeast"/>
          <w:jc w:val="center"/>
        </w:trPr>
        <w:tc>
          <w:tcPr>
            <w:tcW w:w="9373" w:type="dxa"/>
            <w:gridSpan w:val="6"/>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napToGrid/>
              <w:spacing w:line="360" w:lineRule="auto"/>
              <w:textAlignment w:val="auto"/>
              <w:rPr>
                <w:rFonts w:ascii="Times New Roman" w:hAnsi="Times New Roman" w:eastAsia="宋体"/>
                <w:b/>
                <w:bCs/>
                <w:color w:val="auto"/>
                <w:sz w:val="24"/>
                <w:szCs w:val="24"/>
              </w:rPr>
            </w:pPr>
            <w:r>
              <w:rPr>
                <w:rFonts w:ascii="Times New Roman" w:hAnsi="Times New Roman" w:eastAsia="宋体"/>
                <w:b/>
                <w:bCs/>
                <w:color w:val="auto"/>
                <w:sz w:val="24"/>
                <w:szCs w:val="24"/>
              </w:rPr>
              <w:t>生态保护措施及预期效果：</w:t>
            </w:r>
          </w:p>
          <w:p>
            <w:pPr>
              <w:keepNext w:val="0"/>
              <w:keepLines w:val="0"/>
              <w:pageBreakBefore w:val="0"/>
              <w:widowControl w:val="0"/>
              <w:kinsoku/>
              <w:wordWrap/>
              <w:overflowPunct/>
              <w:topLinePunct w:val="0"/>
              <w:bidi w:val="0"/>
              <w:snapToGrid/>
              <w:spacing w:line="360" w:lineRule="auto"/>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在项目正式运营之后，对项目内产生的各种污染物均采取了相关的措施进行处置，对外界环境影响较小，不会改变项目区的环境功能。</w:t>
            </w:r>
          </w:p>
          <w:p>
            <w:pPr>
              <w:pStyle w:val="2"/>
              <w:keepNext w:val="0"/>
              <w:keepLines w:val="0"/>
              <w:pageBreakBefore w:val="0"/>
              <w:widowControl w:val="0"/>
              <w:kinsoku/>
              <w:wordWrap/>
              <w:overflowPunct/>
              <w:topLinePunct w:val="0"/>
              <w:bidi w:val="0"/>
              <w:snapToGrid/>
              <w:spacing w:line="360" w:lineRule="auto"/>
              <w:textAlignment w:val="auto"/>
              <w:rPr>
                <w:rFonts w:ascii="Times New Roman" w:hAnsi="Times New Roman" w:eastAsia="宋体"/>
                <w:color w:val="auto"/>
                <w:sz w:val="24"/>
                <w:szCs w:val="24"/>
              </w:rPr>
            </w:pPr>
          </w:p>
          <w:p>
            <w:pPr>
              <w:pStyle w:val="2"/>
              <w:keepNext w:val="0"/>
              <w:keepLines w:val="0"/>
              <w:pageBreakBefore w:val="0"/>
              <w:widowControl w:val="0"/>
              <w:kinsoku/>
              <w:wordWrap/>
              <w:overflowPunct/>
              <w:topLinePunct w:val="0"/>
              <w:bidi w:val="0"/>
              <w:snapToGrid/>
              <w:spacing w:line="360" w:lineRule="auto"/>
              <w:textAlignment w:val="auto"/>
              <w:rPr>
                <w:rFonts w:ascii="Times New Roman" w:hAnsi="Times New Roman" w:eastAsia="宋体"/>
                <w:color w:val="auto"/>
                <w:sz w:val="24"/>
                <w:szCs w:val="24"/>
              </w:rPr>
            </w:pPr>
          </w:p>
          <w:p>
            <w:pPr>
              <w:pStyle w:val="2"/>
              <w:keepNext w:val="0"/>
              <w:keepLines w:val="0"/>
              <w:pageBreakBefore w:val="0"/>
              <w:widowControl w:val="0"/>
              <w:kinsoku/>
              <w:wordWrap/>
              <w:overflowPunct/>
              <w:topLinePunct w:val="0"/>
              <w:bidi w:val="0"/>
              <w:snapToGrid/>
              <w:spacing w:line="360" w:lineRule="auto"/>
              <w:textAlignment w:val="auto"/>
              <w:rPr>
                <w:rFonts w:ascii="Times New Roman" w:hAnsi="Times New Roman" w:eastAsia="宋体"/>
                <w:color w:val="auto"/>
                <w:sz w:val="24"/>
                <w:szCs w:val="24"/>
              </w:rPr>
            </w:pPr>
          </w:p>
          <w:p>
            <w:pPr>
              <w:pStyle w:val="2"/>
              <w:keepNext w:val="0"/>
              <w:keepLines w:val="0"/>
              <w:pageBreakBefore w:val="0"/>
              <w:widowControl w:val="0"/>
              <w:kinsoku/>
              <w:wordWrap/>
              <w:overflowPunct/>
              <w:topLinePunct w:val="0"/>
              <w:bidi w:val="0"/>
              <w:snapToGrid/>
              <w:spacing w:line="360" w:lineRule="auto"/>
              <w:textAlignment w:val="auto"/>
              <w:rPr>
                <w:rFonts w:ascii="Times New Roman" w:hAnsi="Times New Roman" w:eastAsia="宋体"/>
                <w:color w:val="auto"/>
                <w:sz w:val="24"/>
                <w:szCs w:val="24"/>
              </w:rPr>
            </w:pPr>
          </w:p>
          <w:p>
            <w:pPr>
              <w:pStyle w:val="2"/>
              <w:keepNext w:val="0"/>
              <w:keepLines w:val="0"/>
              <w:pageBreakBefore w:val="0"/>
              <w:widowControl w:val="0"/>
              <w:kinsoku/>
              <w:wordWrap/>
              <w:overflowPunct/>
              <w:topLinePunct w:val="0"/>
              <w:bidi w:val="0"/>
              <w:snapToGrid/>
              <w:spacing w:line="360" w:lineRule="auto"/>
              <w:textAlignment w:val="auto"/>
              <w:rPr>
                <w:rFonts w:ascii="Times New Roman" w:hAnsi="Times New Roman" w:eastAsia="宋体"/>
                <w:color w:val="auto"/>
                <w:sz w:val="24"/>
                <w:szCs w:val="24"/>
              </w:rPr>
            </w:pPr>
          </w:p>
          <w:p>
            <w:pPr>
              <w:pStyle w:val="2"/>
              <w:keepNext w:val="0"/>
              <w:keepLines w:val="0"/>
              <w:pageBreakBefore w:val="0"/>
              <w:widowControl w:val="0"/>
              <w:kinsoku/>
              <w:wordWrap/>
              <w:overflowPunct/>
              <w:topLinePunct w:val="0"/>
              <w:bidi w:val="0"/>
              <w:snapToGrid/>
              <w:spacing w:line="360" w:lineRule="auto"/>
              <w:textAlignment w:val="auto"/>
              <w:rPr>
                <w:rFonts w:ascii="Times New Roman" w:hAnsi="Times New Roman" w:eastAsia="宋体"/>
                <w:color w:val="auto"/>
                <w:sz w:val="24"/>
                <w:szCs w:val="24"/>
              </w:rPr>
            </w:pPr>
          </w:p>
          <w:p>
            <w:pPr>
              <w:pStyle w:val="2"/>
              <w:keepNext w:val="0"/>
              <w:keepLines w:val="0"/>
              <w:pageBreakBefore w:val="0"/>
              <w:widowControl w:val="0"/>
              <w:kinsoku/>
              <w:wordWrap/>
              <w:overflowPunct/>
              <w:topLinePunct w:val="0"/>
              <w:bidi w:val="0"/>
              <w:snapToGrid/>
              <w:spacing w:line="360" w:lineRule="auto"/>
              <w:textAlignment w:val="auto"/>
              <w:rPr>
                <w:rFonts w:ascii="Times New Roman" w:hAnsi="Times New Roman" w:eastAsia="宋体"/>
                <w:color w:val="auto"/>
                <w:sz w:val="24"/>
                <w:szCs w:val="24"/>
              </w:rPr>
            </w:pPr>
          </w:p>
          <w:p>
            <w:pPr>
              <w:pStyle w:val="2"/>
              <w:keepNext w:val="0"/>
              <w:keepLines w:val="0"/>
              <w:pageBreakBefore w:val="0"/>
              <w:widowControl w:val="0"/>
              <w:kinsoku/>
              <w:wordWrap/>
              <w:overflowPunct/>
              <w:topLinePunct w:val="0"/>
              <w:bidi w:val="0"/>
              <w:snapToGrid/>
              <w:spacing w:line="360" w:lineRule="auto"/>
              <w:textAlignment w:val="auto"/>
              <w:rPr>
                <w:rFonts w:ascii="Times New Roman" w:hAnsi="Times New Roman" w:eastAsia="宋体"/>
                <w:color w:val="auto"/>
                <w:sz w:val="24"/>
                <w:szCs w:val="24"/>
              </w:rPr>
            </w:pPr>
          </w:p>
          <w:p>
            <w:pPr>
              <w:pStyle w:val="2"/>
              <w:keepNext w:val="0"/>
              <w:keepLines w:val="0"/>
              <w:pageBreakBefore w:val="0"/>
              <w:widowControl w:val="0"/>
              <w:kinsoku/>
              <w:wordWrap/>
              <w:overflowPunct/>
              <w:topLinePunct w:val="0"/>
              <w:bidi w:val="0"/>
              <w:snapToGrid/>
              <w:spacing w:line="360" w:lineRule="auto"/>
              <w:textAlignment w:val="auto"/>
              <w:rPr>
                <w:rFonts w:ascii="Times New Roman" w:hAnsi="Times New Roman" w:eastAsia="宋体"/>
                <w:color w:val="auto"/>
                <w:sz w:val="24"/>
                <w:szCs w:val="24"/>
              </w:rPr>
            </w:pPr>
          </w:p>
          <w:p>
            <w:pPr>
              <w:pStyle w:val="2"/>
              <w:keepNext w:val="0"/>
              <w:keepLines w:val="0"/>
              <w:pageBreakBefore w:val="0"/>
              <w:widowControl w:val="0"/>
              <w:kinsoku/>
              <w:wordWrap/>
              <w:overflowPunct/>
              <w:topLinePunct w:val="0"/>
              <w:bidi w:val="0"/>
              <w:snapToGrid/>
              <w:spacing w:line="360" w:lineRule="auto"/>
              <w:textAlignment w:val="auto"/>
              <w:rPr>
                <w:rFonts w:ascii="Times New Roman" w:hAnsi="Times New Roman" w:eastAsia="宋体"/>
                <w:color w:val="auto"/>
                <w:sz w:val="24"/>
                <w:szCs w:val="24"/>
              </w:rPr>
            </w:pPr>
          </w:p>
          <w:p>
            <w:pPr>
              <w:pStyle w:val="2"/>
              <w:keepNext w:val="0"/>
              <w:keepLines w:val="0"/>
              <w:pageBreakBefore w:val="0"/>
              <w:widowControl w:val="0"/>
              <w:kinsoku/>
              <w:wordWrap/>
              <w:overflowPunct/>
              <w:topLinePunct w:val="0"/>
              <w:bidi w:val="0"/>
              <w:snapToGrid/>
              <w:spacing w:line="360" w:lineRule="auto"/>
              <w:textAlignment w:val="auto"/>
              <w:rPr>
                <w:rFonts w:ascii="Times New Roman" w:hAnsi="Times New Roman" w:eastAsia="宋体"/>
                <w:color w:val="auto"/>
                <w:sz w:val="24"/>
                <w:szCs w:val="24"/>
              </w:rPr>
            </w:pPr>
          </w:p>
          <w:p>
            <w:pPr>
              <w:pStyle w:val="2"/>
              <w:keepNext w:val="0"/>
              <w:keepLines w:val="0"/>
              <w:pageBreakBefore w:val="0"/>
              <w:widowControl w:val="0"/>
              <w:kinsoku/>
              <w:wordWrap/>
              <w:overflowPunct/>
              <w:topLinePunct w:val="0"/>
              <w:bidi w:val="0"/>
              <w:snapToGrid/>
              <w:spacing w:line="360" w:lineRule="auto"/>
              <w:textAlignment w:val="auto"/>
              <w:rPr>
                <w:rFonts w:ascii="Times New Roman" w:hAnsi="Times New Roman" w:eastAsia="宋体"/>
                <w:color w:val="auto"/>
                <w:sz w:val="24"/>
                <w:szCs w:val="24"/>
              </w:rPr>
            </w:pPr>
          </w:p>
          <w:p>
            <w:pPr>
              <w:pStyle w:val="2"/>
              <w:keepNext w:val="0"/>
              <w:keepLines w:val="0"/>
              <w:pageBreakBefore w:val="0"/>
              <w:widowControl w:val="0"/>
              <w:kinsoku/>
              <w:wordWrap/>
              <w:overflowPunct/>
              <w:topLinePunct w:val="0"/>
              <w:bidi w:val="0"/>
              <w:snapToGrid/>
              <w:spacing w:line="360" w:lineRule="auto"/>
              <w:textAlignment w:val="auto"/>
              <w:rPr>
                <w:rFonts w:ascii="Times New Roman" w:hAnsi="Times New Roman" w:eastAsia="宋体"/>
                <w:color w:val="auto"/>
                <w:sz w:val="24"/>
                <w:szCs w:val="24"/>
              </w:rPr>
            </w:pPr>
          </w:p>
          <w:p>
            <w:pPr>
              <w:pStyle w:val="2"/>
              <w:keepNext w:val="0"/>
              <w:keepLines w:val="0"/>
              <w:pageBreakBefore w:val="0"/>
              <w:widowControl w:val="0"/>
              <w:kinsoku/>
              <w:wordWrap/>
              <w:overflowPunct/>
              <w:topLinePunct w:val="0"/>
              <w:bidi w:val="0"/>
              <w:snapToGrid/>
              <w:spacing w:line="360" w:lineRule="auto"/>
              <w:textAlignment w:val="auto"/>
              <w:rPr>
                <w:rFonts w:ascii="Times New Roman" w:hAnsi="Times New Roman" w:eastAsia="宋体"/>
                <w:color w:val="auto"/>
                <w:sz w:val="24"/>
                <w:szCs w:val="24"/>
              </w:rPr>
            </w:pPr>
          </w:p>
          <w:p>
            <w:pPr>
              <w:pStyle w:val="2"/>
              <w:keepNext w:val="0"/>
              <w:keepLines w:val="0"/>
              <w:pageBreakBefore w:val="0"/>
              <w:widowControl w:val="0"/>
              <w:kinsoku/>
              <w:wordWrap/>
              <w:overflowPunct/>
              <w:topLinePunct w:val="0"/>
              <w:bidi w:val="0"/>
              <w:snapToGrid/>
              <w:spacing w:line="360" w:lineRule="auto"/>
              <w:textAlignment w:val="auto"/>
              <w:rPr>
                <w:rFonts w:ascii="Times New Roman" w:hAnsi="Times New Roman" w:eastAsia="宋体"/>
                <w:color w:val="auto"/>
                <w:sz w:val="24"/>
                <w:szCs w:val="24"/>
              </w:rPr>
            </w:pPr>
          </w:p>
          <w:p>
            <w:pPr>
              <w:pStyle w:val="2"/>
              <w:keepNext w:val="0"/>
              <w:keepLines w:val="0"/>
              <w:pageBreakBefore w:val="0"/>
              <w:widowControl w:val="0"/>
              <w:kinsoku/>
              <w:wordWrap/>
              <w:overflowPunct/>
              <w:topLinePunct w:val="0"/>
              <w:bidi w:val="0"/>
              <w:snapToGrid/>
              <w:spacing w:line="360" w:lineRule="auto"/>
              <w:textAlignment w:val="auto"/>
              <w:rPr>
                <w:rFonts w:ascii="Times New Roman" w:hAnsi="Times New Roman" w:eastAsia="宋体"/>
                <w:color w:val="auto"/>
                <w:sz w:val="24"/>
                <w:szCs w:val="24"/>
              </w:rPr>
            </w:pPr>
          </w:p>
          <w:p>
            <w:pPr>
              <w:pStyle w:val="2"/>
              <w:keepNext w:val="0"/>
              <w:keepLines w:val="0"/>
              <w:pageBreakBefore w:val="0"/>
              <w:widowControl w:val="0"/>
              <w:kinsoku/>
              <w:wordWrap/>
              <w:overflowPunct/>
              <w:topLinePunct w:val="0"/>
              <w:bidi w:val="0"/>
              <w:snapToGrid/>
              <w:spacing w:line="360" w:lineRule="auto"/>
              <w:textAlignment w:val="auto"/>
              <w:rPr>
                <w:rFonts w:ascii="Times New Roman" w:hAnsi="Times New Roman" w:eastAsia="宋体"/>
                <w:color w:val="auto"/>
                <w:sz w:val="24"/>
                <w:szCs w:val="24"/>
              </w:rPr>
            </w:pPr>
          </w:p>
          <w:p>
            <w:pPr>
              <w:pStyle w:val="2"/>
              <w:keepNext w:val="0"/>
              <w:keepLines w:val="0"/>
              <w:pageBreakBefore w:val="0"/>
              <w:widowControl w:val="0"/>
              <w:kinsoku/>
              <w:wordWrap/>
              <w:overflowPunct/>
              <w:topLinePunct w:val="0"/>
              <w:bidi w:val="0"/>
              <w:snapToGrid/>
              <w:spacing w:line="360" w:lineRule="auto"/>
              <w:textAlignment w:val="auto"/>
              <w:rPr>
                <w:rFonts w:ascii="Times New Roman" w:hAnsi="Times New Roman" w:eastAsia="宋体"/>
                <w:color w:val="auto"/>
                <w:sz w:val="24"/>
                <w:szCs w:val="24"/>
              </w:rPr>
            </w:pPr>
          </w:p>
          <w:p>
            <w:pPr>
              <w:pStyle w:val="2"/>
              <w:keepNext w:val="0"/>
              <w:keepLines w:val="0"/>
              <w:pageBreakBefore w:val="0"/>
              <w:widowControl w:val="0"/>
              <w:kinsoku/>
              <w:wordWrap/>
              <w:overflowPunct/>
              <w:topLinePunct w:val="0"/>
              <w:bidi w:val="0"/>
              <w:snapToGrid/>
              <w:spacing w:line="360" w:lineRule="auto"/>
              <w:textAlignment w:val="auto"/>
              <w:rPr>
                <w:rFonts w:ascii="Times New Roman" w:hAnsi="Times New Roman" w:eastAsia="宋体"/>
                <w:color w:val="auto"/>
                <w:sz w:val="24"/>
                <w:szCs w:val="24"/>
              </w:rPr>
            </w:pPr>
          </w:p>
          <w:p>
            <w:pPr>
              <w:pStyle w:val="2"/>
              <w:keepNext w:val="0"/>
              <w:keepLines w:val="0"/>
              <w:pageBreakBefore w:val="0"/>
              <w:widowControl w:val="0"/>
              <w:kinsoku/>
              <w:wordWrap/>
              <w:overflowPunct/>
              <w:topLinePunct w:val="0"/>
              <w:bidi w:val="0"/>
              <w:snapToGrid/>
              <w:spacing w:line="360" w:lineRule="auto"/>
              <w:textAlignment w:val="auto"/>
              <w:rPr>
                <w:rFonts w:ascii="Times New Roman" w:hAnsi="Times New Roman" w:eastAsia="宋体"/>
                <w:color w:val="auto"/>
                <w:sz w:val="24"/>
                <w:szCs w:val="24"/>
              </w:rPr>
            </w:pPr>
          </w:p>
          <w:p>
            <w:pPr>
              <w:pStyle w:val="2"/>
              <w:keepNext w:val="0"/>
              <w:keepLines w:val="0"/>
              <w:pageBreakBefore w:val="0"/>
              <w:widowControl w:val="0"/>
              <w:kinsoku/>
              <w:wordWrap/>
              <w:overflowPunct/>
              <w:topLinePunct w:val="0"/>
              <w:bidi w:val="0"/>
              <w:snapToGrid/>
              <w:spacing w:line="360" w:lineRule="auto"/>
              <w:textAlignment w:val="auto"/>
              <w:rPr>
                <w:rFonts w:ascii="Times New Roman" w:hAnsi="Times New Roman" w:eastAsia="宋体"/>
                <w:color w:val="auto"/>
                <w:sz w:val="24"/>
                <w:szCs w:val="24"/>
              </w:rPr>
            </w:pPr>
          </w:p>
          <w:p>
            <w:pPr>
              <w:pStyle w:val="2"/>
              <w:keepNext w:val="0"/>
              <w:keepLines w:val="0"/>
              <w:pageBreakBefore w:val="0"/>
              <w:widowControl w:val="0"/>
              <w:kinsoku/>
              <w:wordWrap/>
              <w:overflowPunct/>
              <w:topLinePunct w:val="0"/>
              <w:bidi w:val="0"/>
              <w:snapToGrid/>
              <w:spacing w:line="360" w:lineRule="auto"/>
              <w:textAlignment w:val="auto"/>
              <w:rPr>
                <w:rFonts w:ascii="Times New Roman" w:hAnsi="Times New Roman" w:eastAsia="宋体"/>
                <w:color w:val="auto"/>
                <w:sz w:val="24"/>
                <w:szCs w:val="24"/>
              </w:rPr>
            </w:pPr>
          </w:p>
          <w:p>
            <w:pPr>
              <w:pStyle w:val="2"/>
              <w:keepNext w:val="0"/>
              <w:keepLines w:val="0"/>
              <w:pageBreakBefore w:val="0"/>
              <w:widowControl w:val="0"/>
              <w:kinsoku/>
              <w:wordWrap/>
              <w:overflowPunct/>
              <w:topLinePunct w:val="0"/>
              <w:bidi w:val="0"/>
              <w:snapToGrid/>
              <w:spacing w:line="360" w:lineRule="auto"/>
              <w:textAlignment w:val="auto"/>
              <w:rPr>
                <w:rFonts w:ascii="Times New Roman" w:hAnsi="Times New Roman" w:eastAsia="宋体"/>
                <w:color w:val="auto"/>
                <w:sz w:val="24"/>
                <w:szCs w:val="24"/>
              </w:rPr>
            </w:pPr>
          </w:p>
          <w:p>
            <w:pPr>
              <w:pStyle w:val="2"/>
              <w:keepNext w:val="0"/>
              <w:keepLines w:val="0"/>
              <w:pageBreakBefore w:val="0"/>
              <w:widowControl w:val="0"/>
              <w:kinsoku/>
              <w:wordWrap/>
              <w:overflowPunct/>
              <w:topLinePunct w:val="0"/>
              <w:bidi w:val="0"/>
              <w:snapToGrid/>
              <w:spacing w:line="360" w:lineRule="auto"/>
              <w:jc w:val="both"/>
              <w:textAlignment w:val="auto"/>
              <w:rPr>
                <w:rFonts w:ascii="Times New Roman" w:hAnsi="Times New Roman" w:eastAsia="宋体"/>
                <w:color w:val="auto"/>
                <w:sz w:val="24"/>
                <w:szCs w:val="24"/>
              </w:rPr>
            </w:pPr>
          </w:p>
        </w:tc>
      </w:tr>
    </w:tbl>
    <w:p>
      <w:pPr>
        <w:pStyle w:val="3"/>
        <w:rPr>
          <w:rFonts w:ascii="Times New Roman" w:hAnsi="Times New Roman" w:eastAsia="宋体"/>
          <w:color w:val="auto"/>
        </w:rPr>
      </w:pPr>
      <w:r>
        <w:rPr>
          <w:rFonts w:ascii="Times New Roman" w:hAnsi="Times New Roman" w:eastAsia="宋体"/>
          <w:color w:val="auto"/>
          <w:sz w:val="28"/>
          <w:highlight w:val="yellow"/>
        </w:rPr>
        <w:br w:type="page"/>
      </w:r>
      <w:r>
        <w:rPr>
          <w:rFonts w:ascii="Times New Roman" w:hAnsi="Times New Roman" w:eastAsia="宋体"/>
          <w:color w:val="auto"/>
        </w:rPr>
        <w:t>结论与建议</w:t>
      </w:r>
    </w:p>
    <w:tbl>
      <w:tblPr>
        <w:tblStyle w:val="22"/>
        <w:tblW w:w="937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37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094" w:hRule="atLeast"/>
          <w:jc w:val="center"/>
        </w:trPr>
        <w:tc>
          <w:tcPr>
            <w:tcW w:w="9373" w:type="dxa"/>
            <w:tcBorders>
              <w:top w:val="single" w:color="auto" w:sz="4" w:space="0"/>
              <w:left w:val="single" w:color="auto" w:sz="4" w:space="0"/>
              <w:bottom w:val="single" w:color="auto" w:sz="4" w:space="0"/>
              <w:right w:val="single" w:color="auto" w:sz="4" w:space="0"/>
            </w:tcBorders>
          </w:tcPr>
          <w:p>
            <w:pPr>
              <w:spacing w:line="360" w:lineRule="auto"/>
              <w:rPr>
                <w:rFonts w:ascii="Times New Roman" w:hAnsi="Times New Roman" w:eastAsia="宋体"/>
                <w:b/>
                <w:color w:val="auto"/>
                <w:sz w:val="28"/>
                <w:szCs w:val="28"/>
              </w:rPr>
            </w:pPr>
            <w:r>
              <w:rPr>
                <w:rFonts w:ascii="Times New Roman" w:hAnsi="Times New Roman" w:eastAsia="宋体"/>
                <w:b/>
                <w:color w:val="auto"/>
                <w:sz w:val="28"/>
                <w:szCs w:val="28"/>
              </w:rPr>
              <w:t>结论：</w:t>
            </w:r>
          </w:p>
          <w:p>
            <w:pPr>
              <w:spacing w:line="360" w:lineRule="auto"/>
              <w:ind w:firstLine="482" w:firstLineChars="200"/>
              <w:jc w:val="left"/>
              <w:rPr>
                <w:rFonts w:ascii="Times New Roman" w:hAnsi="Times New Roman" w:eastAsia="宋体"/>
                <w:b/>
                <w:color w:val="auto"/>
                <w:sz w:val="24"/>
              </w:rPr>
            </w:pPr>
            <w:r>
              <w:rPr>
                <w:rFonts w:ascii="Times New Roman" w:hAnsi="Times New Roman" w:eastAsia="宋体"/>
                <w:b/>
                <w:color w:val="auto"/>
                <w:sz w:val="24"/>
              </w:rPr>
              <w:t>（一）项目概况</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1、项目概况</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rPr>
              <w:t>（1）项目名称：</w:t>
            </w:r>
            <w:r>
              <w:rPr>
                <w:rFonts w:hint="eastAsia" w:ascii="Times New Roman" w:hAnsi="Times New Roman" w:eastAsia="宋体"/>
                <w:color w:val="auto"/>
                <w:sz w:val="24"/>
                <w:szCs w:val="24"/>
              </w:rPr>
              <w:t>新增大管整理线车间工程项目</w:t>
            </w:r>
            <w:r>
              <w:rPr>
                <w:rFonts w:ascii="Times New Roman" w:hAnsi="Times New Roman" w:eastAsia="宋体"/>
                <w:color w:val="auto"/>
                <w:sz w:val="24"/>
                <w:szCs w:val="24"/>
              </w:rPr>
              <w:t>；</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（2）项目性质：</w:t>
            </w:r>
            <w:r>
              <w:rPr>
                <w:rFonts w:hint="eastAsia" w:ascii="Times New Roman" w:hAnsi="Times New Roman" w:eastAsia="宋体"/>
                <w:color w:val="auto"/>
                <w:sz w:val="24"/>
              </w:rPr>
              <w:t>技改</w:t>
            </w:r>
            <w:r>
              <w:rPr>
                <w:rFonts w:ascii="Times New Roman" w:hAnsi="Times New Roman" w:eastAsia="宋体"/>
                <w:color w:val="auto"/>
                <w:sz w:val="24"/>
              </w:rPr>
              <w:t>；</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rPr>
              <w:t>（3）建设单位：</w:t>
            </w:r>
            <w:r>
              <w:rPr>
                <w:rFonts w:hint="eastAsia" w:ascii="Times New Roman" w:hAnsi="Times New Roman" w:eastAsia="宋体"/>
                <w:color w:val="auto"/>
                <w:sz w:val="24"/>
                <w:szCs w:val="24"/>
              </w:rPr>
              <w:t>芜湖新兴铸管有限责任公司</w:t>
            </w:r>
            <w:r>
              <w:rPr>
                <w:rFonts w:ascii="Times New Roman" w:hAnsi="Times New Roman" w:eastAsia="宋体"/>
                <w:color w:val="auto"/>
                <w:sz w:val="24"/>
                <w:szCs w:val="24"/>
              </w:rPr>
              <w:t>；</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（4）项目投资：</w:t>
            </w:r>
            <w:r>
              <w:rPr>
                <w:rFonts w:hint="eastAsia" w:ascii="Times New Roman" w:hAnsi="Times New Roman" w:eastAsia="宋体"/>
                <w:color w:val="auto"/>
                <w:sz w:val="24"/>
                <w:lang w:val="en-US" w:eastAsia="zh-CN"/>
              </w:rPr>
              <w:t>3036</w:t>
            </w:r>
            <w:r>
              <w:rPr>
                <w:rFonts w:ascii="Times New Roman" w:hAnsi="Times New Roman" w:eastAsia="宋体"/>
                <w:color w:val="auto"/>
                <w:sz w:val="24"/>
              </w:rPr>
              <w:t>万元；</w:t>
            </w:r>
          </w:p>
          <w:p>
            <w:pPr>
              <w:spacing w:line="360" w:lineRule="auto"/>
              <w:ind w:firstLine="470" w:firstLineChars="196"/>
              <w:rPr>
                <w:rFonts w:hint="eastAsia" w:ascii="Times New Roman" w:hAnsi="Times New Roman" w:eastAsia="宋体"/>
                <w:color w:val="auto"/>
                <w:sz w:val="24"/>
                <w:szCs w:val="24"/>
                <w:lang w:eastAsia="zh-CN"/>
              </w:rPr>
            </w:pPr>
            <w:r>
              <w:rPr>
                <w:rFonts w:ascii="Times New Roman" w:hAnsi="Times New Roman" w:eastAsia="宋体"/>
                <w:color w:val="auto"/>
                <w:sz w:val="24"/>
              </w:rPr>
              <w:t>（5）建设内容：</w:t>
            </w:r>
            <w:r>
              <w:rPr>
                <w:rFonts w:hint="eastAsia" w:ascii="Times New Roman" w:hAnsi="Times New Roman" w:eastAsia="宋体"/>
                <w:color w:val="auto"/>
                <w:kern w:val="0"/>
                <w:sz w:val="24"/>
                <w:lang w:val="en-US" w:eastAsia="zh-CN"/>
              </w:rPr>
              <w:t>新增年产量5.4万吨生产能力的DN800-2600球磨铸铁管整理生产线</w:t>
            </w:r>
            <w:r>
              <w:rPr>
                <w:rFonts w:hint="eastAsia" w:ascii="Times New Roman" w:hAnsi="Times New Roman" w:eastAsia="宋体"/>
                <w:color w:val="auto"/>
                <w:kern w:val="0"/>
                <w:sz w:val="24"/>
                <w:szCs w:val="22"/>
                <w:lang w:eastAsia="zh-CN"/>
              </w:rPr>
              <w:t>。</w:t>
            </w:r>
          </w:p>
          <w:p>
            <w:pPr>
              <w:spacing w:line="360" w:lineRule="auto"/>
              <w:ind w:firstLine="482" w:firstLineChars="200"/>
              <w:jc w:val="left"/>
              <w:rPr>
                <w:rFonts w:ascii="Times New Roman" w:hAnsi="Times New Roman" w:eastAsia="宋体"/>
                <w:color w:val="auto"/>
                <w:sz w:val="24"/>
              </w:rPr>
            </w:pPr>
            <w:r>
              <w:rPr>
                <w:rFonts w:ascii="Times New Roman" w:hAnsi="Times New Roman" w:eastAsia="宋体"/>
                <w:b/>
                <w:color w:val="auto"/>
                <w:sz w:val="24"/>
              </w:rPr>
              <w:t>（二）产业政策符合性分析</w:t>
            </w:r>
          </w:p>
          <w:p>
            <w:pPr>
              <w:spacing w:line="360" w:lineRule="auto"/>
              <w:ind w:firstLine="480" w:firstLineChars="200"/>
              <w:rPr>
                <w:rFonts w:ascii="Times New Roman" w:hAnsi="Times New Roman" w:eastAsia="宋体"/>
                <w:color w:val="auto"/>
                <w:sz w:val="24"/>
                <w:szCs w:val="22"/>
              </w:rPr>
            </w:pPr>
            <w:r>
              <w:rPr>
                <w:rFonts w:ascii="Times New Roman" w:hAnsi="Times New Roman" w:eastAsia="宋体"/>
                <w:color w:val="auto"/>
                <w:sz w:val="24"/>
              </w:rPr>
              <w:t>对照国家发展和改革委员会《产业结构调整指导目录（201</w:t>
            </w:r>
            <w:r>
              <w:rPr>
                <w:rFonts w:hint="eastAsia" w:ascii="Times New Roman" w:hAnsi="Times New Roman" w:eastAsia="宋体"/>
                <w:color w:val="auto"/>
                <w:sz w:val="24"/>
              </w:rPr>
              <w:t>9</w:t>
            </w:r>
            <w:r>
              <w:rPr>
                <w:rFonts w:ascii="Times New Roman" w:hAnsi="Times New Roman" w:eastAsia="宋体"/>
                <w:color w:val="auto"/>
                <w:sz w:val="24"/>
              </w:rPr>
              <w:t>年本）》有关条款的决定，本项目不属于鼓励类、限制类和淘汰类，属于允许类项目，因此本项目符合国家产业政策，项目已经于20</w:t>
            </w:r>
            <w:r>
              <w:rPr>
                <w:rFonts w:hint="eastAsia" w:ascii="Times New Roman" w:hAnsi="Times New Roman" w:eastAsia="宋体"/>
                <w:color w:val="auto"/>
                <w:sz w:val="24"/>
                <w:lang w:val="en-US" w:eastAsia="zh-CN"/>
              </w:rPr>
              <w:t>20</w:t>
            </w:r>
            <w:r>
              <w:rPr>
                <w:rFonts w:ascii="Times New Roman" w:hAnsi="Times New Roman" w:eastAsia="宋体"/>
                <w:color w:val="auto"/>
                <w:sz w:val="24"/>
              </w:rPr>
              <w:t>年</w:t>
            </w:r>
            <w:r>
              <w:rPr>
                <w:rFonts w:hint="eastAsia" w:ascii="Times New Roman" w:hAnsi="Times New Roman" w:eastAsia="宋体"/>
                <w:color w:val="auto"/>
                <w:sz w:val="24"/>
                <w:lang w:val="en-US" w:eastAsia="zh-CN"/>
              </w:rPr>
              <w:t>9</w:t>
            </w:r>
            <w:r>
              <w:rPr>
                <w:rFonts w:ascii="Times New Roman" w:hAnsi="Times New Roman" w:eastAsia="宋体"/>
                <w:color w:val="auto"/>
                <w:sz w:val="24"/>
              </w:rPr>
              <w:t>月</w:t>
            </w:r>
            <w:r>
              <w:rPr>
                <w:rFonts w:hint="eastAsia" w:ascii="Times New Roman" w:hAnsi="Times New Roman" w:eastAsia="宋体"/>
                <w:color w:val="auto"/>
                <w:sz w:val="24"/>
                <w:lang w:val="en-US" w:eastAsia="zh-CN"/>
              </w:rPr>
              <w:t>17</w:t>
            </w:r>
            <w:r>
              <w:rPr>
                <w:rFonts w:ascii="Times New Roman" w:hAnsi="Times New Roman" w:eastAsia="宋体"/>
                <w:color w:val="auto"/>
                <w:sz w:val="24"/>
              </w:rPr>
              <w:t>日取得</w:t>
            </w:r>
            <w:r>
              <w:rPr>
                <w:rFonts w:ascii="Times New Roman" w:hAnsi="Times New Roman" w:eastAsia="宋体"/>
                <w:color w:val="auto"/>
                <w:kern w:val="0"/>
                <w:sz w:val="24"/>
              </w:rPr>
              <w:t>芜湖市三山区经济和信息化局文件“关于</w:t>
            </w:r>
            <w:r>
              <w:rPr>
                <w:rFonts w:hint="eastAsia" w:ascii="Times New Roman" w:hAnsi="Times New Roman" w:eastAsia="宋体"/>
                <w:color w:val="auto"/>
                <w:kern w:val="0"/>
                <w:sz w:val="24"/>
                <w:lang w:val="en-US" w:eastAsia="zh-CN"/>
              </w:rPr>
              <w:t>芜湖新兴铸管有限责任公司新增大管整理线车间工程项目</w:t>
            </w:r>
            <w:r>
              <w:rPr>
                <w:rFonts w:ascii="Times New Roman" w:hAnsi="Times New Roman" w:eastAsia="宋体"/>
                <w:color w:val="auto"/>
                <w:kern w:val="0"/>
                <w:sz w:val="24"/>
              </w:rPr>
              <w:t>备案的通知”</w:t>
            </w:r>
            <w:r>
              <w:rPr>
                <w:rFonts w:ascii="Times New Roman" w:hAnsi="Times New Roman" w:eastAsia="宋体"/>
                <w:color w:val="auto"/>
                <w:sz w:val="24"/>
                <w:szCs w:val="22"/>
              </w:rPr>
              <w:t xml:space="preserve">，因此项目符合国家和当地的相关产业政策。 </w:t>
            </w:r>
          </w:p>
          <w:p>
            <w:pPr>
              <w:spacing w:line="360" w:lineRule="auto"/>
              <w:ind w:firstLine="482" w:firstLineChars="200"/>
              <w:rPr>
                <w:rFonts w:ascii="Times New Roman" w:hAnsi="Times New Roman" w:eastAsia="宋体"/>
                <w:color w:val="auto"/>
                <w:sz w:val="24"/>
                <w:szCs w:val="22"/>
              </w:rPr>
            </w:pPr>
            <w:r>
              <w:rPr>
                <w:rFonts w:ascii="Times New Roman" w:hAnsi="Times New Roman" w:eastAsia="宋体"/>
                <w:b/>
                <w:color w:val="auto"/>
                <w:sz w:val="24"/>
              </w:rPr>
              <w:t>（三）</w:t>
            </w:r>
            <w:r>
              <w:rPr>
                <w:rFonts w:ascii="Times New Roman" w:hAnsi="Times New Roman" w:eastAsia="宋体"/>
                <w:b/>
                <w:color w:val="auto"/>
                <w:sz w:val="24"/>
                <w:szCs w:val="24"/>
              </w:rPr>
              <w:t>规划选址可行性</w:t>
            </w:r>
          </w:p>
          <w:p>
            <w:pPr>
              <w:pStyle w:val="11"/>
              <w:spacing w:after="0" w:line="360" w:lineRule="auto"/>
              <w:ind w:left="0" w:leftChars="0" w:firstLine="480" w:firstLineChars="200"/>
              <w:rPr>
                <w:rFonts w:ascii="Times New Roman" w:hAnsi="Times New Roman" w:eastAsia="宋体"/>
                <w:color w:val="auto"/>
                <w:sz w:val="24"/>
                <w:szCs w:val="22"/>
              </w:rPr>
            </w:pPr>
            <w:r>
              <w:rPr>
                <w:rFonts w:ascii="Times New Roman" w:hAnsi="Times New Roman" w:eastAsia="宋体"/>
                <w:color w:val="auto"/>
                <w:sz w:val="24"/>
                <w:szCs w:val="22"/>
              </w:rPr>
              <w:t>①与周边环境相容性分析</w:t>
            </w:r>
          </w:p>
          <w:p>
            <w:pPr>
              <w:pStyle w:val="11"/>
              <w:spacing w:after="0" w:line="360" w:lineRule="auto"/>
              <w:ind w:left="0" w:leftChars="0" w:firstLine="480" w:firstLineChars="200"/>
              <w:rPr>
                <w:rFonts w:ascii="Times New Roman" w:hAnsi="Times New Roman" w:eastAsia="宋体"/>
                <w:color w:val="auto"/>
                <w:sz w:val="24"/>
              </w:rPr>
            </w:pPr>
            <w:r>
              <w:rPr>
                <w:rFonts w:ascii="Times New Roman" w:hAnsi="Times New Roman" w:eastAsia="宋体"/>
                <w:color w:val="auto"/>
                <w:sz w:val="24"/>
                <w:szCs w:val="24"/>
              </w:rPr>
              <w:t>本项目位于</w:t>
            </w:r>
            <w:r>
              <w:rPr>
                <w:rFonts w:hint="eastAsia" w:ascii="Times New Roman" w:hAnsi="Times New Roman" w:eastAsia="宋体"/>
                <w:color w:val="auto"/>
                <w:sz w:val="24"/>
                <w:szCs w:val="24"/>
              </w:rPr>
              <w:t>芜湖市三山区春洲路2号芜湖新兴铸管有限责任公司厂区</w:t>
            </w:r>
            <w:r>
              <w:rPr>
                <w:rFonts w:hint="eastAsia" w:ascii="Times New Roman" w:hAnsi="Times New Roman" w:eastAsia="宋体"/>
                <w:color w:val="auto"/>
                <w:sz w:val="24"/>
                <w:szCs w:val="24"/>
                <w:lang w:val="en-US" w:eastAsia="zh-CN"/>
              </w:rPr>
              <w:t>内</w:t>
            </w:r>
            <w:r>
              <w:rPr>
                <w:rFonts w:ascii="Times New Roman" w:hAnsi="Times New Roman" w:eastAsia="宋体"/>
                <w:color w:val="auto"/>
                <w:sz w:val="24"/>
                <w:szCs w:val="24"/>
              </w:rPr>
              <w:t>。</w:t>
            </w:r>
            <w:r>
              <w:rPr>
                <w:rFonts w:hint="eastAsia" w:ascii="Times New Roman" w:hAnsi="Times New Roman" w:eastAsia="宋体"/>
                <w:color w:val="auto"/>
                <w:sz w:val="24"/>
              </w:rPr>
              <w:t>本项目</w:t>
            </w:r>
            <w:r>
              <w:rPr>
                <w:rFonts w:hint="eastAsia" w:ascii="Times New Roman" w:hAnsi="Times New Roman" w:eastAsia="宋体"/>
                <w:color w:val="auto"/>
                <w:sz w:val="24"/>
                <w:lang w:val="en-US" w:eastAsia="zh-CN"/>
              </w:rPr>
              <w:t>生产过程中</w:t>
            </w:r>
            <w:r>
              <w:rPr>
                <w:rFonts w:hint="eastAsia" w:ascii="Times New Roman" w:hAnsi="Times New Roman" w:eastAsia="宋体"/>
                <w:color w:val="auto"/>
                <w:sz w:val="24"/>
              </w:rPr>
              <w:t>不会影响周围生产区域的正常运行</w:t>
            </w:r>
            <w:r>
              <w:rPr>
                <w:rFonts w:ascii="Times New Roman" w:hAnsi="Times New Roman" w:eastAsia="宋体"/>
                <w:color w:val="auto"/>
                <w:sz w:val="24"/>
                <w:szCs w:val="24"/>
              </w:rPr>
              <w:t>。</w:t>
            </w:r>
            <w:r>
              <w:rPr>
                <w:rFonts w:ascii="Times New Roman" w:hAnsi="Times New Roman" w:eastAsia="宋体"/>
                <w:color w:val="auto"/>
                <w:sz w:val="24"/>
              </w:rPr>
              <w:t>正常运行状态下，项目排放的各种污染物对地表水、区域环境空气、声环境影响不大。地表水环境能够做到不降低现有功能级别，环境空气及声学环境能够满足相应的功能要求。</w:t>
            </w:r>
          </w:p>
          <w:p>
            <w:pPr>
              <w:pStyle w:val="11"/>
              <w:spacing w:after="0" w:line="360" w:lineRule="auto"/>
              <w:ind w:left="0" w:leftChars="0"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②与</w:t>
            </w:r>
            <w:r>
              <w:rPr>
                <w:rFonts w:hint="eastAsia" w:ascii="Times New Roman" w:hAnsi="Times New Roman" w:eastAsia="宋体"/>
                <w:color w:val="auto"/>
                <w:sz w:val="24"/>
                <w:szCs w:val="24"/>
              </w:rPr>
              <w:t>《三山经济开发区控制性详细规划(调整)》相容性分析</w:t>
            </w:r>
          </w:p>
          <w:p>
            <w:pPr>
              <w:spacing w:line="360" w:lineRule="auto"/>
              <w:ind w:firstLine="480" w:firstLineChars="200"/>
              <w:rPr>
                <w:rFonts w:ascii="Times New Roman" w:hAnsi="Times New Roman" w:eastAsia="宋体"/>
                <w:color w:val="auto"/>
                <w:sz w:val="24"/>
                <w:szCs w:val="22"/>
              </w:rPr>
            </w:pPr>
            <w:r>
              <w:rPr>
                <w:rFonts w:hint="eastAsia" w:ascii="Times New Roman" w:hAnsi="Times New Roman" w:eastAsia="宋体"/>
                <w:color w:val="auto"/>
                <w:sz w:val="24"/>
                <w:szCs w:val="22"/>
              </w:rPr>
              <w:t>芜湖三山经济开发区前身为“芜湖三山绿色食品经济开发区”，2005年11月经省经委批准为安徽省中小企业创业基地；2009年5月，三山区委、区政府决定将绿色食品经济开发区和临江工业区(原三山临港工业集中区)整体合并。2009年7月，经安徽省人民政府批准同意更名为“安徽芜湖三山经济开发区”。为进一步落实芜湖市社会经济发展计划，顺利实施临江工业区新兴铸管等工业项目，指导与调控三山经济开发区用地开发建设，2010年12月，中铁芜湖规划设计研究院有限公司、三山经济开发区管委会编制了《三山经济开发区控制性详细规划(调整)》。《芜湖三山经济开发区控制性详规(调整)环境影响报告书》于2013年4月16日获得芜湖市环保局的批复(环审[2013]56号)。</w:t>
            </w:r>
          </w:p>
          <w:p>
            <w:pPr>
              <w:spacing w:line="360" w:lineRule="auto"/>
              <w:ind w:firstLine="480" w:firstLineChars="200"/>
              <w:rPr>
                <w:rFonts w:ascii="Times New Roman" w:hAnsi="Times New Roman" w:eastAsia="宋体"/>
                <w:color w:val="auto"/>
                <w:sz w:val="24"/>
                <w:szCs w:val="22"/>
              </w:rPr>
            </w:pPr>
            <w:r>
              <w:rPr>
                <w:rFonts w:hint="eastAsia" w:ascii="Times New Roman" w:hAnsi="Times New Roman" w:eastAsia="宋体"/>
                <w:color w:val="auto"/>
                <w:sz w:val="24"/>
                <w:szCs w:val="22"/>
              </w:rPr>
              <w:t>技改项目与《三山经济开发区控制性详细规划(调整)》相容性分析见下表。由表可知，技改项目的建设符合《三山经济开发区控制性详细规划(调整)》的总体要求。</w:t>
            </w:r>
          </w:p>
          <w:p>
            <w:pPr>
              <w:tabs>
                <w:tab w:val="left" w:pos="6313"/>
              </w:tabs>
              <w:spacing w:line="360" w:lineRule="auto"/>
              <w:ind w:firstLine="482" w:firstLineChars="200"/>
              <w:jc w:val="left"/>
              <w:rPr>
                <w:rFonts w:ascii="Times New Roman" w:hAnsi="Times New Roman" w:eastAsia="宋体"/>
                <w:b/>
                <w:color w:val="auto"/>
                <w:sz w:val="24"/>
              </w:rPr>
            </w:pPr>
            <w:r>
              <w:rPr>
                <w:rFonts w:ascii="Times New Roman" w:hAnsi="Times New Roman" w:eastAsia="宋体"/>
                <w:b/>
                <w:color w:val="auto"/>
                <w:sz w:val="24"/>
              </w:rPr>
              <w:t>（四）环境质量现状评价结论</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（1）环境空气</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项目所在区域大气环境质量指标</w:t>
            </w:r>
            <w:r>
              <w:rPr>
                <w:rFonts w:hint="eastAsia" w:ascii="Times New Roman" w:hAnsi="Times New Roman" w:eastAsia="宋体"/>
                <w:color w:val="auto"/>
                <w:sz w:val="24"/>
              </w:rPr>
              <w:t>不</w:t>
            </w:r>
            <w:r>
              <w:rPr>
                <w:rFonts w:ascii="Times New Roman" w:hAnsi="Times New Roman" w:eastAsia="宋体"/>
                <w:color w:val="auto"/>
                <w:sz w:val="24"/>
              </w:rPr>
              <w:t>满足《环境空气质量标准》（GB3095-2012）中二级标准要求。</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（2）地表水长江水质满足《地表水环境质量标准》（GB3838-2002）中的Ⅲ类标准。</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（3）该项目所在区域基本无较大噪声源，声环境质量较好，项目区域能够满足《声环境质量标准》（GB3096-2008）中3类区标准要求。</w:t>
            </w:r>
          </w:p>
          <w:p>
            <w:pPr>
              <w:autoSpaceDE w:val="0"/>
              <w:autoSpaceDN w:val="0"/>
              <w:adjustRightInd w:val="0"/>
              <w:spacing w:line="360" w:lineRule="auto"/>
              <w:ind w:firstLine="482" w:firstLineChars="200"/>
              <w:rPr>
                <w:rFonts w:ascii="Times New Roman" w:hAnsi="Times New Roman" w:eastAsia="宋体"/>
                <w:b/>
                <w:color w:val="auto"/>
                <w:sz w:val="24"/>
              </w:rPr>
            </w:pPr>
            <w:r>
              <w:rPr>
                <w:rFonts w:ascii="Times New Roman" w:hAnsi="Times New Roman" w:eastAsia="宋体"/>
                <w:b/>
                <w:bCs/>
                <w:color w:val="auto"/>
                <w:sz w:val="24"/>
                <w:szCs w:val="24"/>
              </w:rPr>
              <w:t>（五）</w:t>
            </w:r>
            <w:r>
              <w:rPr>
                <w:rFonts w:ascii="Times New Roman" w:hAnsi="Times New Roman" w:eastAsia="宋体"/>
                <w:b/>
                <w:color w:val="auto"/>
                <w:sz w:val="24"/>
              </w:rPr>
              <w:t>营运期环境影响分析结论</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（1）废气</w:t>
            </w:r>
          </w:p>
          <w:p>
            <w:pPr>
              <w:spacing w:line="360" w:lineRule="auto"/>
              <w:ind w:firstLine="480" w:firstLineChars="200"/>
              <w:rPr>
                <w:rFonts w:hint="eastAsia" w:ascii="Times New Roman" w:hAnsi="Times New Roman" w:eastAsia="宋体"/>
                <w:color w:val="auto"/>
                <w:sz w:val="24"/>
                <w:szCs w:val="24"/>
              </w:rPr>
            </w:pPr>
            <w:r>
              <w:rPr>
                <w:rFonts w:hint="eastAsia" w:ascii="Times New Roman" w:hAnsi="Times New Roman" w:eastAsia="宋体"/>
                <w:color w:val="auto"/>
                <w:sz w:val="24"/>
                <w:szCs w:val="24"/>
              </w:rPr>
              <w:t>本项目</w:t>
            </w:r>
            <w:r>
              <w:rPr>
                <w:rFonts w:hint="eastAsia" w:ascii="Times New Roman" w:hAnsi="Times New Roman" w:eastAsia="宋体"/>
                <w:color w:val="auto"/>
                <w:sz w:val="24"/>
                <w:szCs w:val="24"/>
                <w:lang w:val="en-US" w:eastAsia="zh-CN"/>
              </w:rPr>
              <w:t>三磨废气、喷锌废气满足</w:t>
            </w:r>
            <w:r>
              <w:rPr>
                <w:rFonts w:hint="eastAsia" w:ascii="Times New Roman" w:hAnsi="Times New Roman" w:eastAsia="宋体"/>
                <w:color w:val="auto"/>
                <w:sz w:val="24"/>
                <w:szCs w:val="24"/>
                <w:highlight w:val="none"/>
                <w:lang w:eastAsia="zh-CN"/>
              </w:rPr>
              <w:t>上海市《大气污染物综合排放标准》（DB31/933—2015）中的大气污染物项目排放限值，</w:t>
            </w:r>
            <w:r>
              <w:rPr>
                <w:rFonts w:hint="eastAsia" w:ascii="Times New Roman" w:hAnsi="Times New Roman" w:eastAsia="宋体"/>
                <w:color w:val="auto"/>
                <w:sz w:val="24"/>
                <w:szCs w:val="24"/>
                <w:highlight w:val="none"/>
                <w:lang w:val="en-US" w:eastAsia="zh-CN"/>
              </w:rPr>
              <w:t>喷涂废气满足河北省《工业企业挥发性有机物排放控制标准》（DB13/2322-2016）其他行业中的排放限值、《挥发性有机物无组织排放控制标准》（GB37822-2019）附录A中的无组织特别排放限值</w:t>
            </w:r>
            <w:r>
              <w:rPr>
                <w:rFonts w:hint="eastAsia" w:ascii="Times New Roman" w:hAnsi="Times New Roman" w:eastAsia="宋体"/>
                <w:color w:val="auto"/>
                <w:sz w:val="24"/>
                <w:szCs w:val="24"/>
                <w:lang w:val="en-US" w:eastAsia="zh-CN"/>
              </w:rPr>
              <w:t>。</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（2）废水</w:t>
            </w:r>
            <w:r>
              <w:rPr>
                <w:rFonts w:ascii="Times New Roman" w:hAnsi="Times New Roman" w:eastAsia="宋体"/>
                <w:color w:val="auto"/>
                <w:sz w:val="24"/>
                <w:szCs w:val="24"/>
              </w:rPr>
              <w:tab/>
            </w:r>
          </w:p>
          <w:p>
            <w:pPr>
              <w:spacing w:line="360" w:lineRule="auto"/>
              <w:ind w:firstLine="480" w:firstLineChars="200"/>
              <w:rPr>
                <w:rFonts w:hint="eastAsia" w:ascii="Times New Roman" w:hAnsi="Times New Roman" w:eastAsia="宋体"/>
                <w:color w:val="auto"/>
                <w:sz w:val="24"/>
              </w:rPr>
            </w:pPr>
            <w:r>
              <w:rPr>
                <w:rFonts w:hint="eastAsia" w:ascii="Times New Roman" w:hAnsi="Times New Roman" w:eastAsia="宋体"/>
                <w:color w:val="auto"/>
                <w:sz w:val="24"/>
              </w:rPr>
              <w:t>本项目无外排废水。</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（3）噪声</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由预测结果可知</w:t>
            </w:r>
            <w:r>
              <w:rPr>
                <w:rFonts w:hint="eastAsia" w:ascii="Times New Roman" w:hAnsi="Times New Roman" w:eastAsia="宋体"/>
                <w:color w:val="auto"/>
                <w:sz w:val="24"/>
                <w:szCs w:val="24"/>
              </w:rPr>
              <w:t>，项目投入</w:t>
            </w:r>
            <w:r>
              <w:rPr>
                <w:rFonts w:ascii="Times New Roman" w:hAnsi="Times New Roman" w:eastAsia="宋体"/>
                <w:color w:val="auto"/>
                <w:sz w:val="24"/>
                <w:szCs w:val="24"/>
              </w:rPr>
              <w:t>运行时，噪声贡献值相对较小，厂界昼夜噪声预测值满足《工业企业厂界环境噪声排放标准》（GB12348-2008）中3类要求。因此，在落实环评提出的各项隔声减振措施的情况下，项目的正常运行产生的噪声对项目区域声环境质量影响甚微。</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（4）固废</w:t>
            </w:r>
          </w:p>
          <w:p>
            <w:pPr>
              <w:tabs>
                <w:tab w:val="left" w:pos="-160"/>
              </w:tabs>
              <w:spacing w:line="360" w:lineRule="auto"/>
              <w:ind w:firstLine="480" w:firstLineChars="200"/>
              <w:rPr>
                <w:rFonts w:ascii="Times New Roman" w:hAnsi="Times New Roman" w:eastAsia="宋体"/>
                <w:color w:val="auto"/>
                <w:sz w:val="24"/>
                <w:szCs w:val="24"/>
              </w:rPr>
            </w:pPr>
            <w:r>
              <w:rPr>
                <w:rFonts w:hint="eastAsia" w:ascii="Times New Roman" w:hAnsi="Times New Roman" w:eastAsia="宋体"/>
                <w:color w:val="auto"/>
                <w:sz w:val="24"/>
              </w:rPr>
              <w:t>本次技改项目</w:t>
            </w:r>
            <w:r>
              <w:rPr>
                <w:rFonts w:hint="eastAsia" w:ascii="Times New Roman" w:hAnsi="Times New Roman" w:eastAsia="宋体"/>
                <w:color w:val="auto"/>
                <w:sz w:val="24"/>
                <w:lang w:val="en-US" w:eastAsia="zh-CN"/>
              </w:rPr>
              <w:t>产生的</w:t>
            </w:r>
            <w:r>
              <w:rPr>
                <w:rFonts w:hint="eastAsia" w:ascii="Times New Roman" w:hAnsi="Times New Roman" w:eastAsia="宋体"/>
                <w:color w:val="auto"/>
                <w:sz w:val="24"/>
              </w:rPr>
              <w:t>不合格铸管、铸管边角料回炉熔炼，铁屑作高炉炼铁原料使用，含铁除尘灰作烧结原料使用</w:t>
            </w:r>
            <w:r>
              <w:rPr>
                <w:rFonts w:hint="eastAsia" w:ascii="Times New Roman" w:hAnsi="Times New Roman" w:eastAsia="宋体"/>
                <w:color w:val="auto"/>
                <w:sz w:val="24"/>
                <w:lang w:eastAsia="zh-CN"/>
              </w:rPr>
              <w:t>；</w:t>
            </w:r>
            <w:r>
              <w:rPr>
                <w:rFonts w:hint="eastAsia" w:ascii="Times New Roman" w:hAnsi="Times New Roman" w:eastAsia="宋体"/>
                <w:color w:val="auto"/>
                <w:sz w:val="24"/>
              </w:rPr>
              <w:t>喷锌除尘灰、废油漆桶交由有资质单位处置，铝粉漆渣作腻子使用、其它漆渣交危废处置单位处置，废活性炭作炼铁燃料使用</w:t>
            </w:r>
            <w:r>
              <w:rPr>
                <w:rFonts w:hint="eastAsia" w:ascii="Times New Roman" w:hAnsi="Times New Roman" w:eastAsia="宋体"/>
                <w:color w:val="auto"/>
                <w:sz w:val="24"/>
                <w:lang w:eastAsia="zh-CN"/>
              </w:rPr>
              <w:t>；</w:t>
            </w:r>
            <w:r>
              <w:rPr>
                <w:rFonts w:hint="eastAsia" w:ascii="Times New Roman" w:hAnsi="Times New Roman" w:eastAsia="宋体"/>
                <w:color w:val="auto"/>
                <w:sz w:val="24"/>
              </w:rPr>
              <w:t>生活垃圾由环卫部门定时清运。项目的实施使得各种固体废物均能得到妥善处置，从根本上解决了固体废物的污染问题，不仅实现了固体废物的无害化处理，避免因固体废物堆存对环境造成的影响，而且具有较好的社会、环境和经济效益。</w:t>
            </w:r>
          </w:p>
          <w:p>
            <w:pPr>
              <w:tabs>
                <w:tab w:val="left" w:pos="6313"/>
              </w:tabs>
              <w:spacing w:line="360" w:lineRule="auto"/>
              <w:ind w:firstLine="482" w:firstLineChars="200"/>
              <w:jc w:val="left"/>
              <w:rPr>
                <w:rFonts w:ascii="Times New Roman" w:hAnsi="Times New Roman" w:eastAsia="宋体"/>
                <w:b/>
                <w:color w:val="auto"/>
                <w:sz w:val="24"/>
              </w:rPr>
            </w:pPr>
            <w:r>
              <w:rPr>
                <w:rFonts w:ascii="Times New Roman" w:hAnsi="Times New Roman" w:eastAsia="宋体"/>
                <w:b/>
                <w:color w:val="auto"/>
                <w:sz w:val="24"/>
              </w:rPr>
              <w:t>（六）总量控制</w:t>
            </w:r>
          </w:p>
          <w:p>
            <w:pPr>
              <w:spacing w:line="360" w:lineRule="auto"/>
              <w:ind w:firstLine="480" w:firstLineChars="200"/>
              <w:rPr>
                <w:rFonts w:hint="default" w:ascii="Times New Roman" w:hAnsi="Times New Roman" w:eastAsia="宋体"/>
                <w:color w:val="000000"/>
                <w:kern w:val="0"/>
                <w:sz w:val="24"/>
                <w:szCs w:val="24"/>
                <w:highlight w:val="none"/>
                <w:lang w:val="en-US" w:eastAsia="zh-CN"/>
              </w:rPr>
            </w:pPr>
            <w:r>
              <w:rPr>
                <w:rFonts w:ascii="Times New Roman" w:hAnsi="Times New Roman" w:eastAsia="宋体"/>
                <w:color w:val="000000"/>
                <w:sz w:val="24"/>
                <w:highlight w:val="none"/>
              </w:rPr>
              <w:t>本项目产生的</w:t>
            </w:r>
            <w:r>
              <w:rPr>
                <w:rFonts w:hint="eastAsia" w:ascii="Times New Roman" w:hAnsi="Times New Roman" w:eastAsia="宋体"/>
                <w:color w:val="000000"/>
                <w:sz w:val="24"/>
                <w:highlight w:val="none"/>
              </w:rPr>
              <w:t>水泥涂衬和水泥内磨产生的废水泥浆采用泥浆处理系统进行处理</w:t>
            </w:r>
            <w:r>
              <w:rPr>
                <w:rFonts w:hint="eastAsia" w:ascii="Times New Roman" w:hAnsi="Times New Roman" w:eastAsia="宋体"/>
                <w:color w:val="000000"/>
                <w:sz w:val="24"/>
                <w:highlight w:val="none"/>
                <w:lang w:eastAsia="zh-CN"/>
              </w:rPr>
              <w:t>，</w:t>
            </w:r>
            <w:r>
              <w:rPr>
                <w:rFonts w:hint="eastAsia" w:ascii="Times New Roman" w:hAnsi="Times New Roman" w:eastAsia="宋体"/>
                <w:color w:val="000000"/>
                <w:sz w:val="24"/>
                <w:highlight w:val="none"/>
                <w:lang w:val="en-US" w:eastAsia="zh-CN"/>
              </w:rPr>
              <w:t>循环使用不外排。</w:t>
            </w:r>
          </w:p>
          <w:p>
            <w:pPr>
              <w:spacing w:line="440" w:lineRule="exact"/>
              <w:ind w:firstLine="480" w:firstLineChars="200"/>
              <w:rPr>
                <w:rFonts w:ascii="Times New Roman" w:hAnsi="Times New Roman" w:eastAsia="宋体"/>
                <w:color w:val="000000"/>
                <w:kern w:val="0"/>
                <w:sz w:val="24"/>
                <w:szCs w:val="24"/>
                <w:highlight w:val="none"/>
              </w:rPr>
            </w:pPr>
            <w:r>
              <w:rPr>
                <w:rFonts w:hint="eastAsia" w:ascii="Times New Roman" w:hAnsi="Times New Roman" w:eastAsia="宋体"/>
                <w:kern w:val="0"/>
                <w:sz w:val="24"/>
                <w:highlight w:val="none"/>
              </w:rPr>
              <w:t>本环评建议大气污染物排放总量控制指标建议值为有组织</w:t>
            </w:r>
            <w:r>
              <w:rPr>
                <w:rFonts w:hint="eastAsia" w:ascii="Times New Roman" w:hAnsi="Times New Roman" w:eastAsia="宋体"/>
                <w:kern w:val="0"/>
                <w:sz w:val="24"/>
                <w:highlight w:val="none"/>
                <w:lang w:val="en-US" w:eastAsia="zh-CN"/>
              </w:rPr>
              <w:t>烟（粉）尘</w:t>
            </w:r>
            <w:r>
              <w:rPr>
                <w:rFonts w:hint="eastAsia" w:ascii="Times New Roman" w:hAnsi="Times New Roman" w:eastAsia="宋体"/>
                <w:kern w:val="0"/>
                <w:sz w:val="24"/>
                <w:highlight w:val="none"/>
                <w:lang w:val="en-US" w:eastAsia="zh-CN"/>
              </w:rPr>
              <w:t>5.216</w:t>
            </w:r>
            <w:r>
              <w:rPr>
                <w:rFonts w:hint="eastAsia" w:ascii="Times New Roman" w:hAnsi="Times New Roman" w:eastAsia="宋体"/>
                <w:kern w:val="0"/>
                <w:sz w:val="24"/>
                <w:highlight w:val="none"/>
                <w:lang w:val="en-US" w:eastAsia="zh-CN"/>
              </w:rPr>
              <w:t>t</w:t>
            </w:r>
            <w:r>
              <w:rPr>
                <w:rFonts w:hint="eastAsia" w:ascii="Times New Roman" w:hAnsi="Times New Roman" w:eastAsia="宋体"/>
                <w:kern w:val="0"/>
                <w:sz w:val="24"/>
                <w:highlight w:val="none"/>
              </w:rPr>
              <w:t>/a</w:t>
            </w:r>
            <w:r>
              <w:rPr>
                <w:rFonts w:ascii="Times New Roman" w:hAnsi="Times New Roman" w:eastAsia="宋体"/>
                <w:sz w:val="24"/>
                <w:highlight w:val="none"/>
              </w:rPr>
              <w:t>。</w:t>
            </w:r>
            <w:r>
              <w:rPr>
                <w:rFonts w:hint="eastAsia" w:ascii="Times New Roman" w:hAnsi="Times New Roman" w:eastAsia="宋体"/>
                <w:sz w:val="24"/>
                <w:highlight w:val="none"/>
                <w:lang w:val="en-US" w:eastAsia="zh-CN"/>
              </w:rPr>
              <w:t>无组织</w:t>
            </w:r>
            <w:r>
              <w:rPr>
                <w:rFonts w:hint="eastAsia" w:ascii="Times New Roman" w:hAnsi="Times New Roman" w:eastAsia="宋体"/>
                <w:kern w:val="0"/>
                <w:sz w:val="24"/>
                <w:highlight w:val="none"/>
                <w:lang w:val="en-US" w:eastAsia="zh-CN"/>
              </w:rPr>
              <w:t>烟（粉）尘</w:t>
            </w:r>
            <w:r>
              <w:rPr>
                <w:rFonts w:hint="eastAsia" w:ascii="Times New Roman" w:hAnsi="Times New Roman" w:eastAsia="宋体"/>
                <w:kern w:val="0"/>
                <w:sz w:val="24"/>
                <w:highlight w:val="none"/>
                <w:lang w:val="en-US" w:eastAsia="zh-CN"/>
              </w:rPr>
              <w:t>0.3</w:t>
            </w:r>
            <w:r>
              <w:rPr>
                <w:rFonts w:hint="eastAsia" w:ascii="Times New Roman" w:hAnsi="Times New Roman" w:eastAsia="宋体"/>
                <w:kern w:val="0"/>
                <w:sz w:val="24"/>
                <w:highlight w:val="none"/>
                <w:lang w:val="en-US" w:eastAsia="zh-CN"/>
              </w:rPr>
              <w:t>t</w:t>
            </w:r>
            <w:r>
              <w:rPr>
                <w:rFonts w:hint="eastAsia" w:ascii="Times New Roman" w:hAnsi="Times New Roman" w:eastAsia="宋体"/>
                <w:kern w:val="0"/>
                <w:sz w:val="24"/>
                <w:highlight w:val="none"/>
              </w:rPr>
              <w:t>/a</w:t>
            </w:r>
            <w:r>
              <w:rPr>
                <w:rFonts w:hint="eastAsia" w:ascii="Times New Roman" w:hAnsi="Times New Roman" w:eastAsia="宋体"/>
                <w:kern w:val="0"/>
                <w:sz w:val="24"/>
                <w:highlight w:val="none"/>
                <w:lang w:eastAsia="zh-CN"/>
              </w:rPr>
              <w:t>，</w:t>
            </w:r>
            <w:r>
              <w:rPr>
                <w:rFonts w:hint="eastAsia" w:ascii="Times New Roman" w:hAnsi="Times New Roman" w:eastAsia="宋体"/>
                <w:kern w:val="0"/>
                <w:sz w:val="24"/>
                <w:highlight w:val="none"/>
              </w:rPr>
              <w:t>有组织</w:t>
            </w:r>
            <w:r>
              <w:rPr>
                <w:rFonts w:hint="eastAsia" w:ascii="Times New Roman" w:hAnsi="Times New Roman" w:eastAsia="宋体"/>
                <w:sz w:val="24"/>
                <w:highlight w:val="none"/>
                <w:lang w:val="en-US" w:eastAsia="zh-CN"/>
              </w:rPr>
              <w:t>VOCs</w:t>
            </w:r>
            <w:r>
              <w:rPr>
                <w:rFonts w:hint="eastAsia" w:ascii="Times New Roman" w:hAnsi="Times New Roman" w:eastAsia="宋体"/>
                <w:sz w:val="24"/>
                <w:highlight w:val="none"/>
                <w:lang w:val="en-US" w:eastAsia="zh-CN"/>
              </w:rPr>
              <w:t>4.536</w:t>
            </w:r>
            <w:r>
              <w:rPr>
                <w:rFonts w:hint="eastAsia" w:ascii="Times New Roman" w:hAnsi="Times New Roman" w:eastAsia="宋体"/>
                <w:sz w:val="24"/>
                <w:highlight w:val="none"/>
                <w:lang w:val="en-US" w:eastAsia="zh-CN"/>
              </w:rPr>
              <w:t>t/a，</w:t>
            </w:r>
            <w:r>
              <w:rPr>
                <w:rFonts w:hint="eastAsia" w:ascii="Times New Roman" w:hAnsi="Times New Roman" w:eastAsia="宋体"/>
                <w:kern w:val="0"/>
                <w:sz w:val="24"/>
                <w:highlight w:val="none"/>
                <w:lang w:val="en-US" w:eastAsia="zh-CN"/>
              </w:rPr>
              <w:t>无</w:t>
            </w:r>
            <w:r>
              <w:rPr>
                <w:rFonts w:hint="eastAsia" w:ascii="Times New Roman" w:hAnsi="Times New Roman" w:eastAsia="宋体"/>
                <w:kern w:val="0"/>
                <w:sz w:val="24"/>
                <w:highlight w:val="none"/>
              </w:rPr>
              <w:t>组织</w:t>
            </w:r>
            <w:r>
              <w:rPr>
                <w:rFonts w:hint="eastAsia" w:ascii="Times New Roman" w:hAnsi="Times New Roman" w:eastAsia="宋体"/>
                <w:sz w:val="24"/>
                <w:highlight w:val="none"/>
                <w:lang w:val="en-US" w:eastAsia="zh-CN"/>
              </w:rPr>
              <w:t>VOCs</w:t>
            </w:r>
            <w:r>
              <w:rPr>
                <w:rFonts w:hint="eastAsia" w:ascii="Times New Roman" w:hAnsi="Times New Roman" w:eastAsia="宋体"/>
                <w:sz w:val="24"/>
                <w:highlight w:val="none"/>
                <w:lang w:val="en-US" w:eastAsia="zh-CN"/>
              </w:rPr>
              <w:t>5.04</w:t>
            </w:r>
            <w:r>
              <w:rPr>
                <w:rFonts w:hint="eastAsia" w:ascii="Times New Roman" w:hAnsi="Times New Roman" w:eastAsia="宋体"/>
                <w:sz w:val="24"/>
                <w:highlight w:val="none"/>
                <w:lang w:val="en-US" w:eastAsia="zh-CN"/>
              </w:rPr>
              <w:t>t/a</w:t>
            </w:r>
            <w:r>
              <w:rPr>
                <w:rFonts w:hint="eastAsia" w:ascii="Times New Roman" w:hAnsi="Times New Roman" w:eastAsia="宋体"/>
                <w:kern w:val="0"/>
                <w:sz w:val="24"/>
                <w:highlight w:val="none"/>
                <w:lang w:eastAsia="zh-CN"/>
              </w:rPr>
              <w:t>，</w:t>
            </w:r>
            <w:r>
              <w:rPr>
                <w:rFonts w:hint="eastAsia" w:ascii="Times New Roman" w:hAnsi="Times New Roman" w:eastAsia="宋体"/>
                <w:kern w:val="0"/>
                <w:sz w:val="24"/>
                <w:highlight w:val="none"/>
              </w:rPr>
              <w:t>有组织</w:t>
            </w:r>
            <w:r>
              <w:rPr>
                <w:rFonts w:hint="eastAsia" w:ascii="Times New Roman" w:hAnsi="Times New Roman" w:eastAsia="宋体"/>
                <w:sz w:val="24"/>
                <w:highlight w:val="none"/>
                <w:lang w:val="en-US" w:eastAsia="zh-CN"/>
              </w:rPr>
              <w:t>SO</w:t>
            </w:r>
            <w:r>
              <w:rPr>
                <w:rFonts w:hint="eastAsia" w:ascii="Times New Roman" w:hAnsi="Times New Roman" w:eastAsia="宋体"/>
                <w:sz w:val="24"/>
                <w:highlight w:val="none"/>
                <w:vertAlign w:val="subscript"/>
                <w:lang w:val="en-US" w:eastAsia="zh-CN"/>
              </w:rPr>
              <w:t>2</w:t>
            </w:r>
            <w:r>
              <w:rPr>
                <w:rFonts w:hint="eastAsia" w:ascii="Times New Roman" w:hAnsi="Times New Roman" w:eastAsia="宋体"/>
                <w:sz w:val="24"/>
                <w:highlight w:val="none"/>
                <w:lang w:val="en-US" w:eastAsia="zh-CN"/>
              </w:rPr>
              <w:t>3.369</w:t>
            </w:r>
            <w:r>
              <w:rPr>
                <w:rFonts w:hint="eastAsia" w:ascii="Times New Roman" w:hAnsi="Times New Roman" w:eastAsia="宋体"/>
                <w:sz w:val="24"/>
                <w:highlight w:val="none"/>
                <w:lang w:val="en-US" w:eastAsia="zh-CN"/>
              </w:rPr>
              <w:t>t/a，</w:t>
            </w:r>
            <w:r>
              <w:rPr>
                <w:rFonts w:hint="eastAsia" w:ascii="Times New Roman" w:hAnsi="Times New Roman" w:eastAsia="宋体"/>
                <w:kern w:val="0"/>
                <w:sz w:val="24"/>
                <w:highlight w:val="none"/>
              </w:rPr>
              <w:t>有组织</w:t>
            </w:r>
            <w:r>
              <w:rPr>
                <w:rFonts w:hint="eastAsia" w:ascii="Times New Roman" w:hAnsi="Times New Roman" w:eastAsia="宋体"/>
                <w:sz w:val="24"/>
                <w:highlight w:val="none"/>
                <w:lang w:val="en-US" w:eastAsia="zh-CN"/>
              </w:rPr>
              <w:t>NOx</w:t>
            </w:r>
            <w:r>
              <w:rPr>
                <w:rFonts w:hint="eastAsia" w:ascii="Times New Roman" w:hAnsi="Times New Roman" w:eastAsia="宋体"/>
                <w:sz w:val="24"/>
                <w:highlight w:val="none"/>
                <w:lang w:val="en-US" w:eastAsia="zh-CN"/>
              </w:rPr>
              <w:t>2.268</w:t>
            </w:r>
            <w:r>
              <w:rPr>
                <w:rFonts w:hint="eastAsia" w:ascii="Times New Roman" w:hAnsi="Times New Roman" w:eastAsia="宋体"/>
                <w:sz w:val="24"/>
                <w:highlight w:val="none"/>
                <w:lang w:val="en-US" w:eastAsia="zh-CN"/>
              </w:rPr>
              <w:t>t/a</w:t>
            </w:r>
            <w:r>
              <w:rPr>
                <w:rFonts w:hint="eastAsia" w:ascii="Times New Roman" w:hAnsi="Times New Roman" w:eastAsia="宋体"/>
                <w:sz w:val="24"/>
                <w:highlight w:val="none"/>
                <w:lang w:val="en-US" w:eastAsia="zh-CN"/>
              </w:rPr>
              <w:t>。</w:t>
            </w:r>
          </w:p>
          <w:p>
            <w:pPr>
              <w:spacing w:line="360" w:lineRule="auto"/>
              <w:ind w:firstLine="482" w:firstLineChars="200"/>
              <w:rPr>
                <w:rFonts w:ascii="Times New Roman" w:hAnsi="Times New Roman" w:eastAsia="宋体"/>
                <w:b/>
                <w:color w:val="auto"/>
                <w:sz w:val="24"/>
                <w:szCs w:val="24"/>
              </w:rPr>
            </w:pPr>
            <w:r>
              <w:rPr>
                <w:rFonts w:ascii="Times New Roman" w:hAnsi="Times New Roman" w:eastAsia="宋体"/>
                <w:b/>
                <w:color w:val="auto"/>
                <w:sz w:val="24"/>
                <w:szCs w:val="24"/>
              </w:rPr>
              <w:t>（七）项目结论</w:t>
            </w:r>
          </w:p>
          <w:p>
            <w:pPr>
              <w:spacing w:line="360" w:lineRule="auto"/>
              <w:ind w:firstLine="480" w:firstLineChars="200"/>
              <w:rPr>
                <w:rFonts w:ascii="Times New Roman" w:hAnsi="Times New Roman" w:eastAsia="宋体"/>
                <w:b w:val="0"/>
                <w:bCs w:val="0"/>
                <w:color w:val="auto"/>
                <w:sz w:val="24"/>
                <w:szCs w:val="22"/>
                <w:lang w:val="zh-CN"/>
              </w:rPr>
            </w:pPr>
            <w:r>
              <w:rPr>
                <w:rFonts w:ascii="Times New Roman" w:hAnsi="Times New Roman" w:eastAsia="宋体"/>
                <w:b w:val="0"/>
                <w:bCs w:val="0"/>
                <w:color w:val="auto"/>
                <w:sz w:val="24"/>
                <w:szCs w:val="22"/>
                <w:lang w:val="zh-CN"/>
              </w:rPr>
              <w:t>综上所述，本项目符合国家产业政策要求，项目选址及平面布置合理，建设项目所在地环境现状较好。废气、噪声污染物采取本评价提出的污染防治措施后可达标排放。该项目在坚持“三同时”原则并按照本报告中提出的各项环保措施治理后，从环境影响评价的角度来讲，项目建设是可行的。</w:t>
            </w:r>
          </w:p>
          <w:p>
            <w:pPr>
              <w:spacing w:line="360" w:lineRule="auto"/>
              <w:rPr>
                <w:rFonts w:ascii="Times New Roman" w:hAnsi="Times New Roman" w:eastAsia="宋体"/>
                <w:b/>
                <w:color w:val="auto"/>
                <w:sz w:val="28"/>
                <w:szCs w:val="28"/>
              </w:rPr>
            </w:pPr>
            <w:r>
              <w:rPr>
                <w:rFonts w:ascii="Times New Roman" w:hAnsi="Times New Roman" w:eastAsia="宋体"/>
                <w:b/>
                <w:color w:val="auto"/>
                <w:sz w:val="28"/>
                <w:szCs w:val="28"/>
              </w:rPr>
              <w:t>建议及要求：</w:t>
            </w:r>
          </w:p>
          <w:p>
            <w:pPr>
              <w:spacing w:line="360" w:lineRule="auto"/>
              <w:ind w:firstLine="480" w:firstLineChars="200"/>
              <w:rPr>
                <w:rFonts w:ascii="Times New Roman" w:hAnsi="Times New Roman" w:eastAsia="宋体"/>
                <w:color w:val="auto"/>
                <w:sz w:val="24"/>
                <w:szCs w:val="24"/>
              </w:rPr>
            </w:pPr>
            <w:r>
              <w:rPr>
                <w:rFonts w:ascii="Times New Roman" w:hAnsi="Times New Roman" w:eastAsia="宋体"/>
                <w:color w:val="auto"/>
                <w:sz w:val="24"/>
                <w:szCs w:val="24"/>
              </w:rPr>
              <w:t>落实环保投资，确保环保资金到位，确保顺利实现达标排放，做到经济、社会、环境效益的统一协调发展。为了能使本项目产生的各项污染防治措施达到较好的实际使用效果，建议业主加强各种处理设施的维修、保养及管理，确保污染治理设施的正常运转。</w:t>
            </w:r>
          </w:p>
          <w:p>
            <w:pPr>
              <w:spacing w:line="360" w:lineRule="auto"/>
              <w:rPr>
                <w:rFonts w:ascii="Times New Roman" w:hAnsi="Times New Roman" w:eastAsia="宋体"/>
                <w:color w:val="auto"/>
                <w:sz w:val="24"/>
                <w:szCs w:val="24"/>
              </w:rPr>
            </w:pPr>
          </w:p>
        </w:tc>
      </w:tr>
    </w:tbl>
    <w:p>
      <w:pPr>
        <w:rPr>
          <w:rFonts w:ascii="Times New Roman" w:hAnsi="Times New Roman" w:eastAsia="宋体"/>
          <w:color w:val="auto"/>
        </w:rPr>
      </w:pPr>
    </w:p>
    <w:tbl>
      <w:tblPr>
        <w:tblStyle w:val="22"/>
        <w:tblW w:w="9282" w:type="dxa"/>
        <w:jc w:val="center"/>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Layout w:type="fixed"/>
        <w:tblCellMar>
          <w:top w:w="0" w:type="dxa"/>
          <w:left w:w="108" w:type="dxa"/>
          <w:bottom w:w="0" w:type="dxa"/>
          <w:right w:w="108" w:type="dxa"/>
        </w:tblCellMar>
      </w:tblPr>
      <w:tblGrid>
        <w:gridCol w:w="9282"/>
      </w:tblGrid>
      <w:tr>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trHeight w:val="998" w:hRule="atLeast"/>
          <w:jc w:val="center"/>
        </w:trPr>
        <w:tc>
          <w:tcPr>
            <w:tcW w:w="9282" w:type="dxa"/>
          </w:tcPr>
          <w:p>
            <w:pPr>
              <w:rPr>
                <w:rFonts w:ascii="Times New Roman" w:hAnsi="Times New Roman" w:eastAsia="宋体"/>
                <w:color w:val="auto"/>
                <w:w w:val="98"/>
                <w:kern w:val="0"/>
                <w:sz w:val="28"/>
              </w:rPr>
            </w:pPr>
            <w:r>
              <w:rPr>
                <w:rFonts w:ascii="Times New Roman" w:hAnsi="Times New Roman" w:eastAsia="宋体"/>
                <w:color w:val="auto"/>
                <w:w w:val="98"/>
                <w:kern w:val="0"/>
                <w:sz w:val="28"/>
              </w:rPr>
              <w:t>预审意见：</w:t>
            </w:r>
          </w:p>
          <w:p>
            <w:pPr>
              <w:rPr>
                <w:rFonts w:ascii="Times New Roman" w:hAnsi="Times New Roman" w:eastAsia="宋体"/>
                <w:color w:val="auto"/>
                <w:w w:val="98"/>
              </w:rPr>
            </w:pPr>
          </w:p>
          <w:p>
            <w:pPr>
              <w:rPr>
                <w:rFonts w:ascii="Times New Roman" w:hAnsi="Times New Roman" w:eastAsia="宋体"/>
                <w:color w:val="auto"/>
                <w:w w:val="98"/>
              </w:rPr>
            </w:pPr>
          </w:p>
          <w:p>
            <w:pPr>
              <w:rPr>
                <w:rFonts w:ascii="Times New Roman" w:hAnsi="Times New Roman" w:eastAsia="宋体"/>
                <w:color w:val="auto"/>
                <w:w w:val="98"/>
              </w:rPr>
            </w:pPr>
          </w:p>
          <w:p>
            <w:pPr>
              <w:rPr>
                <w:rFonts w:ascii="Times New Roman" w:hAnsi="Times New Roman" w:eastAsia="宋体"/>
                <w:color w:val="auto"/>
                <w:w w:val="98"/>
              </w:rPr>
            </w:pPr>
          </w:p>
          <w:p>
            <w:pPr>
              <w:rPr>
                <w:rFonts w:ascii="Times New Roman" w:hAnsi="Times New Roman" w:eastAsia="宋体"/>
                <w:color w:val="auto"/>
                <w:w w:val="98"/>
              </w:rPr>
            </w:pPr>
          </w:p>
          <w:p>
            <w:pPr>
              <w:rPr>
                <w:rFonts w:ascii="Times New Roman" w:hAnsi="Times New Roman" w:eastAsia="宋体"/>
                <w:color w:val="auto"/>
                <w:w w:val="98"/>
              </w:rPr>
            </w:pPr>
          </w:p>
          <w:p>
            <w:pPr>
              <w:rPr>
                <w:rFonts w:ascii="Times New Roman" w:hAnsi="Times New Roman" w:eastAsia="宋体"/>
                <w:color w:val="auto"/>
                <w:w w:val="98"/>
              </w:rPr>
            </w:pPr>
          </w:p>
          <w:p>
            <w:pPr>
              <w:rPr>
                <w:rFonts w:ascii="Times New Roman" w:hAnsi="Times New Roman" w:eastAsia="宋体"/>
                <w:color w:val="auto"/>
                <w:w w:val="98"/>
              </w:rPr>
            </w:pPr>
          </w:p>
          <w:p>
            <w:pPr>
              <w:rPr>
                <w:rFonts w:ascii="Times New Roman" w:hAnsi="Times New Roman" w:eastAsia="宋体"/>
                <w:color w:val="auto"/>
                <w:w w:val="98"/>
                <w:kern w:val="0"/>
                <w:sz w:val="28"/>
              </w:rPr>
            </w:pPr>
          </w:p>
          <w:p>
            <w:pPr>
              <w:rPr>
                <w:rFonts w:ascii="Times New Roman" w:hAnsi="Times New Roman" w:eastAsia="宋体"/>
                <w:color w:val="auto"/>
                <w:w w:val="98"/>
                <w:kern w:val="0"/>
                <w:sz w:val="28"/>
              </w:rPr>
            </w:pPr>
          </w:p>
          <w:p>
            <w:pPr>
              <w:rPr>
                <w:rFonts w:ascii="Times New Roman" w:hAnsi="Times New Roman" w:eastAsia="宋体"/>
                <w:color w:val="auto"/>
                <w:w w:val="98"/>
                <w:kern w:val="0"/>
                <w:sz w:val="28"/>
              </w:rPr>
            </w:pPr>
            <w:r>
              <w:rPr>
                <w:rFonts w:ascii="Times New Roman" w:hAnsi="Times New Roman" w:eastAsia="宋体"/>
                <w:color w:val="auto"/>
                <w:w w:val="98"/>
                <w:kern w:val="0"/>
                <w:sz w:val="28"/>
              </w:rPr>
              <w:t xml:space="preserve">                                                  </w:t>
            </w:r>
            <w:r>
              <w:rPr>
                <w:rFonts w:ascii="Times New Roman" w:hAnsi="Times New Roman" w:eastAsia="宋体"/>
                <w:color w:val="auto"/>
                <w:w w:val="98"/>
              </w:rPr>
              <w:t xml:space="preserve"> </w:t>
            </w:r>
            <w:r>
              <w:rPr>
                <w:rFonts w:ascii="Times New Roman" w:hAnsi="Times New Roman" w:eastAsia="宋体"/>
                <w:color w:val="auto"/>
                <w:w w:val="98"/>
                <w:kern w:val="0"/>
                <w:sz w:val="28"/>
              </w:rPr>
              <w:t>公   章</w:t>
            </w:r>
          </w:p>
          <w:p>
            <w:pPr>
              <w:ind w:firstLine="200" w:firstLineChars="98"/>
              <w:rPr>
                <w:rFonts w:ascii="Times New Roman" w:hAnsi="Times New Roman" w:eastAsia="宋体"/>
                <w:color w:val="auto"/>
                <w:w w:val="98"/>
                <w:kern w:val="0"/>
                <w:sz w:val="28"/>
              </w:rPr>
            </w:pPr>
            <w:r>
              <w:rPr>
                <w:rFonts w:ascii="Times New Roman" w:hAnsi="Times New Roman" w:eastAsia="宋体"/>
                <w:color w:val="auto"/>
                <w:w w:val="98"/>
              </w:rPr>
              <w:t xml:space="preserve"> </w:t>
            </w:r>
            <w:r>
              <w:rPr>
                <w:rFonts w:ascii="Times New Roman" w:hAnsi="Times New Roman" w:eastAsia="宋体"/>
                <w:color w:val="auto"/>
                <w:w w:val="98"/>
                <w:kern w:val="0"/>
                <w:sz w:val="28"/>
              </w:rPr>
              <w:t xml:space="preserve">经办人： </w:t>
            </w:r>
            <w:r>
              <w:rPr>
                <w:rFonts w:ascii="Times New Roman" w:hAnsi="Times New Roman" w:eastAsia="宋体"/>
                <w:color w:val="auto"/>
                <w:w w:val="98"/>
              </w:rPr>
              <w:t xml:space="preserve">                                                </w:t>
            </w:r>
            <w:r>
              <w:rPr>
                <w:rFonts w:ascii="Times New Roman" w:hAnsi="Times New Roman" w:eastAsia="宋体"/>
                <w:color w:val="auto"/>
                <w:w w:val="98"/>
                <w:kern w:val="0"/>
                <w:sz w:val="28"/>
              </w:rPr>
              <w:t>年    月    日</w:t>
            </w:r>
          </w:p>
          <w:p>
            <w:pPr>
              <w:ind w:firstLine="268" w:firstLineChars="98"/>
              <w:rPr>
                <w:rFonts w:ascii="Times New Roman" w:hAnsi="Times New Roman" w:eastAsia="宋体"/>
                <w:color w:val="auto"/>
                <w:w w:val="98"/>
                <w:kern w:val="0"/>
                <w:sz w:val="28"/>
              </w:rPr>
            </w:pPr>
          </w:p>
        </w:tc>
      </w:tr>
      <w:tr>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trHeight w:val="4230" w:hRule="atLeast"/>
          <w:jc w:val="center"/>
        </w:trPr>
        <w:tc>
          <w:tcPr>
            <w:tcW w:w="9282" w:type="dxa"/>
          </w:tcPr>
          <w:p>
            <w:pPr>
              <w:rPr>
                <w:rFonts w:ascii="Times New Roman" w:hAnsi="Times New Roman" w:eastAsia="宋体"/>
                <w:color w:val="auto"/>
                <w:w w:val="98"/>
                <w:kern w:val="0"/>
                <w:sz w:val="28"/>
              </w:rPr>
            </w:pPr>
          </w:p>
          <w:p>
            <w:pPr>
              <w:rPr>
                <w:rFonts w:ascii="Times New Roman" w:hAnsi="Times New Roman" w:eastAsia="宋体"/>
                <w:color w:val="auto"/>
                <w:w w:val="98"/>
                <w:kern w:val="0"/>
                <w:sz w:val="28"/>
              </w:rPr>
            </w:pPr>
            <w:r>
              <w:rPr>
                <w:rFonts w:ascii="Times New Roman" w:hAnsi="Times New Roman" w:eastAsia="宋体"/>
                <w:color w:val="auto"/>
                <w:w w:val="98"/>
                <w:kern w:val="0"/>
                <w:sz w:val="28"/>
              </w:rPr>
              <w:t>下一级环境保护行政主管部门审查意见：</w:t>
            </w:r>
          </w:p>
          <w:p>
            <w:pPr>
              <w:rPr>
                <w:rFonts w:ascii="Times New Roman" w:hAnsi="Times New Roman" w:eastAsia="宋体"/>
                <w:color w:val="auto"/>
                <w:w w:val="98"/>
              </w:rPr>
            </w:pPr>
          </w:p>
          <w:p>
            <w:pPr>
              <w:rPr>
                <w:rFonts w:ascii="Times New Roman" w:hAnsi="Times New Roman" w:eastAsia="宋体"/>
                <w:color w:val="auto"/>
                <w:w w:val="98"/>
              </w:rPr>
            </w:pPr>
          </w:p>
          <w:p>
            <w:pPr>
              <w:rPr>
                <w:rFonts w:ascii="Times New Roman" w:hAnsi="Times New Roman" w:eastAsia="宋体"/>
                <w:color w:val="auto"/>
                <w:w w:val="98"/>
              </w:rPr>
            </w:pPr>
          </w:p>
          <w:p>
            <w:pPr>
              <w:rPr>
                <w:rFonts w:ascii="Times New Roman" w:hAnsi="Times New Roman" w:eastAsia="宋体"/>
                <w:color w:val="auto"/>
                <w:w w:val="98"/>
              </w:rPr>
            </w:pPr>
          </w:p>
          <w:p>
            <w:pPr>
              <w:rPr>
                <w:rFonts w:ascii="Times New Roman" w:hAnsi="Times New Roman" w:eastAsia="宋体"/>
                <w:color w:val="auto"/>
                <w:w w:val="98"/>
              </w:rPr>
            </w:pPr>
          </w:p>
          <w:p>
            <w:pPr>
              <w:rPr>
                <w:rFonts w:ascii="Times New Roman" w:hAnsi="Times New Roman" w:eastAsia="宋体"/>
                <w:color w:val="auto"/>
                <w:w w:val="98"/>
              </w:rPr>
            </w:pPr>
          </w:p>
          <w:p>
            <w:pPr>
              <w:rPr>
                <w:rFonts w:ascii="Times New Roman" w:hAnsi="Times New Roman" w:eastAsia="宋体"/>
                <w:color w:val="auto"/>
                <w:w w:val="98"/>
              </w:rPr>
            </w:pPr>
          </w:p>
          <w:p>
            <w:pPr>
              <w:rPr>
                <w:rFonts w:ascii="Times New Roman" w:hAnsi="Times New Roman" w:eastAsia="宋体"/>
                <w:color w:val="auto"/>
                <w:w w:val="98"/>
              </w:rPr>
            </w:pPr>
          </w:p>
          <w:p>
            <w:pPr>
              <w:rPr>
                <w:rFonts w:ascii="Times New Roman" w:hAnsi="Times New Roman" w:eastAsia="宋体"/>
                <w:color w:val="auto"/>
                <w:w w:val="98"/>
              </w:rPr>
            </w:pPr>
          </w:p>
          <w:p>
            <w:pPr>
              <w:rPr>
                <w:rFonts w:ascii="Times New Roman" w:hAnsi="Times New Roman" w:eastAsia="宋体"/>
                <w:color w:val="auto"/>
                <w:w w:val="98"/>
              </w:rPr>
            </w:pPr>
          </w:p>
          <w:p>
            <w:pPr>
              <w:rPr>
                <w:rFonts w:ascii="Times New Roman" w:hAnsi="Times New Roman" w:eastAsia="宋体"/>
                <w:color w:val="auto"/>
                <w:w w:val="98"/>
              </w:rPr>
            </w:pPr>
          </w:p>
          <w:p>
            <w:pPr>
              <w:rPr>
                <w:rFonts w:ascii="Times New Roman" w:hAnsi="Times New Roman" w:eastAsia="宋体"/>
                <w:color w:val="auto"/>
                <w:w w:val="98"/>
              </w:rPr>
            </w:pPr>
          </w:p>
          <w:p>
            <w:pPr>
              <w:rPr>
                <w:rFonts w:ascii="Times New Roman" w:hAnsi="Times New Roman" w:eastAsia="宋体"/>
                <w:color w:val="auto"/>
                <w:w w:val="98"/>
              </w:rPr>
            </w:pPr>
          </w:p>
          <w:p>
            <w:pPr>
              <w:rPr>
                <w:rFonts w:ascii="Times New Roman" w:hAnsi="Times New Roman" w:eastAsia="宋体"/>
                <w:color w:val="auto"/>
                <w:w w:val="98"/>
              </w:rPr>
            </w:pPr>
          </w:p>
          <w:p>
            <w:pPr>
              <w:rPr>
                <w:rFonts w:ascii="Times New Roman" w:hAnsi="Times New Roman" w:eastAsia="宋体"/>
                <w:color w:val="auto"/>
                <w:w w:val="98"/>
              </w:rPr>
            </w:pPr>
          </w:p>
          <w:p>
            <w:pPr>
              <w:rPr>
                <w:rFonts w:ascii="Times New Roman" w:hAnsi="Times New Roman" w:eastAsia="宋体"/>
                <w:color w:val="auto"/>
                <w:w w:val="98"/>
                <w:kern w:val="0"/>
                <w:sz w:val="28"/>
              </w:rPr>
            </w:pPr>
            <w:r>
              <w:rPr>
                <w:rFonts w:ascii="Times New Roman" w:hAnsi="Times New Roman" w:eastAsia="宋体"/>
                <w:color w:val="auto"/>
                <w:w w:val="98"/>
              </w:rPr>
              <w:t xml:space="preserve"> </w:t>
            </w:r>
            <w:r>
              <w:rPr>
                <w:rFonts w:hint="eastAsia" w:ascii="Times New Roman" w:hAnsi="Times New Roman" w:eastAsia="宋体"/>
                <w:color w:val="auto"/>
                <w:w w:val="98"/>
              </w:rPr>
              <w:t xml:space="preserve">                                                                 </w:t>
            </w:r>
            <w:r>
              <w:rPr>
                <w:rFonts w:ascii="Times New Roman" w:hAnsi="Times New Roman" w:eastAsia="宋体"/>
                <w:color w:val="auto"/>
                <w:w w:val="98"/>
                <w:kern w:val="0"/>
                <w:sz w:val="28"/>
              </w:rPr>
              <w:t>公   章</w:t>
            </w:r>
          </w:p>
          <w:p>
            <w:pPr>
              <w:rPr>
                <w:rFonts w:ascii="Times New Roman" w:hAnsi="Times New Roman" w:eastAsia="宋体"/>
                <w:color w:val="auto"/>
                <w:w w:val="98"/>
                <w:kern w:val="0"/>
                <w:sz w:val="28"/>
              </w:rPr>
            </w:pPr>
            <w:r>
              <w:rPr>
                <w:rFonts w:ascii="Times New Roman" w:hAnsi="Times New Roman" w:eastAsia="宋体"/>
                <w:color w:val="auto"/>
                <w:w w:val="98"/>
              </w:rPr>
              <w:t xml:space="preserve">   </w:t>
            </w:r>
            <w:r>
              <w:rPr>
                <w:rFonts w:ascii="Times New Roman" w:hAnsi="Times New Roman" w:eastAsia="宋体"/>
                <w:color w:val="auto"/>
                <w:w w:val="98"/>
                <w:kern w:val="0"/>
                <w:sz w:val="28"/>
              </w:rPr>
              <w:t>经办人：                                   年    月    日</w:t>
            </w:r>
          </w:p>
          <w:p>
            <w:pPr>
              <w:rPr>
                <w:rFonts w:ascii="Times New Roman" w:hAnsi="Times New Roman" w:eastAsia="宋体"/>
                <w:color w:val="auto"/>
                <w:w w:val="98"/>
                <w:kern w:val="0"/>
                <w:sz w:val="28"/>
              </w:rPr>
            </w:pPr>
            <w:r>
              <w:rPr>
                <w:rFonts w:hint="eastAsia" w:ascii="Times New Roman" w:hAnsi="Times New Roman" w:eastAsia="宋体"/>
                <w:color w:val="auto"/>
                <w:w w:val="98"/>
                <w:kern w:val="0"/>
                <w:sz w:val="28"/>
              </w:rPr>
              <w:t>审查意见；</w:t>
            </w:r>
          </w:p>
          <w:p>
            <w:pPr>
              <w:rPr>
                <w:rFonts w:ascii="Times New Roman" w:hAnsi="Times New Roman" w:eastAsia="宋体"/>
                <w:color w:val="auto"/>
                <w:w w:val="98"/>
                <w:kern w:val="0"/>
                <w:sz w:val="28"/>
              </w:rPr>
            </w:pPr>
          </w:p>
          <w:p>
            <w:pPr>
              <w:rPr>
                <w:rFonts w:ascii="Times New Roman" w:hAnsi="Times New Roman" w:eastAsia="宋体"/>
                <w:color w:val="auto"/>
                <w:w w:val="98"/>
                <w:kern w:val="0"/>
                <w:sz w:val="28"/>
              </w:rPr>
            </w:pPr>
          </w:p>
          <w:p>
            <w:pPr>
              <w:rPr>
                <w:rFonts w:ascii="Times New Roman" w:hAnsi="Times New Roman" w:eastAsia="宋体"/>
                <w:color w:val="auto"/>
                <w:w w:val="98"/>
                <w:kern w:val="0"/>
                <w:sz w:val="28"/>
              </w:rPr>
            </w:pPr>
          </w:p>
          <w:p>
            <w:pPr>
              <w:rPr>
                <w:rFonts w:ascii="Times New Roman" w:hAnsi="Times New Roman" w:eastAsia="宋体"/>
                <w:color w:val="auto"/>
                <w:w w:val="98"/>
                <w:kern w:val="0"/>
                <w:sz w:val="28"/>
              </w:rPr>
            </w:pPr>
          </w:p>
          <w:p>
            <w:pPr>
              <w:rPr>
                <w:rFonts w:ascii="Times New Roman" w:hAnsi="Times New Roman" w:eastAsia="宋体"/>
                <w:color w:val="auto"/>
                <w:w w:val="98"/>
                <w:kern w:val="0"/>
                <w:sz w:val="28"/>
              </w:rPr>
            </w:pPr>
          </w:p>
          <w:p>
            <w:pPr>
              <w:rPr>
                <w:rFonts w:ascii="Times New Roman" w:hAnsi="Times New Roman" w:eastAsia="宋体"/>
                <w:color w:val="auto"/>
                <w:w w:val="98"/>
                <w:kern w:val="0"/>
                <w:sz w:val="28"/>
              </w:rPr>
            </w:pPr>
          </w:p>
          <w:p>
            <w:pPr>
              <w:rPr>
                <w:rFonts w:ascii="Times New Roman" w:hAnsi="Times New Roman" w:eastAsia="宋体"/>
                <w:color w:val="auto"/>
                <w:w w:val="98"/>
                <w:kern w:val="0"/>
                <w:sz w:val="28"/>
              </w:rPr>
            </w:pPr>
          </w:p>
          <w:p>
            <w:pPr>
              <w:rPr>
                <w:rFonts w:ascii="Times New Roman" w:hAnsi="Times New Roman" w:eastAsia="宋体"/>
                <w:color w:val="auto"/>
                <w:w w:val="98"/>
                <w:kern w:val="0"/>
                <w:sz w:val="28"/>
              </w:rPr>
            </w:pPr>
          </w:p>
          <w:p>
            <w:pPr>
              <w:rPr>
                <w:rFonts w:ascii="Times New Roman" w:hAnsi="Times New Roman" w:eastAsia="宋体"/>
                <w:color w:val="auto"/>
                <w:w w:val="98"/>
                <w:kern w:val="0"/>
                <w:sz w:val="28"/>
              </w:rPr>
            </w:pPr>
          </w:p>
          <w:p>
            <w:pPr>
              <w:rPr>
                <w:rFonts w:ascii="Times New Roman" w:hAnsi="Times New Roman" w:eastAsia="宋体"/>
                <w:color w:val="auto"/>
                <w:w w:val="98"/>
                <w:kern w:val="0"/>
                <w:sz w:val="28"/>
              </w:rPr>
            </w:pPr>
          </w:p>
          <w:p>
            <w:pPr>
              <w:rPr>
                <w:rFonts w:ascii="Times New Roman" w:hAnsi="Times New Roman" w:eastAsia="宋体"/>
                <w:color w:val="auto"/>
                <w:w w:val="98"/>
                <w:kern w:val="0"/>
                <w:sz w:val="28"/>
              </w:rPr>
            </w:pPr>
          </w:p>
          <w:p>
            <w:pPr>
              <w:rPr>
                <w:rFonts w:ascii="Times New Roman" w:hAnsi="Times New Roman" w:eastAsia="宋体"/>
                <w:color w:val="auto"/>
                <w:w w:val="98"/>
                <w:kern w:val="0"/>
                <w:sz w:val="28"/>
              </w:rPr>
            </w:pPr>
          </w:p>
          <w:p>
            <w:pPr>
              <w:rPr>
                <w:rFonts w:ascii="Times New Roman" w:hAnsi="Times New Roman" w:eastAsia="宋体"/>
                <w:color w:val="auto"/>
                <w:w w:val="98"/>
                <w:kern w:val="0"/>
                <w:sz w:val="28"/>
              </w:rPr>
            </w:pPr>
          </w:p>
          <w:p>
            <w:pPr>
              <w:rPr>
                <w:rFonts w:ascii="Times New Roman" w:hAnsi="Times New Roman" w:eastAsia="宋体"/>
                <w:color w:val="auto"/>
                <w:w w:val="98"/>
                <w:kern w:val="0"/>
                <w:sz w:val="28"/>
              </w:rPr>
            </w:pPr>
          </w:p>
          <w:p>
            <w:pPr>
              <w:rPr>
                <w:rFonts w:ascii="Times New Roman" w:hAnsi="Times New Roman" w:eastAsia="宋体"/>
                <w:color w:val="auto"/>
                <w:w w:val="98"/>
                <w:kern w:val="0"/>
                <w:sz w:val="28"/>
              </w:rPr>
            </w:pPr>
          </w:p>
          <w:p>
            <w:pPr>
              <w:rPr>
                <w:rFonts w:ascii="Times New Roman" w:hAnsi="Times New Roman" w:eastAsia="宋体"/>
                <w:color w:val="auto"/>
                <w:w w:val="98"/>
                <w:kern w:val="0"/>
                <w:sz w:val="28"/>
              </w:rPr>
            </w:pPr>
          </w:p>
          <w:p>
            <w:pPr>
              <w:rPr>
                <w:rFonts w:ascii="Times New Roman" w:hAnsi="Times New Roman" w:eastAsia="宋体"/>
                <w:color w:val="auto"/>
                <w:w w:val="98"/>
                <w:kern w:val="0"/>
                <w:sz w:val="28"/>
              </w:rPr>
            </w:pPr>
          </w:p>
          <w:p>
            <w:pPr>
              <w:rPr>
                <w:rFonts w:ascii="Times New Roman" w:hAnsi="Times New Roman" w:eastAsia="宋体"/>
                <w:color w:val="auto"/>
                <w:w w:val="98"/>
                <w:kern w:val="0"/>
                <w:sz w:val="28"/>
              </w:rPr>
            </w:pPr>
          </w:p>
          <w:p>
            <w:pPr>
              <w:rPr>
                <w:rFonts w:ascii="Times New Roman" w:hAnsi="Times New Roman" w:eastAsia="宋体"/>
                <w:color w:val="auto"/>
                <w:w w:val="98"/>
                <w:kern w:val="0"/>
                <w:sz w:val="28"/>
              </w:rPr>
            </w:pPr>
          </w:p>
          <w:p>
            <w:pPr>
              <w:rPr>
                <w:rFonts w:ascii="Times New Roman" w:hAnsi="Times New Roman" w:eastAsia="宋体"/>
                <w:color w:val="auto"/>
                <w:w w:val="98"/>
                <w:kern w:val="0"/>
                <w:sz w:val="28"/>
              </w:rPr>
            </w:pPr>
            <w:r>
              <w:rPr>
                <w:rFonts w:hint="eastAsia" w:ascii="Times New Roman" w:hAnsi="Times New Roman" w:eastAsia="宋体"/>
                <w:color w:val="auto"/>
                <w:w w:val="98"/>
                <w:kern w:val="0"/>
                <w:sz w:val="28"/>
              </w:rPr>
              <w:t xml:space="preserve">                                                 公  章</w:t>
            </w:r>
          </w:p>
          <w:p>
            <w:pPr>
              <w:rPr>
                <w:rFonts w:ascii="Times New Roman" w:hAnsi="Times New Roman" w:eastAsia="宋体"/>
                <w:color w:val="auto"/>
                <w:w w:val="98"/>
                <w:kern w:val="0"/>
                <w:sz w:val="28"/>
              </w:rPr>
            </w:pPr>
            <w:r>
              <w:rPr>
                <w:rFonts w:hint="eastAsia" w:ascii="Times New Roman" w:hAnsi="Times New Roman" w:eastAsia="宋体"/>
                <w:color w:val="auto"/>
                <w:w w:val="98"/>
                <w:kern w:val="0"/>
                <w:sz w:val="28"/>
              </w:rPr>
              <w:t>经办人；                                      年   月    日</w:t>
            </w:r>
          </w:p>
        </w:tc>
      </w:tr>
      <w:tr>
        <w:tblPrEx>
          <w:tblBorders>
            <w:top w:val="single" w:color="auto" w:sz="12" w:space="0"/>
            <w:left w:val="single" w:color="auto" w:sz="12" w:space="0"/>
            <w:bottom w:val="single" w:color="auto" w:sz="12" w:space="0"/>
            <w:right w:val="single" w:color="auto" w:sz="12" w:space="0"/>
            <w:insideH w:val="single" w:color="auto" w:sz="12" w:space="0"/>
            <w:insideV w:val="none" w:color="auto" w:sz="0" w:space="0"/>
          </w:tblBorders>
          <w:tblCellMar>
            <w:top w:w="0" w:type="dxa"/>
            <w:left w:w="108" w:type="dxa"/>
            <w:bottom w:w="0" w:type="dxa"/>
            <w:right w:w="108" w:type="dxa"/>
          </w:tblCellMar>
        </w:tblPrEx>
        <w:trPr>
          <w:trHeight w:val="13363" w:hRule="atLeast"/>
          <w:jc w:val="center"/>
        </w:trPr>
        <w:tc>
          <w:tcPr>
            <w:tcW w:w="9282" w:type="dxa"/>
            <w:vAlign w:val="center"/>
          </w:tcPr>
          <w:p>
            <w:pPr>
              <w:spacing w:line="360" w:lineRule="auto"/>
              <w:jc w:val="center"/>
              <w:rPr>
                <w:rFonts w:ascii="Times New Roman" w:hAnsi="Times New Roman" w:eastAsia="宋体"/>
                <w:b/>
                <w:color w:val="auto"/>
                <w:sz w:val="32"/>
                <w:szCs w:val="32"/>
              </w:rPr>
            </w:pPr>
            <w:r>
              <w:rPr>
                <w:rFonts w:ascii="Times New Roman" w:hAnsi="Times New Roman" w:eastAsia="宋体"/>
                <w:b/>
                <w:color w:val="auto"/>
                <w:sz w:val="32"/>
                <w:szCs w:val="32"/>
              </w:rPr>
              <w:t>注        释</w:t>
            </w:r>
          </w:p>
          <w:p>
            <w:pPr>
              <w:spacing w:line="360" w:lineRule="auto"/>
              <w:ind w:firstLine="352" w:firstLineChars="147"/>
              <w:rPr>
                <w:rFonts w:ascii="Times New Roman" w:hAnsi="Times New Roman" w:eastAsia="宋体"/>
                <w:color w:val="auto"/>
                <w:sz w:val="24"/>
              </w:rPr>
            </w:pPr>
            <w:r>
              <w:rPr>
                <w:rFonts w:ascii="Times New Roman" w:hAnsi="Times New Roman" w:eastAsia="宋体"/>
                <w:color w:val="auto"/>
                <w:sz w:val="24"/>
              </w:rPr>
              <w:t>一、本报告表应附以下附件、附图：</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 xml:space="preserve">附件1  </w:t>
            </w:r>
            <w:r>
              <w:rPr>
                <w:rFonts w:hint="eastAsia" w:ascii="Times New Roman" w:hAnsi="Times New Roman" w:eastAsia="宋体"/>
                <w:color w:val="auto"/>
                <w:sz w:val="24"/>
              </w:rPr>
              <w:t>项目委托书</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 xml:space="preserve">附件2  </w:t>
            </w:r>
            <w:r>
              <w:rPr>
                <w:rFonts w:hint="eastAsia" w:ascii="Times New Roman" w:hAnsi="Times New Roman" w:eastAsia="宋体"/>
                <w:color w:val="auto"/>
                <w:sz w:val="24"/>
                <w:lang w:val="en-US" w:eastAsia="zh-CN"/>
              </w:rPr>
              <w:t>危废承诺</w:t>
            </w:r>
          </w:p>
          <w:p>
            <w:pPr>
              <w:spacing w:line="360" w:lineRule="auto"/>
              <w:ind w:firstLine="480" w:firstLineChars="200"/>
              <w:rPr>
                <w:rFonts w:hint="default" w:ascii="Times New Roman" w:hAnsi="Times New Roman" w:eastAsia="宋体"/>
                <w:color w:val="auto"/>
                <w:sz w:val="24"/>
                <w:lang w:val="en-US" w:eastAsia="zh-CN"/>
              </w:rPr>
            </w:pPr>
            <w:r>
              <w:rPr>
                <w:rFonts w:ascii="Times New Roman" w:hAnsi="Times New Roman" w:eastAsia="宋体"/>
                <w:color w:val="auto"/>
                <w:sz w:val="24"/>
              </w:rPr>
              <w:t>附件3</w:t>
            </w:r>
            <w:r>
              <w:rPr>
                <w:rFonts w:hint="eastAsia" w:ascii="Times New Roman" w:hAnsi="Times New Roman" w:eastAsia="宋体"/>
                <w:color w:val="auto"/>
                <w:sz w:val="24"/>
              </w:rPr>
              <w:t xml:space="preserve"> </w:t>
            </w:r>
            <w:r>
              <w:rPr>
                <w:rFonts w:ascii="Times New Roman" w:hAnsi="Times New Roman" w:eastAsia="宋体"/>
                <w:color w:val="auto"/>
                <w:sz w:val="24"/>
              </w:rPr>
              <w:t xml:space="preserve"> </w:t>
            </w:r>
            <w:r>
              <w:rPr>
                <w:rFonts w:hint="eastAsia" w:ascii="Times New Roman" w:hAnsi="Times New Roman" w:eastAsia="宋体"/>
                <w:color w:val="auto"/>
                <w:sz w:val="24"/>
                <w:lang w:val="en-US" w:eastAsia="zh-CN"/>
              </w:rPr>
              <w:t>真实性承诺</w:t>
            </w:r>
          </w:p>
          <w:p>
            <w:pPr>
              <w:spacing w:line="360" w:lineRule="auto"/>
              <w:ind w:firstLine="480" w:firstLineChars="200"/>
              <w:rPr>
                <w:rFonts w:hint="default" w:ascii="Times New Roman" w:hAnsi="Times New Roman" w:eastAsia="宋体"/>
                <w:color w:val="auto"/>
                <w:sz w:val="24"/>
                <w:lang w:val="en-US" w:eastAsia="zh-CN"/>
              </w:rPr>
            </w:pPr>
            <w:r>
              <w:rPr>
                <w:rFonts w:ascii="Times New Roman" w:hAnsi="Times New Roman" w:eastAsia="宋体"/>
                <w:color w:val="auto"/>
                <w:sz w:val="24"/>
              </w:rPr>
              <w:t xml:space="preserve">附件4  </w:t>
            </w:r>
            <w:r>
              <w:rPr>
                <w:rFonts w:hint="eastAsia" w:ascii="Times New Roman" w:hAnsi="Times New Roman" w:eastAsia="宋体"/>
                <w:color w:val="auto"/>
                <w:sz w:val="24"/>
                <w:lang w:val="en-US" w:eastAsia="zh-CN"/>
              </w:rPr>
              <w:t>备案文件</w:t>
            </w:r>
          </w:p>
          <w:p>
            <w:pPr>
              <w:spacing w:line="360" w:lineRule="auto"/>
              <w:ind w:firstLine="480" w:firstLineChars="200"/>
              <w:rPr>
                <w:rFonts w:hint="eastAsia" w:ascii="Times New Roman" w:hAnsi="Times New Roman" w:eastAsia="宋体"/>
                <w:color w:val="auto"/>
                <w:sz w:val="24"/>
                <w:lang w:val="en-US" w:eastAsia="zh-CN"/>
              </w:rPr>
            </w:pPr>
            <w:r>
              <w:rPr>
                <w:rFonts w:hint="eastAsia" w:ascii="Times New Roman" w:hAnsi="Times New Roman" w:eastAsia="宋体"/>
                <w:color w:val="auto"/>
                <w:sz w:val="24"/>
              </w:rPr>
              <w:t>附件</w:t>
            </w:r>
            <w:r>
              <w:rPr>
                <w:rFonts w:ascii="Times New Roman" w:hAnsi="Times New Roman" w:eastAsia="宋体"/>
                <w:color w:val="auto"/>
                <w:sz w:val="24"/>
              </w:rPr>
              <w:t xml:space="preserve">5  </w:t>
            </w:r>
            <w:r>
              <w:rPr>
                <w:rFonts w:hint="eastAsia" w:ascii="Times New Roman" w:hAnsi="Times New Roman" w:eastAsia="宋体"/>
                <w:color w:val="auto"/>
                <w:sz w:val="24"/>
                <w:lang w:val="en-US" w:eastAsia="zh-CN"/>
              </w:rPr>
              <w:t>营业执照</w:t>
            </w:r>
          </w:p>
          <w:p>
            <w:pPr>
              <w:spacing w:line="360" w:lineRule="auto"/>
              <w:ind w:firstLine="480" w:firstLineChars="200"/>
              <w:rPr>
                <w:rFonts w:hint="eastAsia" w:ascii="Times New Roman" w:hAnsi="Times New Roman" w:eastAsia="宋体"/>
                <w:color w:val="auto"/>
                <w:sz w:val="24"/>
                <w:lang w:val="en-US" w:eastAsia="zh-CN"/>
              </w:rPr>
            </w:pPr>
            <w:r>
              <w:rPr>
                <w:rFonts w:hint="eastAsia" w:ascii="Times New Roman" w:hAnsi="Times New Roman" w:eastAsia="宋体"/>
                <w:color w:val="auto"/>
                <w:sz w:val="24"/>
              </w:rPr>
              <w:t>附件</w:t>
            </w:r>
            <w:r>
              <w:rPr>
                <w:rFonts w:hint="eastAsia" w:ascii="Times New Roman" w:hAnsi="Times New Roman" w:eastAsia="宋体"/>
                <w:color w:val="auto"/>
                <w:sz w:val="24"/>
                <w:lang w:val="en-US" w:eastAsia="zh-CN"/>
              </w:rPr>
              <w:t>6</w:t>
            </w:r>
            <w:r>
              <w:rPr>
                <w:rFonts w:ascii="Times New Roman" w:hAnsi="Times New Roman" w:eastAsia="宋体"/>
                <w:color w:val="auto"/>
                <w:sz w:val="24"/>
              </w:rPr>
              <w:t xml:space="preserve">  </w:t>
            </w:r>
            <w:r>
              <w:rPr>
                <w:rFonts w:hint="eastAsia" w:ascii="Times New Roman" w:hAnsi="Times New Roman" w:eastAsia="宋体"/>
                <w:color w:val="auto"/>
                <w:sz w:val="24"/>
                <w:lang w:val="en-US" w:eastAsia="zh-CN"/>
              </w:rPr>
              <w:t>检测报告</w:t>
            </w:r>
          </w:p>
          <w:p>
            <w:pPr>
              <w:spacing w:line="360" w:lineRule="auto"/>
              <w:ind w:firstLine="480" w:firstLineChars="200"/>
              <w:rPr>
                <w:rFonts w:hint="eastAsia" w:ascii="Times New Roman" w:hAnsi="Times New Roman" w:eastAsia="宋体"/>
                <w:color w:val="auto"/>
                <w:sz w:val="24"/>
                <w:lang w:val="en-US" w:eastAsia="zh-CN"/>
              </w:rPr>
            </w:pPr>
            <w:r>
              <w:rPr>
                <w:rFonts w:hint="eastAsia" w:ascii="Times New Roman" w:hAnsi="Times New Roman" w:eastAsia="宋体"/>
                <w:color w:val="auto"/>
                <w:sz w:val="24"/>
              </w:rPr>
              <w:t>附件</w:t>
            </w:r>
            <w:r>
              <w:rPr>
                <w:rFonts w:hint="eastAsia" w:ascii="Times New Roman" w:hAnsi="Times New Roman" w:eastAsia="宋体"/>
                <w:color w:val="auto"/>
                <w:sz w:val="24"/>
                <w:lang w:val="en-US" w:eastAsia="zh-CN"/>
              </w:rPr>
              <w:t>7</w:t>
            </w:r>
            <w:r>
              <w:rPr>
                <w:rFonts w:ascii="Times New Roman" w:hAnsi="Times New Roman" w:eastAsia="宋体"/>
                <w:color w:val="auto"/>
                <w:sz w:val="24"/>
              </w:rPr>
              <w:t xml:space="preserve">  </w:t>
            </w:r>
            <w:r>
              <w:rPr>
                <w:rFonts w:hint="eastAsia" w:ascii="Times New Roman" w:hAnsi="Times New Roman" w:eastAsia="宋体"/>
                <w:color w:val="auto"/>
                <w:sz w:val="24"/>
                <w:lang w:val="en-US" w:eastAsia="zh-CN"/>
              </w:rPr>
              <w:t>公示</w:t>
            </w:r>
          </w:p>
          <w:p>
            <w:pPr>
              <w:pStyle w:val="2"/>
              <w:rPr>
                <w:rFonts w:hint="eastAsia" w:ascii="Times New Roman" w:hAnsi="Times New Roman" w:eastAsia="宋体"/>
                <w:lang w:val="en-US" w:eastAsia="zh-CN"/>
              </w:rPr>
            </w:pPr>
          </w:p>
          <w:p>
            <w:pPr>
              <w:pStyle w:val="2"/>
              <w:rPr>
                <w:rFonts w:hint="default" w:ascii="Times New Roman" w:hAnsi="Times New Roman" w:eastAsia="宋体"/>
                <w:color w:val="auto"/>
                <w:lang w:val="en-US" w:eastAsia="zh-CN"/>
              </w:rPr>
            </w:pP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附图1  项目地理位置图（应反映行政区划、水系、标明纳污口位置</w:t>
            </w:r>
          </w:p>
          <w:p>
            <w:pPr>
              <w:spacing w:line="360" w:lineRule="auto"/>
              <w:rPr>
                <w:rFonts w:ascii="Times New Roman" w:hAnsi="Times New Roman" w:eastAsia="宋体"/>
                <w:color w:val="auto"/>
                <w:sz w:val="24"/>
              </w:rPr>
            </w:pPr>
            <w:r>
              <w:rPr>
                <w:rFonts w:ascii="Times New Roman" w:hAnsi="Times New Roman" w:eastAsia="宋体"/>
                <w:color w:val="auto"/>
                <w:sz w:val="24"/>
              </w:rPr>
              <w:t xml:space="preserve">           和地形地貌等）</w:t>
            </w:r>
          </w:p>
          <w:p>
            <w:pPr>
              <w:spacing w:line="360" w:lineRule="auto"/>
              <w:ind w:firstLine="480" w:firstLineChars="200"/>
              <w:rPr>
                <w:rFonts w:ascii="Times New Roman" w:hAnsi="Times New Roman" w:eastAsia="宋体"/>
                <w:color w:val="auto"/>
                <w:sz w:val="24"/>
              </w:rPr>
            </w:pPr>
            <w:r>
              <w:rPr>
                <w:rFonts w:hint="eastAsia" w:ascii="Times New Roman" w:hAnsi="Times New Roman" w:eastAsia="宋体"/>
                <w:color w:val="auto"/>
                <w:sz w:val="24"/>
              </w:rPr>
              <w:t>附图2</w:t>
            </w:r>
            <w:r>
              <w:rPr>
                <w:rFonts w:ascii="Times New Roman" w:hAnsi="Times New Roman" w:eastAsia="宋体"/>
                <w:color w:val="auto"/>
                <w:sz w:val="24"/>
              </w:rPr>
              <w:t xml:space="preserve">  </w:t>
            </w:r>
            <w:r>
              <w:rPr>
                <w:rFonts w:hint="eastAsia" w:ascii="Times New Roman" w:hAnsi="Times New Roman" w:eastAsia="宋体"/>
                <w:color w:val="auto"/>
                <w:sz w:val="24"/>
              </w:rPr>
              <w:t>项目周边环境示意图</w:t>
            </w:r>
          </w:p>
          <w:p>
            <w:pPr>
              <w:spacing w:line="360" w:lineRule="auto"/>
              <w:ind w:firstLine="480" w:firstLineChars="200"/>
              <w:rPr>
                <w:rFonts w:ascii="Times New Roman" w:hAnsi="Times New Roman" w:eastAsia="宋体"/>
                <w:color w:val="auto"/>
                <w:sz w:val="24"/>
              </w:rPr>
            </w:pPr>
            <w:r>
              <w:rPr>
                <w:rFonts w:hint="eastAsia" w:ascii="Times New Roman" w:hAnsi="Times New Roman" w:eastAsia="宋体"/>
                <w:color w:val="auto"/>
                <w:sz w:val="24"/>
              </w:rPr>
              <w:t>附图3  平面布置图</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 xml:space="preserve"> </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二、如果本报告表不能说明项目产生的污染及对环境造成的影响，应进行专项评价。根据建设项目的特点和当地环境特征，应选下列1—2项进行专项评价。</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1、大气环境影响专项评价</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2、水环境影响专项评价（包括地表水和地下水）</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3、生态影响专项评价</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4、声影响专项评价</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5、土壤影响专项评价</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6、</w:t>
            </w:r>
            <w:r>
              <w:rPr>
                <w:rFonts w:hint="eastAsia" w:ascii="Times New Roman" w:hAnsi="Times New Roman" w:eastAsia="宋体"/>
                <w:color w:val="auto"/>
                <w:sz w:val="24"/>
              </w:rPr>
              <w:t>固体废物</w:t>
            </w:r>
            <w:r>
              <w:rPr>
                <w:rFonts w:ascii="Times New Roman" w:hAnsi="Times New Roman" w:eastAsia="宋体"/>
                <w:color w:val="auto"/>
                <w:sz w:val="24"/>
              </w:rPr>
              <w:t>影响专项评价</w:t>
            </w:r>
          </w:p>
          <w:p>
            <w:pPr>
              <w:spacing w:line="360" w:lineRule="auto"/>
              <w:ind w:firstLine="480" w:firstLineChars="200"/>
              <w:rPr>
                <w:rFonts w:ascii="Times New Roman" w:hAnsi="Times New Roman" w:eastAsia="宋体"/>
                <w:color w:val="auto"/>
                <w:sz w:val="24"/>
              </w:rPr>
            </w:pPr>
            <w:r>
              <w:rPr>
                <w:rFonts w:ascii="Times New Roman" w:hAnsi="Times New Roman" w:eastAsia="宋体"/>
                <w:color w:val="auto"/>
                <w:sz w:val="24"/>
              </w:rPr>
              <w:t>以上专项评价未包括的可另列专项，专项评价按照《环境影响评价技术导则》中的要求进行。</w:t>
            </w:r>
          </w:p>
          <w:p>
            <w:pPr>
              <w:spacing w:line="480" w:lineRule="auto"/>
              <w:ind w:firstLine="480" w:firstLineChars="200"/>
              <w:rPr>
                <w:rFonts w:ascii="Times New Roman" w:hAnsi="Times New Roman" w:eastAsia="宋体"/>
                <w:color w:val="auto"/>
                <w:sz w:val="24"/>
              </w:rPr>
            </w:pPr>
          </w:p>
          <w:p>
            <w:pPr>
              <w:spacing w:line="480" w:lineRule="auto"/>
              <w:rPr>
                <w:rFonts w:ascii="Times New Roman" w:hAnsi="Times New Roman" w:eastAsia="宋体"/>
                <w:color w:val="auto"/>
                <w:sz w:val="24"/>
              </w:rPr>
            </w:pPr>
          </w:p>
        </w:tc>
      </w:tr>
    </w:tbl>
    <w:p>
      <w:pPr>
        <w:rPr>
          <w:rFonts w:ascii="Times New Roman" w:hAnsi="Times New Roman" w:eastAsia="宋体"/>
          <w:color w:val="auto"/>
        </w:rPr>
      </w:pPr>
    </w:p>
    <w:sectPr>
      <w:pgSz w:w="11906" w:h="16838"/>
      <w:pgMar w:top="1440" w:right="1800" w:bottom="1558"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体">
    <w:altName w:val="宋体"/>
    <w:panose1 w:val="00000000000000000000"/>
    <w:charset w:val="86"/>
    <w:family w:val="roma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center"/>
      <w:rPr>
        <w:rStyle w:val="25"/>
      </w:rPr>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75</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En5GoPOAQAAqQMAAA4AAAAAAAAAAQAgAAAAHgEAAGRycy9l&#10;Mm9Eb2MueG1sUEsFBgAAAAAGAAYAWQEAAF4FAAAAAA==&#10;">
              <v:fill on="f" focussize="0,0"/>
              <v:stroke on="f"/>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75</w:t>
                    </w:r>
                    <w:r>
                      <w:rPr>
                        <w:rFonts w:hint="eastAsia"/>
                        <w:sz w:val="18"/>
                      </w:rPr>
                      <w:fldChar w:fldCharType="end"/>
                    </w:r>
                  </w:p>
                </w:txbxContent>
              </v:textbox>
            </v:shape>
          </w:pict>
        </mc:Fallback>
      </mc:AlternateContent>
    </w:r>
  </w:p>
  <w:p>
    <w:pPr>
      <w:pStyle w:val="17"/>
      <w:jc w:val="center"/>
    </w:pPr>
    <w:r>
      <w:rPr>
        <w:rStyle w:val="25"/>
        <w:rFonts w:hint="eastAsia"/>
      </w:rPr>
      <w:t xml:space="preserve">                               </w:t>
    </w:r>
    <w:r>
      <w:rPr>
        <w:rFonts w:hint="eastAsia"/>
      </w:rPr>
      <w:t xml:space="preserve">                       </w:t>
    </w:r>
    <w:r>
      <w:rPr>
        <w:sz w:val="21"/>
        <w:szCs w:val="21"/>
      </w:rPr>
      <w:tab/>
    </w:r>
    <w:r>
      <w:rPr>
        <w:rStyle w:val="25"/>
        <w:rFonts w:hint="eastAsia"/>
        <w:sz w:val="21"/>
        <w:szCs w:val="21"/>
      </w:rPr>
      <w:t xml:space="preserve">                             </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73DCE89"/>
    <w:multiLevelType w:val="singleLevel"/>
    <w:tmpl w:val="A73DCE89"/>
    <w:lvl w:ilvl="0" w:tentative="0">
      <w:start w:val="1"/>
      <w:numFmt w:val="decimal"/>
      <w:suff w:val="nothing"/>
      <w:lvlText w:val="%1、"/>
      <w:lvlJc w:val="left"/>
      <w:pPr>
        <w:ind w:left="0" w:firstLine="397"/>
      </w:pPr>
      <w:rPr>
        <w:rFonts w:hint="default"/>
      </w:rPr>
    </w:lvl>
  </w:abstractNum>
  <w:abstractNum w:abstractNumId="1">
    <w:nsid w:val="BFA1F737"/>
    <w:multiLevelType w:val="singleLevel"/>
    <w:tmpl w:val="BFA1F737"/>
    <w:lvl w:ilvl="0" w:tentative="0">
      <w:start w:val="1"/>
      <w:numFmt w:val="decimal"/>
      <w:suff w:val="nothing"/>
      <w:lvlText w:val="%1、"/>
      <w:lvlJc w:val="left"/>
    </w:lvl>
  </w:abstractNum>
  <w:abstractNum w:abstractNumId="2">
    <w:nsid w:val="2C6CF5EE"/>
    <w:multiLevelType w:val="singleLevel"/>
    <w:tmpl w:val="2C6CF5EE"/>
    <w:lvl w:ilvl="0" w:tentative="0">
      <w:start w:val="1"/>
      <w:numFmt w:val="decimal"/>
      <w:suff w:val="nothing"/>
      <w:lvlText w:val="（%1）"/>
      <w:lvlJc w:val="left"/>
      <w:pPr>
        <w:ind w:left="600" w:firstLine="0"/>
      </w:pPr>
    </w:lvl>
  </w:abstractNum>
  <w:abstractNum w:abstractNumId="3">
    <w:nsid w:val="35C3CF50"/>
    <w:multiLevelType w:val="singleLevel"/>
    <w:tmpl w:val="35C3CF50"/>
    <w:lvl w:ilvl="0" w:tentative="0">
      <w:start w:val="1"/>
      <w:numFmt w:val="chineseCounting"/>
      <w:suff w:val="nothing"/>
      <w:lvlText w:val="%1、"/>
      <w:lvlJc w:val="left"/>
      <w:rPr>
        <w:rFonts w:hint="eastAsia"/>
      </w:rPr>
    </w:lvl>
  </w:abstractNum>
  <w:abstractNum w:abstractNumId="4">
    <w:nsid w:val="5EF2C866"/>
    <w:multiLevelType w:val="singleLevel"/>
    <w:tmpl w:val="5EF2C866"/>
    <w:lvl w:ilvl="0" w:tentative="0">
      <w:start w:val="1"/>
      <w:numFmt w:val="decimalEnclosedCircleChinese"/>
      <w:suff w:val="nothing"/>
      <w:lvlText w:val="%1 "/>
      <w:lvlJc w:val="left"/>
      <w:pPr>
        <w:ind w:left="0" w:firstLine="397"/>
      </w:pPr>
      <w:rPr>
        <w:rFonts w:hint="eastAsia"/>
      </w:rPr>
    </w:lvl>
  </w:abstractNum>
  <w:abstractNum w:abstractNumId="5">
    <w:nsid w:val="6E62EEAF"/>
    <w:multiLevelType w:val="singleLevel"/>
    <w:tmpl w:val="6E62EEAF"/>
    <w:lvl w:ilvl="0" w:tentative="0">
      <w:start w:val="1"/>
      <w:numFmt w:val="decimal"/>
      <w:suff w:val="nothing"/>
      <w:lvlText w:val="（%1）"/>
      <w:lvlJc w:val="left"/>
    </w:lvl>
  </w:abstractNum>
  <w:num w:numId="1">
    <w:abstractNumId w:val="0"/>
  </w:num>
  <w:num w:numId="2">
    <w:abstractNumId w:val="2"/>
  </w:num>
  <w:num w:numId="3">
    <w:abstractNumId w:val="1"/>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0"/>
  <w:bordersDoNotSurroundFooter w:val="0"/>
  <w:hideSpelling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479E"/>
    <w:rsid w:val="00053E43"/>
    <w:rsid w:val="000A479E"/>
    <w:rsid w:val="005C18C8"/>
    <w:rsid w:val="045B7A15"/>
    <w:rsid w:val="04B21F92"/>
    <w:rsid w:val="052427A7"/>
    <w:rsid w:val="06892966"/>
    <w:rsid w:val="087D2E1B"/>
    <w:rsid w:val="0A2E2F9F"/>
    <w:rsid w:val="0C887CE9"/>
    <w:rsid w:val="0EB752C7"/>
    <w:rsid w:val="10E052D7"/>
    <w:rsid w:val="11432C7E"/>
    <w:rsid w:val="119764C9"/>
    <w:rsid w:val="12EA676A"/>
    <w:rsid w:val="150A3570"/>
    <w:rsid w:val="18F044E3"/>
    <w:rsid w:val="1A897F83"/>
    <w:rsid w:val="1F115B03"/>
    <w:rsid w:val="20712E2F"/>
    <w:rsid w:val="2075744A"/>
    <w:rsid w:val="228369A9"/>
    <w:rsid w:val="23EB6AB4"/>
    <w:rsid w:val="2698767E"/>
    <w:rsid w:val="2BD34642"/>
    <w:rsid w:val="2E24340D"/>
    <w:rsid w:val="2EA97547"/>
    <w:rsid w:val="3091209A"/>
    <w:rsid w:val="33EF4C3E"/>
    <w:rsid w:val="378E7CE4"/>
    <w:rsid w:val="3A923371"/>
    <w:rsid w:val="3AC52C86"/>
    <w:rsid w:val="3C504CE8"/>
    <w:rsid w:val="3C8124C9"/>
    <w:rsid w:val="3D884DA8"/>
    <w:rsid w:val="40C935F0"/>
    <w:rsid w:val="44EA106C"/>
    <w:rsid w:val="455E68FE"/>
    <w:rsid w:val="47EC56D2"/>
    <w:rsid w:val="48F9264F"/>
    <w:rsid w:val="4CAA6317"/>
    <w:rsid w:val="4CAB53D3"/>
    <w:rsid w:val="4D496A8D"/>
    <w:rsid w:val="4E585538"/>
    <w:rsid w:val="50C53331"/>
    <w:rsid w:val="54423F51"/>
    <w:rsid w:val="54E229A1"/>
    <w:rsid w:val="5B4E4998"/>
    <w:rsid w:val="5D131E0C"/>
    <w:rsid w:val="61F1497A"/>
    <w:rsid w:val="63607BA0"/>
    <w:rsid w:val="655D1ACA"/>
    <w:rsid w:val="674E3F99"/>
    <w:rsid w:val="691F68B8"/>
    <w:rsid w:val="6BB359DA"/>
    <w:rsid w:val="6E3A0107"/>
    <w:rsid w:val="6EF01D43"/>
    <w:rsid w:val="6F0C70F8"/>
    <w:rsid w:val="6FAE252F"/>
    <w:rsid w:val="71E36845"/>
    <w:rsid w:val="72172120"/>
    <w:rsid w:val="73546EEF"/>
    <w:rsid w:val="73B174F9"/>
    <w:rsid w:val="76CE52A0"/>
    <w:rsid w:val="77C51985"/>
    <w:rsid w:val="7C4476E1"/>
    <w:rsid w:val="7CB13A1E"/>
    <w:rsid w:val="7E342B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iPriority="99"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qFormat="1" w:unhideWhenUsed="0" w:uiPriority="0" w:semiHidden="0" w:name="Block Text"/>
    <w:lsdException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qFormat/>
    <w:uiPriority w:val="0"/>
    <w:pPr>
      <w:keepNext/>
      <w:keepLines/>
      <w:spacing w:line="360" w:lineRule="auto"/>
      <w:outlineLvl w:val="0"/>
    </w:pPr>
    <w:rPr>
      <w:b/>
      <w:bCs/>
      <w:kern w:val="44"/>
      <w:sz w:val="30"/>
      <w:szCs w:val="30"/>
    </w:rPr>
  </w:style>
  <w:style w:type="paragraph" w:styleId="4">
    <w:name w:val="heading 2"/>
    <w:basedOn w:val="1"/>
    <w:next w:val="1"/>
    <w:unhideWhenUsed/>
    <w:qFormat/>
    <w:uiPriority w:val="0"/>
    <w:pPr>
      <w:keepNext/>
      <w:keepLines/>
      <w:spacing w:beforeLines="0" w:beforeAutospacing="0" w:afterLines="0" w:afterAutospacing="0" w:line="360" w:lineRule="auto"/>
      <w:outlineLvl w:val="1"/>
    </w:pPr>
    <w:rPr>
      <w:rFonts w:ascii="Arial" w:hAnsi="Arial" w:eastAsia="宋体"/>
      <w:b/>
      <w:sz w:val="24"/>
    </w:rPr>
  </w:style>
  <w:style w:type="paragraph" w:styleId="5">
    <w:name w:val="heading 3"/>
    <w:basedOn w:val="1"/>
    <w:next w:val="1"/>
    <w:qFormat/>
    <w:uiPriority w:val="0"/>
    <w:pPr>
      <w:keepNext/>
      <w:keepLines/>
      <w:spacing w:beforeLines="50" w:afterLines="50" w:line="380" w:lineRule="exact"/>
      <w:outlineLvl w:val="2"/>
    </w:pPr>
    <w:rPr>
      <w:rFonts w:eastAsia="黑体"/>
      <w:bCs/>
      <w:sz w:val="24"/>
      <w:szCs w:val="32"/>
    </w:rPr>
  </w:style>
  <w:style w:type="character" w:default="1" w:styleId="24">
    <w:name w:val="Default Paragraph Font"/>
    <w:unhideWhenUsed/>
    <w:qFormat/>
    <w:uiPriority w:val="1"/>
  </w:style>
  <w:style w:type="table" w:default="1" w:styleId="22">
    <w:name w:val="Normal Table"/>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jc w:val="center"/>
    </w:pPr>
    <w:rPr>
      <w:rFonts w:ascii="仿宋_GB2312" w:hAnsi="仿宋_GB2312" w:eastAsia="宋体" w:cs="仿宋_GB2312"/>
      <w:color w:val="000000"/>
      <w:sz w:val="24"/>
      <w:szCs w:val="24"/>
      <w:lang w:val="en-US" w:eastAsia="zh-CN" w:bidi="ar-SA"/>
    </w:rPr>
  </w:style>
  <w:style w:type="paragraph" w:styleId="6">
    <w:name w:val="Normal Indent"/>
    <w:basedOn w:val="1"/>
    <w:qFormat/>
    <w:uiPriority w:val="0"/>
    <w:pPr>
      <w:ind w:firstLine="420" w:firstLineChars="200"/>
    </w:pPr>
  </w:style>
  <w:style w:type="paragraph" w:styleId="7">
    <w:name w:val="annotation text"/>
    <w:basedOn w:val="1"/>
    <w:qFormat/>
    <w:uiPriority w:val="0"/>
    <w:pPr>
      <w:jc w:val="left"/>
    </w:pPr>
  </w:style>
  <w:style w:type="paragraph" w:styleId="8">
    <w:name w:val="Salutation"/>
    <w:basedOn w:val="1"/>
    <w:next w:val="1"/>
    <w:qFormat/>
    <w:uiPriority w:val="0"/>
    <w:rPr>
      <w:sz w:val="28"/>
    </w:rPr>
  </w:style>
  <w:style w:type="paragraph" w:styleId="9">
    <w:name w:val="Body Text"/>
    <w:basedOn w:val="1"/>
    <w:qFormat/>
    <w:uiPriority w:val="0"/>
    <w:pPr>
      <w:spacing w:after="120"/>
    </w:pPr>
  </w:style>
  <w:style w:type="paragraph" w:styleId="10">
    <w:name w:val="Body Text Indent"/>
    <w:basedOn w:val="1"/>
    <w:next w:val="11"/>
    <w:qFormat/>
    <w:uiPriority w:val="0"/>
    <w:pPr>
      <w:ind w:firstLine="540"/>
    </w:pPr>
    <w:rPr>
      <w:rFonts w:ascii="宋体"/>
      <w:sz w:val="28"/>
    </w:rPr>
  </w:style>
  <w:style w:type="paragraph" w:styleId="11">
    <w:name w:val="Body Text Indent 2"/>
    <w:basedOn w:val="1"/>
    <w:next w:val="12"/>
    <w:qFormat/>
    <w:uiPriority w:val="0"/>
    <w:pPr>
      <w:spacing w:after="120" w:line="480" w:lineRule="auto"/>
      <w:ind w:left="420" w:leftChars="200"/>
    </w:pPr>
  </w:style>
  <w:style w:type="paragraph" w:styleId="12">
    <w:name w:val="Body Text First Indent 2"/>
    <w:basedOn w:val="10"/>
    <w:next w:val="1"/>
    <w:qFormat/>
    <w:uiPriority w:val="0"/>
    <w:pPr>
      <w:ind w:left="420" w:leftChars="200" w:firstLine="420" w:firstLineChars="200"/>
    </w:pPr>
    <w:rPr>
      <w:sz w:val="21"/>
      <w:szCs w:val="24"/>
    </w:rPr>
  </w:style>
  <w:style w:type="paragraph" w:styleId="13">
    <w:name w:val="List 2"/>
    <w:unhideWhenUsed/>
    <w:qFormat/>
    <w:uiPriority w:val="99"/>
    <w:pPr>
      <w:spacing w:line="400" w:lineRule="exact"/>
      <w:jc w:val="center"/>
    </w:pPr>
    <w:rPr>
      <w:rFonts w:ascii="Arial" w:hAnsi="Arial" w:eastAsia="宋体" w:cs="Times New Roman"/>
      <w:sz w:val="24"/>
      <w:lang w:val="en-US" w:eastAsia="zh-CN" w:bidi="ar-SA"/>
    </w:rPr>
  </w:style>
  <w:style w:type="paragraph" w:styleId="14">
    <w:name w:val="Block Text"/>
    <w:basedOn w:val="1"/>
    <w:qFormat/>
    <w:uiPriority w:val="0"/>
    <w:pPr>
      <w:snapToGrid w:val="0"/>
      <w:spacing w:line="408" w:lineRule="auto"/>
      <w:ind w:left="-113" w:right="-510" w:firstLine="510"/>
    </w:pPr>
    <w:rPr>
      <w:sz w:val="24"/>
    </w:rPr>
  </w:style>
  <w:style w:type="paragraph" w:styleId="15">
    <w:name w:val="Plain Text"/>
    <w:basedOn w:val="1"/>
    <w:next w:val="8"/>
    <w:qFormat/>
    <w:uiPriority w:val="0"/>
    <w:rPr>
      <w:rFonts w:ascii="宋体" w:hAnsi="Courier New" w:cs="Courier New"/>
      <w:szCs w:val="21"/>
    </w:rPr>
  </w:style>
  <w:style w:type="paragraph" w:styleId="16">
    <w:name w:val="Balloon Text"/>
    <w:basedOn w:val="1"/>
    <w:link w:val="38"/>
    <w:qFormat/>
    <w:uiPriority w:val="0"/>
    <w:rPr>
      <w:sz w:val="18"/>
      <w:szCs w:val="18"/>
    </w:rPr>
  </w:style>
  <w:style w:type="paragraph" w:styleId="17">
    <w:name w:val="footer"/>
    <w:basedOn w:val="1"/>
    <w:qFormat/>
    <w:uiPriority w:val="0"/>
    <w:pPr>
      <w:tabs>
        <w:tab w:val="center" w:pos="4153"/>
        <w:tab w:val="right" w:pos="8306"/>
      </w:tabs>
      <w:snapToGrid w:val="0"/>
      <w:jc w:val="left"/>
    </w:pPr>
    <w:rPr>
      <w:sz w:val="18"/>
      <w:szCs w:val="18"/>
    </w:rPr>
  </w:style>
  <w:style w:type="paragraph" w:styleId="18">
    <w:name w:val="table of figures"/>
    <w:basedOn w:val="1"/>
    <w:next w:val="1"/>
    <w:qFormat/>
    <w:uiPriority w:val="0"/>
    <w:pPr>
      <w:ind w:left="200" w:leftChars="200" w:hanging="200" w:hangingChars="200"/>
    </w:pPr>
    <w:rPr>
      <w:rFonts w:ascii="Calibri" w:hAnsi="Calibri"/>
      <w:szCs w:val="22"/>
    </w:rPr>
  </w:style>
  <w:style w:type="paragraph" w:styleId="19">
    <w:name w:val="Body Text 2"/>
    <w:basedOn w:val="1"/>
    <w:qFormat/>
    <w:uiPriority w:val="0"/>
    <w:pPr>
      <w:spacing w:after="120" w:line="480" w:lineRule="auto"/>
    </w:pPr>
  </w:style>
  <w:style w:type="paragraph" w:styleId="20">
    <w:name w:val="Normal (Web)"/>
    <w:basedOn w:val="1"/>
    <w:qFormat/>
    <w:uiPriority w:val="0"/>
    <w:rPr>
      <w:sz w:val="24"/>
      <w:szCs w:val="24"/>
    </w:rPr>
  </w:style>
  <w:style w:type="paragraph" w:styleId="21">
    <w:name w:val="Body Text First Indent"/>
    <w:basedOn w:val="9"/>
    <w:qFormat/>
    <w:uiPriority w:val="0"/>
    <w:pPr>
      <w:ind w:firstLine="420" w:firstLineChars="100"/>
    </w:pPr>
  </w:style>
  <w:style w:type="table" w:styleId="23">
    <w:name w:val="Table Grid"/>
    <w:basedOn w:val="22"/>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5">
    <w:name w:val="page number"/>
    <w:basedOn w:val="24"/>
    <w:qFormat/>
    <w:uiPriority w:val="0"/>
  </w:style>
  <w:style w:type="character" w:styleId="26">
    <w:name w:val="Hyperlink"/>
    <w:uiPriority w:val="99"/>
    <w:rPr>
      <w:color w:val="3366CC"/>
      <w:u w:val="single"/>
    </w:rPr>
  </w:style>
  <w:style w:type="paragraph" w:customStyle="1" w:styleId="27">
    <w:name w:val="样式 五号 居中"/>
    <w:basedOn w:val="1"/>
    <w:qFormat/>
    <w:uiPriority w:val="0"/>
    <w:pPr>
      <w:jc w:val="center"/>
    </w:pPr>
    <w:rPr>
      <w:rFonts w:cs="宋体"/>
    </w:rPr>
  </w:style>
  <w:style w:type="paragraph" w:customStyle="1" w:styleId="28">
    <w:name w:val="样式35"/>
    <w:basedOn w:val="1"/>
    <w:qFormat/>
    <w:uiPriority w:val="0"/>
    <w:pPr>
      <w:adjustRightInd w:val="0"/>
      <w:spacing w:line="312" w:lineRule="auto"/>
      <w:ind w:firstLine="567"/>
    </w:pPr>
    <w:rPr>
      <w:rFonts w:ascii="宋体" w:hAnsi="Calibri"/>
      <w:kern w:val="0"/>
      <w:sz w:val="28"/>
      <w:szCs w:val="24"/>
    </w:rPr>
  </w:style>
  <w:style w:type="paragraph" w:customStyle="1" w:styleId="29">
    <w:name w:val="表格"/>
    <w:basedOn w:val="1"/>
    <w:next w:val="30"/>
    <w:qFormat/>
    <w:uiPriority w:val="0"/>
    <w:pPr>
      <w:jc w:val="center"/>
    </w:pPr>
    <w:rPr>
      <w:sz w:val="24"/>
      <w:szCs w:val="24"/>
    </w:rPr>
  </w:style>
  <w:style w:type="paragraph" w:customStyle="1" w:styleId="30">
    <w:name w:val="表格内部"/>
    <w:basedOn w:val="1"/>
    <w:qFormat/>
    <w:uiPriority w:val="0"/>
    <w:pPr>
      <w:spacing w:line="240" w:lineRule="auto"/>
      <w:ind w:firstLine="0" w:firstLineChars="0"/>
      <w:jc w:val="center"/>
    </w:pPr>
    <w:rPr>
      <w:rFonts w:ascii="Times New Roman" w:hAnsi="Times New Roman" w:eastAsia="宋体"/>
      <w:kern w:val="0"/>
      <w:sz w:val="21"/>
      <w:szCs w:val="18"/>
    </w:rPr>
  </w:style>
  <w:style w:type="paragraph" w:customStyle="1" w:styleId="31">
    <w:name w:val="Table Paragraph"/>
    <w:basedOn w:val="1"/>
    <w:qFormat/>
    <w:uiPriority w:val="1"/>
    <w:pPr>
      <w:jc w:val="left"/>
    </w:pPr>
    <w:rPr>
      <w:rFonts w:ascii="Calibri" w:hAnsi="Calibri"/>
      <w:kern w:val="0"/>
      <w:sz w:val="22"/>
      <w:szCs w:val="22"/>
      <w:lang w:eastAsia="en-US"/>
    </w:rPr>
  </w:style>
  <w:style w:type="paragraph" w:customStyle="1" w:styleId="32">
    <w:name w:val="正文 + 仿宋_GB2312"/>
    <w:basedOn w:val="1"/>
    <w:qFormat/>
    <w:uiPriority w:val="99"/>
    <w:pPr>
      <w:ind w:firstLine="480" w:firstLineChars="200"/>
    </w:pPr>
    <w:rPr>
      <w:rFonts w:ascii="仿宋_GB2312" w:hAnsi="Calibri" w:eastAsia="仿宋_GB2312"/>
      <w:sz w:val="24"/>
      <w:szCs w:val="22"/>
    </w:rPr>
  </w:style>
  <w:style w:type="paragraph" w:customStyle="1" w:styleId="33">
    <w:name w:val="本文正文"/>
    <w:basedOn w:val="1"/>
    <w:qFormat/>
    <w:uiPriority w:val="0"/>
    <w:pPr>
      <w:autoSpaceDE w:val="0"/>
      <w:autoSpaceDN w:val="0"/>
      <w:adjustRightInd w:val="0"/>
      <w:textAlignment w:val="baseline"/>
    </w:pPr>
  </w:style>
  <w:style w:type="paragraph" w:customStyle="1" w:styleId="34">
    <w:name w:val="中文报告书样式"/>
    <w:basedOn w:val="1"/>
    <w:qFormat/>
    <w:uiPriority w:val="0"/>
    <w:pPr>
      <w:adjustRightInd w:val="0"/>
      <w:spacing w:line="480" w:lineRule="atLeast"/>
      <w:ind w:firstLine="482"/>
      <w:textAlignment w:val="baseline"/>
    </w:pPr>
    <w:rPr>
      <w:kern w:val="24"/>
      <w:sz w:val="24"/>
    </w:rPr>
  </w:style>
  <w:style w:type="paragraph" w:customStyle="1" w:styleId="35">
    <w:name w:val="Lux 正文"/>
    <w:basedOn w:val="1"/>
    <w:qFormat/>
    <w:uiPriority w:val="0"/>
    <w:pPr>
      <w:ind w:firstLine="200"/>
    </w:pPr>
    <w:rPr>
      <w:kern w:val="0"/>
    </w:rPr>
  </w:style>
  <w:style w:type="paragraph" w:customStyle="1" w:styleId="36">
    <w:name w:val="目录22222222"/>
    <w:basedOn w:val="1"/>
    <w:qFormat/>
    <w:uiPriority w:val="0"/>
    <w:pPr>
      <w:keepNext/>
      <w:keepLines/>
      <w:spacing w:line="480" w:lineRule="exact"/>
      <w:jc w:val="left"/>
      <w:outlineLvl w:val="1"/>
    </w:pPr>
    <w:rPr>
      <w:rFonts w:ascii="Arial" w:hAnsi="Arial" w:eastAsia="黑体"/>
      <w:bCs/>
      <w:sz w:val="28"/>
      <w:szCs w:val="32"/>
    </w:rPr>
  </w:style>
  <w:style w:type="paragraph" w:customStyle="1" w:styleId="37">
    <w:name w:val="表内文字"/>
    <w:basedOn w:val="1"/>
    <w:qFormat/>
    <w:uiPriority w:val="0"/>
    <w:pPr>
      <w:adjustRightInd w:val="0"/>
      <w:jc w:val="center"/>
      <w:textAlignment w:val="baseline"/>
    </w:pPr>
  </w:style>
  <w:style w:type="character" w:customStyle="1" w:styleId="38">
    <w:name w:val="批注框文本 Char"/>
    <w:basedOn w:val="24"/>
    <w:link w:val="16"/>
    <w:qFormat/>
    <w:uiPriority w:val="0"/>
    <w:rPr>
      <w:kern w:val="2"/>
      <w:sz w:val="18"/>
      <w:szCs w:val="18"/>
    </w:rPr>
  </w:style>
  <w:style w:type="paragraph" w:customStyle="1" w:styleId="39">
    <w:name w:val="表内容"/>
    <w:basedOn w:val="1"/>
    <w:next w:val="1"/>
    <w:qFormat/>
    <w:uiPriority w:val="0"/>
    <w:pPr>
      <w:spacing w:line="240" w:lineRule="auto"/>
      <w:ind w:firstLine="0" w:firstLineChars="0"/>
      <w:jc w:val="center"/>
    </w:pPr>
    <w:rPr>
      <w:rFonts w:ascii="Times New Roman" w:hAnsi="Times New Roman"/>
      <w:kern w:val="2"/>
      <w:sz w:val="21"/>
      <w:szCs w:val="20"/>
      <w:lang w:val="en-US" w:bidi="ar-SA"/>
    </w:rPr>
  </w:style>
  <w:style w:type="paragraph" w:customStyle="1" w:styleId="40">
    <w:name w:val="point"/>
    <w:basedOn w:val="1"/>
    <w:qFormat/>
    <w:uiPriority w:val="0"/>
    <w:pPr>
      <w:widowControl/>
      <w:overflowPunct w:val="0"/>
      <w:autoSpaceDE w:val="0"/>
      <w:autoSpaceDN w:val="0"/>
      <w:adjustRightInd w:val="0"/>
      <w:spacing w:before="40" w:after="40" w:line="360" w:lineRule="auto"/>
      <w:ind w:left="720" w:hanging="274"/>
      <w:textAlignment w:val="baseline"/>
    </w:pPr>
    <w:rPr>
      <w:rFonts w:ascii="仿宋体" w:eastAsia="仿宋体"/>
      <w:spacing w:val="-2"/>
      <w:kern w:val="0"/>
      <w:position w:val="-2"/>
      <w:sz w:val="24"/>
    </w:rPr>
  </w:style>
  <w:style w:type="paragraph" w:customStyle="1" w:styleId="41">
    <w:name w:val="表格内容自定"/>
    <w:basedOn w:val="1"/>
    <w:qFormat/>
    <w:uiPriority w:val="0"/>
    <w:pPr>
      <w:spacing w:line="280" w:lineRule="exact"/>
      <w:jc w:val="center"/>
    </w:pPr>
    <w:rPr>
      <w:kern w:val="0"/>
      <w:sz w:val="18"/>
      <w:szCs w:val="21"/>
    </w:rPr>
  </w:style>
  <w:style w:type="paragraph" w:customStyle="1" w:styleId="42">
    <w:name w:val="表文字"/>
    <w:basedOn w:val="1"/>
    <w:qFormat/>
    <w:uiPriority w:val="0"/>
    <w:pPr>
      <w:topLinePunct/>
      <w:adjustRightInd w:val="0"/>
      <w:spacing w:line="360" w:lineRule="exact"/>
      <w:jc w:val="center"/>
      <w:textAlignment w:val="baseline"/>
    </w:pPr>
    <w:rPr>
      <w:kern w:val="0"/>
      <w:szCs w:val="21"/>
    </w:rPr>
  </w:style>
  <w:style w:type="paragraph" w:customStyle="1" w:styleId="43">
    <w:name w:val="表头"/>
    <w:basedOn w:val="1"/>
    <w:next w:val="1"/>
    <w:qFormat/>
    <w:uiPriority w:val="0"/>
    <w:pPr>
      <w:adjustRightInd w:val="0"/>
      <w:spacing w:line="320" w:lineRule="atLeast"/>
      <w:jc w:val="center"/>
      <w:textAlignment w:val="baseline"/>
    </w:pPr>
    <w:rPr>
      <w:rFonts w:eastAsia="黑体"/>
      <w:spacing w:val="-10"/>
      <w:kern w:val="0"/>
      <w:szCs w:val="20"/>
    </w:rPr>
  </w:style>
  <w:style w:type="paragraph" w:customStyle="1" w:styleId="44">
    <w:name w:val="p0"/>
    <w:basedOn w:val="1"/>
    <w:qFormat/>
    <w:uiPriority w:val="0"/>
    <w:pPr>
      <w:widowControl/>
    </w:pPr>
    <w:rPr>
      <w:kern w:val="0"/>
      <w:szCs w:val="21"/>
    </w:rPr>
  </w:style>
  <w:style w:type="paragraph" w:customStyle="1" w:styleId="45">
    <w:name w:val="引用1"/>
    <w:basedOn w:val="1"/>
    <w:next w:val="1"/>
    <w:qFormat/>
    <w:uiPriority w:val="0"/>
    <w:pPr>
      <w:spacing w:line="360" w:lineRule="exact"/>
      <w:jc w:val="center"/>
    </w:pPr>
    <w:rPr>
      <w:iCs/>
      <w:color w:val="000000"/>
      <w:szCs w:val="21"/>
    </w:rPr>
  </w:style>
  <w:style w:type="paragraph" w:customStyle="1" w:styleId="46">
    <w:name w:val="表格样式"/>
    <w:basedOn w:val="1"/>
    <w:qFormat/>
    <w:uiPriority w:val="0"/>
    <w:pPr>
      <w:jc w:val="center"/>
    </w:pPr>
    <w:rPr>
      <w:rFonts w:ascii="宋体" w:hAnsi="宋体"/>
      <w:szCs w:val="21"/>
    </w:rPr>
  </w:style>
  <w:style w:type="paragraph" w:customStyle="1" w:styleId="47">
    <w:name w:val="正文首行缩进1"/>
    <w:basedOn w:val="9"/>
    <w:qFormat/>
    <w:uiPriority w:val="0"/>
    <w:pPr>
      <w:spacing w:after="120"/>
      <w:ind w:firstLine="420" w:firstLineChars="100"/>
    </w:pPr>
    <w:rPr>
      <w:sz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wmf"/><Relationship Id="rId6" Type="http://schemas.openxmlformats.org/officeDocument/2006/relationships/oleObject" Target="embeddings/oleObject1.bin"/><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Info spid="_x0000_s2050"/>
  </customShpExts>
  <extobjs>
    <extobj name="ECB019B1-382A-4266-B25C-5B523AA43C14-5">
      <extobjdata type="ECB019B1-382A-4266-B25C-5B523AA43C14" data="ewogICAiRmlsZUlkIiA6ICI5MDMzOTcxMTEwMyIsCiAgICJHcm91cElkIiA6ICI0NjcxNjIwNjkiLAogICAiSW1hZ2UiIDogImlWQk9SdzBLR2dvQUFBQU5TVWhFVWdBQUE4QUFBQUhRQ0FZQUFBQnVud01wQUFBQUNYQklXWE1BQUFzVEFBQUxFd0VBbXB3WUFBQWdBRWxFUVZSNG5PemRhWGdVWmZiMzhWOTFrZzdaUTlqQ3Zzb3FTQ29zNGlpZ09DTzRvQStJQ2dyaWhqaWpqZ3FLK0I4QnhSVUJFUkVIUkJsRlJKR2dJSU1MSXFBc29nU1FSUkFCQ1pzZ0VHSUNJVnQzUFM5QzkyVHBoQVNTZENmOS9WeFhyblRmdGZTcGNLanFVM1hYWFJJ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QUFBSS9ML0FUVUNjS2hpVndBckFBQUFBRWxGVGtTdVFtQ0MiLAogICAiVHlwZSIgOiAiZmxvdyIsCiAgICJWZXJzaW9uIiA6ICIxMyIKfQo="/>
    </extobj>
  </extobj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79</Pages>
  <Words>8005</Words>
  <Characters>45629</Characters>
  <Lines>380</Lines>
  <Paragraphs>107</Paragraphs>
  <TotalTime>21</TotalTime>
  <ScaleCrop>false</ScaleCrop>
  <LinksUpToDate>false</LinksUpToDate>
  <CharactersWithSpaces>53527</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Kecy</cp:lastModifiedBy>
  <cp:lastPrinted>2020-10-28T09:32:22Z</cp:lastPrinted>
  <dcterms:modified xsi:type="dcterms:W3CDTF">2020-10-28T11:04:18Z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