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00" w:lineRule="exact"/>
        <w:jc w:val="center"/>
        <w:rPr>
          <w:rFonts w:ascii="宋体" w:hAnsi="宋体"/>
          <w:b/>
          <w:color w:val="000000"/>
          <w:sz w:val="72"/>
        </w:rPr>
      </w:pPr>
    </w:p>
    <w:p>
      <w:pPr>
        <w:spacing w:line="900" w:lineRule="exact"/>
        <w:jc w:val="center"/>
        <w:rPr>
          <w:rFonts w:hint="eastAsia" w:ascii="宋体" w:hAnsi="宋体"/>
          <w:b/>
          <w:color w:val="000000"/>
          <w:sz w:val="72"/>
        </w:rPr>
      </w:pPr>
      <w:r>
        <w:rPr>
          <w:rFonts w:hint="eastAsia" w:ascii="宋体" w:hAnsi="宋体"/>
          <w:b/>
          <w:color w:val="000000"/>
          <w:sz w:val="72"/>
        </w:rPr>
        <w:t>建设项目环境影响报告表</w:t>
      </w:r>
    </w:p>
    <w:p>
      <w:pPr>
        <w:rPr>
          <w:rFonts w:hint="eastAsia" w:ascii="宋体" w:hAnsi="宋体"/>
          <w:color w:val="000000"/>
          <w:sz w:val="36"/>
        </w:rPr>
      </w:pPr>
    </w:p>
    <w:p>
      <w:pPr>
        <w:rPr>
          <w:rFonts w:hint="eastAsia" w:ascii="宋体" w:hAnsi="宋体"/>
          <w:color w:val="000000"/>
          <w:sz w:val="36"/>
        </w:rPr>
      </w:pPr>
    </w:p>
    <w:p>
      <w:pPr>
        <w:rPr>
          <w:rFonts w:hint="eastAsia" w:ascii="宋体" w:hAnsi="宋体"/>
          <w:color w:val="000000"/>
          <w:sz w:val="36"/>
        </w:rPr>
      </w:pPr>
    </w:p>
    <w:p>
      <w:pPr>
        <w:rPr>
          <w:rFonts w:hint="eastAsia" w:ascii="宋体" w:hAnsi="宋体"/>
          <w:color w:val="000000"/>
          <w:sz w:val="36"/>
        </w:rPr>
      </w:pPr>
    </w:p>
    <w:p>
      <w:pPr>
        <w:rPr>
          <w:rFonts w:hint="eastAsia" w:ascii="宋体" w:hAnsi="宋体"/>
          <w:color w:val="000000"/>
          <w:sz w:val="36"/>
        </w:rPr>
      </w:pPr>
    </w:p>
    <w:p>
      <w:pPr>
        <w:rPr>
          <w:rFonts w:hint="eastAsia" w:ascii="宋体" w:hAnsi="宋体"/>
          <w:color w:val="000000"/>
          <w:sz w:val="36"/>
        </w:rPr>
      </w:pPr>
    </w:p>
    <w:p>
      <w:pPr>
        <w:rPr>
          <w:rFonts w:hint="eastAsia" w:ascii="宋体" w:hAnsi="宋体"/>
          <w:color w:val="000000"/>
          <w:sz w:val="36"/>
        </w:rPr>
      </w:pPr>
    </w:p>
    <w:p>
      <w:pPr>
        <w:rPr>
          <w:rFonts w:hint="eastAsia" w:ascii="宋体" w:hAnsi="宋体"/>
          <w:color w:val="000000"/>
          <w:sz w:val="36"/>
        </w:rPr>
      </w:pPr>
    </w:p>
    <w:p>
      <w:pPr>
        <w:ind w:left="1807" w:hanging="1807" w:hangingChars="500"/>
        <w:rPr>
          <w:rFonts w:hint="eastAsia" w:ascii="宋体" w:hAnsi="宋体"/>
          <w:b/>
          <w:color w:val="000000"/>
          <w:sz w:val="36"/>
          <w:szCs w:val="36"/>
        </w:rPr>
      </w:pPr>
      <w:r>
        <w:rPr>
          <w:rFonts w:hint="eastAsia" w:ascii="宋体" w:hAnsi="宋体"/>
          <w:b/>
          <w:color w:val="000000"/>
          <w:sz w:val="36"/>
          <w:szCs w:val="36"/>
        </w:rPr>
        <w:t>项目名称：</w:t>
      </w:r>
      <w:r>
        <w:rPr>
          <w:rFonts w:hint="eastAsia" w:ascii="宋体" w:hAnsi="宋体"/>
          <w:b/>
          <w:color w:val="000000"/>
          <w:w w:val="90"/>
          <w:sz w:val="36"/>
          <w:szCs w:val="36"/>
          <w:u w:val="single"/>
          <w:lang w:eastAsia="zh-CN"/>
        </w:rPr>
        <w:t>镜湖区老船厂智慧港项目二期污染地块污染治理项目</w:t>
      </w:r>
      <w:r>
        <w:rPr>
          <w:rFonts w:hint="eastAsia" w:ascii="宋体" w:hAnsi="宋体"/>
          <w:b/>
          <w:color w:val="000000"/>
          <w:w w:val="90"/>
          <w:sz w:val="36"/>
          <w:szCs w:val="36"/>
          <w:u w:val="single"/>
        </w:rPr>
        <w:t xml:space="preserve"> </w:t>
      </w:r>
    </w:p>
    <w:p>
      <w:pPr>
        <w:jc w:val="center"/>
        <w:rPr>
          <w:rFonts w:hint="eastAsia" w:ascii="宋体" w:hAnsi="宋体"/>
          <w:b/>
          <w:color w:val="000000"/>
          <w:sz w:val="36"/>
          <w:szCs w:val="36"/>
        </w:rPr>
      </w:pPr>
    </w:p>
    <w:p>
      <w:pPr>
        <w:rPr>
          <w:rFonts w:hint="eastAsia" w:ascii="宋体" w:hAnsi="宋体"/>
          <w:b/>
          <w:color w:val="000000"/>
          <w:kern w:val="0"/>
          <w:sz w:val="36"/>
          <w:u w:val="single"/>
        </w:rPr>
      </w:pPr>
      <w:r>
        <w:rPr>
          <w:rFonts w:hint="eastAsia" w:ascii="宋体" w:hAnsi="宋体"/>
          <w:b/>
          <w:color w:val="000000"/>
          <w:sz w:val="36"/>
          <w:szCs w:val="36"/>
        </w:rPr>
        <w:t>建设单位：</w:t>
      </w:r>
      <w:r>
        <w:rPr>
          <w:rFonts w:hint="eastAsia" w:ascii="宋体" w:hAnsi="宋体"/>
          <w:b/>
          <w:color w:val="000000"/>
          <w:w w:val="90"/>
          <w:sz w:val="36"/>
          <w:szCs w:val="36"/>
          <w:u w:val="single"/>
          <w:lang w:eastAsia="zh-CN"/>
        </w:rPr>
        <w:t>镜湖区投资促进中心</w:t>
      </w:r>
      <w:r>
        <w:rPr>
          <w:rFonts w:hint="eastAsia" w:ascii="宋体" w:hAnsi="宋体"/>
          <w:b/>
          <w:color w:val="000000"/>
          <w:w w:val="90"/>
          <w:sz w:val="36"/>
          <w:szCs w:val="36"/>
          <w:u w:val="single"/>
        </w:rPr>
        <w:t xml:space="preserve"> </w:t>
      </w:r>
    </w:p>
    <w:p>
      <w:pPr>
        <w:ind w:firstLine="882" w:firstLineChars="245"/>
        <w:rPr>
          <w:rFonts w:hint="eastAsia" w:ascii="宋体" w:hAnsi="宋体"/>
          <w:color w:val="000000"/>
          <w:sz w:val="36"/>
        </w:rPr>
      </w:pPr>
    </w:p>
    <w:p>
      <w:pPr>
        <w:ind w:firstLine="882" w:firstLineChars="245"/>
        <w:rPr>
          <w:rFonts w:hint="eastAsia" w:ascii="宋体" w:hAnsi="宋体"/>
          <w:color w:val="000000"/>
          <w:sz w:val="36"/>
        </w:rPr>
      </w:pPr>
    </w:p>
    <w:p>
      <w:pPr>
        <w:ind w:firstLine="882" w:firstLineChars="245"/>
        <w:rPr>
          <w:rFonts w:hint="eastAsia" w:ascii="宋体" w:hAnsi="宋体"/>
          <w:color w:val="000000"/>
          <w:sz w:val="36"/>
        </w:rPr>
      </w:pPr>
    </w:p>
    <w:p>
      <w:pPr>
        <w:rPr>
          <w:rFonts w:hint="eastAsia" w:ascii="宋体" w:hAnsi="宋体"/>
          <w:color w:val="000000"/>
          <w:sz w:val="24"/>
        </w:rPr>
      </w:pPr>
    </w:p>
    <w:p>
      <w:pPr>
        <w:rPr>
          <w:rFonts w:hint="eastAsia" w:ascii="宋体" w:hAnsi="宋体"/>
          <w:color w:val="000000"/>
          <w:sz w:val="24"/>
        </w:rPr>
      </w:pPr>
    </w:p>
    <w:p>
      <w:pPr>
        <w:jc w:val="center"/>
        <w:rPr>
          <w:rFonts w:hint="eastAsia" w:ascii="宋体" w:hAnsi="宋体"/>
          <w:b/>
          <w:color w:val="000000"/>
          <w:sz w:val="30"/>
          <w:szCs w:val="30"/>
          <w:lang w:val="en-US" w:eastAsia="zh-CN"/>
        </w:rPr>
      </w:pPr>
      <w:r>
        <w:rPr>
          <w:rFonts w:hint="eastAsia" w:ascii="宋体" w:hAnsi="宋体"/>
          <w:color w:val="000000"/>
          <w:sz w:val="36"/>
          <w:szCs w:val="36"/>
        </w:rPr>
        <w:t xml:space="preserve">  </w:t>
      </w:r>
      <w:r>
        <w:rPr>
          <w:rFonts w:hint="eastAsia" w:ascii="宋体" w:hAnsi="宋体"/>
          <w:b/>
          <w:color w:val="000000"/>
          <w:sz w:val="30"/>
          <w:szCs w:val="30"/>
          <w:lang w:val="en-US" w:eastAsia="zh-CN"/>
        </w:rPr>
        <w:t>芜湖民宇环境科技有限公司</w:t>
      </w:r>
    </w:p>
    <w:p>
      <w:pPr>
        <w:jc w:val="center"/>
        <w:rPr>
          <w:rFonts w:hint="eastAsia" w:ascii="宋体" w:hAnsi="宋体"/>
          <w:b/>
          <w:color w:val="000000"/>
          <w:sz w:val="30"/>
          <w:szCs w:val="30"/>
          <w:lang w:val="en-US" w:eastAsia="zh-CN"/>
        </w:rPr>
      </w:pPr>
      <w:r>
        <w:rPr>
          <w:rFonts w:hint="eastAsia" w:ascii="宋体" w:hAnsi="宋体"/>
          <w:b/>
          <w:color w:val="000000"/>
          <w:sz w:val="30"/>
          <w:szCs w:val="30"/>
          <w:lang w:val="en-US" w:eastAsia="zh-CN"/>
        </w:rPr>
        <w:t>编制日期：二〇二〇年十月</w:t>
      </w:r>
    </w:p>
    <w:p>
      <w:pPr>
        <w:jc w:val="center"/>
        <w:rPr>
          <w:rFonts w:hint="eastAsia" w:ascii="宋体" w:hAnsi="宋体" w:eastAsia="宋体"/>
          <w:color w:val="000000"/>
          <w:sz w:val="36"/>
          <w:szCs w:val="36"/>
          <w:lang w:val="en-US" w:eastAsia="zh-CN"/>
        </w:rPr>
      </w:pPr>
    </w:p>
    <w:p>
      <w:pPr>
        <w:pStyle w:val="26"/>
        <w:bidi w:val="0"/>
        <w:ind w:left="0" w:leftChars="0" w:firstLine="0" w:firstLineChars="0"/>
        <w:rPr>
          <w:rFonts w:hint="eastAsia" w:eastAsia="宋体"/>
          <w:lang w:eastAsia="zh-CN"/>
        </w:rPr>
        <w:sectPr>
          <w:footerReference r:id="rId3" w:type="default"/>
          <w:pgSz w:w="11906" w:h="16838"/>
          <w:pgMar w:top="1440" w:right="1800" w:bottom="1558" w:left="1800" w:header="851" w:footer="992" w:gutter="0"/>
          <w:cols w:space="720" w:num="1"/>
          <w:docGrid w:type="lines" w:linePitch="312" w:charSpace="0"/>
        </w:sectPr>
      </w:pPr>
    </w:p>
    <w:p>
      <w:pPr>
        <w:pStyle w:val="26"/>
        <w:bidi w:val="0"/>
        <w:ind w:left="0" w:leftChars="0" w:firstLine="0" w:firstLineChars="0"/>
      </w:pPr>
    </w:p>
    <w:p>
      <w:pPr>
        <w:pStyle w:val="26"/>
        <w:bidi w:val="0"/>
        <w:ind w:left="0" w:leftChars="0" w:firstLine="0" w:firstLineChars="0"/>
      </w:pPr>
    </w:p>
    <w:p>
      <w:pPr>
        <w:pStyle w:val="26"/>
        <w:bidi w:val="0"/>
        <w:ind w:left="0" w:leftChars="0" w:firstLine="0" w:firstLineChars="0"/>
      </w:pPr>
    </w:p>
    <w:p>
      <w:pPr>
        <w:pStyle w:val="26"/>
        <w:bidi w:val="0"/>
        <w:ind w:left="0" w:leftChars="0" w:firstLine="0" w:firstLineChars="0"/>
        <w:rPr>
          <w:rFonts w:hint="eastAsia"/>
          <w:lang w:eastAsia="zh-CN"/>
        </w:rPr>
      </w:pPr>
    </w:p>
    <w:p>
      <w:pPr>
        <w:jc w:val="center"/>
        <w:rPr>
          <w:rFonts w:hint="eastAsia" w:ascii="宋体" w:hAnsi="宋体"/>
          <w:b/>
          <w:color w:val="000000"/>
          <w:sz w:val="32"/>
        </w:rPr>
      </w:pPr>
      <w:r>
        <w:rPr>
          <w:rFonts w:hint="eastAsia" w:ascii="宋体" w:hAnsi="宋体"/>
          <w:b/>
          <w:color w:val="000000"/>
          <w:sz w:val="32"/>
        </w:rPr>
        <w:t>《建设项目环境影响报告表》编制说明</w:t>
      </w:r>
    </w:p>
    <w:p>
      <w:pPr>
        <w:jc w:val="center"/>
        <w:rPr>
          <w:rFonts w:hint="eastAsia" w:ascii="宋体" w:hAnsi="宋体"/>
          <w:b/>
          <w:color w:val="000000"/>
          <w:sz w:val="32"/>
        </w:rPr>
      </w:pPr>
    </w:p>
    <w:p>
      <w:pPr>
        <w:spacing w:line="660" w:lineRule="exact"/>
        <w:ind w:firstLine="482"/>
        <w:rPr>
          <w:rFonts w:hint="eastAsia" w:ascii="宋体" w:hAnsi="宋体"/>
          <w:color w:val="000000"/>
          <w:sz w:val="24"/>
        </w:rPr>
      </w:pPr>
      <w:r>
        <w:rPr>
          <w:rFonts w:hint="eastAsia" w:ascii="宋体" w:hAnsi="宋体"/>
          <w:color w:val="000000"/>
          <w:sz w:val="24"/>
        </w:rPr>
        <w:t>《建设项目环境影响报告表》由具有从事环境影响评价工作资质的单位编制。</w:t>
      </w:r>
    </w:p>
    <w:p>
      <w:pPr>
        <w:numPr>
          <w:ilvl w:val="0"/>
          <w:numId w:val="1"/>
        </w:numPr>
        <w:spacing w:line="660" w:lineRule="exact"/>
        <w:rPr>
          <w:rFonts w:hint="eastAsia" w:ascii="宋体" w:hAnsi="宋体"/>
          <w:color w:val="000000"/>
          <w:sz w:val="24"/>
        </w:rPr>
      </w:pPr>
      <w:r>
        <w:rPr>
          <w:rFonts w:hint="eastAsia" w:ascii="宋体" w:hAnsi="宋体"/>
          <w:color w:val="000000"/>
          <w:sz w:val="24"/>
        </w:rPr>
        <w:t>项目名称──指项目立项批复时的名称，应不超过30个字（两个英文字段作一个汉字）。</w:t>
      </w:r>
    </w:p>
    <w:p>
      <w:pPr>
        <w:numPr>
          <w:ilvl w:val="0"/>
          <w:numId w:val="1"/>
        </w:numPr>
        <w:spacing w:line="660" w:lineRule="exact"/>
        <w:rPr>
          <w:rFonts w:hint="eastAsia" w:ascii="宋体" w:hAnsi="宋体"/>
          <w:color w:val="000000"/>
          <w:sz w:val="24"/>
        </w:rPr>
      </w:pPr>
      <w:r>
        <w:rPr>
          <w:rFonts w:hint="eastAsia" w:ascii="宋体" w:hAnsi="宋体"/>
          <w:color w:val="000000"/>
          <w:sz w:val="24"/>
        </w:rPr>
        <w:t>建设地点──指项目所在地详细地址，公路、铁路应填写起止地点。</w:t>
      </w:r>
    </w:p>
    <w:p>
      <w:pPr>
        <w:numPr>
          <w:ilvl w:val="0"/>
          <w:numId w:val="1"/>
        </w:numPr>
        <w:spacing w:line="660" w:lineRule="exact"/>
        <w:rPr>
          <w:rFonts w:hint="eastAsia" w:ascii="宋体" w:hAnsi="宋体"/>
          <w:color w:val="000000"/>
          <w:sz w:val="24"/>
        </w:rPr>
      </w:pPr>
      <w:r>
        <w:rPr>
          <w:rFonts w:hint="eastAsia" w:ascii="宋体" w:hAnsi="宋体"/>
          <w:color w:val="000000"/>
          <w:sz w:val="24"/>
        </w:rPr>
        <w:t>行业类别──按国标填写。</w:t>
      </w:r>
    </w:p>
    <w:p>
      <w:pPr>
        <w:numPr>
          <w:ilvl w:val="0"/>
          <w:numId w:val="1"/>
        </w:numPr>
        <w:spacing w:line="660" w:lineRule="exact"/>
        <w:rPr>
          <w:rFonts w:hint="eastAsia" w:ascii="宋体" w:hAnsi="宋体"/>
          <w:color w:val="000000"/>
          <w:sz w:val="24"/>
        </w:rPr>
      </w:pPr>
      <w:r>
        <w:rPr>
          <w:rFonts w:hint="eastAsia" w:ascii="宋体" w:hAnsi="宋体"/>
          <w:color w:val="000000"/>
          <w:sz w:val="24"/>
        </w:rPr>
        <w:t>总投资──指项目投资总额。</w:t>
      </w:r>
    </w:p>
    <w:p>
      <w:pPr>
        <w:numPr>
          <w:ilvl w:val="0"/>
          <w:numId w:val="1"/>
        </w:numPr>
        <w:spacing w:line="660" w:lineRule="exact"/>
        <w:rPr>
          <w:rFonts w:hint="eastAsia" w:ascii="宋体" w:hAnsi="宋体"/>
          <w:color w:val="000000"/>
          <w:sz w:val="24"/>
        </w:rPr>
      </w:pPr>
      <w:r>
        <w:rPr>
          <w:rFonts w:hint="eastAsia" w:ascii="宋体" w:hAnsi="宋体"/>
          <w:color w:val="000000"/>
          <w:sz w:val="24"/>
        </w:rPr>
        <w:t>主要环境保护目标──指项目区周围一定范围内集中居民住宅区、学校、医院、保护文物、风景名胜区、水源地和生态敏感点等，应尽可能给出保护目标、性质、规模和距厂界距离等。</w:t>
      </w:r>
    </w:p>
    <w:p>
      <w:pPr>
        <w:numPr>
          <w:ilvl w:val="0"/>
          <w:numId w:val="1"/>
        </w:numPr>
        <w:spacing w:line="660" w:lineRule="exact"/>
        <w:rPr>
          <w:rFonts w:hint="eastAsia" w:ascii="宋体" w:hAnsi="宋体"/>
          <w:color w:val="000000"/>
          <w:sz w:val="24"/>
        </w:rPr>
      </w:pPr>
      <w:r>
        <w:rPr>
          <w:rFonts w:hint="eastAsia" w:ascii="宋体" w:hAnsi="宋体"/>
          <w:color w:val="000000"/>
          <w:sz w:val="24"/>
        </w:rPr>
        <w:t>结论与建议──给出本项目清洁生产、达标排放和总量控制的分析结论，确定污染防治措施的有效性，说明本项目对环境造成的影响，给出建设项目环境可行性的明确结论。同时提出减少环境影响的其他建议。</w:t>
      </w:r>
    </w:p>
    <w:p>
      <w:pPr>
        <w:numPr>
          <w:ilvl w:val="0"/>
          <w:numId w:val="1"/>
        </w:numPr>
        <w:spacing w:line="660" w:lineRule="exact"/>
        <w:rPr>
          <w:rFonts w:hint="eastAsia" w:ascii="宋体" w:hAnsi="宋体"/>
          <w:color w:val="000000"/>
          <w:sz w:val="24"/>
        </w:rPr>
      </w:pPr>
      <w:r>
        <w:rPr>
          <w:rFonts w:hint="eastAsia" w:ascii="宋体" w:hAnsi="宋体"/>
          <w:color w:val="000000"/>
          <w:sz w:val="24"/>
        </w:rPr>
        <w:t>预审意见──由行业主管部门填写答复意见，无主管部门项目，可不填。</w:t>
      </w:r>
    </w:p>
    <w:p>
      <w:pPr>
        <w:numPr>
          <w:ilvl w:val="0"/>
          <w:numId w:val="1"/>
        </w:numPr>
        <w:spacing w:line="660" w:lineRule="exact"/>
        <w:rPr>
          <w:rFonts w:hint="eastAsia" w:ascii="宋体" w:hAnsi="宋体"/>
          <w:color w:val="000000"/>
          <w:sz w:val="24"/>
        </w:rPr>
      </w:pPr>
      <w:r>
        <w:rPr>
          <w:rFonts w:hint="eastAsia" w:ascii="宋体" w:hAnsi="宋体"/>
          <w:color w:val="000000"/>
          <w:sz w:val="24"/>
        </w:rPr>
        <w:t>审批意见──由负责审批该项目的环境保护行政主管部门批复。</w:t>
      </w:r>
    </w:p>
    <w:p>
      <w:pPr>
        <w:bidi w:val="0"/>
      </w:pPr>
    </w:p>
    <w:p>
      <w:pPr>
        <w:bidi w:val="0"/>
      </w:pPr>
    </w:p>
    <w:p>
      <w:pPr>
        <w:pStyle w:val="15"/>
        <w:ind w:left="0" w:leftChars="0" w:firstLine="0" w:firstLineChars="0"/>
      </w:pPr>
    </w:p>
    <w:p>
      <w:pPr>
        <w:pStyle w:val="4"/>
        <w:rPr>
          <w:rFonts w:ascii="Times New Roman" w:hAnsi="Times New Roman"/>
        </w:rPr>
        <w:sectPr>
          <w:type w:val="continuous"/>
          <w:pgSz w:w="11906" w:h="16838"/>
          <w:pgMar w:top="1440" w:right="1800" w:bottom="1558" w:left="1800" w:header="851" w:footer="992" w:gutter="0"/>
          <w:cols w:space="720" w:num="1"/>
          <w:docGrid w:type="lines" w:linePitch="312" w:charSpace="0"/>
        </w:sectPr>
      </w:pPr>
    </w:p>
    <w:p>
      <w:pPr>
        <w:pStyle w:val="4"/>
        <w:rPr>
          <w:rFonts w:ascii="Times New Roman" w:hAnsi="Times New Roman"/>
        </w:rPr>
      </w:pPr>
      <w:r>
        <w:rPr>
          <w:rFonts w:ascii="Times New Roman" w:hAnsi="Times New Roman"/>
        </w:rPr>
        <w:t>建设项目基本情况</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2"/>
        <w:gridCol w:w="974"/>
        <w:gridCol w:w="2265"/>
        <w:gridCol w:w="1684"/>
        <w:gridCol w:w="1449"/>
        <w:gridCol w:w="1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82" w:type="dxa"/>
            <w:noWrap w:val="0"/>
            <w:vAlign w:val="center"/>
          </w:tcPr>
          <w:p>
            <w:pPr>
              <w:jc w:val="center"/>
              <w:rPr>
                <w:rFonts w:ascii="Times New Roman" w:hAnsi="Times New Roman"/>
                <w:b/>
                <w:color w:val="000000"/>
                <w:sz w:val="24"/>
                <w:szCs w:val="24"/>
              </w:rPr>
            </w:pPr>
            <w:r>
              <w:rPr>
                <w:rFonts w:ascii="Times New Roman" w:hAnsi="Times New Roman"/>
                <w:b/>
                <w:color w:val="000000"/>
                <w:sz w:val="24"/>
                <w:szCs w:val="24"/>
              </w:rPr>
              <w:t>项目名称</w:t>
            </w:r>
          </w:p>
        </w:tc>
        <w:tc>
          <w:tcPr>
            <w:tcW w:w="7460" w:type="dxa"/>
            <w:gridSpan w:val="5"/>
            <w:noWrap w:val="0"/>
            <w:vAlign w:val="center"/>
          </w:tcPr>
          <w:p>
            <w:pPr>
              <w:jc w:val="center"/>
              <w:rPr>
                <w:rFonts w:hint="eastAsia" w:ascii="Times New Roman" w:hAnsi="Times New Roman" w:eastAsia="宋体"/>
                <w:sz w:val="24"/>
                <w:szCs w:val="24"/>
                <w:highlight w:val="none"/>
                <w:lang w:eastAsia="zh-CN"/>
              </w:rPr>
            </w:pPr>
            <w:r>
              <w:rPr>
                <w:rFonts w:hint="eastAsia" w:ascii="Times New Roman" w:hAnsi="Times New Roman"/>
                <w:sz w:val="24"/>
                <w:szCs w:val="24"/>
                <w:highlight w:val="none"/>
                <w:lang w:eastAsia="zh-CN"/>
              </w:rPr>
              <w:t>镜湖区老船厂智慧港项目二期污染地块污染治理项目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82" w:type="dxa"/>
            <w:noWrap w:val="0"/>
            <w:vAlign w:val="center"/>
          </w:tcPr>
          <w:p>
            <w:pPr>
              <w:jc w:val="center"/>
              <w:rPr>
                <w:rFonts w:ascii="Times New Roman" w:hAnsi="Times New Roman"/>
                <w:b/>
                <w:color w:val="000000"/>
                <w:sz w:val="24"/>
                <w:szCs w:val="24"/>
              </w:rPr>
            </w:pPr>
            <w:r>
              <w:rPr>
                <w:rFonts w:ascii="Times New Roman" w:hAnsi="Times New Roman"/>
                <w:b/>
                <w:color w:val="000000"/>
                <w:sz w:val="24"/>
                <w:szCs w:val="24"/>
              </w:rPr>
              <w:t>建设单位</w:t>
            </w:r>
          </w:p>
        </w:tc>
        <w:tc>
          <w:tcPr>
            <w:tcW w:w="7460" w:type="dxa"/>
            <w:gridSpan w:val="5"/>
            <w:noWrap w:val="0"/>
            <w:vAlign w:val="center"/>
          </w:tcPr>
          <w:p>
            <w:pPr>
              <w:jc w:val="center"/>
              <w:rPr>
                <w:rFonts w:hint="eastAsia" w:ascii="Times New Roman" w:hAnsi="Times New Roman" w:eastAsia="宋体"/>
                <w:color w:val="000000"/>
                <w:sz w:val="24"/>
                <w:szCs w:val="24"/>
                <w:highlight w:val="none"/>
                <w:lang w:eastAsia="zh-CN"/>
              </w:rPr>
            </w:pPr>
            <w:r>
              <w:rPr>
                <w:rFonts w:hint="eastAsia" w:ascii="Times New Roman" w:hAnsi="Times New Roman"/>
                <w:color w:val="000000"/>
                <w:sz w:val="24"/>
                <w:szCs w:val="24"/>
                <w:highlight w:val="none"/>
                <w:lang w:eastAsia="zh-CN"/>
              </w:rPr>
              <w:t>镜湖区投资促进中心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82" w:type="dxa"/>
            <w:noWrap w:val="0"/>
            <w:vAlign w:val="center"/>
          </w:tcPr>
          <w:p>
            <w:pPr>
              <w:jc w:val="center"/>
              <w:rPr>
                <w:rFonts w:ascii="Times New Roman" w:hAnsi="Times New Roman"/>
                <w:b/>
                <w:color w:val="000000"/>
                <w:sz w:val="24"/>
                <w:szCs w:val="24"/>
              </w:rPr>
            </w:pPr>
            <w:r>
              <w:rPr>
                <w:rFonts w:ascii="Times New Roman" w:hAnsi="Times New Roman"/>
                <w:b/>
                <w:color w:val="000000"/>
                <w:sz w:val="24"/>
                <w:szCs w:val="24"/>
              </w:rPr>
              <w:t>法人代表</w:t>
            </w:r>
          </w:p>
        </w:tc>
        <w:tc>
          <w:tcPr>
            <w:tcW w:w="3239" w:type="dxa"/>
            <w:gridSpan w:val="2"/>
            <w:noWrap w:val="0"/>
            <w:vAlign w:val="center"/>
          </w:tcPr>
          <w:p>
            <w:pPr>
              <w:jc w:val="center"/>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lang w:val="en-US" w:eastAsia="zh-CN"/>
              </w:rPr>
              <w:t>周舢</w:t>
            </w:r>
          </w:p>
        </w:tc>
        <w:tc>
          <w:tcPr>
            <w:tcW w:w="1684" w:type="dxa"/>
            <w:noWrap w:val="0"/>
            <w:vAlign w:val="center"/>
          </w:tcPr>
          <w:p>
            <w:pPr>
              <w:jc w:val="center"/>
              <w:rPr>
                <w:rFonts w:ascii="Times New Roman" w:hAnsi="Times New Roman"/>
                <w:b/>
                <w:color w:val="auto"/>
                <w:sz w:val="24"/>
                <w:szCs w:val="24"/>
              </w:rPr>
            </w:pPr>
            <w:r>
              <w:rPr>
                <w:rFonts w:ascii="Times New Roman" w:hAnsi="Times New Roman"/>
                <w:b/>
                <w:color w:val="auto"/>
                <w:sz w:val="24"/>
                <w:szCs w:val="24"/>
              </w:rPr>
              <w:t>联系人</w:t>
            </w:r>
          </w:p>
        </w:tc>
        <w:tc>
          <w:tcPr>
            <w:tcW w:w="2537" w:type="dxa"/>
            <w:gridSpan w:val="2"/>
            <w:noWrap w:val="0"/>
            <w:vAlign w:val="center"/>
          </w:tcPr>
          <w:p>
            <w:pPr>
              <w:jc w:val="center"/>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lang w:val="en-US" w:eastAsia="zh-CN"/>
              </w:rPr>
              <w:t>付进军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1782" w:type="dxa"/>
            <w:noWrap w:val="0"/>
            <w:vAlign w:val="center"/>
          </w:tcPr>
          <w:p>
            <w:pPr>
              <w:jc w:val="center"/>
              <w:rPr>
                <w:rFonts w:ascii="Times New Roman" w:hAnsi="Times New Roman"/>
                <w:b/>
                <w:color w:val="000000"/>
                <w:sz w:val="24"/>
                <w:szCs w:val="24"/>
              </w:rPr>
            </w:pPr>
            <w:r>
              <w:rPr>
                <w:rFonts w:ascii="Times New Roman" w:hAnsi="Times New Roman"/>
                <w:b/>
                <w:color w:val="000000"/>
                <w:sz w:val="24"/>
                <w:szCs w:val="24"/>
              </w:rPr>
              <w:t>通讯地址</w:t>
            </w:r>
          </w:p>
        </w:tc>
        <w:tc>
          <w:tcPr>
            <w:tcW w:w="3239" w:type="dxa"/>
            <w:gridSpan w:val="2"/>
            <w:noWrap w:val="0"/>
            <w:vAlign w:val="center"/>
          </w:tcPr>
          <w:p>
            <w:pPr>
              <w:jc w:val="center"/>
              <w:rPr>
                <w:rFonts w:hint="eastAsia" w:ascii="Times New Roman" w:hAnsi="Times New Roman" w:eastAsia="宋体"/>
                <w:color w:val="auto"/>
                <w:sz w:val="24"/>
                <w:szCs w:val="24"/>
                <w:highlight w:val="none"/>
                <w:lang w:eastAsia="zh-CN"/>
              </w:rPr>
            </w:pPr>
            <w:r>
              <w:rPr>
                <w:rFonts w:hint="eastAsia" w:ascii="Times New Roman" w:hAnsi="Times New Roman"/>
                <w:color w:val="auto"/>
                <w:sz w:val="24"/>
                <w:szCs w:val="24"/>
                <w:highlight w:val="none"/>
                <w:lang w:eastAsia="zh-CN"/>
              </w:rPr>
              <w:t>芜湖市长江中路51号</w:t>
            </w:r>
          </w:p>
        </w:tc>
        <w:tc>
          <w:tcPr>
            <w:tcW w:w="1684" w:type="dxa"/>
            <w:noWrap w:val="0"/>
            <w:vAlign w:val="center"/>
          </w:tcPr>
          <w:p>
            <w:pPr>
              <w:jc w:val="center"/>
              <w:rPr>
                <w:rFonts w:ascii="Times New Roman" w:hAnsi="Times New Roman"/>
                <w:b/>
                <w:color w:val="auto"/>
                <w:sz w:val="24"/>
                <w:szCs w:val="24"/>
              </w:rPr>
            </w:pPr>
            <w:r>
              <w:rPr>
                <w:rFonts w:ascii="Times New Roman" w:hAnsi="Times New Roman"/>
                <w:b/>
                <w:color w:val="auto"/>
                <w:sz w:val="24"/>
                <w:szCs w:val="24"/>
              </w:rPr>
              <w:t>邮政编码</w:t>
            </w:r>
          </w:p>
        </w:tc>
        <w:tc>
          <w:tcPr>
            <w:tcW w:w="2537" w:type="dxa"/>
            <w:gridSpan w:val="2"/>
            <w:noWrap w:val="0"/>
            <w:vAlign w:val="center"/>
          </w:tcPr>
          <w:p>
            <w:pPr>
              <w:jc w:val="center"/>
              <w:rPr>
                <w:rFonts w:ascii="Times New Roman" w:hAnsi="Times New Roman"/>
                <w:color w:val="auto"/>
                <w:sz w:val="24"/>
                <w:szCs w:val="24"/>
                <w:highlight w:val="yellow"/>
              </w:rPr>
            </w:pPr>
            <w:r>
              <w:rPr>
                <w:rFonts w:ascii="Times New Roman" w:hAnsi="Times New Roman"/>
                <w:color w:val="auto"/>
                <w:sz w:val="24"/>
                <w:szCs w:val="24"/>
              </w:rPr>
              <w:t>241000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82" w:type="dxa"/>
            <w:noWrap w:val="0"/>
            <w:vAlign w:val="center"/>
          </w:tcPr>
          <w:p>
            <w:pPr>
              <w:jc w:val="center"/>
              <w:rPr>
                <w:rFonts w:ascii="Times New Roman" w:hAnsi="Times New Roman"/>
                <w:b/>
                <w:color w:val="000000"/>
                <w:sz w:val="24"/>
                <w:szCs w:val="24"/>
              </w:rPr>
            </w:pPr>
            <w:r>
              <w:rPr>
                <w:rFonts w:ascii="Times New Roman" w:hAnsi="Times New Roman"/>
                <w:b/>
                <w:color w:val="000000"/>
                <w:sz w:val="24"/>
                <w:szCs w:val="24"/>
              </w:rPr>
              <w:t>联系电话</w:t>
            </w:r>
          </w:p>
        </w:tc>
        <w:tc>
          <w:tcPr>
            <w:tcW w:w="3239" w:type="dxa"/>
            <w:gridSpan w:val="2"/>
            <w:noWrap w:val="0"/>
            <w:vAlign w:val="center"/>
          </w:tcPr>
          <w:p>
            <w:pPr>
              <w:jc w:val="center"/>
              <w:rPr>
                <w:rFonts w:ascii="Times New Roman" w:hAnsi="Times New Roman"/>
                <w:color w:val="auto"/>
                <w:sz w:val="24"/>
                <w:szCs w:val="24"/>
              </w:rPr>
            </w:pPr>
            <w:r>
              <w:rPr>
                <w:rFonts w:hint="eastAsia" w:ascii="Times New Roman" w:hAnsi="Times New Roman"/>
                <w:color w:val="auto"/>
                <w:sz w:val="24"/>
                <w:szCs w:val="24"/>
              </w:rPr>
              <w:t>13505533235</w:t>
            </w:r>
          </w:p>
        </w:tc>
        <w:tc>
          <w:tcPr>
            <w:tcW w:w="1684" w:type="dxa"/>
            <w:noWrap w:val="0"/>
            <w:vAlign w:val="center"/>
          </w:tcPr>
          <w:p>
            <w:pPr>
              <w:jc w:val="center"/>
              <w:rPr>
                <w:rFonts w:ascii="Times New Roman" w:hAnsi="Times New Roman"/>
                <w:b/>
                <w:color w:val="auto"/>
                <w:sz w:val="24"/>
                <w:szCs w:val="24"/>
              </w:rPr>
            </w:pPr>
            <w:r>
              <w:rPr>
                <w:rFonts w:ascii="Times New Roman" w:hAnsi="Times New Roman"/>
                <w:b/>
                <w:color w:val="auto"/>
                <w:sz w:val="24"/>
                <w:szCs w:val="24"/>
              </w:rPr>
              <w:t>传真</w:t>
            </w:r>
          </w:p>
        </w:tc>
        <w:tc>
          <w:tcPr>
            <w:tcW w:w="2537" w:type="dxa"/>
            <w:gridSpan w:val="2"/>
            <w:noWrap w:val="0"/>
            <w:vAlign w:val="center"/>
          </w:tcPr>
          <w:p>
            <w:pPr>
              <w:jc w:val="center"/>
              <w:rPr>
                <w:rFonts w:ascii="Times New Roman" w:hAnsi="Times New Roman"/>
                <w:color w:val="auto"/>
                <w:sz w:val="24"/>
                <w:szCs w:val="24"/>
              </w:rPr>
            </w:pPr>
            <w:r>
              <w:rPr>
                <w:rFonts w:ascii="Times New Roman" w:hAnsi="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1782" w:type="dxa"/>
            <w:noWrap w:val="0"/>
            <w:vAlign w:val="center"/>
          </w:tcPr>
          <w:p>
            <w:pPr>
              <w:jc w:val="center"/>
              <w:rPr>
                <w:rFonts w:ascii="Times New Roman" w:hAnsi="Times New Roman"/>
                <w:b/>
                <w:color w:val="000000"/>
                <w:sz w:val="24"/>
                <w:szCs w:val="24"/>
              </w:rPr>
            </w:pPr>
            <w:r>
              <w:rPr>
                <w:rFonts w:ascii="Times New Roman" w:hAnsi="Times New Roman"/>
                <w:b/>
                <w:color w:val="000000"/>
                <w:sz w:val="24"/>
                <w:szCs w:val="24"/>
              </w:rPr>
              <w:t>建设地点</w:t>
            </w:r>
          </w:p>
        </w:tc>
        <w:tc>
          <w:tcPr>
            <w:tcW w:w="7460" w:type="dxa"/>
            <w:gridSpan w:val="5"/>
            <w:noWrap w:val="0"/>
            <w:vAlign w:val="center"/>
          </w:tcPr>
          <w:p>
            <w:pPr>
              <w:jc w:val="center"/>
              <w:rPr>
                <w:rFonts w:hint="eastAsia" w:ascii="Times New Roman" w:hAnsi="Times New Roman" w:eastAsia="宋体"/>
                <w:color w:val="000000"/>
                <w:sz w:val="24"/>
                <w:szCs w:val="24"/>
                <w:highlight w:val="none"/>
                <w:lang w:eastAsia="zh-CN"/>
              </w:rPr>
            </w:pPr>
            <w:r>
              <w:rPr>
                <w:rFonts w:hint="eastAsia" w:ascii="Times New Roman" w:hAnsi="Times New Roman"/>
                <w:color w:val="000000"/>
                <w:sz w:val="24"/>
                <w:szCs w:val="24"/>
                <w:highlight w:val="none"/>
                <w:lang w:eastAsia="zh-CN"/>
              </w:rPr>
              <w:t>安徽省芜湖市镜湖区长江中路49号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exact"/>
          <w:jc w:val="center"/>
        </w:trPr>
        <w:tc>
          <w:tcPr>
            <w:tcW w:w="1782" w:type="dxa"/>
            <w:noWrap w:val="0"/>
            <w:vAlign w:val="center"/>
          </w:tcPr>
          <w:p>
            <w:pPr>
              <w:jc w:val="center"/>
              <w:rPr>
                <w:rFonts w:ascii="Times New Roman" w:hAnsi="Times New Roman"/>
                <w:b/>
                <w:color w:val="000000"/>
                <w:sz w:val="24"/>
                <w:szCs w:val="24"/>
              </w:rPr>
            </w:pPr>
            <w:r>
              <w:rPr>
                <w:rFonts w:ascii="Times New Roman" w:hAnsi="Times New Roman"/>
                <w:b/>
                <w:color w:val="000000"/>
                <w:sz w:val="24"/>
                <w:szCs w:val="24"/>
              </w:rPr>
              <w:t>立项审批部门</w:t>
            </w:r>
          </w:p>
        </w:tc>
        <w:tc>
          <w:tcPr>
            <w:tcW w:w="3239" w:type="dxa"/>
            <w:gridSpan w:val="2"/>
            <w:noWrap w:val="0"/>
            <w:vAlign w:val="center"/>
          </w:tcPr>
          <w:p>
            <w:pPr>
              <w:jc w:val="center"/>
              <w:rPr>
                <w:rFonts w:hint="eastAsia" w:ascii="Times New Roman" w:hAnsi="Times New Roman" w:eastAsia="宋体"/>
                <w:sz w:val="24"/>
                <w:szCs w:val="24"/>
                <w:lang w:eastAsia="zh-CN"/>
              </w:rPr>
            </w:pPr>
            <w:r>
              <w:rPr>
                <w:rFonts w:hint="eastAsia" w:ascii="Times New Roman" w:hAnsi="Times New Roman"/>
                <w:sz w:val="24"/>
                <w:lang w:eastAsia="zh-CN"/>
              </w:rPr>
              <w:t>芜湖市镜湖区发展和改革委员会</w:t>
            </w:r>
          </w:p>
        </w:tc>
        <w:tc>
          <w:tcPr>
            <w:tcW w:w="1684" w:type="dxa"/>
            <w:noWrap w:val="0"/>
            <w:vAlign w:val="center"/>
          </w:tcPr>
          <w:p>
            <w:pPr>
              <w:jc w:val="center"/>
              <w:rPr>
                <w:rFonts w:ascii="Times New Roman" w:hAnsi="Times New Roman"/>
                <w:b/>
                <w:sz w:val="24"/>
                <w:szCs w:val="24"/>
              </w:rPr>
            </w:pPr>
            <w:r>
              <w:rPr>
                <w:rFonts w:ascii="Times New Roman" w:hAnsi="Times New Roman"/>
                <w:b/>
                <w:sz w:val="24"/>
                <w:szCs w:val="24"/>
              </w:rPr>
              <w:t>批准文号</w:t>
            </w:r>
          </w:p>
        </w:tc>
        <w:tc>
          <w:tcPr>
            <w:tcW w:w="2537" w:type="dxa"/>
            <w:gridSpan w:val="2"/>
            <w:noWrap w:val="0"/>
            <w:vAlign w:val="center"/>
          </w:tcPr>
          <w:p>
            <w:pPr>
              <w:jc w:val="center"/>
              <w:rPr>
                <w:rFonts w:hint="eastAsia" w:ascii="Times New Roman" w:hAnsi="Times New Roman" w:eastAsia="宋体"/>
                <w:sz w:val="24"/>
                <w:szCs w:val="24"/>
                <w:lang w:eastAsia="zh-CN"/>
              </w:rPr>
            </w:pPr>
            <w:r>
              <w:rPr>
                <w:rFonts w:hint="eastAsia" w:ascii="Times New Roman" w:hAnsi="Times New Roman"/>
                <w:sz w:val="24"/>
                <w:szCs w:val="24"/>
                <w:lang w:eastAsia="zh-CN"/>
              </w:rPr>
              <w:t>镜发委项（2020〕24号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782" w:type="dxa"/>
            <w:noWrap w:val="0"/>
            <w:vAlign w:val="center"/>
          </w:tcPr>
          <w:p>
            <w:pPr>
              <w:spacing w:line="360" w:lineRule="auto"/>
              <w:jc w:val="center"/>
              <w:rPr>
                <w:rFonts w:ascii="Times New Roman" w:hAnsi="Times New Roman"/>
                <w:b/>
                <w:color w:val="000000"/>
                <w:sz w:val="24"/>
                <w:szCs w:val="24"/>
              </w:rPr>
            </w:pPr>
            <w:r>
              <w:rPr>
                <w:rFonts w:ascii="Times New Roman" w:hAnsi="Times New Roman"/>
                <w:b/>
                <w:color w:val="000000"/>
                <w:sz w:val="24"/>
                <w:szCs w:val="24"/>
              </w:rPr>
              <w:t>建设性质</w:t>
            </w:r>
          </w:p>
        </w:tc>
        <w:tc>
          <w:tcPr>
            <w:tcW w:w="3239" w:type="dxa"/>
            <w:gridSpan w:val="2"/>
            <w:noWrap w:val="0"/>
            <w:vAlign w:val="center"/>
          </w:tcPr>
          <w:p>
            <w:pPr>
              <w:spacing w:line="360" w:lineRule="auto"/>
              <w:jc w:val="center"/>
              <w:rPr>
                <w:rFonts w:ascii="Times New Roman" w:hAnsi="Times New Roman"/>
                <w:color w:val="000000"/>
                <w:sz w:val="24"/>
                <w:szCs w:val="24"/>
              </w:rPr>
            </w:pPr>
            <w:r>
              <w:rPr>
                <w:rFonts w:ascii="Times New Roman" w:hAnsi="Times New Roman"/>
                <w:color w:val="000000"/>
                <w:sz w:val="24"/>
              </w:rPr>
              <w:t>新建</w:t>
            </w:r>
            <w:r>
              <w:rPr>
                <w:rFonts w:ascii="Times New Roman" w:hAnsi="Times New Roman"/>
                <w:color w:val="000000"/>
                <w:sz w:val="24"/>
              </w:rPr>
              <w:sym w:font="Wingdings 2" w:char="0052"/>
            </w:r>
            <w:r>
              <w:rPr>
                <w:rFonts w:ascii="Times New Roman" w:hAnsi="Times New Roman"/>
                <w:color w:val="000000"/>
                <w:sz w:val="24"/>
              </w:rPr>
              <w:t xml:space="preserve">  改扩建</w:t>
            </w:r>
            <w:r>
              <w:rPr>
                <w:rFonts w:ascii="Times New Roman" w:hAnsi="Times New Roman"/>
                <w:color w:val="000000"/>
                <w:sz w:val="24"/>
              </w:rPr>
              <w:sym w:font="Wingdings 2" w:char="00A3"/>
            </w:r>
            <w:r>
              <w:rPr>
                <w:rFonts w:ascii="Times New Roman" w:hAnsi="Times New Roman"/>
                <w:color w:val="000000"/>
                <w:sz w:val="24"/>
              </w:rPr>
              <w:t xml:space="preserve">  技改</w:t>
            </w:r>
            <w:r>
              <w:rPr>
                <w:rFonts w:ascii="Times New Roman" w:hAnsi="Times New Roman"/>
                <w:color w:val="000000"/>
                <w:sz w:val="24"/>
              </w:rPr>
              <w:sym w:font="Wingdings 2" w:char="00A3"/>
            </w:r>
          </w:p>
        </w:tc>
        <w:tc>
          <w:tcPr>
            <w:tcW w:w="1684" w:type="dxa"/>
            <w:noWrap w:val="0"/>
            <w:vAlign w:val="center"/>
          </w:tcPr>
          <w:p>
            <w:pPr>
              <w:jc w:val="center"/>
              <w:rPr>
                <w:rFonts w:ascii="Times New Roman" w:hAnsi="Times New Roman"/>
                <w:b/>
                <w:color w:val="000000"/>
                <w:sz w:val="24"/>
                <w:szCs w:val="24"/>
              </w:rPr>
            </w:pPr>
            <w:r>
              <w:rPr>
                <w:rFonts w:ascii="Times New Roman" w:hAnsi="Times New Roman"/>
                <w:b/>
                <w:color w:val="000000"/>
                <w:sz w:val="24"/>
                <w:szCs w:val="24"/>
              </w:rPr>
              <w:t>行业类别</w:t>
            </w:r>
          </w:p>
          <w:p>
            <w:pPr>
              <w:jc w:val="center"/>
              <w:rPr>
                <w:rFonts w:ascii="Times New Roman" w:hAnsi="Times New Roman"/>
                <w:b/>
                <w:color w:val="000000"/>
                <w:sz w:val="24"/>
                <w:szCs w:val="24"/>
              </w:rPr>
            </w:pPr>
            <w:r>
              <w:rPr>
                <w:rFonts w:ascii="Times New Roman" w:hAnsi="Times New Roman"/>
                <w:b/>
                <w:color w:val="000000"/>
                <w:sz w:val="24"/>
                <w:szCs w:val="24"/>
              </w:rPr>
              <w:t>及代码</w:t>
            </w:r>
          </w:p>
        </w:tc>
        <w:tc>
          <w:tcPr>
            <w:tcW w:w="2537" w:type="dxa"/>
            <w:gridSpan w:val="2"/>
            <w:noWrap w:val="0"/>
            <w:vAlign w:val="center"/>
          </w:tcPr>
          <w:p>
            <w:pPr>
              <w:spacing w:line="240" w:lineRule="atLeast"/>
              <w:jc w:val="center"/>
              <w:rPr>
                <w:rFonts w:hint="eastAsia" w:ascii="Times New Roman" w:hAnsi="Times New Roman" w:eastAsia="宋体"/>
                <w:color w:val="000000"/>
                <w:sz w:val="24"/>
                <w:lang w:eastAsia="zh-CN"/>
              </w:rPr>
            </w:pPr>
            <w:r>
              <w:rPr>
                <w:rFonts w:hint="eastAsia" w:ascii="Times New Roman" w:hAnsi="Times New Roman"/>
                <w:sz w:val="24"/>
                <w:szCs w:val="24"/>
                <w:lang w:eastAsia="zh-CN"/>
              </w:rPr>
              <w:t>N[7726]土壤污染治理与修复服务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782" w:type="dxa"/>
            <w:noWrap w:val="0"/>
            <w:vAlign w:val="center"/>
          </w:tcPr>
          <w:p>
            <w:pPr>
              <w:jc w:val="center"/>
              <w:rPr>
                <w:rFonts w:ascii="Times New Roman" w:hAnsi="Times New Roman"/>
                <w:b/>
                <w:color w:val="000000"/>
                <w:sz w:val="24"/>
                <w:szCs w:val="24"/>
              </w:rPr>
            </w:pPr>
            <w:r>
              <w:rPr>
                <w:rFonts w:ascii="Times New Roman" w:hAnsi="Times New Roman"/>
                <w:b/>
                <w:color w:val="000000"/>
                <w:sz w:val="24"/>
                <w:szCs w:val="24"/>
              </w:rPr>
              <w:t>占地面积（m</w:t>
            </w:r>
            <w:r>
              <w:rPr>
                <w:rFonts w:ascii="Times New Roman" w:hAnsi="Times New Roman"/>
                <w:b/>
                <w:color w:val="000000"/>
                <w:sz w:val="24"/>
                <w:szCs w:val="24"/>
                <w:vertAlign w:val="superscript"/>
              </w:rPr>
              <w:t>2</w:t>
            </w:r>
            <w:r>
              <w:rPr>
                <w:rFonts w:ascii="Times New Roman" w:hAnsi="Times New Roman"/>
                <w:b/>
                <w:color w:val="000000"/>
                <w:sz w:val="24"/>
                <w:szCs w:val="24"/>
              </w:rPr>
              <w:t>）</w:t>
            </w:r>
          </w:p>
        </w:tc>
        <w:tc>
          <w:tcPr>
            <w:tcW w:w="3239" w:type="dxa"/>
            <w:gridSpan w:val="2"/>
            <w:noWrap w:val="0"/>
            <w:vAlign w:val="center"/>
          </w:tcPr>
          <w:p>
            <w:pPr>
              <w:spacing w:line="360" w:lineRule="auto"/>
              <w:jc w:val="center"/>
              <w:rPr>
                <w:rFonts w:hint="eastAsia" w:ascii="Times New Roman" w:hAnsi="Times New Roman" w:eastAsia="宋体"/>
                <w:color w:val="000000"/>
                <w:sz w:val="24"/>
                <w:szCs w:val="24"/>
                <w:highlight w:val="none"/>
                <w:lang w:eastAsia="zh-CN"/>
              </w:rPr>
            </w:pPr>
            <w:r>
              <w:rPr>
                <w:rFonts w:hint="eastAsia" w:ascii="Times New Roman" w:hAnsi="Times New Roman"/>
                <w:color w:val="000000"/>
                <w:sz w:val="24"/>
                <w:szCs w:val="24"/>
                <w:highlight w:val="none"/>
                <w:lang w:eastAsia="zh-CN"/>
              </w:rPr>
              <w:t>15333</w:t>
            </w:r>
          </w:p>
        </w:tc>
        <w:tc>
          <w:tcPr>
            <w:tcW w:w="1684" w:type="dxa"/>
            <w:noWrap w:val="0"/>
            <w:vAlign w:val="center"/>
          </w:tcPr>
          <w:p>
            <w:pPr>
              <w:jc w:val="center"/>
              <w:rPr>
                <w:rFonts w:ascii="Times New Roman" w:hAnsi="Times New Roman"/>
                <w:b/>
                <w:sz w:val="24"/>
                <w:szCs w:val="24"/>
              </w:rPr>
            </w:pPr>
            <w:r>
              <w:rPr>
                <w:rFonts w:ascii="Times New Roman" w:hAnsi="Times New Roman"/>
                <w:b/>
                <w:sz w:val="24"/>
                <w:szCs w:val="24"/>
              </w:rPr>
              <w:t>绿化面积</w:t>
            </w:r>
          </w:p>
          <w:p>
            <w:pPr>
              <w:jc w:val="center"/>
              <w:rPr>
                <w:rFonts w:ascii="Times New Roman" w:hAnsi="Times New Roman"/>
                <w:b/>
                <w:sz w:val="24"/>
                <w:szCs w:val="24"/>
                <w:highlight w:val="yellow"/>
              </w:rPr>
            </w:pPr>
            <w:r>
              <w:rPr>
                <w:rFonts w:ascii="Times New Roman" w:hAnsi="Times New Roman"/>
                <w:b/>
                <w:sz w:val="24"/>
                <w:szCs w:val="24"/>
              </w:rPr>
              <w:t>（m</w:t>
            </w:r>
            <w:r>
              <w:rPr>
                <w:rFonts w:ascii="Times New Roman" w:hAnsi="Times New Roman"/>
                <w:b/>
                <w:sz w:val="24"/>
                <w:szCs w:val="24"/>
                <w:vertAlign w:val="superscript"/>
              </w:rPr>
              <w:t>2</w:t>
            </w:r>
            <w:r>
              <w:rPr>
                <w:rFonts w:ascii="Times New Roman" w:hAnsi="Times New Roman"/>
                <w:b/>
                <w:sz w:val="24"/>
                <w:szCs w:val="24"/>
              </w:rPr>
              <w:t>）</w:t>
            </w:r>
          </w:p>
        </w:tc>
        <w:tc>
          <w:tcPr>
            <w:tcW w:w="2537" w:type="dxa"/>
            <w:gridSpan w:val="2"/>
            <w:noWrap w:val="0"/>
            <w:vAlign w:val="center"/>
          </w:tcPr>
          <w:p>
            <w:pPr>
              <w:spacing w:line="360" w:lineRule="auto"/>
              <w:jc w:val="center"/>
              <w:rPr>
                <w:rFonts w:ascii="Times New Roman" w:hAnsi="Times New Roman"/>
                <w:sz w:val="24"/>
                <w:szCs w:val="24"/>
                <w:highlight w:val="yellow"/>
              </w:rPr>
            </w:pPr>
            <w:r>
              <w:rPr>
                <w:rFonts w:ascii="Times New Roman" w:hAnsi="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782" w:type="dxa"/>
            <w:noWrap w:val="0"/>
            <w:vAlign w:val="center"/>
          </w:tcPr>
          <w:p>
            <w:pPr>
              <w:jc w:val="center"/>
              <w:rPr>
                <w:rFonts w:ascii="Times New Roman" w:hAnsi="Times New Roman"/>
                <w:b/>
                <w:color w:val="000000"/>
                <w:sz w:val="24"/>
                <w:szCs w:val="24"/>
              </w:rPr>
            </w:pPr>
            <w:r>
              <w:rPr>
                <w:rFonts w:ascii="Times New Roman" w:hAnsi="Times New Roman"/>
                <w:b/>
                <w:color w:val="000000"/>
                <w:sz w:val="24"/>
                <w:szCs w:val="24"/>
              </w:rPr>
              <w:t>总投资（万元）</w:t>
            </w:r>
          </w:p>
        </w:tc>
        <w:tc>
          <w:tcPr>
            <w:tcW w:w="974" w:type="dxa"/>
            <w:noWrap w:val="0"/>
            <w:vAlign w:val="center"/>
          </w:tcPr>
          <w:p>
            <w:pPr>
              <w:spacing w:line="360" w:lineRule="auto"/>
              <w:jc w:val="center"/>
              <w:rPr>
                <w:rFonts w:hint="eastAsia" w:ascii="Times New Roman" w:hAnsi="Times New Roman" w:eastAsia="宋体"/>
                <w:color w:val="000000"/>
                <w:sz w:val="24"/>
                <w:szCs w:val="24"/>
                <w:lang w:eastAsia="zh-CN"/>
              </w:rPr>
            </w:pPr>
            <w:r>
              <w:rPr>
                <w:rFonts w:hint="eastAsia" w:ascii="Times New Roman" w:hAnsi="Times New Roman"/>
                <w:color w:val="000000"/>
                <w:sz w:val="24"/>
                <w:szCs w:val="24"/>
                <w:lang w:val="en-US" w:eastAsia="zh-CN"/>
              </w:rPr>
              <w:t>3800</w:t>
            </w:r>
          </w:p>
        </w:tc>
        <w:tc>
          <w:tcPr>
            <w:tcW w:w="2265" w:type="dxa"/>
            <w:noWrap w:val="0"/>
            <w:vAlign w:val="center"/>
          </w:tcPr>
          <w:p>
            <w:pPr>
              <w:jc w:val="center"/>
              <w:rPr>
                <w:rFonts w:ascii="Times New Roman" w:hAnsi="Times New Roman"/>
                <w:b/>
                <w:sz w:val="24"/>
                <w:szCs w:val="24"/>
              </w:rPr>
            </w:pPr>
            <w:r>
              <w:rPr>
                <w:rFonts w:ascii="Times New Roman" w:hAnsi="Times New Roman"/>
                <w:b/>
                <w:sz w:val="24"/>
                <w:szCs w:val="24"/>
              </w:rPr>
              <w:t>其中：环保投资</w:t>
            </w:r>
          </w:p>
          <w:p>
            <w:pPr>
              <w:jc w:val="center"/>
              <w:rPr>
                <w:rFonts w:ascii="Times New Roman" w:hAnsi="Times New Roman"/>
                <w:sz w:val="24"/>
                <w:szCs w:val="24"/>
              </w:rPr>
            </w:pPr>
            <w:r>
              <w:rPr>
                <w:rFonts w:ascii="Times New Roman" w:hAnsi="Times New Roman"/>
                <w:b/>
                <w:sz w:val="24"/>
                <w:szCs w:val="24"/>
              </w:rPr>
              <w:t>（万元）</w:t>
            </w:r>
          </w:p>
        </w:tc>
        <w:tc>
          <w:tcPr>
            <w:tcW w:w="1684" w:type="dxa"/>
            <w:noWrap w:val="0"/>
            <w:vAlign w:val="center"/>
          </w:tcPr>
          <w:p>
            <w:pPr>
              <w:jc w:val="center"/>
              <w:rPr>
                <w:rFonts w:hint="default" w:ascii="Times New Roman" w:hAnsi="Times New Roman"/>
                <w:color w:val="auto"/>
                <w:sz w:val="24"/>
                <w:szCs w:val="24"/>
                <w:lang w:val="en-US"/>
              </w:rPr>
            </w:pPr>
            <w:r>
              <w:rPr>
                <w:rFonts w:hint="eastAsia" w:ascii="Times New Roman" w:hAnsi="Times New Roman"/>
                <w:color w:val="auto"/>
                <w:sz w:val="24"/>
                <w:szCs w:val="24"/>
                <w:lang w:val="en-US" w:eastAsia="zh-CN"/>
              </w:rPr>
              <w:t>105</w:t>
            </w:r>
          </w:p>
        </w:tc>
        <w:tc>
          <w:tcPr>
            <w:tcW w:w="1449" w:type="dxa"/>
            <w:noWrap w:val="0"/>
            <w:vAlign w:val="center"/>
          </w:tcPr>
          <w:p>
            <w:pPr>
              <w:jc w:val="center"/>
              <w:rPr>
                <w:rFonts w:ascii="Times New Roman" w:hAnsi="Times New Roman"/>
                <w:b/>
                <w:color w:val="auto"/>
                <w:sz w:val="24"/>
                <w:szCs w:val="24"/>
              </w:rPr>
            </w:pPr>
            <w:r>
              <w:rPr>
                <w:rFonts w:ascii="Times New Roman" w:hAnsi="Times New Roman"/>
                <w:b/>
                <w:color w:val="auto"/>
                <w:sz w:val="24"/>
                <w:szCs w:val="24"/>
              </w:rPr>
              <w:t>环保投资占</w:t>
            </w:r>
          </w:p>
          <w:p>
            <w:pPr>
              <w:jc w:val="center"/>
              <w:rPr>
                <w:rFonts w:ascii="Times New Roman" w:hAnsi="Times New Roman"/>
                <w:color w:val="auto"/>
                <w:sz w:val="24"/>
                <w:szCs w:val="24"/>
              </w:rPr>
            </w:pPr>
            <w:r>
              <w:rPr>
                <w:rFonts w:ascii="Times New Roman" w:hAnsi="Times New Roman"/>
                <w:b/>
                <w:color w:val="auto"/>
                <w:sz w:val="24"/>
                <w:szCs w:val="24"/>
              </w:rPr>
              <w:t>总投资比例</w:t>
            </w:r>
          </w:p>
        </w:tc>
        <w:tc>
          <w:tcPr>
            <w:tcW w:w="1088" w:type="dxa"/>
            <w:noWrap w:val="0"/>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lang w:val="en-US" w:eastAsia="zh-CN"/>
              </w:rPr>
              <w:t>2.76</w:t>
            </w:r>
            <w:r>
              <w:rPr>
                <w:rFonts w:ascii="Times New Roman" w:hAnsi="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756" w:type="dxa"/>
            <w:gridSpan w:val="2"/>
            <w:noWrap w:val="0"/>
            <w:vAlign w:val="center"/>
          </w:tcPr>
          <w:p>
            <w:pPr>
              <w:spacing w:line="360" w:lineRule="auto"/>
              <w:jc w:val="center"/>
              <w:rPr>
                <w:rFonts w:ascii="Times New Roman" w:hAnsi="Times New Roman"/>
                <w:b/>
                <w:color w:val="000000"/>
                <w:sz w:val="24"/>
                <w:szCs w:val="24"/>
              </w:rPr>
            </w:pPr>
            <w:r>
              <w:rPr>
                <w:rFonts w:ascii="Times New Roman" w:hAnsi="Times New Roman"/>
                <w:b/>
                <w:color w:val="000000"/>
                <w:sz w:val="24"/>
                <w:szCs w:val="24"/>
              </w:rPr>
              <w:t>评价经费（万元）</w:t>
            </w:r>
          </w:p>
        </w:tc>
        <w:tc>
          <w:tcPr>
            <w:tcW w:w="2265" w:type="dxa"/>
            <w:noWrap w:val="0"/>
            <w:vAlign w:val="center"/>
          </w:tcPr>
          <w:p>
            <w:pPr>
              <w:jc w:val="center"/>
              <w:rPr>
                <w:rFonts w:ascii="Times New Roman" w:hAnsi="Times New Roman"/>
                <w:color w:val="000000"/>
                <w:sz w:val="24"/>
                <w:szCs w:val="24"/>
              </w:rPr>
            </w:pPr>
            <w:r>
              <w:rPr>
                <w:rFonts w:ascii="Times New Roman" w:hAnsi="Times New Roman"/>
                <w:color w:val="000000"/>
                <w:sz w:val="24"/>
                <w:szCs w:val="24"/>
              </w:rPr>
              <w:t>/</w:t>
            </w:r>
          </w:p>
        </w:tc>
        <w:tc>
          <w:tcPr>
            <w:tcW w:w="1684" w:type="dxa"/>
            <w:noWrap w:val="0"/>
            <w:vAlign w:val="center"/>
          </w:tcPr>
          <w:p>
            <w:pPr>
              <w:spacing w:line="360" w:lineRule="auto"/>
              <w:jc w:val="center"/>
              <w:rPr>
                <w:rFonts w:ascii="Times New Roman" w:hAnsi="Times New Roman"/>
                <w:b/>
                <w:color w:val="000000"/>
                <w:sz w:val="24"/>
                <w:szCs w:val="24"/>
              </w:rPr>
            </w:pPr>
            <w:r>
              <w:rPr>
                <w:rFonts w:ascii="Times New Roman" w:hAnsi="Times New Roman"/>
                <w:b/>
                <w:color w:val="000000"/>
                <w:sz w:val="24"/>
                <w:szCs w:val="24"/>
              </w:rPr>
              <w:t>预期投产日期</w:t>
            </w:r>
          </w:p>
        </w:tc>
        <w:tc>
          <w:tcPr>
            <w:tcW w:w="2537" w:type="dxa"/>
            <w:gridSpan w:val="2"/>
            <w:noWrap w:val="0"/>
            <w:vAlign w:val="center"/>
          </w:tcPr>
          <w:p>
            <w:pPr>
              <w:spacing w:line="360" w:lineRule="auto"/>
              <w:jc w:val="center"/>
              <w:rPr>
                <w:rFonts w:hint="default" w:ascii="Times New Roman" w:hAnsi="Times New Roman" w:eastAsia="宋体"/>
                <w:color w:val="000000"/>
                <w:sz w:val="24"/>
                <w:szCs w:val="24"/>
                <w:lang w:val="en-US" w:eastAsia="zh-CN"/>
              </w:rPr>
            </w:pPr>
            <w:r>
              <w:rPr>
                <w:rFonts w:ascii="Times New Roman" w:hAnsi="Times New Roman"/>
                <w:color w:val="auto"/>
                <w:sz w:val="24"/>
                <w:szCs w:val="24"/>
              </w:rPr>
              <w:t>20</w:t>
            </w:r>
            <w:r>
              <w:rPr>
                <w:rFonts w:hint="eastAsia" w:ascii="Times New Roman" w:hAnsi="Times New Roman"/>
                <w:color w:val="auto"/>
                <w:sz w:val="24"/>
                <w:szCs w:val="24"/>
              </w:rPr>
              <w:t>2</w:t>
            </w:r>
            <w:r>
              <w:rPr>
                <w:rFonts w:hint="eastAsia" w:ascii="Times New Roman" w:hAnsi="Times New Roman"/>
                <w:color w:val="auto"/>
                <w:sz w:val="24"/>
                <w:szCs w:val="24"/>
                <w:lang w:val="en-US" w:eastAsia="zh-CN"/>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8" w:hRule="atLeast"/>
          <w:jc w:val="center"/>
        </w:trPr>
        <w:tc>
          <w:tcPr>
            <w:tcW w:w="9242" w:type="dxa"/>
            <w:gridSpan w:val="6"/>
            <w:tcBorders>
              <w:bottom w:val="single" w:color="auto" w:sz="4" w:space="0"/>
            </w:tcBorders>
            <w:noWrap w:val="0"/>
            <w:vAlign w:val="top"/>
          </w:tcPr>
          <w:p>
            <w:pPr>
              <w:spacing w:line="360" w:lineRule="auto"/>
              <w:rPr>
                <w:rFonts w:ascii="Times New Roman" w:hAnsi="Times New Roman"/>
                <w:b/>
                <w:color w:val="000000"/>
                <w:sz w:val="28"/>
                <w:szCs w:val="28"/>
                <w:highlight w:val="none"/>
              </w:rPr>
            </w:pPr>
            <w:r>
              <w:rPr>
                <w:rFonts w:ascii="Times New Roman" w:hAnsi="Times New Roman"/>
                <w:b/>
                <w:color w:val="000000"/>
                <w:sz w:val="28"/>
                <w:szCs w:val="28"/>
                <w:highlight w:val="none"/>
              </w:rPr>
              <w:t>工程内容及规模：</w:t>
            </w:r>
          </w:p>
          <w:p>
            <w:pPr>
              <w:spacing w:line="360" w:lineRule="auto"/>
              <w:ind w:firstLine="482" w:firstLineChars="200"/>
              <w:rPr>
                <w:rFonts w:hint="eastAsia" w:ascii="Times New Roman" w:hAnsi="Times New Roman" w:eastAsia="宋体"/>
                <w:b/>
                <w:color w:val="000000"/>
                <w:sz w:val="24"/>
                <w:szCs w:val="24"/>
                <w:highlight w:val="none"/>
                <w:lang w:eastAsia="zh-CN"/>
              </w:rPr>
            </w:pPr>
            <w:r>
              <w:rPr>
                <w:rFonts w:ascii="Times New Roman" w:hAnsi="Times New Roman"/>
                <w:b/>
                <w:color w:val="000000"/>
                <w:sz w:val="24"/>
                <w:szCs w:val="24"/>
                <w:highlight w:val="none"/>
              </w:rPr>
              <w:t>1、项目</w:t>
            </w:r>
            <w:r>
              <w:rPr>
                <w:rFonts w:hint="eastAsia" w:ascii="Times New Roman" w:hAnsi="Times New Roman"/>
                <w:b/>
                <w:color w:val="000000"/>
                <w:sz w:val="24"/>
                <w:szCs w:val="24"/>
                <w:highlight w:val="none"/>
                <w:lang w:val="en-US" w:eastAsia="zh-CN"/>
              </w:rPr>
              <w:t>由来</w:t>
            </w:r>
          </w:p>
          <w:p>
            <w:pPr>
              <w:spacing w:line="360" w:lineRule="auto"/>
              <w:ind w:firstLine="470" w:firstLineChars="196"/>
              <w:rPr>
                <w:rFonts w:hint="eastAsia" w:ascii="Times New Roman" w:hAnsi="Times New Roman"/>
                <w:kern w:val="0"/>
                <w:sz w:val="24"/>
                <w:highlight w:val="none"/>
              </w:rPr>
            </w:pPr>
            <w:r>
              <w:rPr>
                <w:rFonts w:hint="eastAsia" w:ascii="Times New Roman" w:hAnsi="Times New Roman"/>
                <w:kern w:val="0"/>
                <w:sz w:val="24"/>
                <w:highlight w:val="none"/>
              </w:rPr>
              <w:t>芜湖造船厂原厂址地块（以下简称“造船厂”或“场地”）位于芜湖市镜湖区长江中路49号。场地最早为农业用地，1900年福记恒机器厂创办成立，从事机械加工与船舶维修。新中国成立后，1954年改名为国营芜湖造船厂，是国家“一五”计划，苏联援建的156项重点工程之一，此后一直从事船舶制造及相关机械制造。</w:t>
            </w:r>
          </w:p>
          <w:p>
            <w:pPr>
              <w:spacing w:line="360" w:lineRule="auto"/>
              <w:ind w:firstLine="470" w:firstLineChars="196"/>
              <w:rPr>
                <w:rFonts w:hint="eastAsia" w:ascii="Times New Roman" w:hAnsi="Times New Roman"/>
                <w:kern w:val="0"/>
                <w:sz w:val="24"/>
                <w:highlight w:val="none"/>
              </w:rPr>
            </w:pPr>
            <w:r>
              <w:rPr>
                <w:rFonts w:hint="eastAsia" w:ascii="Times New Roman" w:hAnsi="Times New Roman"/>
                <w:kern w:val="0"/>
                <w:sz w:val="24"/>
                <w:highlight w:val="none"/>
              </w:rPr>
              <w:t>随着芜湖城市发展以及城市功能定位的转型升级，位于城市中心区的厂区已被居民区所包围，企业的生存发展与城市发展相矛盾。2011年3月，根据芜湖城市发展、城市功能定位及《芜湖市国民经济和社会发展第十二个五年规划纲要》和《芜湖市城市总体规划（2012-2030年》所提出的战略定位和空间布局，2013年4月芜湖造船厂完成原厂址全面停产搬迁。</w:t>
            </w:r>
          </w:p>
          <w:p>
            <w:pPr>
              <w:spacing w:line="360" w:lineRule="auto"/>
              <w:ind w:firstLine="470" w:firstLineChars="196"/>
              <w:rPr>
                <w:rFonts w:hint="eastAsia" w:ascii="Times New Roman" w:hAnsi="Times New Roman"/>
                <w:kern w:val="0"/>
                <w:sz w:val="24"/>
                <w:highlight w:val="none"/>
              </w:rPr>
            </w:pPr>
            <w:r>
              <w:rPr>
                <w:rFonts w:hint="eastAsia" w:ascii="Times New Roman" w:hAnsi="Times New Roman"/>
                <w:kern w:val="0"/>
                <w:sz w:val="24"/>
                <w:highlight w:val="none"/>
              </w:rPr>
              <w:t>《关于将芜湖市造船厂地块打造成滨江总部经济园区暨现代服务业集聚区的议案》和安徽省人民政府《关于下达2017年重点项目投资计划的通知》皖政[2017〕41号等文件均提出，将该地块建立为长江航运大数据中心、长江航运业集聚中心，同时引入金融机构、区域结算中心、区域营销中心等经济项目及工业设计、创意设计等，全力建成产城一体化的芜湖市滨江总部经济园区暨现代服务业集聚区。未来该地块将作为居住、商务服务设施用地。</w:t>
            </w:r>
          </w:p>
          <w:p>
            <w:pPr>
              <w:spacing w:line="360" w:lineRule="auto"/>
              <w:ind w:firstLine="470" w:firstLineChars="196"/>
              <w:rPr>
                <w:rFonts w:hint="eastAsia" w:ascii="Times New Roman" w:hAnsi="Times New Roman"/>
                <w:kern w:val="0"/>
                <w:sz w:val="24"/>
                <w:highlight w:val="none"/>
              </w:rPr>
            </w:pPr>
            <w:r>
              <w:rPr>
                <w:rFonts w:hint="eastAsia" w:ascii="Times New Roman" w:hAnsi="Times New Roman"/>
                <w:kern w:val="0"/>
                <w:sz w:val="24"/>
                <w:highlight w:val="none"/>
              </w:rPr>
              <w:t>根据《关于保障工业企业场地再开发利用环境安全的通知》（环发[2012]140号）、《关于加强工业企业关停、搬迁及原址场地再开发利用过程中污染防治工作的通知》（环发[2014]66号）和《污染地块土壤环境管理办法》（部令第42号）等相关文件的规定与要求，工业用地原址在改变原土地使用性质，进行二次开发利用前必须进行场地环境调查评估，对原址土壤和地下水进行污染监测分析和评价，并对发现存在污染的场地制定修复治理方案，以保障人体健康、维护正常的生产建设活动，防止场地性质变化带来新的环境问题。</w:t>
            </w:r>
          </w:p>
          <w:p>
            <w:pPr>
              <w:spacing w:line="360" w:lineRule="auto"/>
              <w:ind w:firstLine="470" w:firstLineChars="196"/>
              <w:rPr>
                <w:rFonts w:hint="eastAsia" w:ascii="Times New Roman" w:hAnsi="Times New Roman"/>
                <w:kern w:val="0"/>
                <w:sz w:val="24"/>
                <w:highlight w:val="none"/>
              </w:rPr>
            </w:pPr>
            <w:r>
              <w:rPr>
                <w:rFonts w:hint="eastAsia" w:ascii="Times New Roman" w:hAnsi="Times New Roman"/>
                <w:kern w:val="0"/>
                <w:sz w:val="24"/>
                <w:highlight w:val="none"/>
              </w:rPr>
              <w:t>2018年9月，《芜湖市造船厂原厂址二期地块场地环境调查与风险评估报告》通过专家评审并取得原芜湖市环境保护局备案。</w:t>
            </w:r>
          </w:p>
          <w:p>
            <w:pPr>
              <w:spacing w:line="360" w:lineRule="auto"/>
              <w:ind w:firstLine="470" w:firstLineChars="196"/>
              <w:rPr>
                <w:rFonts w:hint="eastAsia" w:ascii="Times New Roman" w:hAnsi="Times New Roman" w:eastAsia="宋体"/>
                <w:kern w:val="0"/>
                <w:sz w:val="24"/>
                <w:highlight w:val="none"/>
                <w:lang w:eastAsia="zh-CN"/>
              </w:rPr>
            </w:pPr>
            <w:r>
              <w:rPr>
                <w:rFonts w:hint="eastAsia" w:ascii="Times New Roman" w:hAnsi="Times New Roman"/>
                <w:kern w:val="0"/>
                <w:sz w:val="24"/>
                <w:highlight w:val="none"/>
              </w:rPr>
              <w:t>根据二期场地调查和风险评估结果，土壤和地下水中均存在六价铬、总石油烃超过可接受风险水平，根据《土壤污染防治法》相关要求芜湖市造船厂原厂址二期地块需要开展场地治理修复工作</w:t>
            </w:r>
            <w:r>
              <w:rPr>
                <w:rFonts w:hint="eastAsia" w:ascii="Times New Roman" w:hAnsi="Times New Roman"/>
                <w:kern w:val="0"/>
                <w:sz w:val="24"/>
                <w:highlight w:val="none"/>
                <w:lang w:eastAsia="zh-CN"/>
              </w:rPr>
              <w:t>。</w:t>
            </w:r>
          </w:p>
          <w:p>
            <w:pPr>
              <w:spacing w:line="360" w:lineRule="auto"/>
              <w:ind w:firstLine="470" w:firstLineChars="196"/>
              <w:rPr>
                <w:rFonts w:hint="eastAsia" w:ascii="Times New Roman" w:hAnsi="Times New Roman"/>
                <w:kern w:val="0"/>
                <w:sz w:val="24"/>
                <w:highlight w:val="none"/>
              </w:rPr>
            </w:pPr>
            <w:r>
              <w:rPr>
                <w:rFonts w:hint="eastAsia" w:ascii="Times New Roman" w:hAnsi="Times New Roman"/>
                <w:kern w:val="0"/>
                <w:sz w:val="24"/>
                <w:highlight w:val="none"/>
              </w:rPr>
              <w:t>芜湖市镜湖区投资促进中心</w:t>
            </w:r>
            <w:r>
              <w:rPr>
                <w:rFonts w:hint="eastAsia" w:ascii="Times New Roman" w:hAnsi="Times New Roman"/>
                <w:kern w:val="0"/>
                <w:sz w:val="24"/>
                <w:highlight w:val="none"/>
                <w:lang w:val="en-US" w:eastAsia="zh-CN"/>
              </w:rPr>
              <w:t>于2020年7月委托</w:t>
            </w:r>
            <w:r>
              <w:rPr>
                <w:rFonts w:hint="eastAsia" w:ascii="Times New Roman" w:hAnsi="Times New Roman"/>
                <w:kern w:val="0"/>
                <w:sz w:val="24"/>
                <w:highlight w:val="none"/>
              </w:rPr>
              <w:t>南京大学环境规划设计研究院股份公司</w:t>
            </w:r>
            <w:r>
              <w:rPr>
                <w:rFonts w:hint="eastAsia" w:ascii="Times New Roman" w:hAnsi="Times New Roman"/>
                <w:kern w:val="0"/>
                <w:sz w:val="24"/>
                <w:highlight w:val="none"/>
                <w:lang w:val="en-US" w:eastAsia="zh-CN"/>
              </w:rPr>
              <w:t>编制了</w:t>
            </w:r>
            <w:r>
              <w:rPr>
                <w:rFonts w:hint="eastAsia" w:ascii="Times New Roman" w:hAnsi="Times New Roman"/>
                <w:kern w:val="0"/>
                <w:sz w:val="24"/>
                <w:highlight w:val="none"/>
              </w:rPr>
              <w:t>《芜湖市造船厂原厂址二期地块场地治理与修复技术方案》。</w:t>
            </w:r>
          </w:p>
          <w:p>
            <w:pPr>
              <w:spacing w:line="360" w:lineRule="auto"/>
              <w:ind w:firstLine="470" w:firstLineChars="196"/>
              <w:rPr>
                <w:rFonts w:hint="eastAsia" w:ascii="Times New Roman" w:hAnsi="Times New Roman"/>
                <w:kern w:val="0"/>
                <w:sz w:val="24"/>
                <w:highlight w:val="none"/>
              </w:rPr>
            </w:pPr>
            <w:r>
              <w:rPr>
                <w:rFonts w:hint="eastAsia" w:ascii="Times New Roman" w:hAnsi="Times New Roman"/>
                <w:kern w:val="0"/>
                <w:sz w:val="24"/>
                <w:highlight w:val="none"/>
              </w:rPr>
              <w:t>本项目场地土壤中的六价铬、总石油烃等风险水平超出人体可接受风险，需要修复；地下水点位中六价铬、总石油烃均超过了可接受风险水平，需要修复。结合前期调查评估和2020年5月在污染区内水文地质补充调查结果，污染土壤修复量为8221.5m</w:t>
            </w:r>
            <w:r>
              <w:rPr>
                <w:rFonts w:hint="eastAsia" w:ascii="Times New Roman" w:hAnsi="Times New Roman"/>
                <w:kern w:val="0"/>
                <w:sz w:val="24"/>
                <w:highlight w:val="none"/>
                <w:vertAlign w:val="superscript"/>
              </w:rPr>
              <w:t>3</w:t>
            </w:r>
            <w:r>
              <w:rPr>
                <w:rFonts w:hint="eastAsia" w:ascii="Times New Roman" w:hAnsi="Times New Roman"/>
                <w:kern w:val="0"/>
                <w:sz w:val="24"/>
                <w:highlight w:val="none"/>
              </w:rPr>
              <w:t>，污染地下水修复量为15464.6m</w:t>
            </w:r>
            <w:r>
              <w:rPr>
                <w:rFonts w:hint="eastAsia" w:ascii="Times New Roman" w:hAnsi="Times New Roman"/>
                <w:kern w:val="0"/>
                <w:sz w:val="24"/>
                <w:highlight w:val="none"/>
                <w:vertAlign w:val="superscript"/>
                <w:lang w:val="en-US" w:eastAsia="zh-CN"/>
              </w:rPr>
              <w:t>3</w:t>
            </w:r>
            <w:r>
              <w:rPr>
                <w:rFonts w:hint="eastAsia" w:ascii="Times New Roman" w:hAnsi="Times New Roman"/>
                <w:kern w:val="0"/>
                <w:sz w:val="24"/>
                <w:highlight w:val="none"/>
                <w:lang w:eastAsia="zh-CN"/>
              </w:rPr>
              <w:t>。</w:t>
            </w:r>
            <w:r>
              <w:rPr>
                <w:rFonts w:hint="eastAsia" w:ascii="Times New Roman" w:hAnsi="Times New Roman"/>
                <w:kern w:val="0"/>
                <w:sz w:val="24"/>
                <w:highlight w:val="none"/>
                <w:lang w:val="en-US" w:eastAsia="zh-CN"/>
              </w:rPr>
              <w:t>污染土壤采用水泥窑协同处置方法，地下水原地异位处理，将污染地下水抽出至地表处理系统进行深度处理，修复验收合格后排入污水管网。</w:t>
            </w:r>
          </w:p>
          <w:p>
            <w:pPr>
              <w:spacing w:line="360" w:lineRule="auto"/>
              <w:ind w:firstLine="470" w:firstLineChars="196"/>
              <w:rPr>
                <w:rFonts w:ascii="Times New Roman" w:hAnsi="Times New Roman"/>
                <w:kern w:val="0"/>
                <w:sz w:val="24"/>
                <w:highlight w:val="none"/>
              </w:rPr>
            </w:pPr>
            <w:r>
              <w:rPr>
                <w:rFonts w:ascii="Times New Roman" w:hAnsi="Times New Roman"/>
                <w:kern w:val="0"/>
                <w:sz w:val="24"/>
                <w:highlight w:val="none"/>
              </w:rPr>
              <w:t>根据《建设项目环境保护管理条例》和《中华人民共和国环境影响评价法》中有关规定，该项目应进行环境影响评价。受建设单位委托，</w:t>
            </w:r>
            <w:r>
              <w:rPr>
                <w:rFonts w:hint="default" w:ascii="Times New Roman" w:hAnsi="Times New Roman" w:eastAsia="宋体" w:cs="Times New Roman"/>
                <w:color w:val="auto"/>
                <w:kern w:val="0"/>
                <w:sz w:val="24"/>
              </w:rPr>
              <w:t>芜湖民宇环境科技有限公司</w:t>
            </w:r>
            <w:r>
              <w:rPr>
                <w:rFonts w:ascii="Times New Roman" w:hAnsi="Times New Roman"/>
                <w:kern w:val="0"/>
                <w:sz w:val="24"/>
                <w:highlight w:val="none"/>
              </w:rPr>
              <w:t>承担了该项目的环境影响评价工作，本项目属于《建设项目环境影响评价分类管理名录》（2018版）中“</w:t>
            </w:r>
            <w:r>
              <w:rPr>
                <w:rFonts w:hint="eastAsia" w:ascii="Times New Roman" w:hAnsi="Times New Roman"/>
                <w:kern w:val="0"/>
                <w:sz w:val="24"/>
                <w:highlight w:val="none"/>
              </w:rPr>
              <w:t>三十四、环境治理业</w:t>
            </w:r>
            <w:r>
              <w:rPr>
                <w:rFonts w:ascii="Times New Roman" w:hAnsi="Times New Roman"/>
                <w:kern w:val="0"/>
                <w:sz w:val="24"/>
                <w:highlight w:val="none"/>
              </w:rPr>
              <w:t>一</w:t>
            </w:r>
            <w:r>
              <w:rPr>
                <w:rFonts w:hint="eastAsia" w:ascii="Times New Roman" w:hAnsi="Times New Roman"/>
                <w:kern w:val="0"/>
                <w:sz w:val="24"/>
                <w:highlight w:val="none"/>
                <w:lang w:val="en-US" w:eastAsia="zh-CN"/>
              </w:rPr>
              <w:t>102</w:t>
            </w:r>
            <w:r>
              <w:rPr>
                <w:rFonts w:ascii="Times New Roman" w:hAnsi="Times New Roman"/>
                <w:kern w:val="0"/>
                <w:sz w:val="24"/>
                <w:highlight w:val="none"/>
              </w:rPr>
              <w:t>、</w:t>
            </w:r>
            <w:r>
              <w:rPr>
                <w:rFonts w:hint="eastAsia" w:ascii="Times New Roman" w:hAnsi="Times New Roman"/>
                <w:kern w:val="0"/>
                <w:sz w:val="24"/>
                <w:highlight w:val="none"/>
              </w:rPr>
              <w:t>污染场地治理修复</w:t>
            </w:r>
            <w:r>
              <w:rPr>
                <w:rFonts w:ascii="Times New Roman" w:hAnsi="Times New Roman"/>
                <w:kern w:val="0"/>
                <w:sz w:val="24"/>
                <w:highlight w:val="none"/>
              </w:rPr>
              <w:t>一</w:t>
            </w:r>
            <w:r>
              <w:rPr>
                <w:rFonts w:hint="eastAsia" w:ascii="Times New Roman" w:hAnsi="Times New Roman"/>
                <w:kern w:val="0"/>
                <w:sz w:val="24"/>
                <w:highlight w:val="none"/>
                <w:lang w:val="en-US" w:eastAsia="zh-CN"/>
              </w:rPr>
              <w:t>全部</w:t>
            </w:r>
            <w:r>
              <w:rPr>
                <w:rFonts w:ascii="Times New Roman" w:hAnsi="Times New Roman"/>
                <w:kern w:val="0"/>
                <w:sz w:val="24"/>
                <w:highlight w:val="none"/>
              </w:rPr>
              <w:t>”， 应编制环境影响报告表。接受委托后，我公司组织有关技术人员进行现场踏勘、收集资料，依据国家有关法规文件和环境影响评价技术导则，编制该项目环境影响报告表。</w:t>
            </w:r>
          </w:p>
          <w:p>
            <w:pPr>
              <w:spacing w:line="360" w:lineRule="auto"/>
              <w:ind w:firstLine="482" w:firstLineChars="200"/>
              <w:rPr>
                <w:rFonts w:ascii="Times New Roman" w:hAnsi="Times New Roman"/>
                <w:b/>
                <w:color w:val="000000"/>
                <w:sz w:val="24"/>
                <w:szCs w:val="24"/>
                <w:highlight w:val="none"/>
              </w:rPr>
            </w:pPr>
            <w:r>
              <w:rPr>
                <w:rFonts w:ascii="Times New Roman" w:hAnsi="Times New Roman"/>
                <w:b/>
                <w:color w:val="000000"/>
                <w:sz w:val="24"/>
                <w:szCs w:val="24"/>
                <w:highlight w:val="none"/>
              </w:rPr>
              <w:t>2、项目基本情况</w:t>
            </w:r>
          </w:p>
          <w:p>
            <w:pPr>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（1）建设单位</w:t>
            </w:r>
          </w:p>
          <w:p>
            <w:pPr>
              <w:spacing w:line="360" w:lineRule="auto"/>
              <w:ind w:firstLine="480" w:firstLineChars="200"/>
              <w:rPr>
                <w:rFonts w:ascii="Times New Roman" w:hAnsi="Times New Roman"/>
                <w:color w:val="000000"/>
                <w:sz w:val="24"/>
                <w:szCs w:val="24"/>
                <w:highlight w:val="none"/>
              </w:rPr>
            </w:pPr>
            <w:r>
              <w:rPr>
                <w:rFonts w:hint="eastAsia" w:ascii="Times New Roman" w:hAnsi="Times New Roman"/>
                <w:color w:val="000000"/>
                <w:sz w:val="24"/>
                <w:szCs w:val="24"/>
                <w:highlight w:val="none"/>
                <w:lang w:eastAsia="zh-CN"/>
              </w:rPr>
              <w:t>镜湖区投资促进中心</w:t>
            </w:r>
            <w:r>
              <w:rPr>
                <w:rFonts w:ascii="Times New Roman" w:hAnsi="Times New Roman"/>
                <w:color w:val="000000"/>
                <w:sz w:val="24"/>
                <w:szCs w:val="24"/>
                <w:highlight w:val="none"/>
              </w:rPr>
              <w:t>；</w:t>
            </w:r>
          </w:p>
          <w:p>
            <w:pPr>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（2）项目名称</w:t>
            </w:r>
          </w:p>
          <w:p>
            <w:pPr>
              <w:spacing w:line="360" w:lineRule="auto"/>
              <w:ind w:firstLine="480" w:firstLineChars="200"/>
              <w:rPr>
                <w:rFonts w:ascii="Times New Roman" w:hAnsi="Times New Roman"/>
                <w:sz w:val="24"/>
                <w:szCs w:val="24"/>
                <w:highlight w:val="none"/>
              </w:rPr>
            </w:pPr>
            <w:r>
              <w:rPr>
                <w:rFonts w:hint="eastAsia" w:ascii="Times New Roman" w:hAnsi="Times New Roman"/>
                <w:sz w:val="24"/>
                <w:szCs w:val="24"/>
                <w:highlight w:val="none"/>
                <w:lang w:eastAsia="zh-CN"/>
              </w:rPr>
              <w:t>镜湖区老船厂智慧港项目二期污染地块污染治理项目</w:t>
            </w:r>
            <w:r>
              <w:rPr>
                <w:rFonts w:ascii="Times New Roman" w:hAnsi="Times New Roman"/>
                <w:sz w:val="24"/>
                <w:szCs w:val="24"/>
                <w:highlight w:val="none"/>
              </w:rPr>
              <w:t>；</w:t>
            </w:r>
          </w:p>
          <w:p>
            <w:pPr>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（3）项目性质</w:t>
            </w:r>
          </w:p>
          <w:p>
            <w:pPr>
              <w:spacing w:line="360" w:lineRule="auto"/>
              <w:ind w:firstLine="480" w:firstLineChars="200"/>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新建</w:t>
            </w:r>
            <w:r>
              <w:rPr>
                <w:rFonts w:ascii="Times New Roman" w:hAnsi="Times New Roman"/>
                <w:color w:val="000000"/>
                <w:sz w:val="24"/>
                <w:szCs w:val="24"/>
                <w:highlight w:val="none"/>
              </w:rPr>
              <w:t>；</w:t>
            </w:r>
          </w:p>
          <w:p>
            <w:pPr>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（4）建设地点及周围环境状况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4"/>
                <w:highlight w:val="none"/>
              </w:rPr>
            </w:pPr>
            <w:r>
              <w:rPr>
                <w:rFonts w:ascii="Times New Roman" w:hAnsi="Times New Roman"/>
                <w:color w:val="000000"/>
                <w:sz w:val="24"/>
                <w:szCs w:val="24"/>
                <w:highlight w:val="none"/>
              </w:rPr>
              <w:t>本项目</w:t>
            </w:r>
            <w:r>
              <w:rPr>
                <w:rFonts w:hint="eastAsia" w:ascii="Times New Roman" w:hAnsi="Times New Roman"/>
                <w:color w:val="000000"/>
                <w:sz w:val="24"/>
                <w:szCs w:val="24"/>
                <w:highlight w:val="none"/>
                <w:lang w:val="en-US" w:eastAsia="zh-CN"/>
              </w:rPr>
              <w:t>安徽省芜湖市镜湖区长江中路49号芜湖市造船厂内</w:t>
            </w:r>
            <w:r>
              <w:rPr>
                <w:rFonts w:ascii="Times New Roman" w:hAnsi="Times New Roman"/>
                <w:color w:val="000000"/>
                <w:sz w:val="24"/>
                <w:szCs w:val="24"/>
                <w:highlight w:val="none"/>
              </w:rPr>
              <w:t>，</w:t>
            </w:r>
            <w:r>
              <w:rPr>
                <w:rFonts w:hint="eastAsia" w:ascii="Times New Roman" w:hAnsi="Times New Roman"/>
                <w:color w:val="000000"/>
                <w:sz w:val="24"/>
                <w:szCs w:val="24"/>
                <w:highlight w:val="none"/>
              </w:rPr>
              <w:t>场地位于镜湖区，周边以居住用地、公共服务用地为主。场地周边土地利用如</w:t>
            </w:r>
            <w:r>
              <w:rPr>
                <w:rFonts w:hint="eastAsia" w:ascii="Times New Roman" w:hAnsi="Times New Roman"/>
                <w:color w:val="000000"/>
                <w:sz w:val="24"/>
                <w:szCs w:val="24"/>
                <w:highlight w:val="none"/>
                <w:lang w:val="en-US" w:eastAsia="zh-CN"/>
              </w:rPr>
              <w:t>下</w:t>
            </w:r>
            <w:r>
              <w:rPr>
                <w:rFonts w:hint="eastAsia" w:ascii="Times New Roman" w:hAnsi="Times New Roman"/>
                <w:color w:val="000000"/>
                <w:sz w:val="24"/>
                <w:szCs w:val="24"/>
                <w:highlight w:val="none"/>
              </w:rPr>
              <w:t>图所示。场地紧</w:t>
            </w:r>
            <w:r>
              <w:rPr>
                <w:rFonts w:hint="eastAsia" w:ascii="Times New Roman" w:hAnsi="Times New Roman"/>
                <w:color w:val="000000"/>
                <w:sz w:val="24"/>
                <w:szCs w:val="24"/>
                <w:highlight w:val="none"/>
                <w:lang w:val="en-US" w:eastAsia="zh-CN"/>
              </w:rPr>
              <w:t>北侧为</w:t>
            </w:r>
            <w:r>
              <w:rPr>
                <w:rFonts w:hint="eastAsia" w:ascii="Times New Roman" w:hAnsi="Times New Roman"/>
                <w:color w:val="000000"/>
                <w:sz w:val="24"/>
                <w:szCs w:val="24"/>
                <w:highlight w:val="none"/>
              </w:rPr>
              <w:t>芜湖造船厂原厂区一期地块</w:t>
            </w:r>
            <w:r>
              <w:rPr>
                <w:rFonts w:hint="eastAsia" w:ascii="Times New Roman" w:hAnsi="Times New Roman"/>
                <w:color w:val="000000"/>
                <w:sz w:val="24"/>
                <w:szCs w:val="24"/>
                <w:highlight w:val="none"/>
                <w:lang w:eastAsia="zh-CN"/>
              </w:rPr>
              <w:t>，</w:t>
            </w:r>
            <w:r>
              <w:rPr>
                <w:rFonts w:hint="eastAsia" w:ascii="Times New Roman" w:hAnsi="Times New Roman"/>
                <w:color w:val="000000"/>
                <w:sz w:val="24"/>
                <w:szCs w:val="24"/>
                <w:highlight w:val="none"/>
                <w:lang w:val="en-US" w:eastAsia="zh-CN"/>
              </w:rPr>
              <w:t>西侧为</w:t>
            </w:r>
            <w:r>
              <w:rPr>
                <w:rFonts w:hint="eastAsia" w:ascii="Times New Roman" w:hAnsi="Times New Roman"/>
                <w:color w:val="000000"/>
                <w:sz w:val="24"/>
                <w:szCs w:val="24"/>
                <w:highlight w:val="none"/>
              </w:rPr>
              <w:t>世茂滨江花园</w:t>
            </w:r>
            <w:r>
              <w:rPr>
                <w:rFonts w:hint="eastAsia" w:ascii="Times New Roman" w:hAnsi="Times New Roman"/>
                <w:color w:val="000000"/>
                <w:sz w:val="24"/>
                <w:szCs w:val="24"/>
                <w:highlight w:val="none"/>
                <w:lang w:eastAsia="zh-CN"/>
              </w:rPr>
              <w:t>，</w:t>
            </w:r>
            <w:r>
              <w:rPr>
                <w:rFonts w:hint="eastAsia" w:ascii="Times New Roman" w:hAnsi="Times New Roman"/>
                <w:color w:val="000000"/>
                <w:sz w:val="24"/>
                <w:szCs w:val="24"/>
                <w:highlight w:val="none"/>
                <w:lang w:val="en-US" w:eastAsia="zh-CN"/>
              </w:rPr>
              <w:t>南侧为</w:t>
            </w:r>
            <w:r>
              <w:rPr>
                <w:rFonts w:hint="eastAsia" w:ascii="Times New Roman" w:hAnsi="Times New Roman"/>
                <w:color w:val="000000"/>
                <w:sz w:val="24"/>
                <w:szCs w:val="24"/>
                <w:highlight w:val="none"/>
              </w:rPr>
              <w:t>江南新村、狮子山庄</w:t>
            </w:r>
            <w:r>
              <w:rPr>
                <w:rFonts w:hint="eastAsia" w:ascii="Times New Roman" w:hAnsi="Times New Roman"/>
                <w:color w:val="000000"/>
                <w:sz w:val="24"/>
                <w:szCs w:val="24"/>
                <w:highlight w:val="none"/>
                <w:lang w:eastAsia="zh-CN"/>
              </w:rPr>
              <w:t>，</w:t>
            </w:r>
            <w:r>
              <w:rPr>
                <w:rFonts w:hint="eastAsia" w:ascii="Times New Roman" w:hAnsi="Times New Roman"/>
                <w:color w:val="000000"/>
                <w:sz w:val="24"/>
                <w:szCs w:val="24"/>
                <w:highlight w:val="none"/>
                <w:lang w:val="en-US" w:eastAsia="zh-CN"/>
              </w:rPr>
              <w:t>东侧为</w:t>
            </w:r>
            <w:r>
              <w:rPr>
                <w:rFonts w:hint="eastAsia" w:ascii="Times New Roman" w:hAnsi="Times New Roman"/>
                <w:color w:val="000000"/>
                <w:sz w:val="24"/>
                <w:szCs w:val="24"/>
                <w:highlight w:val="none"/>
              </w:rPr>
              <w:t>新工村</w:t>
            </w:r>
            <w:r>
              <w:rPr>
                <w:rFonts w:hint="eastAsia" w:ascii="Times New Roman" w:hAnsi="Times New Roman"/>
                <w:color w:val="000000"/>
                <w:sz w:val="24"/>
                <w:szCs w:val="24"/>
                <w:highlight w:val="none"/>
                <w:lang w:eastAsia="zh-CN"/>
              </w:rPr>
              <w:t>。</w:t>
            </w:r>
            <w:r>
              <w:rPr>
                <w:rFonts w:hint="eastAsia" w:ascii="Times New Roman" w:hAnsi="Times New Roman"/>
                <w:color w:val="000000"/>
                <w:sz w:val="24"/>
                <w:szCs w:val="24"/>
                <w:highlight w:val="none"/>
              </w:rPr>
              <w:t>北部和东部将进行拆迁，纳入到芜湖市镜湖区老船厂·智慧港项目中，场地西部和南部分布着众多敏感点，主要为居住和生活区。</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pPr>
            <w:r>
              <w:drawing>
                <wp:inline distT="0" distB="0" distL="114300" distR="114300">
                  <wp:extent cx="5730875" cy="3446145"/>
                  <wp:effectExtent l="0" t="0" r="3175" b="190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7"/>
                          <a:stretch>
                            <a:fillRect/>
                          </a:stretch>
                        </pic:blipFill>
                        <pic:spPr>
                          <a:xfrm>
                            <a:off x="0" y="0"/>
                            <a:ext cx="5730875" cy="3446145"/>
                          </a:xfrm>
                          <a:prstGeom prst="rect">
                            <a:avLst/>
                          </a:prstGeom>
                          <a:noFill/>
                          <a:ln>
                            <a:noFill/>
                          </a:ln>
                        </pic:spPr>
                      </pic:pic>
                    </a:graphicData>
                  </a:graphic>
                </wp:inline>
              </w:drawing>
            </w:r>
          </w:p>
          <w:p>
            <w:pPr>
              <w:spacing w:line="360" w:lineRule="auto"/>
              <w:ind w:firstLine="482" w:firstLineChars="200"/>
              <w:jc w:val="center"/>
              <w:rPr>
                <w:rFonts w:hint="default" w:eastAsia="宋体"/>
                <w:lang w:val="en-US" w:eastAsia="zh-CN"/>
              </w:rPr>
            </w:pPr>
            <w:r>
              <w:rPr>
                <w:rFonts w:hint="default" w:ascii="Times New Roman" w:hAnsi="Times New Roman" w:cs="Times New Roman"/>
                <w:b/>
                <w:bCs/>
                <w:sz w:val="24"/>
                <w:szCs w:val="24"/>
                <w:lang w:val="en-US" w:eastAsia="zh-CN"/>
              </w:rPr>
              <w:t>图1-1  周边环境分布情况</w:t>
            </w:r>
          </w:p>
          <w:p>
            <w:pPr>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（5）项目总投资</w:t>
            </w:r>
          </w:p>
          <w:p>
            <w:pPr>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项目总投资</w:t>
            </w:r>
            <w:r>
              <w:rPr>
                <w:rFonts w:hint="eastAsia" w:ascii="Times New Roman" w:hAnsi="Times New Roman"/>
                <w:color w:val="000000"/>
                <w:sz w:val="24"/>
                <w:szCs w:val="24"/>
                <w:highlight w:val="none"/>
                <w:lang w:val="en-US" w:eastAsia="zh-CN"/>
              </w:rPr>
              <w:t>3800</w:t>
            </w:r>
            <w:r>
              <w:rPr>
                <w:rFonts w:ascii="Times New Roman" w:hAnsi="Times New Roman"/>
                <w:color w:val="000000"/>
                <w:sz w:val="24"/>
                <w:szCs w:val="24"/>
                <w:highlight w:val="none"/>
              </w:rPr>
              <w:t>万元</w:t>
            </w:r>
          </w:p>
          <w:p>
            <w:pPr>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（6）建设规模及内容</w:t>
            </w:r>
          </w:p>
          <w:p>
            <w:pPr>
              <w:spacing w:line="360" w:lineRule="auto"/>
              <w:ind w:firstLine="472" w:firstLineChars="196"/>
              <w:jc w:val="both"/>
              <w:rPr>
                <w:rFonts w:hint="eastAsia" w:ascii="Times New Roman" w:hAnsi="Times New Roman"/>
                <w:b/>
                <w:bCs/>
                <w:kern w:val="0"/>
                <w:sz w:val="24"/>
                <w:highlight w:val="none"/>
                <w:lang w:val="en-US" w:eastAsia="zh-CN"/>
              </w:rPr>
            </w:pPr>
            <w:r>
              <w:rPr>
                <w:rFonts w:hint="eastAsia" w:ascii="Times New Roman" w:hAnsi="Times New Roman"/>
                <w:b/>
                <w:bCs/>
                <w:kern w:val="0"/>
                <w:sz w:val="24"/>
                <w:highlight w:val="none"/>
                <w:lang w:eastAsia="zh-CN"/>
              </w:rPr>
              <w:t>①污染土壤水泥窑协同处置修复</w:t>
            </w:r>
            <w:r>
              <w:rPr>
                <w:rFonts w:hint="eastAsia" w:ascii="Times New Roman" w:hAnsi="Times New Roman"/>
                <w:b/>
                <w:bCs/>
                <w:kern w:val="0"/>
                <w:sz w:val="24"/>
                <w:highlight w:val="none"/>
                <w:lang w:val="en-US" w:eastAsia="zh-CN"/>
              </w:rPr>
              <w:t>工程内容</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本项目六价铬和总石油烃污染土壤修复总体治理内容如下：</w:t>
            </w:r>
          </w:p>
          <w:p>
            <w:pPr>
              <w:numPr>
                <w:ilvl w:val="0"/>
                <w:numId w:val="0"/>
              </w:numPr>
              <w:spacing w:line="360" w:lineRule="auto"/>
              <w:ind w:firstLine="480" w:firstLineChars="200"/>
              <w:jc w:val="both"/>
              <w:rPr>
                <w:rFonts w:hint="eastAsia" w:ascii="Times New Roman" w:hAnsi="Times New Roman"/>
                <w:kern w:val="0"/>
                <w:sz w:val="24"/>
                <w:highlight w:val="none"/>
                <w:lang w:val="en-US" w:eastAsia="zh-CN"/>
              </w:rPr>
            </w:pPr>
            <w:r>
              <w:rPr>
                <w:rFonts w:hint="default" w:ascii="Times New Roman" w:hAnsi="Times New Roman" w:cs="Times New Roman"/>
                <w:kern w:val="0"/>
                <w:sz w:val="24"/>
                <w:highlight w:val="none"/>
                <w:lang w:val="en-US" w:eastAsia="zh-CN"/>
              </w:rPr>
              <w:t>⒈</w:t>
            </w:r>
            <w:r>
              <w:rPr>
                <w:rFonts w:hint="eastAsia" w:ascii="Times New Roman" w:hAnsi="Times New Roman" w:cs="Times New Roman"/>
                <w:kern w:val="0"/>
                <w:sz w:val="24"/>
                <w:highlight w:val="none"/>
                <w:lang w:val="en-US" w:eastAsia="zh-CN"/>
              </w:rPr>
              <w:t>建筑垃圾处置</w:t>
            </w:r>
            <w:r>
              <w:rPr>
                <w:rFonts w:hint="eastAsia" w:ascii="Times New Roman" w:hAnsi="Times New Roman"/>
                <w:kern w:val="0"/>
                <w:sz w:val="24"/>
                <w:highlight w:val="none"/>
                <w:lang w:val="en-US" w:eastAsia="zh-CN"/>
              </w:rPr>
              <w:t>。</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结合场地的实际情况，整个项目场地内均覆盖有厂房拆除后的建筑垃圾，部分污染地块存在原厂房建筑基础等。</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对场地内的污染范围进行定位，首先对污染范围内的建筑垃圾和厂房基础进行清理，若出现深埋基础存在污染情况，对该部分进行统一收集处置；对于非污染垃圾等进行收集堆存再利用。</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施工前明确周围环境、场地、道路、水电设备管道、厂房情况，拆除过程严格控制扬尘和噪声污染。</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场地内的建筑垃圾进行检测，对有机污染建筑垃圾和无污染建筑垃圾进行分类。</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针对于无污染建筑垃圾直接进行外运处置；针对于有机污染的建筑垃圾进行统一收集，进一步修复处置。</w:t>
            </w:r>
          </w:p>
          <w:p>
            <w:pPr>
              <w:spacing w:line="360" w:lineRule="auto"/>
              <w:ind w:firstLine="470" w:firstLineChars="196"/>
              <w:jc w:val="both"/>
              <w:rPr>
                <w:rFonts w:hint="eastAsia" w:ascii="Times New Roman" w:hAnsi="Times New Roman" w:cs="Times New Roman"/>
                <w:kern w:val="0"/>
                <w:sz w:val="24"/>
                <w:highlight w:val="none"/>
                <w:lang w:val="en-US" w:eastAsia="zh-CN"/>
              </w:rPr>
            </w:pPr>
            <w:r>
              <w:rPr>
                <w:rFonts w:hint="default" w:ascii="Times New Roman" w:hAnsi="Times New Roman" w:cs="Times New Roman"/>
                <w:kern w:val="0"/>
                <w:sz w:val="24"/>
                <w:highlight w:val="none"/>
                <w:lang w:val="en-US" w:eastAsia="zh-CN"/>
              </w:rPr>
              <w:t>⒉</w:t>
            </w:r>
            <w:r>
              <w:rPr>
                <w:rFonts w:hint="eastAsia" w:ascii="Times New Roman" w:hAnsi="Times New Roman" w:cs="Times New Roman"/>
                <w:kern w:val="0"/>
                <w:sz w:val="24"/>
                <w:highlight w:val="none"/>
                <w:lang w:val="en-US" w:eastAsia="zh-CN"/>
              </w:rPr>
              <w:t>污染土壤清挖</w:t>
            </w:r>
          </w:p>
          <w:p>
            <w:pPr>
              <w:spacing w:line="360" w:lineRule="auto"/>
              <w:ind w:firstLine="470" w:firstLineChars="196"/>
              <w:jc w:val="both"/>
              <w:rPr>
                <w:rFonts w:hint="eastAsia" w:ascii="Times New Roman" w:hAnsi="Times New Roman"/>
                <w:kern w:val="0"/>
                <w:sz w:val="24"/>
                <w:highlight w:val="none"/>
                <w:lang w:val="en-US" w:eastAsia="zh-CN"/>
              </w:rPr>
            </w:pPr>
            <w:r>
              <w:rPr>
                <w:rFonts w:hint="default" w:ascii="Times New Roman" w:hAnsi="Times New Roman" w:cs="Times New Roman"/>
                <w:kern w:val="0"/>
                <w:sz w:val="24"/>
                <w:highlight w:val="none"/>
                <w:lang w:val="en-US" w:eastAsia="zh-CN"/>
              </w:rPr>
              <w:t>对于重金属</w:t>
            </w:r>
            <w:r>
              <w:rPr>
                <w:rFonts w:hint="eastAsia" w:ascii="Times New Roman" w:hAnsi="Times New Roman"/>
                <w:kern w:val="0"/>
                <w:sz w:val="24"/>
                <w:highlight w:val="none"/>
                <w:lang w:val="en-US" w:eastAsia="zh-CN"/>
              </w:rPr>
              <w:t>六价铬污染和总石油烃有机物污染的土壤采用水泥窑协同处置技术进行处置，拟运送至当地芜湖海创环保科技有限责任公司进行处置。</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根据本项目特点，修复过程中对修复单元土壤全部进行清挖处置，清挖后对已成形基坑和修复后土壤进行修复效果评估。</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1）开挖前将按照国家有关建设程序购买地下管线图，并探明地下管线及障碍物，办理专业移交手续后方可开始开挖，确保施工安全。</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2）开挖过程中遇到不明物立即停止，申报业主单位同意方可开始下一步施工。</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3）地下障碍物清除：首先对地下障碍物进行初步探测，避免大面积开挖时造成破坏。如初探时发现地下存在障碍物，先挖开暴露出地下障碍物，对于混凝土板、路面及地下钢筋混凝土结构，如挖掘机能直按挖除的则直接挖除，不能挖除的需配上破碎炮、必要时配上液压剪进行破除。将障碍物破碎成能使运土车装载的小块装车运走。如遇专业管线时，由专业人员进行处理排查。</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4）基坑清挖施工过程中需做好二次污染防治，严格控制工地扬尘。对于地面扬起的粉尘，现场安排专人对施工区进行洒水、清洁并在出入口安排人员专门负责运输车辆的清洗和运输道路的清扫工作，以免车辆出入带泥，引起扬尘污染。所有的运输车辆必须在出入口内清洗干净后方可离开现场。</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5）土壤开挖时注意现场安全，对于落差较大的部分设置脚手架栏杆，并设专人指挥机械，以免发生滑坡。大风天气及时对土方进行覆盖，防止扬尘及二次污染。四级以上大风停止土方施工作业，并做好苦盖。</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6）在工程的施工过程中可能会遇到雨水天气，在雨量比较小的时候，可以继续进行施工工作，但要防止出现二次污染的问题，对于遗留在厂内的污染土由专人及时清理，在运输车辆出厂前需进行彻底的清洗工作，确保不将污染土遗撒在周边道路上。在雨量较大，工程施工难以进行时，采取临时措施，做好挖掘面的抽水工作，防止积水，在挖掘面周围开挖排水沟，减少雨水进入开挖面。在基坑底部四周设立集水坑，利用潜水泵将污水抽至废水处理设施进行处理。安排专人负责排水工作，防止基坑底部被雨水浸泡。同时为保证开挖面边坡的稳定，定期监测边坡稳定状态。</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7）土方清运前，做好施工道路的硬化，铺设建筑垃圾或碎石硬化。出入口处铺设碎石和红砖，防止车辆破坏路面及带泥土出场。</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8）为确保运输车辆出行洁净，避免造成二次污染，项目场地出入口设置洗车台、集水坑，洗车污水收集经治理达标后排放。</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⒊基坑测量放线</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1）测量定位施工思路</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工程测量主要是根据本工程的施工平面布置情况及本工程的特点，全过程的轴线控制结合外控法和内控法进行。外控法主要是±0.05m以下的或技术层以下的平面轴线控制，并与内控法相结合。内控法主要是+0.05m以上或标准层以上的平面轴线控制。</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2）测量仪器准备</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根据本工程特点，我们选择准确度较高的经纬仪，标高引测及水准测量采用水准仪，长测量采用50m及30m的卷尺配合10kg拉力器进行测量。同时用全站仪作为主控仪器具，并辅以一台测距仪配合。这些仪器在使用前均送至国家技术监督局认可的检定单位检定合格，同时按各仪器要求进行周期检定，以确保测量仪器的精度。</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3）测量人员准备</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进场后，土壤开挖班组内部成立测量小组，由二名专业测量人员组成。测量人员都经过专业培训，持证上岗。进场后遵循“从整体到局部”的原则，根据规划提供坐标控制点，在周围设置水准控制点及控制线，设置时满足稳定、可靠和通视三个要素。</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4）基坑测量</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根据详细调查确定的污染土壤清运范围，在现场利用全站仪定出各拐点位置，在地面钉入木桩，用石灰粉画出清运范围，并插上土壤标志牌。</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5）高程控制网建立方法</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利用场区内半永久性基准点作为高程水准控制点，高程从城市导线点引测到场内。不低于三等水准网的精度。</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6）标高测量</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在向基坑内引测标高时，首先联测高程控制网点。经联测确认无误后，方可向基坑内引测所需的标高。</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⒋基坑清挖支护及降水</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1）基坑清挖</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根据场地污染的空间分布情况对不同污染深度的区域进行不同形式的清挖。</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2）基坑降水</w:t>
            </w:r>
          </w:p>
          <w:p>
            <w:pPr>
              <w:spacing w:line="360" w:lineRule="auto"/>
              <w:ind w:firstLine="470" w:firstLineChars="196"/>
              <w:jc w:val="both"/>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根据对场地的调查，场地内水位较浅，均属于上层滞水，基坑清挖过程中拟采用明沟排水形式对基坑进行降水。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在实施修复时，需要将这些基坑水进行妥善处理，满足相关标准后排入城市污水管网。同时对于修复过程中的基坑渗水，进行妥善处理（采用沉淀反应池处理），满足《污水综合排放标准》（GB8978-1996）三级标准后排入城市污水管网。</w:t>
            </w:r>
          </w:p>
          <w:p>
            <w:pPr>
              <w:spacing w:line="360" w:lineRule="auto"/>
              <w:ind w:firstLine="470" w:firstLineChars="196"/>
              <w:jc w:val="both"/>
              <w:rPr>
                <w:rFonts w:hint="default" w:ascii="Times New Roman" w:hAnsi="Times New Roman"/>
                <w:kern w:val="0"/>
                <w:sz w:val="24"/>
                <w:highlight w:val="none"/>
                <w:lang w:val="en-US" w:eastAsia="zh-CN"/>
              </w:rPr>
            </w:pPr>
            <w:r>
              <w:rPr>
                <w:rFonts w:hint="eastAsia" w:ascii="Times New Roman" w:hAnsi="Times New Roman"/>
                <w:kern w:val="0"/>
                <w:sz w:val="24"/>
                <w:highlight w:val="none"/>
                <w:lang w:val="en-US" w:eastAsia="zh-CN"/>
              </w:rPr>
              <w:t>3）外购清洁土壤原位回填。</w:t>
            </w:r>
          </w:p>
          <w:p>
            <w:pPr>
              <w:spacing w:line="360" w:lineRule="auto"/>
              <w:ind w:firstLine="470" w:firstLineChars="196"/>
              <w:jc w:val="both"/>
              <w:rPr>
                <w:rFonts w:hint="eastAsia" w:ascii="Times New Roman" w:hAnsi="Times New Roman"/>
                <w:b/>
                <w:bCs/>
                <w:kern w:val="0"/>
                <w:sz w:val="24"/>
                <w:highlight w:val="none"/>
                <w:lang w:eastAsia="zh-CN"/>
              </w:rPr>
            </w:pPr>
            <w:r>
              <w:rPr>
                <w:rFonts w:hint="eastAsia" w:ascii="Times New Roman" w:hAnsi="Times New Roman"/>
                <w:b w:val="0"/>
                <w:bCs w:val="0"/>
                <w:kern w:val="0"/>
                <w:sz w:val="24"/>
                <w:highlight w:val="none"/>
                <w:lang w:eastAsia="zh-CN"/>
              </w:rPr>
              <w:t>⒌土壤水泥窑协同处置</w:t>
            </w:r>
          </w:p>
          <w:p>
            <w:pPr>
              <w:spacing w:line="360" w:lineRule="auto"/>
              <w:ind w:firstLine="470" w:firstLineChars="196"/>
              <w:jc w:val="both"/>
              <w:rPr>
                <w:rFonts w:hint="eastAsia" w:ascii="Times New Roman" w:hAnsi="Times New Roman"/>
                <w:b w:val="0"/>
                <w:bCs w:val="0"/>
                <w:kern w:val="0"/>
                <w:sz w:val="24"/>
                <w:highlight w:val="none"/>
                <w:lang w:eastAsia="zh-CN"/>
              </w:rPr>
            </w:pPr>
            <w:r>
              <w:rPr>
                <w:rFonts w:hint="eastAsia" w:ascii="Times New Roman" w:hAnsi="Times New Roman"/>
                <w:b w:val="0"/>
                <w:bCs w:val="0"/>
                <w:kern w:val="0"/>
                <w:sz w:val="24"/>
                <w:highlight w:val="none"/>
                <w:lang w:eastAsia="zh-CN"/>
              </w:rPr>
              <w:t>拟将场地内重金属六价铬和总石油烃有机污染土壤进行水泥窑协同处置，其中重金属六价铬污染土壤方量约6754.8m</w:t>
            </w:r>
            <w:r>
              <w:rPr>
                <w:rFonts w:hint="eastAsia" w:ascii="Times New Roman" w:hAnsi="Times New Roman"/>
                <w:b w:val="0"/>
                <w:bCs w:val="0"/>
                <w:kern w:val="0"/>
                <w:sz w:val="24"/>
                <w:highlight w:val="none"/>
                <w:vertAlign w:val="superscript"/>
                <w:lang w:eastAsia="zh-CN"/>
              </w:rPr>
              <w:t>3</w:t>
            </w:r>
            <w:r>
              <w:rPr>
                <w:rFonts w:hint="eastAsia" w:ascii="Times New Roman" w:hAnsi="Times New Roman"/>
                <w:b w:val="0"/>
                <w:bCs w:val="0"/>
                <w:kern w:val="0"/>
                <w:sz w:val="24"/>
                <w:highlight w:val="none"/>
                <w:lang w:eastAsia="zh-CN"/>
              </w:rPr>
              <w:t>，总石油烃有机污染土壤方量约1466.7m</w:t>
            </w:r>
            <w:r>
              <w:rPr>
                <w:rFonts w:hint="eastAsia" w:ascii="Times New Roman" w:hAnsi="Times New Roman"/>
                <w:b w:val="0"/>
                <w:bCs w:val="0"/>
                <w:kern w:val="0"/>
                <w:sz w:val="24"/>
                <w:highlight w:val="none"/>
                <w:vertAlign w:val="superscript"/>
                <w:lang w:val="en-US" w:eastAsia="zh-CN"/>
              </w:rPr>
              <w:t>3</w:t>
            </w:r>
            <w:r>
              <w:rPr>
                <w:rFonts w:hint="eastAsia" w:ascii="Times New Roman" w:hAnsi="Times New Roman"/>
                <w:b w:val="0"/>
                <w:bCs w:val="0"/>
                <w:kern w:val="0"/>
                <w:sz w:val="24"/>
                <w:highlight w:val="none"/>
                <w:lang w:eastAsia="zh-CN"/>
              </w:rPr>
              <w:t>，污染土壤处置量约为8221.5m</w:t>
            </w:r>
            <w:r>
              <w:rPr>
                <w:rFonts w:hint="eastAsia" w:ascii="Times New Roman" w:hAnsi="Times New Roman"/>
                <w:b w:val="0"/>
                <w:bCs w:val="0"/>
                <w:kern w:val="0"/>
                <w:sz w:val="24"/>
                <w:highlight w:val="none"/>
                <w:vertAlign w:val="superscript"/>
                <w:lang w:eastAsia="zh-CN"/>
              </w:rPr>
              <w:t>3</w:t>
            </w:r>
            <w:r>
              <w:rPr>
                <w:rFonts w:hint="eastAsia" w:ascii="Times New Roman" w:hAnsi="Times New Roman"/>
                <w:b w:val="0"/>
                <w:bCs w:val="0"/>
                <w:kern w:val="0"/>
                <w:sz w:val="24"/>
                <w:highlight w:val="none"/>
                <w:lang w:eastAsia="zh-CN"/>
              </w:rPr>
              <w:t>，拟运送至当地芜湖海创环保科技有限责任公司进行处置。</w:t>
            </w:r>
          </w:p>
          <w:p>
            <w:pPr>
              <w:spacing w:line="360" w:lineRule="auto"/>
              <w:ind w:firstLine="472" w:firstLineChars="196"/>
              <w:jc w:val="both"/>
              <w:rPr>
                <w:rFonts w:hint="default" w:ascii="Times New Roman" w:hAnsi="Times New Roman"/>
                <w:b/>
                <w:bCs/>
                <w:kern w:val="0"/>
                <w:sz w:val="24"/>
                <w:highlight w:val="none"/>
                <w:lang w:val="en-US" w:eastAsia="zh-CN"/>
              </w:rPr>
            </w:pPr>
            <w:r>
              <w:rPr>
                <w:rFonts w:hint="eastAsia" w:ascii="Times New Roman" w:hAnsi="Times New Roman"/>
                <w:b/>
                <w:bCs/>
                <w:kern w:val="0"/>
                <w:sz w:val="24"/>
                <w:highlight w:val="none"/>
                <w:lang w:eastAsia="zh-CN"/>
              </w:rPr>
              <w:t>②</w:t>
            </w:r>
            <w:r>
              <w:rPr>
                <w:rFonts w:hint="eastAsia" w:ascii="Times New Roman" w:hAnsi="Times New Roman"/>
                <w:b/>
                <w:bCs/>
                <w:kern w:val="0"/>
                <w:sz w:val="24"/>
                <w:highlight w:val="none"/>
                <w:lang w:val="en-US" w:eastAsia="zh-CN"/>
              </w:rPr>
              <w:t>地下水抽出处理技术修复工程</w:t>
            </w:r>
          </w:p>
          <w:p>
            <w:pPr>
              <w:spacing w:line="360" w:lineRule="auto"/>
              <w:ind w:firstLine="470" w:firstLineChars="196"/>
              <w:jc w:val="both"/>
              <w:rPr>
                <w:rFonts w:hint="default" w:ascii="Times New Roman" w:hAnsi="Times New Roman"/>
                <w:b w:val="0"/>
                <w:bCs w:val="0"/>
                <w:kern w:val="0"/>
                <w:sz w:val="24"/>
                <w:highlight w:val="none"/>
                <w:lang w:val="en-US" w:eastAsia="zh-CN"/>
              </w:rPr>
            </w:pPr>
            <w:r>
              <w:rPr>
                <w:rFonts w:hint="eastAsia" w:ascii="Times New Roman" w:hAnsi="Times New Roman"/>
                <w:b w:val="0"/>
                <w:bCs w:val="0"/>
                <w:kern w:val="0"/>
                <w:sz w:val="24"/>
                <w:highlight w:val="none"/>
                <w:lang w:eastAsia="zh-CN"/>
              </w:rPr>
              <w:t>拟将场地内石油烃和六价铬污染地下水进行抽出处理，地下水修复量约15464.6m</w:t>
            </w:r>
            <w:r>
              <w:rPr>
                <w:rFonts w:hint="eastAsia" w:ascii="Times New Roman" w:hAnsi="Times New Roman"/>
                <w:b w:val="0"/>
                <w:bCs w:val="0"/>
                <w:kern w:val="0"/>
                <w:sz w:val="24"/>
                <w:highlight w:val="none"/>
                <w:vertAlign w:val="superscript"/>
                <w:lang w:val="en-US" w:eastAsia="zh-CN"/>
              </w:rPr>
              <w:t>3</w:t>
            </w:r>
            <w:r>
              <w:rPr>
                <w:rFonts w:hint="eastAsia" w:ascii="Times New Roman" w:hAnsi="Times New Roman"/>
                <w:b w:val="0"/>
                <w:bCs w:val="0"/>
                <w:kern w:val="0"/>
                <w:sz w:val="24"/>
                <w:highlight w:val="none"/>
                <w:lang w:val="en-US" w:eastAsia="zh-CN"/>
              </w:rPr>
              <w:t>。</w:t>
            </w:r>
          </w:p>
          <w:p>
            <w:pPr>
              <w:spacing w:line="360" w:lineRule="auto"/>
              <w:ind w:firstLine="470" w:firstLineChars="196"/>
              <w:jc w:val="both"/>
              <w:rPr>
                <w:rFonts w:hint="eastAsia" w:ascii="Times New Roman" w:hAnsi="Times New Roman"/>
                <w:b w:val="0"/>
                <w:bCs w:val="0"/>
                <w:kern w:val="0"/>
                <w:sz w:val="24"/>
                <w:highlight w:val="none"/>
                <w:lang w:eastAsia="zh-CN"/>
              </w:rPr>
            </w:pPr>
            <w:r>
              <w:rPr>
                <w:rFonts w:hint="eastAsia" w:ascii="Times New Roman" w:hAnsi="Times New Roman"/>
                <w:b w:val="0"/>
                <w:bCs w:val="0"/>
                <w:kern w:val="0"/>
                <w:sz w:val="24"/>
                <w:highlight w:val="none"/>
                <w:lang w:eastAsia="zh-CN"/>
              </w:rPr>
              <w:t>⒈捕获区分析和优化系统设计</w:t>
            </w:r>
          </w:p>
          <w:p>
            <w:pPr>
              <w:spacing w:line="360" w:lineRule="auto"/>
              <w:ind w:firstLine="470" w:firstLineChars="196"/>
              <w:jc w:val="both"/>
              <w:rPr>
                <w:rFonts w:hint="eastAsia" w:ascii="Times New Roman" w:hAnsi="Times New Roman"/>
                <w:b w:val="0"/>
                <w:bCs w:val="0"/>
                <w:kern w:val="0"/>
                <w:sz w:val="24"/>
                <w:highlight w:val="none"/>
                <w:lang w:eastAsia="zh-CN"/>
              </w:rPr>
            </w:pPr>
            <w:r>
              <w:rPr>
                <w:rFonts w:hint="eastAsia" w:ascii="Times New Roman" w:hAnsi="Times New Roman"/>
                <w:b w:val="0"/>
                <w:bCs w:val="0"/>
                <w:kern w:val="0"/>
                <w:sz w:val="24"/>
                <w:highlight w:val="none"/>
                <w:lang w:eastAsia="zh-CN"/>
              </w:rPr>
              <w:t>通过数学模型来计算捕获区、分析地下水流场、计算地下水抽出时间。对于相对复杂的污染地下水含水层，通过数学模型可以模拟抽出处理方法、设计地下水监测系统和监测频率。</w:t>
            </w:r>
          </w:p>
          <w:p>
            <w:pPr>
              <w:spacing w:line="360" w:lineRule="auto"/>
              <w:ind w:firstLine="470" w:firstLineChars="196"/>
              <w:jc w:val="both"/>
              <w:rPr>
                <w:rFonts w:hint="eastAsia" w:ascii="Times New Roman" w:hAnsi="Times New Roman"/>
                <w:b w:val="0"/>
                <w:bCs w:val="0"/>
                <w:kern w:val="0"/>
                <w:sz w:val="24"/>
                <w:highlight w:val="none"/>
                <w:lang w:eastAsia="zh-CN"/>
              </w:rPr>
            </w:pPr>
            <w:r>
              <w:rPr>
                <w:rFonts w:hint="eastAsia" w:ascii="Times New Roman" w:hAnsi="Times New Roman"/>
                <w:b w:val="0"/>
                <w:bCs w:val="0"/>
                <w:kern w:val="0"/>
                <w:sz w:val="24"/>
                <w:highlight w:val="none"/>
                <w:lang w:eastAsia="zh-CN"/>
              </w:rPr>
              <w:t>⒉建立地下水控制系统</w:t>
            </w:r>
          </w:p>
          <w:p>
            <w:pPr>
              <w:numPr>
                <w:ilvl w:val="0"/>
                <w:numId w:val="2"/>
              </w:numPr>
              <w:spacing w:line="360" w:lineRule="auto"/>
              <w:ind w:firstLine="470" w:firstLineChars="196"/>
              <w:jc w:val="both"/>
              <w:rPr>
                <w:rFonts w:hint="eastAsia" w:ascii="Times New Roman" w:hAnsi="Times New Roman"/>
                <w:b w:val="0"/>
                <w:bCs w:val="0"/>
                <w:kern w:val="0"/>
                <w:sz w:val="24"/>
                <w:highlight w:val="none"/>
                <w:lang w:eastAsia="zh-CN"/>
              </w:rPr>
            </w:pPr>
            <w:r>
              <w:rPr>
                <w:rFonts w:hint="eastAsia" w:ascii="Times New Roman" w:hAnsi="Times New Roman"/>
                <w:b w:val="0"/>
                <w:bCs w:val="0"/>
                <w:kern w:val="0"/>
                <w:sz w:val="24"/>
                <w:highlight w:val="none"/>
                <w:lang w:eastAsia="zh-CN"/>
              </w:rPr>
              <w:t>把污染源和地下水污染羽去除相结合，分阶段建立抽出井群系统，通过前期井群建立获取监测数据分析含水层抽出效果，指导后续井群选址；</w:t>
            </w:r>
          </w:p>
          <w:p>
            <w:pPr>
              <w:numPr>
                <w:ilvl w:val="0"/>
                <w:numId w:val="2"/>
              </w:numPr>
              <w:spacing w:line="360" w:lineRule="auto"/>
              <w:ind w:firstLine="470" w:firstLineChars="196"/>
              <w:jc w:val="both"/>
              <w:rPr>
                <w:rFonts w:hint="eastAsia" w:ascii="Times New Roman" w:hAnsi="Times New Roman"/>
                <w:b w:val="0"/>
                <w:bCs w:val="0"/>
                <w:kern w:val="0"/>
                <w:sz w:val="24"/>
                <w:highlight w:val="none"/>
                <w:lang w:eastAsia="zh-CN"/>
              </w:rPr>
            </w:pPr>
            <w:r>
              <w:rPr>
                <w:rFonts w:hint="eastAsia" w:ascii="Times New Roman" w:hAnsi="Times New Roman"/>
                <w:b w:val="0"/>
                <w:bCs w:val="0"/>
                <w:kern w:val="0"/>
                <w:sz w:val="24"/>
                <w:highlight w:val="none"/>
                <w:lang w:eastAsia="zh-CN"/>
              </w:rPr>
              <w:t>安装抽水泵；</w:t>
            </w:r>
          </w:p>
          <w:p>
            <w:pPr>
              <w:numPr>
                <w:ilvl w:val="0"/>
                <w:numId w:val="2"/>
              </w:numPr>
              <w:spacing w:line="360" w:lineRule="auto"/>
              <w:ind w:firstLine="470" w:firstLineChars="196"/>
              <w:jc w:val="both"/>
              <w:rPr>
                <w:rFonts w:hint="eastAsia" w:ascii="Times New Roman" w:hAnsi="Times New Roman"/>
                <w:b w:val="0"/>
                <w:bCs w:val="0"/>
                <w:kern w:val="0"/>
                <w:sz w:val="24"/>
                <w:highlight w:val="none"/>
                <w:lang w:eastAsia="zh-CN"/>
              </w:rPr>
            </w:pPr>
            <w:r>
              <w:rPr>
                <w:rFonts w:hint="eastAsia" w:ascii="Times New Roman" w:hAnsi="Times New Roman"/>
                <w:b w:val="0"/>
                <w:bCs w:val="0"/>
                <w:kern w:val="0"/>
                <w:sz w:val="24"/>
                <w:highlight w:val="none"/>
                <w:lang w:eastAsia="zh-CN"/>
              </w:rPr>
              <w:t>脉冲式抽取地下水，通过抽取最少量地下水达到最优的污染物去除效率。</w:t>
            </w:r>
          </w:p>
          <w:p>
            <w:pPr>
              <w:spacing w:line="360" w:lineRule="auto"/>
              <w:ind w:firstLine="470" w:firstLineChars="196"/>
              <w:jc w:val="both"/>
              <w:rPr>
                <w:rFonts w:hint="eastAsia" w:ascii="Times New Roman" w:hAnsi="Times New Roman"/>
                <w:b w:val="0"/>
                <w:bCs w:val="0"/>
                <w:kern w:val="0"/>
                <w:sz w:val="24"/>
                <w:highlight w:val="none"/>
                <w:lang w:eastAsia="zh-CN"/>
              </w:rPr>
            </w:pPr>
            <w:r>
              <w:rPr>
                <w:rFonts w:hint="eastAsia" w:ascii="Times New Roman" w:hAnsi="Times New Roman"/>
                <w:b w:val="0"/>
                <w:bCs w:val="0"/>
                <w:kern w:val="0"/>
                <w:sz w:val="24"/>
                <w:highlight w:val="none"/>
                <w:lang w:eastAsia="zh-CN"/>
              </w:rPr>
              <w:t>⒊处理抽出污染地下水</w:t>
            </w:r>
          </w:p>
          <w:p>
            <w:pPr>
              <w:spacing w:line="360" w:lineRule="auto"/>
              <w:ind w:firstLine="470" w:firstLineChars="196"/>
              <w:jc w:val="both"/>
              <w:rPr>
                <w:rFonts w:hint="eastAsia" w:ascii="Times New Roman" w:hAnsi="Times New Roman"/>
                <w:b w:val="0"/>
                <w:bCs w:val="0"/>
                <w:kern w:val="0"/>
                <w:sz w:val="24"/>
                <w:highlight w:val="none"/>
                <w:lang w:eastAsia="zh-CN"/>
              </w:rPr>
            </w:pPr>
            <w:r>
              <w:rPr>
                <w:rFonts w:hint="eastAsia" w:ascii="Times New Roman" w:hAnsi="Times New Roman"/>
                <w:b w:val="0"/>
                <w:bCs w:val="0"/>
                <w:kern w:val="0"/>
                <w:sz w:val="24"/>
                <w:highlight w:val="none"/>
                <w:lang w:eastAsia="zh-CN"/>
              </w:rPr>
              <w:t>选择适当的处理设备和处理方法处理受污染地下水。具体处理方法包括生物法、物理/化学法等。废水首先进入调节池，在调节池中起到均质均量的目的，同时将废水中的浮油收集进入浮油收集槽中，均质均量后的废水通过提升泵进入破乳槽中，对废水进行破乳处理，使其中的乳化油转化成为浮油，破乳后的废水自流进入气浮设备，将油和水进行分离，上部的浮油通过刮渣小车刮入浮渣收集槽中，清水通过水泵泵入两级活性炭过滤器中进行高效吸附，最终出水达标排放。</w:t>
            </w:r>
          </w:p>
          <w:p>
            <w:pPr>
              <w:spacing w:line="360" w:lineRule="auto"/>
              <w:ind w:firstLine="470" w:firstLineChars="196"/>
              <w:jc w:val="both"/>
              <w:rPr>
                <w:rFonts w:hint="eastAsia" w:ascii="Times New Roman" w:hAnsi="Times New Roman"/>
                <w:b w:val="0"/>
                <w:bCs w:val="0"/>
                <w:kern w:val="0"/>
                <w:sz w:val="24"/>
                <w:highlight w:val="none"/>
                <w:lang w:eastAsia="zh-CN"/>
              </w:rPr>
            </w:pPr>
            <w:r>
              <w:rPr>
                <w:rFonts w:hint="eastAsia" w:ascii="Times New Roman" w:hAnsi="Times New Roman"/>
                <w:b w:val="0"/>
                <w:bCs w:val="0"/>
                <w:kern w:val="0"/>
                <w:sz w:val="24"/>
                <w:highlight w:val="none"/>
                <w:lang w:eastAsia="zh-CN"/>
              </w:rPr>
              <w:t>污水处理站工艺流程如下图所示。</w:t>
            </w:r>
          </w:p>
          <w:p>
            <w:pPr>
              <w:pStyle w:val="7"/>
              <w:rPr>
                <w:rFonts w:hint="eastAsia" w:ascii="Times New Roman" w:hAnsi="Times New Roman"/>
                <w:b w:val="0"/>
                <w:bCs w:val="0"/>
                <w:kern w:val="0"/>
                <w:sz w:val="24"/>
                <w:highlight w:val="none"/>
                <w:lang w:eastAsia="zh-CN"/>
              </w:rPr>
            </w:pPr>
          </w:p>
          <w:p>
            <w:pPr>
              <w:rPr>
                <w:rFonts w:hint="eastAsia" w:ascii="Times New Roman" w:hAnsi="Times New Roman"/>
                <w:b w:val="0"/>
                <w:bCs w:val="0"/>
                <w:kern w:val="0"/>
                <w:sz w:val="24"/>
                <w:highlight w:val="none"/>
                <w:lang w:eastAsia="zh-CN"/>
              </w:rPr>
            </w:pPr>
          </w:p>
          <w:p>
            <w:pPr>
              <w:pStyle w:val="7"/>
              <w:rPr>
                <w:rFonts w:hint="eastAsia" w:ascii="Times New Roman" w:hAnsi="Times New Roman"/>
                <w:b w:val="0"/>
                <w:bCs w:val="0"/>
                <w:kern w:val="0"/>
                <w:sz w:val="24"/>
                <w:highlight w:val="none"/>
                <w:lang w:eastAsia="zh-CN"/>
              </w:rPr>
            </w:pPr>
          </w:p>
          <w:p>
            <w:pPr>
              <w:rPr>
                <w:rFonts w:hint="eastAsia" w:ascii="Times New Roman" w:hAnsi="Times New Roman"/>
                <w:b w:val="0"/>
                <w:bCs w:val="0"/>
                <w:kern w:val="0"/>
                <w:sz w:val="24"/>
                <w:highlight w:val="none"/>
                <w:lang w:eastAsia="zh-CN"/>
              </w:rPr>
            </w:pPr>
          </w:p>
          <w:p>
            <w:pPr>
              <w:pStyle w:val="7"/>
              <w:rPr>
                <w:rFonts w:hint="eastAsia" w:ascii="Times New Roman" w:hAnsi="Times New Roman"/>
                <w:b w:val="0"/>
                <w:bCs w:val="0"/>
                <w:kern w:val="0"/>
                <w:sz w:val="24"/>
                <w:highlight w:val="none"/>
                <w:lang w:eastAsia="zh-CN"/>
              </w:rPr>
            </w:pPr>
          </w:p>
          <w:p>
            <w:pPr>
              <w:rPr>
                <w:rFonts w:hint="eastAsia" w:ascii="Times New Roman" w:hAnsi="Times New Roman"/>
                <w:b w:val="0"/>
                <w:bCs w:val="0"/>
                <w:kern w:val="0"/>
                <w:sz w:val="24"/>
                <w:highlight w:val="none"/>
                <w:lang w:eastAsia="zh-CN"/>
              </w:rPr>
            </w:pPr>
          </w:p>
          <w:p>
            <w:pPr>
              <w:pStyle w:val="7"/>
              <w:rPr>
                <w:rFonts w:hint="eastAsia" w:ascii="Times New Roman" w:hAnsi="Times New Roman"/>
                <w:b w:val="0"/>
                <w:bCs w:val="0"/>
                <w:kern w:val="0"/>
                <w:sz w:val="24"/>
                <w:highlight w:val="none"/>
                <w:lang w:eastAsia="zh-CN"/>
              </w:rPr>
            </w:pPr>
          </w:p>
          <w:p>
            <w:pPr>
              <w:rPr>
                <w:rFonts w:hint="eastAsia" w:ascii="Times New Roman" w:hAnsi="Times New Roman"/>
                <w:b w:val="0"/>
                <w:bCs w:val="0"/>
                <w:kern w:val="0"/>
                <w:sz w:val="24"/>
                <w:highlight w:val="none"/>
                <w:lang w:eastAsia="zh-CN"/>
              </w:rPr>
            </w:pPr>
          </w:p>
          <w:p>
            <w:pPr>
              <w:pStyle w:val="7"/>
              <w:rPr>
                <w:rFonts w:hint="eastAsia" w:ascii="Times New Roman" w:hAnsi="Times New Roman"/>
                <w:b w:val="0"/>
                <w:bCs w:val="0"/>
                <w:kern w:val="0"/>
                <w:sz w:val="24"/>
                <w:highlight w:val="none"/>
                <w:lang w:eastAsia="zh-CN"/>
              </w:rPr>
            </w:pPr>
          </w:p>
          <w:p>
            <w:pPr>
              <w:pStyle w:val="7"/>
              <w:rPr>
                <w:rFonts w:hint="eastAsia"/>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pPr>
            <w:r>
              <w:drawing>
                <wp:inline distT="0" distB="0" distL="114300" distR="114300">
                  <wp:extent cx="5730875" cy="4102735"/>
                  <wp:effectExtent l="0" t="0" r="3175" b="1206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5730875" cy="4102735"/>
                          </a:xfrm>
                          <a:prstGeom prst="rect">
                            <a:avLst/>
                          </a:prstGeom>
                          <a:noFill/>
                          <a:ln>
                            <a:noFill/>
                          </a:ln>
                        </pic:spPr>
                      </pic:pic>
                    </a:graphicData>
                  </a:graphic>
                </wp:inline>
              </w:drawing>
            </w:r>
          </w:p>
          <w:p>
            <w:pPr>
              <w:pStyle w:val="7"/>
              <w:keepNext/>
              <w:keepLines/>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lang w:eastAsia="zh-CN"/>
              </w:rPr>
            </w:pPr>
            <w:r>
              <w:rPr>
                <w:rFonts w:hint="default" w:ascii="Times New Roman" w:hAnsi="Times New Roman" w:cs="Times New Roman"/>
                <w:lang w:eastAsia="zh-CN"/>
              </w:rPr>
              <w:t>图</w:t>
            </w:r>
            <w:r>
              <w:rPr>
                <w:rFonts w:hint="default" w:ascii="Times New Roman" w:hAnsi="Times New Roman" w:cs="Times New Roman"/>
                <w:lang w:val="en-US" w:eastAsia="zh-CN"/>
              </w:rPr>
              <w:t>1-</w:t>
            </w:r>
            <w:r>
              <w:rPr>
                <w:rFonts w:hint="eastAsia" w:ascii="Times New Roman" w:hAnsi="Times New Roman" w:cs="Times New Roman"/>
                <w:lang w:val="en-US" w:eastAsia="zh-CN"/>
              </w:rPr>
              <w:t>2</w:t>
            </w:r>
            <w:r>
              <w:rPr>
                <w:rFonts w:hint="default" w:ascii="Times New Roman" w:hAnsi="Times New Roman" w:cs="Times New Roman"/>
                <w:lang w:val="en-US" w:eastAsia="zh-CN"/>
              </w:rPr>
              <w:t xml:space="preserve">  </w:t>
            </w:r>
            <w:r>
              <w:rPr>
                <w:rFonts w:hint="default" w:ascii="Times New Roman" w:hAnsi="Times New Roman" w:cs="Times New Roman"/>
                <w:lang w:eastAsia="zh-CN"/>
              </w:rPr>
              <w:t>抽出处理技术污水处理站工</w:t>
            </w:r>
            <w:r>
              <w:rPr>
                <w:rFonts w:hint="eastAsia"/>
                <w:lang w:eastAsia="zh-CN"/>
              </w:rPr>
              <w:t>艺流程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b w:val="0"/>
                <w:bCs w:val="0"/>
                <w:kern w:val="0"/>
                <w:sz w:val="24"/>
                <w:highlight w:val="none"/>
                <w:lang w:eastAsia="zh-CN"/>
              </w:rPr>
            </w:pPr>
            <w:r>
              <w:rPr>
                <w:rFonts w:hint="eastAsia" w:ascii="Times New Roman" w:hAnsi="Times New Roman"/>
                <w:b w:val="0"/>
                <w:bCs w:val="0"/>
                <w:kern w:val="0"/>
                <w:sz w:val="24"/>
                <w:highlight w:val="none"/>
                <w:lang w:eastAsia="zh-CN"/>
              </w:rPr>
              <w:t>根据水文地质调查中抽水试验结果，ZK1孔水位埋深1.38m，抽水时间960分（16h），抽水流量0.23m</w:t>
            </w:r>
            <w:r>
              <w:rPr>
                <w:rFonts w:hint="eastAsia" w:ascii="Times New Roman" w:hAnsi="Times New Roman"/>
                <w:b w:val="0"/>
                <w:bCs w:val="0"/>
                <w:kern w:val="0"/>
                <w:sz w:val="24"/>
                <w:highlight w:val="none"/>
                <w:vertAlign w:val="superscript"/>
                <w:lang w:eastAsia="zh-CN"/>
              </w:rPr>
              <w:t>3</w:t>
            </w:r>
            <w:r>
              <w:rPr>
                <w:rFonts w:hint="eastAsia" w:ascii="Times New Roman" w:hAnsi="Times New Roman"/>
                <w:b w:val="0"/>
                <w:bCs w:val="0"/>
                <w:kern w:val="0"/>
                <w:sz w:val="24"/>
                <w:highlight w:val="none"/>
                <w:lang w:eastAsia="zh-CN"/>
              </w:rPr>
              <w:t>/h，水位降深2.15m，水位稳定时间为15.3h，水位波动在3cm以内。根据降深情况算得渗透系数约为1.261m/d（最接近场地含水层平均渗透系数），影响半径约24.1m。</w:t>
            </w:r>
          </w:p>
          <w:p>
            <w:pPr>
              <w:spacing w:line="360" w:lineRule="auto"/>
              <w:ind w:firstLine="472" w:firstLineChars="196"/>
              <w:jc w:val="center"/>
              <w:rPr>
                <w:rFonts w:hint="eastAsia" w:ascii="Times New Roman" w:hAnsi="Times New Roman"/>
                <w:b/>
                <w:bCs/>
                <w:kern w:val="0"/>
                <w:sz w:val="24"/>
                <w:highlight w:val="none"/>
                <w:lang w:eastAsia="zh-CN"/>
              </w:rPr>
            </w:pPr>
            <w:r>
              <w:rPr>
                <w:rFonts w:hint="eastAsia" w:ascii="Times New Roman" w:hAnsi="Times New Roman"/>
                <w:b/>
                <w:bCs/>
                <w:kern w:val="0"/>
                <w:sz w:val="24"/>
                <w:highlight w:val="none"/>
                <w:lang w:eastAsia="zh-CN"/>
              </w:rPr>
              <w:t>表</w:t>
            </w:r>
            <w:r>
              <w:rPr>
                <w:rFonts w:hint="eastAsia" w:ascii="Times New Roman" w:hAnsi="Times New Roman"/>
                <w:b/>
                <w:bCs/>
                <w:kern w:val="0"/>
                <w:sz w:val="24"/>
                <w:highlight w:val="none"/>
                <w:lang w:val="en-US" w:eastAsia="zh-CN"/>
              </w:rPr>
              <w:t xml:space="preserve">1-1  </w:t>
            </w:r>
            <w:r>
              <w:rPr>
                <w:rFonts w:hint="eastAsia" w:ascii="Times New Roman" w:hAnsi="Times New Roman"/>
                <w:b/>
                <w:bCs/>
                <w:kern w:val="0"/>
                <w:sz w:val="24"/>
                <w:highlight w:val="none"/>
                <w:lang w:eastAsia="zh-CN"/>
              </w:rPr>
              <w:t>地下水抽出处理工艺参数</w:t>
            </w:r>
          </w:p>
          <w:tbl>
            <w:tblPr>
              <w:tblStyle w:val="27"/>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9"/>
              <w:gridCol w:w="4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89" w:type="dxa"/>
                  <w:noWrap w:val="0"/>
                  <w:vAlign w:val="center"/>
                </w:tcPr>
                <w:p>
                  <w:pPr>
                    <w:spacing w:line="240" w:lineRule="atLeast"/>
                    <w:jc w:val="center"/>
                    <w:rPr>
                      <w:rFonts w:hint="eastAsia" w:ascii="Times New Roman" w:hAnsi="Times New Roman" w:eastAsia="宋体"/>
                      <w:szCs w:val="21"/>
                      <w:highlight w:val="none"/>
                      <w:lang w:eastAsia="zh-CN"/>
                    </w:rPr>
                  </w:pPr>
                  <w:r>
                    <w:rPr>
                      <w:rFonts w:hint="eastAsia" w:ascii="Times New Roman" w:hAnsi="Times New Roman"/>
                      <w:szCs w:val="21"/>
                      <w:highlight w:val="none"/>
                      <w:lang w:val="en-US" w:eastAsia="zh-CN"/>
                    </w:rPr>
                    <w:t>项目</w:t>
                  </w:r>
                </w:p>
              </w:tc>
              <w:tc>
                <w:tcPr>
                  <w:tcW w:w="4855" w:type="dxa"/>
                  <w:noWrap w:val="0"/>
                  <w:vAlign w:val="center"/>
                </w:tcPr>
                <w:p>
                  <w:pPr>
                    <w:spacing w:line="240" w:lineRule="atLeast"/>
                    <w:jc w:val="center"/>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89" w:type="dxa"/>
                  <w:noWrap w:val="0"/>
                  <w:vAlign w:val="center"/>
                </w:tcPr>
                <w:p>
                  <w:pPr>
                    <w:spacing w:line="240" w:lineRule="atLeast"/>
                    <w:jc w:val="center"/>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针对污染物</w:t>
                  </w:r>
                </w:p>
              </w:tc>
              <w:tc>
                <w:tcPr>
                  <w:tcW w:w="4855" w:type="dxa"/>
                  <w:noWrap w:val="0"/>
                  <w:vAlign w:val="center"/>
                </w:tcPr>
                <w:p>
                  <w:pPr>
                    <w:widowControl/>
                    <w:jc w:val="center"/>
                    <w:rPr>
                      <w:rFonts w:ascii="Times New Roman" w:hAnsi="Times New Roman"/>
                      <w:color w:val="000000"/>
                      <w:kern w:val="0"/>
                      <w:szCs w:val="21"/>
                      <w:highlight w:val="none"/>
                    </w:rPr>
                  </w:pPr>
                  <w:r>
                    <w:rPr>
                      <w:rFonts w:hint="default" w:ascii="Times New Roman" w:hAnsi="Times New Roman"/>
                      <w:color w:val="000000"/>
                      <w:kern w:val="0"/>
                      <w:szCs w:val="21"/>
                      <w:highlight w:val="none"/>
                      <w:lang w:val="en-US"/>
                    </w:rPr>
                    <w:t>总石油烃</w:t>
                  </w:r>
                  <w:r>
                    <w:rPr>
                      <w:rFonts w:hint="eastAsia" w:ascii="Times New Roman" w:hAnsi="Times New Roman"/>
                      <w:color w:val="000000"/>
                      <w:kern w:val="0"/>
                      <w:szCs w:val="21"/>
                      <w:highlight w:val="none"/>
                      <w:lang w:val="en-US" w:eastAsia="zh-CN"/>
                    </w:rPr>
                    <w:t>、</w:t>
                  </w:r>
                  <w:r>
                    <w:rPr>
                      <w:rFonts w:hint="eastAsia" w:ascii="Times New Roman" w:hAnsi="Times New Roman"/>
                      <w:color w:val="000000"/>
                      <w:kern w:val="0"/>
                      <w:szCs w:val="21"/>
                      <w:highlight w:val="none"/>
                    </w:rPr>
                    <w:t>六价铬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89" w:type="dxa"/>
                  <w:noWrap w:val="0"/>
                  <w:vAlign w:val="center"/>
                </w:tcPr>
                <w:p>
                  <w:pPr>
                    <w:spacing w:line="240" w:lineRule="atLeast"/>
                    <w:jc w:val="center"/>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渗透系数</w:t>
                  </w:r>
                </w:p>
              </w:tc>
              <w:tc>
                <w:tcPr>
                  <w:tcW w:w="4855"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1.261m/d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89" w:type="dxa"/>
                  <w:noWrap w:val="0"/>
                  <w:vAlign w:val="center"/>
                </w:tcPr>
                <w:p>
                  <w:pPr>
                    <w:spacing w:line="240" w:lineRule="atLeast"/>
                    <w:jc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影响半径</w:t>
                  </w:r>
                </w:p>
              </w:tc>
              <w:tc>
                <w:tcPr>
                  <w:tcW w:w="4855"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24.1m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89" w:type="dxa"/>
                  <w:noWrap w:val="0"/>
                  <w:vAlign w:val="center"/>
                </w:tcPr>
                <w:p>
                  <w:pPr>
                    <w:spacing w:line="240" w:lineRule="atLeast"/>
                    <w:jc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每口注入井的影响有效面积</w:t>
                  </w:r>
                </w:p>
              </w:tc>
              <w:tc>
                <w:tcPr>
                  <w:tcW w:w="4855"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1509m</w:t>
                  </w:r>
                  <w:r>
                    <w:rPr>
                      <w:rFonts w:hint="eastAsia" w:ascii="Times New Roman" w:hAnsi="Times New Roman"/>
                      <w:color w:val="000000"/>
                      <w:kern w:val="0"/>
                      <w:szCs w:val="21"/>
                      <w:highlight w:val="none"/>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89" w:type="dxa"/>
                  <w:noWrap w:val="0"/>
                  <w:vAlign w:val="center"/>
                </w:tcPr>
                <w:p>
                  <w:pPr>
                    <w:spacing w:line="240" w:lineRule="atLeast"/>
                    <w:jc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井管直径</w:t>
                  </w:r>
                </w:p>
              </w:tc>
              <w:tc>
                <w:tcPr>
                  <w:tcW w:w="4855"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89" w:type="dxa"/>
                  <w:noWrap w:val="0"/>
                  <w:vAlign w:val="center"/>
                </w:tcPr>
                <w:p>
                  <w:pPr>
                    <w:spacing w:line="240" w:lineRule="atLeast"/>
                    <w:jc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地下水污染面积</w:t>
                  </w:r>
                </w:p>
              </w:tc>
              <w:tc>
                <w:tcPr>
                  <w:tcW w:w="4855"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12068.6m</w:t>
                  </w:r>
                  <w:r>
                    <w:rPr>
                      <w:rFonts w:hint="eastAsia" w:ascii="Times New Roman" w:hAnsi="Times New Roman"/>
                      <w:color w:val="000000"/>
                      <w:kern w:val="0"/>
                      <w:szCs w:val="21"/>
                      <w:highlight w:val="none"/>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89" w:type="dxa"/>
                  <w:noWrap w:val="0"/>
                  <w:vAlign w:val="center"/>
                </w:tcPr>
                <w:p>
                  <w:pPr>
                    <w:spacing w:line="240" w:lineRule="atLeast"/>
                    <w:jc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抽水井个数</w:t>
                  </w:r>
                </w:p>
              </w:tc>
              <w:tc>
                <w:tcPr>
                  <w:tcW w:w="4855"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约8口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89" w:type="dxa"/>
                  <w:noWrap w:val="0"/>
                  <w:vAlign w:val="center"/>
                </w:tcPr>
                <w:p>
                  <w:pPr>
                    <w:spacing w:line="240" w:lineRule="atLeast"/>
                    <w:jc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单井每日抽水量</w:t>
                  </w:r>
                </w:p>
              </w:tc>
              <w:tc>
                <w:tcPr>
                  <w:tcW w:w="4855"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5.52t/d（0.23m</w:t>
                  </w:r>
                  <w:r>
                    <w:rPr>
                      <w:rFonts w:hint="eastAsia" w:ascii="Times New Roman" w:hAnsi="Times New Roman"/>
                      <w:color w:val="000000"/>
                      <w:kern w:val="0"/>
                      <w:szCs w:val="21"/>
                      <w:highlight w:val="none"/>
                      <w:vertAlign w:val="superscript"/>
                      <w:lang w:val="en-US" w:eastAsia="zh-CN"/>
                    </w:rPr>
                    <w:t>3</w:t>
                  </w:r>
                  <w:r>
                    <w:rPr>
                      <w:rFonts w:hint="eastAsia" w:ascii="Times New Roman" w:hAnsi="Times New Roman"/>
                      <w:color w:val="000000"/>
                      <w:kern w:val="0"/>
                      <w:szCs w:val="21"/>
                      <w:highlight w:val="none"/>
                      <w:lang w:val="en-US" w:eastAsia="zh-CN"/>
                    </w:rPr>
                    <w:t>/h）</w:t>
                  </w:r>
                </w:p>
              </w:tc>
            </w:tr>
          </w:tbl>
          <w:p>
            <w:pPr>
              <w:spacing w:line="360" w:lineRule="auto"/>
              <w:ind w:firstLine="472" w:firstLineChars="196"/>
              <w:jc w:val="center"/>
              <w:rPr>
                <w:rFonts w:hint="eastAsia" w:ascii="Times New Roman" w:hAnsi="Times New Roman"/>
                <w:b/>
                <w:bCs/>
                <w:kern w:val="0"/>
                <w:sz w:val="24"/>
                <w:highlight w:val="none"/>
                <w:lang w:eastAsia="zh-CN"/>
              </w:rPr>
            </w:pPr>
          </w:p>
          <w:p>
            <w:pPr>
              <w:spacing w:line="360" w:lineRule="auto"/>
              <w:ind w:firstLine="472" w:firstLineChars="196"/>
              <w:jc w:val="center"/>
              <w:rPr>
                <w:rFonts w:hint="eastAsia" w:ascii="Times New Roman" w:hAnsi="Times New Roman"/>
                <w:b/>
                <w:bCs/>
                <w:kern w:val="0"/>
                <w:sz w:val="24"/>
                <w:highlight w:val="none"/>
                <w:lang w:eastAsia="zh-CN"/>
              </w:rPr>
            </w:pPr>
          </w:p>
          <w:p>
            <w:pPr>
              <w:spacing w:line="360" w:lineRule="auto"/>
              <w:ind w:firstLine="472" w:firstLineChars="196"/>
              <w:jc w:val="center"/>
              <w:rPr>
                <w:rFonts w:hint="eastAsia" w:ascii="Times New Roman" w:hAnsi="Times New Roman"/>
                <w:b/>
                <w:bCs/>
                <w:kern w:val="0"/>
                <w:sz w:val="24"/>
                <w:highlight w:val="none"/>
                <w:lang w:eastAsia="zh-CN"/>
              </w:rPr>
            </w:pPr>
            <w:r>
              <w:rPr>
                <w:rFonts w:hint="eastAsia" w:ascii="Times New Roman" w:hAnsi="Times New Roman"/>
                <w:b/>
                <w:bCs/>
                <w:kern w:val="0"/>
                <w:sz w:val="24"/>
                <w:highlight w:val="none"/>
                <w:lang w:eastAsia="zh-CN"/>
              </w:rPr>
              <w:t>表</w:t>
            </w:r>
            <w:r>
              <w:rPr>
                <w:rFonts w:hint="eastAsia" w:ascii="Times New Roman" w:hAnsi="Times New Roman"/>
                <w:b/>
                <w:bCs/>
                <w:kern w:val="0"/>
                <w:sz w:val="24"/>
                <w:highlight w:val="none"/>
                <w:lang w:val="en-US" w:eastAsia="zh-CN"/>
              </w:rPr>
              <w:t xml:space="preserve">1-2  </w:t>
            </w:r>
            <w:r>
              <w:rPr>
                <w:rFonts w:hint="eastAsia" w:ascii="Times New Roman" w:hAnsi="Times New Roman"/>
                <w:b/>
                <w:bCs/>
                <w:kern w:val="0"/>
                <w:sz w:val="24"/>
                <w:highlight w:val="none"/>
                <w:lang w:eastAsia="zh-CN"/>
              </w:rPr>
              <w:t>土壤水泥窑协同处置修复技术规模</w:t>
            </w:r>
          </w:p>
          <w:tbl>
            <w:tblPr>
              <w:tblStyle w:val="27"/>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136"/>
              <w:gridCol w:w="1100"/>
              <w:gridCol w:w="1050"/>
              <w:gridCol w:w="1017"/>
              <w:gridCol w:w="1165"/>
              <w:gridCol w:w="963"/>
              <w:gridCol w:w="963"/>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6" w:type="dxa"/>
                  <w:noWrap w:val="0"/>
                  <w:vAlign w:val="center"/>
                </w:tcPr>
                <w:p>
                  <w:pPr>
                    <w:spacing w:line="240" w:lineRule="atLeast"/>
                    <w:jc w:val="center"/>
                    <w:rPr>
                      <w:rFonts w:ascii="Times New Roman" w:hAnsi="Times New Roman"/>
                      <w:szCs w:val="21"/>
                      <w:highlight w:val="none"/>
                    </w:rPr>
                  </w:pPr>
                  <w:r>
                    <w:rPr>
                      <w:rFonts w:ascii="Times New Roman" w:hAnsi="Times New Roman"/>
                      <w:szCs w:val="21"/>
                      <w:highlight w:val="none"/>
                    </w:rPr>
                    <w:t>序号</w:t>
                  </w:r>
                </w:p>
              </w:tc>
              <w:tc>
                <w:tcPr>
                  <w:tcW w:w="1136" w:type="dxa"/>
                  <w:noWrap w:val="0"/>
                  <w:vAlign w:val="center"/>
                </w:tcPr>
                <w:p>
                  <w:pPr>
                    <w:spacing w:line="240" w:lineRule="atLeast"/>
                    <w:jc w:val="center"/>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修复区域类型</w:t>
                  </w:r>
                </w:p>
              </w:tc>
              <w:tc>
                <w:tcPr>
                  <w:tcW w:w="1100" w:type="dxa"/>
                  <w:noWrap w:val="0"/>
                  <w:vAlign w:val="center"/>
                </w:tcPr>
                <w:p>
                  <w:pPr>
                    <w:spacing w:line="240" w:lineRule="atLeast"/>
                    <w:jc w:val="center"/>
                    <w:rPr>
                      <w:rFonts w:ascii="Times New Roman" w:hAnsi="Times New Roman"/>
                      <w:szCs w:val="21"/>
                      <w:highlight w:val="none"/>
                    </w:rPr>
                  </w:pPr>
                  <w:r>
                    <w:rPr>
                      <w:rFonts w:hint="eastAsia" w:ascii="Times New Roman" w:hAnsi="Times New Roman"/>
                      <w:szCs w:val="21"/>
                      <w:highlight w:val="none"/>
                      <w:lang w:val="en-US" w:eastAsia="zh-CN"/>
                    </w:rPr>
                    <w:t>所属区块</w:t>
                  </w:r>
                </w:p>
              </w:tc>
              <w:tc>
                <w:tcPr>
                  <w:tcW w:w="1050" w:type="dxa"/>
                  <w:noWrap w:val="0"/>
                  <w:vAlign w:val="center"/>
                </w:tcPr>
                <w:p>
                  <w:pPr>
                    <w:spacing w:line="240" w:lineRule="atLeast"/>
                    <w:jc w:val="center"/>
                    <w:rPr>
                      <w:rFonts w:hint="eastAsia" w:ascii="Times New Roman" w:hAnsi="Times New Roman" w:eastAsia="宋体"/>
                      <w:szCs w:val="21"/>
                      <w:highlight w:val="none"/>
                      <w:lang w:eastAsia="zh-CN"/>
                    </w:rPr>
                  </w:pPr>
                  <w:r>
                    <w:rPr>
                      <w:rFonts w:hint="eastAsia" w:ascii="Times New Roman" w:hAnsi="Times New Roman"/>
                      <w:szCs w:val="21"/>
                      <w:highlight w:val="none"/>
                      <w:lang w:val="en-US" w:eastAsia="zh-CN"/>
                    </w:rPr>
                    <w:t>位置</w:t>
                  </w:r>
                </w:p>
              </w:tc>
              <w:tc>
                <w:tcPr>
                  <w:tcW w:w="1017" w:type="dxa"/>
                  <w:noWrap w:val="0"/>
                  <w:vAlign w:val="center"/>
                </w:tcPr>
                <w:p>
                  <w:pPr>
                    <w:spacing w:line="240" w:lineRule="atLeast"/>
                    <w:jc w:val="center"/>
                    <w:rPr>
                      <w:rFonts w:hint="eastAsia" w:ascii="Times New Roman" w:hAnsi="Times New Roman"/>
                      <w:szCs w:val="21"/>
                      <w:highlight w:val="none"/>
                      <w:lang w:val="en-US" w:eastAsia="zh-CN"/>
                    </w:rPr>
                  </w:pPr>
                  <w:r>
                    <w:rPr>
                      <w:rFonts w:hint="eastAsia" w:ascii="Times New Roman" w:hAnsi="Times New Roman"/>
                      <w:szCs w:val="21"/>
                      <w:highlight w:val="none"/>
                      <w:lang w:val="en-US" w:eastAsia="zh-CN"/>
                    </w:rPr>
                    <w:t>修复技术</w:t>
                  </w:r>
                </w:p>
              </w:tc>
              <w:tc>
                <w:tcPr>
                  <w:tcW w:w="1165" w:type="dxa"/>
                  <w:noWrap w:val="0"/>
                  <w:vAlign w:val="center"/>
                </w:tcPr>
                <w:p>
                  <w:pPr>
                    <w:spacing w:line="240" w:lineRule="atLeast"/>
                    <w:jc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修复目标值（mg/kg）</w:t>
                  </w:r>
                </w:p>
              </w:tc>
              <w:tc>
                <w:tcPr>
                  <w:tcW w:w="963" w:type="dxa"/>
                  <w:noWrap w:val="0"/>
                  <w:vAlign w:val="center"/>
                </w:tcPr>
                <w:p>
                  <w:pPr>
                    <w:spacing w:line="240" w:lineRule="atLeast"/>
                    <w:jc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修复面积（m</w:t>
                  </w:r>
                  <w:r>
                    <w:rPr>
                      <w:rFonts w:hint="eastAsia" w:ascii="Times New Roman" w:hAnsi="Times New Roman"/>
                      <w:szCs w:val="21"/>
                      <w:highlight w:val="none"/>
                      <w:vertAlign w:val="superscript"/>
                      <w:lang w:val="en-US" w:eastAsia="zh-CN"/>
                    </w:rPr>
                    <w:t>2</w:t>
                  </w:r>
                  <w:r>
                    <w:rPr>
                      <w:rFonts w:hint="eastAsia" w:ascii="Times New Roman" w:hAnsi="Times New Roman"/>
                      <w:szCs w:val="21"/>
                      <w:highlight w:val="none"/>
                      <w:lang w:val="en-US" w:eastAsia="zh-CN"/>
                    </w:rPr>
                    <w:t>）</w:t>
                  </w:r>
                </w:p>
              </w:tc>
              <w:tc>
                <w:tcPr>
                  <w:tcW w:w="963" w:type="dxa"/>
                  <w:noWrap w:val="0"/>
                  <w:vAlign w:val="center"/>
                </w:tcPr>
                <w:p>
                  <w:pPr>
                    <w:spacing w:line="240" w:lineRule="atLeast"/>
                    <w:jc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修复土层深度（m）</w:t>
                  </w:r>
                </w:p>
              </w:tc>
              <w:tc>
                <w:tcPr>
                  <w:tcW w:w="964" w:type="dxa"/>
                  <w:noWrap w:val="0"/>
                  <w:vAlign w:val="center"/>
                </w:tcPr>
                <w:p>
                  <w:pPr>
                    <w:spacing w:line="240" w:lineRule="atLeast"/>
                    <w:jc w:val="center"/>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修复土方量（m</w:t>
                  </w:r>
                  <w:r>
                    <w:rPr>
                      <w:rFonts w:hint="eastAsia" w:ascii="Times New Roman" w:hAnsi="Times New Roman"/>
                      <w:szCs w:val="21"/>
                      <w:highlight w:val="none"/>
                      <w:vertAlign w:val="superscript"/>
                      <w:lang w:val="en-US" w:eastAsia="zh-CN"/>
                    </w:rPr>
                    <w:t>3</w:t>
                  </w:r>
                  <w:r>
                    <w:rPr>
                      <w:rFonts w:hint="eastAsia" w:ascii="Times New Roman" w:hAnsi="Times New Roman"/>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486" w:type="dxa"/>
                  <w:noWrap w:val="0"/>
                  <w:vAlign w:val="center"/>
                </w:tcPr>
                <w:p>
                  <w:pPr>
                    <w:spacing w:line="240" w:lineRule="atLeast"/>
                    <w:jc w:val="center"/>
                    <w:rPr>
                      <w:rFonts w:ascii="Times New Roman" w:hAnsi="Times New Roman"/>
                      <w:szCs w:val="21"/>
                      <w:highlight w:val="none"/>
                    </w:rPr>
                  </w:pPr>
                  <w:r>
                    <w:rPr>
                      <w:rFonts w:ascii="Times New Roman" w:hAnsi="Times New Roman"/>
                      <w:szCs w:val="21"/>
                      <w:highlight w:val="none"/>
                    </w:rPr>
                    <w:t>1</w:t>
                  </w:r>
                </w:p>
              </w:tc>
              <w:tc>
                <w:tcPr>
                  <w:tcW w:w="1136" w:type="dxa"/>
                  <w:noWrap w:val="0"/>
                  <w:vAlign w:val="center"/>
                </w:tcPr>
                <w:p>
                  <w:pPr>
                    <w:widowControl/>
                    <w:jc w:val="center"/>
                    <w:rPr>
                      <w:rFonts w:ascii="Times New Roman" w:hAnsi="Times New Roman"/>
                      <w:color w:val="000000"/>
                      <w:kern w:val="0"/>
                      <w:szCs w:val="21"/>
                      <w:highlight w:val="none"/>
                    </w:rPr>
                  </w:pPr>
                  <w:r>
                    <w:rPr>
                      <w:rFonts w:hint="eastAsia" w:ascii="Times New Roman" w:hAnsi="Times New Roman"/>
                      <w:color w:val="000000"/>
                      <w:kern w:val="0"/>
                      <w:szCs w:val="21"/>
                      <w:highlight w:val="none"/>
                    </w:rPr>
                    <w:t>六价铬污染土壤修复区域</w:t>
                  </w:r>
                </w:p>
              </w:tc>
              <w:tc>
                <w:tcPr>
                  <w:tcW w:w="1100" w:type="dxa"/>
                  <w:noWrap w:val="0"/>
                  <w:vAlign w:val="center"/>
                </w:tcPr>
                <w:p>
                  <w:pPr>
                    <w:widowControl/>
                    <w:jc w:val="center"/>
                    <w:rPr>
                      <w:rFonts w:ascii="Times New Roman" w:hAnsi="Times New Roman"/>
                      <w:color w:val="000000"/>
                      <w:kern w:val="0"/>
                      <w:szCs w:val="21"/>
                      <w:highlight w:val="none"/>
                    </w:rPr>
                  </w:pPr>
                  <w:r>
                    <w:rPr>
                      <w:rFonts w:hint="eastAsia" w:ascii="Times New Roman" w:hAnsi="Times New Roman"/>
                      <w:color w:val="000000"/>
                      <w:kern w:val="0"/>
                      <w:szCs w:val="21"/>
                      <w:highlight w:val="none"/>
                    </w:rPr>
                    <w:t>FD003</w:t>
                  </w:r>
                </w:p>
              </w:tc>
              <w:tc>
                <w:tcPr>
                  <w:tcW w:w="1050"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电镀车间</w:t>
                  </w:r>
                </w:p>
              </w:tc>
              <w:tc>
                <w:tcPr>
                  <w:tcW w:w="1017" w:type="dxa"/>
                  <w:vMerge w:val="restart"/>
                  <w:noWrap w:val="0"/>
                  <w:vAlign w:val="center"/>
                </w:tcPr>
                <w:p>
                  <w:pPr>
                    <w:widowControl/>
                    <w:jc w:val="center"/>
                    <w:rPr>
                      <w:rFonts w:hint="eastAsia"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水泥窑协同处置</w:t>
                  </w:r>
                </w:p>
              </w:tc>
              <w:tc>
                <w:tcPr>
                  <w:tcW w:w="1165" w:type="dxa"/>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3.0</w:t>
                  </w:r>
                </w:p>
              </w:tc>
              <w:tc>
                <w:tcPr>
                  <w:tcW w:w="963" w:type="dxa"/>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1688.7</w:t>
                  </w:r>
                </w:p>
              </w:tc>
              <w:tc>
                <w:tcPr>
                  <w:tcW w:w="963" w:type="dxa"/>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0~4.0</w:t>
                  </w:r>
                </w:p>
              </w:tc>
              <w:tc>
                <w:tcPr>
                  <w:tcW w:w="964" w:type="dxa"/>
                  <w:noWrap w:val="0"/>
                  <w:vAlign w:val="center"/>
                </w:tcPr>
                <w:p>
                  <w:pPr>
                    <w:widowControl/>
                    <w:jc w:val="center"/>
                    <w:rPr>
                      <w:rFonts w:hint="default" w:ascii="Times New Roman" w:hAnsi="Times New Roman"/>
                      <w:color w:val="000000"/>
                      <w:kern w:val="0"/>
                      <w:szCs w:val="21"/>
                      <w:highlight w:val="none"/>
                      <w:lang w:val="en-US"/>
                    </w:rPr>
                  </w:pPr>
                  <w:r>
                    <w:rPr>
                      <w:rFonts w:hint="eastAsia" w:ascii="Times New Roman" w:hAnsi="Times New Roman"/>
                      <w:color w:val="000000"/>
                      <w:kern w:val="0"/>
                      <w:szCs w:val="21"/>
                      <w:highlight w:val="none"/>
                      <w:lang w:val="en-US" w:eastAsia="zh-CN"/>
                    </w:rPr>
                    <w:t>6754.8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486" w:type="dxa"/>
                  <w:noWrap w:val="0"/>
                  <w:vAlign w:val="center"/>
                </w:tcPr>
                <w:p>
                  <w:pPr>
                    <w:spacing w:line="240" w:lineRule="atLeast"/>
                    <w:jc w:val="center"/>
                    <w:rPr>
                      <w:rFonts w:hint="eastAsia" w:ascii="Times New Roman" w:hAnsi="Times New Roman" w:eastAsia="宋体"/>
                      <w:szCs w:val="21"/>
                      <w:highlight w:val="none"/>
                      <w:lang w:val="en-US" w:eastAsia="zh-CN"/>
                    </w:rPr>
                  </w:pPr>
                  <w:r>
                    <w:rPr>
                      <w:rFonts w:hint="eastAsia" w:ascii="Times New Roman" w:hAnsi="Times New Roman"/>
                      <w:szCs w:val="21"/>
                      <w:highlight w:val="none"/>
                      <w:lang w:val="en-US" w:eastAsia="zh-CN"/>
                    </w:rPr>
                    <w:t>2</w:t>
                  </w:r>
                </w:p>
              </w:tc>
              <w:tc>
                <w:tcPr>
                  <w:tcW w:w="1136" w:type="dxa"/>
                  <w:noWrap w:val="0"/>
                  <w:vAlign w:val="center"/>
                </w:tcPr>
                <w:p>
                  <w:pPr>
                    <w:widowControl/>
                    <w:jc w:val="center"/>
                    <w:rPr>
                      <w:rFonts w:hint="default" w:ascii="Times New Roman" w:hAnsi="Times New Roman"/>
                      <w:color w:val="000000"/>
                      <w:kern w:val="0"/>
                      <w:szCs w:val="21"/>
                      <w:highlight w:val="none"/>
                      <w:lang w:val="en-US"/>
                    </w:rPr>
                  </w:pPr>
                  <w:r>
                    <w:rPr>
                      <w:rFonts w:hint="default" w:ascii="Times New Roman" w:hAnsi="Times New Roman"/>
                      <w:color w:val="000000"/>
                      <w:kern w:val="0"/>
                      <w:szCs w:val="21"/>
                      <w:highlight w:val="none"/>
                      <w:lang w:val="en-US"/>
                    </w:rPr>
                    <w:t>总石油烃污染土壤修复区域</w:t>
                  </w:r>
                </w:p>
              </w:tc>
              <w:tc>
                <w:tcPr>
                  <w:tcW w:w="1100"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C8-2</w:t>
                  </w:r>
                </w:p>
              </w:tc>
              <w:tc>
                <w:tcPr>
                  <w:tcW w:w="1050"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铸造车间</w:t>
                  </w:r>
                </w:p>
              </w:tc>
              <w:tc>
                <w:tcPr>
                  <w:tcW w:w="1017" w:type="dxa"/>
                  <w:vMerge w:val="continue"/>
                  <w:noWrap w:val="0"/>
                  <w:vAlign w:val="center"/>
                </w:tcPr>
                <w:p>
                  <w:pPr>
                    <w:widowControl/>
                    <w:jc w:val="center"/>
                    <w:rPr>
                      <w:rFonts w:hint="eastAsia" w:ascii="Times New Roman" w:hAnsi="Times New Roman"/>
                      <w:color w:val="000000"/>
                      <w:kern w:val="0"/>
                      <w:szCs w:val="21"/>
                      <w:highlight w:val="none"/>
                      <w:lang w:val="en-US" w:eastAsia="zh-CN"/>
                    </w:rPr>
                  </w:pPr>
                </w:p>
              </w:tc>
              <w:tc>
                <w:tcPr>
                  <w:tcW w:w="1165" w:type="dxa"/>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2081</w:t>
                  </w:r>
                </w:p>
              </w:tc>
              <w:tc>
                <w:tcPr>
                  <w:tcW w:w="963" w:type="dxa"/>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1466.7</w:t>
                  </w:r>
                </w:p>
              </w:tc>
              <w:tc>
                <w:tcPr>
                  <w:tcW w:w="963" w:type="dxa"/>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0~1.0</w:t>
                  </w:r>
                </w:p>
              </w:tc>
              <w:tc>
                <w:tcPr>
                  <w:tcW w:w="964" w:type="dxa"/>
                  <w:noWrap w:val="0"/>
                  <w:vAlign w:val="center"/>
                </w:tcPr>
                <w:p>
                  <w:pPr>
                    <w:widowControl/>
                    <w:jc w:val="center"/>
                    <w:rPr>
                      <w:rFonts w:hint="default" w:ascii="Times New Roman" w:hAnsi="Times New Roman"/>
                      <w:color w:val="000000"/>
                      <w:kern w:val="0"/>
                      <w:szCs w:val="21"/>
                      <w:highlight w:val="none"/>
                      <w:lang w:val="en-US"/>
                    </w:rPr>
                  </w:pPr>
                  <w:r>
                    <w:rPr>
                      <w:rFonts w:hint="eastAsia" w:ascii="Times New Roman" w:hAnsi="Times New Roman"/>
                      <w:color w:val="000000"/>
                      <w:kern w:val="0"/>
                      <w:szCs w:val="21"/>
                      <w:highlight w:val="none"/>
                      <w:lang w:val="en-US" w:eastAsia="zh-CN"/>
                    </w:rPr>
                    <w:t>1466.7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5954" w:type="dxa"/>
                  <w:gridSpan w:val="6"/>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合计</w:t>
                  </w:r>
                </w:p>
              </w:tc>
              <w:tc>
                <w:tcPr>
                  <w:tcW w:w="963" w:type="dxa"/>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3155.4</w:t>
                  </w:r>
                </w:p>
              </w:tc>
              <w:tc>
                <w:tcPr>
                  <w:tcW w:w="963" w:type="dxa"/>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w:t>
                  </w:r>
                </w:p>
              </w:tc>
              <w:tc>
                <w:tcPr>
                  <w:tcW w:w="964" w:type="dxa"/>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8221.5</w:t>
                  </w:r>
                </w:p>
              </w:tc>
            </w:tr>
          </w:tbl>
          <w:p>
            <w:pPr>
              <w:spacing w:line="360" w:lineRule="auto"/>
              <w:jc w:val="both"/>
              <w:rPr>
                <w:rFonts w:hint="eastAsia" w:ascii="Times New Roman" w:hAnsi="Times New Roman"/>
                <w:kern w:val="0"/>
                <w:sz w:val="24"/>
                <w:highlight w:val="none"/>
                <w:lang w:eastAsia="zh-CN"/>
              </w:rPr>
            </w:pPr>
            <w:r>
              <w:drawing>
                <wp:inline distT="0" distB="0" distL="114300" distR="114300">
                  <wp:extent cx="5728970" cy="3638550"/>
                  <wp:effectExtent l="0" t="0" r="508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728970" cy="3638550"/>
                          </a:xfrm>
                          <a:prstGeom prst="rect">
                            <a:avLst/>
                          </a:prstGeom>
                          <a:noFill/>
                          <a:ln>
                            <a:noFill/>
                          </a:ln>
                        </pic:spPr>
                      </pic:pic>
                    </a:graphicData>
                  </a:graphic>
                </wp:inline>
              </w:drawing>
            </w:r>
          </w:p>
          <w:p>
            <w:pPr>
              <w:spacing w:line="360" w:lineRule="auto"/>
              <w:ind w:firstLine="472" w:firstLineChars="196"/>
              <w:jc w:val="center"/>
              <w:rPr>
                <w:rFonts w:hint="eastAsia" w:ascii="Times New Roman" w:hAnsi="Times New Roman"/>
                <w:b/>
                <w:bCs/>
                <w:kern w:val="0"/>
                <w:sz w:val="24"/>
                <w:highlight w:val="none"/>
                <w:lang w:eastAsia="zh-CN"/>
              </w:rPr>
            </w:pPr>
            <w:r>
              <w:rPr>
                <w:rFonts w:hint="eastAsia" w:ascii="Times New Roman" w:hAnsi="Times New Roman"/>
                <w:b/>
                <w:bCs/>
                <w:kern w:val="0"/>
                <w:sz w:val="24"/>
                <w:highlight w:val="none"/>
                <w:lang w:eastAsia="zh-CN"/>
              </w:rPr>
              <w:t>图</w:t>
            </w:r>
            <w:r>
              <w:rPr>
                <w:rFonts w:hint="eastAsia" w:ascii="Times New Roman" w:hAnsi="Times New Roman"/>
                <w:b/>
                <w:bCs/>
                <w:kern w:val="0"/>
                <w:sz w:val="24"/>
                <w:highlight w:val="none"/>
                <w:lang w:val="en-US" w:eastAsia="zh-CN"/>
              </w:rPr>
              <w:t>1</w:t>
            </w:r>
            <w:r>
              <w:rPr>
                <w:rFonts w:hint="eastAsia" w:ascii="Times New Roman" w:hAnsi="Times New Roman"/>
                <w:b/>
                <w:bCs/>
                <w:kern w:val="0"/>
                <w:sz w:val="24"/>
                <w:highlight w:val="none"/>
                <w:lang w:eastAsia="zh-CN"/>
              </w:rPr>
              <w:t>-</w:t>
            </w:r>
            <w:r>
              <w:rPr>
                <w:rFonts w:hint="eastAsia" w:ascii="Times New Roman" w:hAnsi="Times New Roman"/>
                <w:b/>
                <w:bCs/>
                <w:kern w:val="0"/>
                <w:sz w:val="24"/>
                <w:highlight w:val="none"/>
                <w:lang w:val="en-US" w:eastAsia="zh-CN"/>
              </w:rPr>
              <w:t>3</w:t>
            </w:r>
            <w:r>
              <w:rPr>
                <w:rFonts w:hint="eastAsia" w:ascii="Times New Roman" w:hAnsi="Times New Roman"/>
                <w:b/>
                <w:bCs/>
                <w:kern w:val="0"/>
                <w:sz w:val="24"/>
                <w:highlight w:val="none"/>
                <w:lang w:eastAsia="zh-CN"/>
              </w:rPr>
              <w:t>土壤中六价铬修复范围图</w:t>
            </w:r>
          </w:p>
          <w:p>
            <w:pPr>
              <w:spacing w:line="360" w:lineRule="auto"/>
              <w:ind w:firstLine="470" w:firstLineChars="196"/>
              <w:jc w:val="both"/>
              <w:rPr>
                <w:rFonts w:hint="eastAsia" w:ascii="Times New Roman" w:hAnsi="Times New Roman"/>
                <w:kern w:val="0"/>
                <w:sz w:val="24"/>
                <w:highlight w:val="none"/>
                <w:lang w:eastAsia="zh-CN"/>
              </w:rPr>
            </w:pPr>
          </w:p>
          <w:p>
            <w:pPr>
              <w:pStyle w:val="7"/>
              <w:rPr>
                <w:rFonts w:hint="eastAsia" w:ascii="Times New Roman" w:hAnsi="Times New Roman"/>
                <w:kern w:val="0"/>
                <w:sz w:val="24"/>
                <w:highlight w:val="none"/>
                <w:lang w:eastAsia="zh-CN"/>
              </w:rPr>
            </w:pPr>
          </w:p>
          <w:p>
            <w:pPr>
              <w:rPr>
                <w:rFonts w:hint="eastAsia" w:ascii="Times New Roman" w:hAnsi="Times New Roman"/>
                <w:kern w:val="0"/>
                <w:sz w:val="24"/>
                <w:highlight w:val="none"/>
                <w:lang w:eastAsia="zh-CN"/>
              </w:rPr>
            </w:pPr>
          </w:p>
          <w:p>
            <w:pPr>
              <w:rPr>
                <w:rFonts w:hint="eastAsia"/>
                <w:lang w:eastAsia="zh-CN"/>
              </w:rPr>
            </w:pPr>
          </w:p>
          <w:p>
            <w:pPr>
              <w:spacing w:line="360" w:lineRule="auto"/>
              <w:jc w:val="both"/>
            </w:pPr>
            <w:r>
              <w:drawing>
                <wp:inline distT="0" distB="0" distL="114300" distR="114300">
                  <wp:extent cx="5724525" cy="3639185"/>
                  <wp:effectExtent l="0" t="0" r="9525" b="184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5724525" cy="3639185"/>
                          </a:xfrm>
                          <a:prstGeom prst="rect">
                            <a:avLst/>
                          </a:prstGeom>
                          <a:noFill/>
                          <a:ln>
                            <a:noFill/>
                          </a:ln>
                        </pic:spPr>
                      </pic:pic>
                    </a:graphicData>
                  </a:graphic>
                </wp:inline>
              </w:drawing>
            </w:r>
          </w:p>
          <w:p>
            <w:pPr>
              <w:spacing w:line="360" w:lineRule="auto"/>
              <w:ind w:firstLine="472" w:firstLineChars="196"/>
              <w:jc w:val="center"/>
              <w:rPr>
                <w:rFonts w:hint="eastAsia" w:ascii="Times New Roman" w:hAnsi="Times New Roman"/>
                <w:b/>
                <w:bCs/>
                <w:kern w:val="0"/>
                <w:sz w:val="24"/>
                <w:highlight w:val="none"/>
                <w:lang w:eastAsia="zh-CN"/>
              </w:rPr>
            </w:pPr>
            <w:r>
              <w:rPr>
                <w:rFonts w:hint="eastAsia" w:ascii="Times New Roman" w:hAnsi="Times New Roman"/>
                <w:b/>
                <w:bCs/>
                <w:kern w:val="0"/>
                <w:sz w:val="24"/>
                <w:highlight w:val="none"/>
                <w:lang w:eastAsia="zh-CN"/>
              </w:rPr>
              <w:t>图</w:t>
            </w:r>
            <w:r>
              <w:rPr>
                <w:rFonts w:hint="eastAsia" w:ascii="Times New Roman" w:hAnsi="Times New Roman"/>
                <w:b/>
                <w:bCs/>
                <w:kern w:val="0"/>
                <w:sz w:val="24"/>
                <w:highlight w:val="none"/>
                <w:lang w:val="en-US" w:eastAsia="zh-CN"/>
              </w:rPr>
              <w:t>1</w:t>
            </w:r>
            <w:r>
              <w:rPr>
                <w:rFonts w:hint="eastAsia" w:ascii="Times New Roman" w:hAnsi="Times New Roman"/>
                <w:b/>
                <w:bCs/>
                <w:kern w:val="0"/>
                <w:sz w:val="24"/>
                <w:highlight w:val="none"/>
                <w:lang w:eastAsia="zh-CN"/>
              </w:rPr>
              <w:t>-</w:t>
            </w:r>
            <w:r>
              <w:rPr>
                <w:rFonts w:hint="eastAsia" w:ascii="Times New Roman" w:hAnsi="Times New Roman"/>
                <w:b/>
                <w:bCs/>
                <w:kern w:val="0"/>
                <w:sz w:val="24"/>
                <w:highlight w:val="none"/>
                <w:lang w:val="en-US" w:eastAsia="zh-CN"/>
              </w:rPr>
              <w:t xml:space="preserve">4  </w:t>
            </w:r>
            <w:r>
              <w:rPr>
                <w:rFonts w:hint="eastAsia" w:ascii="Times New Roman" w:hAnsi="Times New Roman"/>
                <w:b/>
                <w:bCs/>
                <w:kern w:val="0"/>
                <w:sz w:val="24"/>
                <w:highlight w:val="none"/>
                <w:lang w:eastAsia="zh-CN"/>
              </w:rPr>
              <w:t>土壤中</w:t>
            </w:r>
            <w:r>
              <w:rPr>
                <w:rFonts w:hint="eastAsia" w:ascii="Times New Roman" w:hAnsi="Times New Roman"/>
                <w:b/>
                <w:bCs/>
                <w:kern w:val="0"/>
                <w:sz w:val="24"/>
                <w:highlight w:val="none"/>
                <w:lang w:val="en-US" w:eastAsia="zh-CN"/>
              </w:rPr>
              <w:t>总石油烃</w:t>
            </w:r>
            <w:r>
              <w:rPr>
                <w:rFonts w:hint="eastAsia" w:ascii="Times New Roman" w:hAnsi="Times New Roman"/>
                <w:b/>
                <w:bCs/>
                <w:kern w:val="0"/>
                <w:sz w:val="24"/>
                <w:highlight w:val="none"/>
                <w:lang w:eastAsia="zh-CN"/>
              </w:rPr>
              <w:t>修复范围图</w:t>
            </w:r>
          </w:p>
          <w:p>
            <w:pPr>
              <w:spacing w:line="360" w:lineRule="auto"/>
              <w:ind w:firstLine="472" w:firstLineChars="196"/>
              <w:jc w:val="center"/>
              <w:rPr>
                <w:rFonts w:hint="eastAsia" w:ascii="Times New Roman" w:hAnsi="Times New Roman"/>
                <w:b/>
                <w:bCs/>
                <w:kern w:val="0"/>
                <w:sz w:val="24"/>
                <w:highlight w:val="none"/>
                <w:lang w:eastAsia="zh-CN"/>
              </w:rPr>
            </w:pPr>
            <w:r>
              <w:rPr>
                <w:rFonts w:hint="eastAsia" w:ascii="Times New Roman" w:hAnsi="Times New Roman"/>
                <w:b/>
                <w:bCs/>
                <w:kern w:val="0"/>
                <w:sz w:val="24"/>
                <w:highlight w:val="none"/>
                <w:lang w:val="en-US" w:eastAsia="zh-CN"/>
              </w:rPr>
              <w:t xml:space="preserve">表1-3  </w:t>
            </w:r>
            <w:r>
              <w:rPr>
                <w:rFonts w:hint="eastAsia" w:ascii="Times New Roman" w:hAnsi="Times New Roman"/>
                <w:b/>
                <w:bCs/>
                <w:kern w:val="0"/>
                <w:sz w:val="24"/>
                <w:highlight w:val="none"/>
                <w:lang w:eastAsia="zh-CN"/>
              </w:rPr>
              <w:t>地下水抽出处理修复技术应用规模</w:t>
            </w:r>
          </w:p>
          <w:tbl>
            <w:tblPr>
              <w:tblStyle w:val="27"/>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136"/>
              <w:gridCol w:w="1100"/>
              <w:gridCol w:w="1050"/>
              <w:gridCol w:w="1017"/>
              <w:gridCol w:w="1165"/>
              <w:gridCol w:w="963"/>
              <w:gridCol w:w="963"/>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6" w:type="dxa"/>
                  <w:noWrap w:val="0"/>
                  <w:vAlign w:val="center"/>
                </w:tcPr>
                <w:p>
                  <w:pPr>
                    <w:spacing w:line="240" w:lineRule="atLeast"/>
                    <w:jc w:val="center"/>
                    <w:rPr>
                      <w:rFonts w:ascii="Times New Roman" w:hAnsi="Times New Roman"/>
                      <w:szCs w:val="21"/>
                      <w:highlight w:val="none"/>
                    </w:rPr>
                  </w:pPr>
                  <w:r>
                    <w:rPr>
                      <w:rFonts w:ascii="Times New Roman" w:hAnsi="Times New Roman"/>
                      <w:szCs w:val="21"/>
                      <w:highlight w:val="none"/>
                    </w:rPr>
                    <w:t>序号</w:t>
                  </w:r>
                </w:p>
              </w:tc>
              <w:tc>
                <w:tcPr>
                  <w:tcW w:w="1136" w:type="dxa"/>
                  <w:noWrap w:val="0"/>
                  <w:vAlign w:val="center"/>
                </w:tcPr>
                <w:p>
                  <w:pPr>
                    <w:spacing w:line="240" w:lineRule="atLeast"/>
                    <w:jc w:val="center"/>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污染物</w:t>
                  </w:r>
                </w:p>
              </w:tc>
              <w:tc>
                <w:tcPr>
                  <w:tcW w:w="1100" w:type="dxa"/>
                  <w:noWrap w:val="0"/>
                  <w:vAlign w:val="center"/>
                </w:tcPr>
                <w:p>
                  <w:pPr>
                    <w:spacing w:line="240" w:lineRule="atLeast"/>
                    <w:jc w:val="center"/>
                    <w:rPr>
                      <w:rFonts w:ascii="Times New Roman" w:hAnsi="Times New Roman"/>
                      <w:szCs w:val="21"/>
                      <w:highlight w:val="none"/>
                    </w:rPr>
                  </w:pPr>
                  <w:r>
                    <w:rPr>
                      <w:rFonts w:hint="eastAsia" w:ascii="Times New Roman" w:hAnsi="Times New Roman"/>
                      <w:szCs w:val="21"/>
                      <w:highlight w:val="none"/>
                      <w:lang w:val="en-US" w:eastAsia="zh-CN"/>
                    </w:rPr>
                    <w:t>所属区块</w:t>
                  </w:r>
                </w:p>
              </w:tc>
              <w:tc>
                <w:tcPr>
                  <w:tcW w:w="1050" w:type="dxa"/>
                  <w:noWrap w:val="0"/>
                  <w:vAlign w:val="center"/>
                </w:tcPr>
                <w:p>
                  <w:pPr>
                    <w:spacing w:line="240" w:lineRule="atLeast"/>
                    <w:jc w:val="center"/>
                    <w:rPr>
                      <w:rFonts w:hint="eastAsia" w:ascii="Times New Roman" w:hAnsi="Times New Roman" w:eastAsia="宋体"/>
                      <w:szCs w:val="21"/>
                      <w:highlight w:val="none"/>
                      <w:lang w:eastAsia="zh-CN"/>
                    </w:rPr>
                  </w:pPr>
                  <w:r>
                    <w:rPr>
                      <w:rFonts w:hint="eastAsia" w:ascii="Times New Roman" w:hAnsi="Times New Roman"/>
                      <w:szCs w:val="21"/>
                      <w:highlight w:val="none"/>
                      <w:lang w:val="en-US" w:eastAsia="zh-CN"/>
                    </w:rPr>
                    <w:t>位置</w:t>
                  </w:r>
                </w:p>
              </w:tc>
              <w:tc>
                <w:tcPr>
                  <w:tcW w:w="1017" w:type="dxa"/>
                  <w:noWrap w:val="0"/>
                  <w:vAlign w:val="center"/>
                </w:tcPr>
                <w:p>
                  <w:pPr>
                    <w:spacing w:line="240" w:lineRule="atLeast"/>
                    <w:jc w:val="center"/>
                    <w:rPr>
                      <w:rFonts w:hint="eastAsia" w:ascii="Times New Roman" w:hAnsi="Times New Roman"/>
                      <w:szCs w:val="21"/>
                      <w:highlight w:val="none"/>
                      <w:lang w:val="en-US" w:eastAsia="zh-CN"/>
                    </w:rPr>
                  </w:pPr>
                  <w:r>
                    <w:rPr>
                      <w:rFonts w:hint="eastAsia" w:ascii="Times New Roman" w:hAnsi="Times New Roman"/>
                      <w:szCs w:val="21"/>
                      <w:highlight w:val="none"/>
                      <w:lang w:val="en-US" w:eastAsia="zh-CN"/>
                    </w:rPr>
                    <w:t>修复技术</w:t>
                  </w:r>
                </w:p>
              </w:tc>
              <w:tc>
                <w:tcPr>
                  <w:tcW w:w="1165" w:type="dxa"/>
                  <w:noWrap w:val="0"/>
                  <w:vAlign w:val="center"/>
                </w:tcPr>
                <w:p>
                  <w:pPr>
                    <w:spacing w:line="240" w:lineRule="atLeast"/>
                    <w:jc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修复目标值（mg/L）</w:t>
                  </w:r>
                </w:p>
              </w:tc>
              <w:tc>
                <w:tcPr>
                  <w:tcW w:w="963" w:type="dxa"/>
                  <w:noWrap w:val="0"/>
                  <w:vAlign w:val="center"/>
                </w:tcPr>
                <w:p>
                  <w:pPr>
                    <w:spacing w:line="240" w:lineRule="atLeast"/>
                    <w:jc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修复面积（m</w:t>
                  </w:r>
                  <w:r>
                    <w:rPr>
                      <w:rFonts w:hint="eastAsia" w:ascii="Times New Roman" w:hAnsi="Times New Roman"/>
                      <w:szCs w:val="21"/>
                      <w:highlight w:val="none"/>
                      <w:vertAlign w:val="superscript"/>
                      <w:lang w:val="en-US" w:eastAsia="zh-CN"/>
                    </w:rPr>
                    <w:t>2</w:t>
                  </w:r>
                  <w:r>
                    <w:rPr>
                      <w:rFonts w:hint="eastAsia" w:ascii="Times New Roman" w:hAnsi="Times New Roman"/>
                      <w:szCs w:val="21"/>
                      <w:highlight w:val="none"/>
                      <w:lang w:val="en-US" w:eastAsia="zh-CN"/>
                    </w:rPr>
                    <w:t>）</w:t>
                  </w:r>
                </w:p>
              </w:tc>
              <w:tc>
                <w:tcPr>
                  <w:tcW w:w="963" w:type="dxa"/>
                  <w:noWrap w:val="0"/>
                  <w:vAlign w:val="center"/>
                </w:tcPr>
                <w:p>
                  <w:pPr>
                    <w:spacing w:line="240" w:lineRule="atLeast"/>
                    <w:jc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含水层厚度（m）</w:t>
                  </w:r>
                </w:p>
              </w:tc>
              <w:tc>
                <w:tcPr>
                  <w:tcW w:w="964" w:type="dxa"/>
                  <w:noWrap w:val="0"/>
                  <w:vAlign w:val="center"/>
                </w:tcPr>
                <w:p>
                  <w:pPr>
                    <w:spacing w:line="240" w:lineRule="atLeast"/>
                    <w:jc w:val="center"/>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修复水量（m</w:t>
                  </w:r>
                  <w:r>
                    <w:rPr>
                      <w:rFonts w:hint="eastAsia" w:ascii="Times New Roman" w:hAnsi="Times New Roman"/>
                      <w:szCs w:val="21"/>
                      <w:highlight w:val="none"/>
                      <w:vertAlign w:val="superscript"/>
                      <w:lang w:val="en-US" w:eastAsia="zh-CN"/>
                    </w:rPr>
                    <w:t>3</w:t>
                  </w:r>
                  <w:r>
                    <w:rPr>
                      <w:rFonts w:hint="eastAsia" w:ascii="Times New Roman" w:hAnsi="Times New Roman"/>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486" w:type="dxa"/>
                  <w:noWrap w:val="0"/>
                  <w:vAlign w:val="center"/>
                </w:tcPr>
                <w:p>
                  <w:pPr>
                    <w:spacing w:line="240" w:lineRule="atLeast"/>
                    <w:jc w:val="center"/>
                    <w:rPr>
                      <w:rFonts w:ascii="Times New Roman" w:hAnsi="Times New Roman"/>
                      <w:szCs w:val="21"/>
                      <w:highlight w:val="none"/>
                    </w:rPr>
                  </w:pPr>
                  <w:r>
                    <w:rPr>
                      <w:rFonts w:ascii="Times New Roman" w:hAnsi="Times New Roman"/>
                      <w:szCs w:val="21"/>
                      <w:highlight w:val="none"/>
                    </w:rPr>
                    <w:t>1</w:t>
                  </w:r>
                </w:p>
              </w:tc>
              <w:tc>
                <w:tcPr>
                  <w:tcW w:w="1136" w:type="dxa"/>
                  <w:noWrap w:val="0"/>
                  <w:vAlign w:val="center"/>
                </w:tcPr>
                <w:p>
                  <w:pPr>
                    <w:widowControl/>
                    <w:jc w:val="center"/>
                    <w:rPr>
                      <w:rFonts w:ascii="Times New Roman" w:hAnsi="Times New Roman"/>
                      <w:color w:val="000000"/>
                      <w:kern w:val="0"/>
                      <w:szCs w:val="21"/>
                      <w:highlight w:val="none"/>
                    </w:rPr>
                  </w:pPr>
                  <w:r>
                    <w:rPr>
                      <w:rFonts w:hint="eastAsia" w:ascii="Times New Roman" w:hAnsi="Times New Roman"/>
                      <w:color w:val="000000"/>
                      <w:kern w:val="0"/>
                      <w:szCs w:val="21"/>
                      <w:highlight w:val="none"/>
                    </w:rPr>
                    <w:t>六价铬</w:t>
                  </w:r>
                </w:p>
              </w:tc>
              <w:tc>
                <w:tcPr>
                  <w:tcW w:w="1100"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rPr>
                    <w:t>FD003</w:t>
                  </w:r>
                  <w:r>
                    <w:rPr>
                      <w:rFonts w:hint="eastAsia" w:ascii="Times New Roman" w:hAnsi="Times New Roman"/>
                      <w:color w:val="000000"/>
                      <w:kern w:val="0"/>
                      <w:szCs w:val="21"/>
                      <w:highlight w:val="none"/>
                      <w:lang w:val="en-US" w:eastAsia="zh-CN"/>
                    </w:rPr>
                    <w:t>-GW</w:t>
                  </w:r>
                </w:p>
              </w:tc>
              <w:tc>
                <w:tcPr>
                  <w:tcW w:w="1050" w:type="dxa"/>
                  <w:vMerge w:val="restart"/>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电镀车间、铸造车间</w:t>
                  </w:r>
                </w:p>
              </w:tc>
              <w:tc>
                <w:tcPr>
                  <w:tcW w:w="1017" w:type="dxa"/>
                  <w:vMerge w:val="restart"/>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抽出处理</w:t>
                  </w:r>
                </w:p>
              </w:tc>
              <w:tc>
                <w:tcPr>
                  <w:tcW w:w="1165" w:type="dxa"/>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0.1</w:t>
                  </w:r>
                </w:p>
              </w:tc>
              <w:tc>
                <w:tcPr>
                  <w:tcW w:w="963" w:type="dxa"/>
                  <w:vMerge w:val="restart"/>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12068.6</w:t>
                  </w:r>
                </w:p>
              </w:tc>
              <w:tc>
                <w:tcPr>
                  <w:tcW w:w="963" w:type="dxa"/>
                  <w:vMerge w:val="restart"/>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3.63</w:t>
                  </w:r>
                </w:p>
              </w:tc>
              <w:tc>
                <w:tcPr>
                  <w:tcW w:w="964" w:type="dxa"/>
                  <w:vMerge w:val="restart"/>
                  <w:noWrap w:val="0"/>
                  <w:vAlign w:val="center"/>
                </w:tcPr>
                <w:p>
                  <w:pPr>
                    <w:widowControl/>
                    <w:jc w:val="center"/>
                    <w:rPr>
                      <w:rFonts w:hint="default" w:ascii="Times New Roman" w:hAnsi="Times New Roman"/>
                      <w:color w:val="000000"/>
                      <w:kern w:val="0"/>
                      <w:szCs w:val="21"/>
                      <w:highlight w:val="none"/>
                      <w:lang w:val="en-US"/>
                    </w:rPr>
                  </w:pPr>
                  <w:r>
                    <w:rPr>
                      <w:rFonts w:hint="eastAsia" w:ascii="Times New Roman" w:hAnsi="Times New Roman"/>
                      <w:color w:val="000000"/>
                      <w:kern w:val="0"/>
                      <w:szCs w:val="21"/>
                      <w:highlight w:val="none"/>
                      <w:lang w:val="en-US" w:eastAsia="zh-CN"/>
                    </w:rPr>
                    <w:t>15464.6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486" w:type="dxa"/>
                  <w:noWrap w:val="0"/>
                  <w:vAlign w:val="center"/>
                </w:tcPr>
                <w:p>
                  <w:pPr>
                    <w:spacing w:line="240" w:lineRule="atLeast"/>
                    <w:jc w:val="center"/>
                    <w:rPr>
                      <w:rFonts w:hint="eastAsia" w:ascii="Times New Roman" w:hAnsi="Times New Roman" w:eastAsia="宋体"/>
                      <w:szCs w:val="21"/>
                      <w:highlight w:val="none"/>
                      <w:lang w:val="en-US" w:eastAsia="zh-CN"/>
                    </w:rPr>
                  </w:pPr>
                  <w:r>
                    <w:rPr>
                      <w:rFonts w:hint="eastAsia" w:ascii="Times New Roman" w:hAnsi="Times New Roman"/>
                      <w:szCs w:val="21"/>
                      <w:highlight w:val="none"/>
                      <w:lang w:val="en-US" w:eastAsia="zh-CN"/>
                    </w:rPr>
                    <w:t>2</w:t>
                  </w:r>
                </w:p>
              </w:tc>
              <w:tc>
                <w:tcPr>
                  <w:tcW w:w="1136" w:type="dxa"/>
                  <w:vMerge w:val="restart"/>
                  <w:noWrap w:val="0"/>
                  <w:vAlign w:val="center"/>
                </w:tcPr>
                <w:p>
                  <w:pPr>
                    <w:widowControl/>
                    <w:jc w:val="center"/>
                    <w:rPr>
                      <w:rFonts w:hint="default" w:ascii="Times New Roman" w:hAnsi="Times New Roman"/>
                      <w:color w:val="000000"/>
                      <w:kern w:val="0"/>
                      <w:szCs w:val="21"/>
                      <w:highlight w:val="none"/>
                      <w:lang w:val="en-US"/>
                    </w:rPr>
                  </w:pPr>
                  <w:r>
                    <w:rPr>
                      <w:rFonts w:hint="default" w:ascii="Times New Roman" w:hAnsi="Times New Roman"/>
                      <w:color w:val="000000"/>
                      <w:kern w:val="0"/>
                      <w:szCs w:val="21"/>
                      <w:highlight w:val="none"/>
                      <w:lang w:val="en-US"/>
                    </w:rPr>
                    <w:t>总石油烃</w:t>
                  </w:r>
                </w:p>
              </w:tc>
              <w:tc>
                <w:tcPr>
                  <w:tcW w:w="1100" w:type="dxa"/>
                  <w:noWrap w:val="0"/>
                  <w:vAlign w:val="center"/>
                </w:tcPr>
                <w:p>
                  <w:pPr>
                    <w:widowControl/>
                    <w:jc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G8-GW</w:t>
                  </w:r>
                </w:p>
              </w:tc>
              <w:tc>
                <w:tcPr>
                  <w:tcW w:w="1050" w:type="dxa"/>
                  <w:vMerge w:val="continue"/>
                  <w:noWrap w:val="0"/>
                  <w:vAlign w:val="center"/>
                </w:tcPr>
                <w:p>
                  <w:pPr>
                    <w:widowControl/>
                    <w:jc w:val="center"/>
                    <w:rPr>
                      <w:rFonts w:hint="default" w:ascii="Times New Roman" w:hAnsi="Times New Roman" w:eastAsia="宋体"/>
                      <w:color w:val="000000"/>
                      <w:kern w:val="0"/>
                      <w:szCs w:val="21"/>
                      <w:highlight w:val="none"/>
                      <w:lang w:val="en-US" w:eastAsia="zh-CN"/>
                    </w:rPr>
                  </w:pPr>
                </w:p>
              </w:tc>
              <w:tc>
                <w:tcPr>
                  <w:tcW w:w="1017" w:type="dxa"/>
                  <w:vMerge w:val="continue"/>
                  <w:noWrap w:val="0"/>
                  <w:vAlign w:val="center"/>
                </w:tcPr>
                <w:p>
                  <w:pPr>
                    <w:widowControl/>
                    <w:jc w:val="center"/>
                    <w:rPr>
                      <w:rFonts w:hint="eastAsia" w:ascii="Times New Roman" w:hAnsi="Times New Roman"/>
                      <w:color w:val="000000"/>
                      <w:kern w:val="0"/>
                      <w:szCs w:val="21"/>
                      <w:highlight w:val="none"/>
                      <w:lang w:val="en-US" w:eastAsia="zh-CN"/>
                    </w:rPr>
                  </w:pPr>
                </w:p>
              </w:tc>
              <w:tc>
                <w:tcPr>
                  <w:tcW w:w="1165" w:type="dxa"/>
                  <w:vMerge w:val="restart"/>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1.14</w:t>
                  </w:r>
                </w:p>
              </w:tc>
              <w:tc>
                <w:tcPr>
                  <w:tcW w:w="963" w:type="dxa"/>
                  <w:vMerge w:val="continue"/>
                  <w:noWrap w:val="0"/>
                  <w:vAlign w:val="center"/>
                </w:tcPr>
                <w:p>
                  <w:pPr>
                    <w:widowControl/>
                    <w:jc w:val="center"/>
                    <w:rPr>
                      <w:rFonts w:hint="default" w:ascii="Times New Roman" w:hAnsi="Times New Roman"/>
                      <w:color w:val="000000"/>
                      <w:kern w:val="0"/>
                      <w:szCs w:val="21"/>
                      <w:highlight w:val="none"/>
                      <w:lang w:val="en-US" w:eastAsia="zh-CN"/>
                    </w:rPr>
                  </w:pPr>
                </w:p>
              </w:tc>
              <w:tc>
                <w:tcPr>
                  <w:tcW w:w="963" w:type="dxa"/>
                  <w:vMerge w:val="continue"/>
                  <w:noWrap w:val="0"/>
                  <w:vAlign w:val="center"/>
                </w:tcPr>
                <w:p>
                  <w:pPr>
                    <w:widowControl/>
                    <w:jc w:val="center"/>
                    <w:rPr>
                      <w:rFonts w:hint="default" w:ascii="Times New Roman" w:hAnsi="Times New Roman"/>
                      <w:color w:val="000000"/>
                      <w:kern w:val="0"/>
                      <w:szCs w:val="21"/>
                      <w:highlight w:val="none"/>
                      <w:lang w:val="en-US" w:eastAsia="zh-CN"/>
                    </w:rPr>
                  </w:pPr>
                </w:p>
              </w:tc>
              <w:tc>
                <w:tcPr>
                  <w:tcW w:w="964" w:type="dxa"/>
                  <w:vMerge w:val="continue"/>
                  <w:noWrap w:val="0"/>
                  <w:vAlign w:val="center"/>
                </w:tcPr>
                <w:p>
                  <w:pPr>
                    <w:widowControl/>
                    <w:jc w:val="center"/>
                    <w:rPr>
                      <w:rFonts w:hint="default" w:ascii="Times New Roman" w:hAnsi="Times New Roman"/>
                      <w:color w:val="000000"/>
                      <w:kern w:val="0"/>
                      <w:szCs w:val="21"/>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486" w:type="dxa"/>
                  <w:noWrap w:val="0"/>
                  <w:vAlign w:val="center"/>
                </w:tcPr>
                <w:p>
                  <w:pPr>
                    <w:spacing w:line="240" w:lineRule="atLeast"/>
                    <w:jc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3</w:t>
                  </w:r>
                </w:p>
              </w:tc>
              <w:tc>
                <w:tcPr>
                  <w:tcW w:w="1136" w:type="dxa"/>
                  <w:vMerge w:val="continue"/>
                  <w:noWrap w:val="0"/>
                  <w:vAlign w:val="center"/>
                </w:tcPr>
                <w:p>
                  <w:pPr>
                    <w:widowControl/>
                    <w:jc w:val="center"/>
                    <w:rPr>
                      <w:rFonts w:hint="default" w:ascii="Times New Roman" w:hAnsi="Times New Roman"/>
                      <w:color w:val="000000"/>
                      <w:kern w:val="0"/>
                      <w:szCs w:val="21"/>
                      <w:highlight w:val="none"/>
                      <w:lang w:val="en-US"/>
                    </w:rPr>
                  </w:pPr>
                </w:p>
              </w:tc>
              <w:tc>
                <w:tcPr>
                  <w:tcW w:w="1100" w:type="dxa"/>
                  <w:noWrap w:val="0"/>
                  <w:vAlign w:val="center"/>
                </w:tcPr>
                <w:p>
                  <w:pPr>
                    <w:widowControl/>
                    <w:jc w:val="center"/>
                    <w:rPr>
                      <w:rFonts w:hint="default" w:ascii="Times New Roman" w:hAnsi="Times New Roman"/>
                      <w:color w:val="000000"/>
                      <w:kern w:val="0"/>
                      <w:szCs w:val="21"/>
                      <w:highlight w:val="none"/>
                      <w:lang w:val="en-US" w:eastAsia="zh-CN"/>
                    </w:rPr>
                  </w:pPr>
                  <w:r>
                    <w:rPr>
                      <w:rFonts w:hint="eastAsia" w:ascii="Times New Roman" w:hAnsi="Times New Roman"/>
                      <w:color w:val="000000"/>
                      <w:kern w:val="0"/>
                      <w:szCs w:val="21"/>
                      <w:highlight w:val="none"/>
                      <w:lang w:val="en-US" w:eastAsia="zh-CN"/>
                    </w:rPr>
                    <w:t>E7-GW</w:t>
                  </w:r>
                </w:p>
              </w:tc>
              <w:tc>
                <w:tcPr>
                  <w:tcW w:w="1050" w:type="dxa"/>
                  <w:vMerge w:val="continue"/>
                  <w:noWrap w:val="0"/>
                  <w:vAlign w:val="center"/>
                </w:tcPr>
                <w:p>
                  <w:pPr>
                    <w:widowControl/>
                    <w:jc w:val="center"/>
                    <w:rPr>
                      <w:rFonts w:hint="eastAsia" w:ascii="Times New Roman" w:hAnsi="Times New Roman"/>
                      <w:color w:val="000000"/>
                      <w:kern w:val="0"/>
                      <w:szCs w:val="21"/>
                      <w:highlight w:val="none"/>
                      <w:lang w:val="en-US" w:eastAsia="zh-CN"/>
                    </w:rPr>
                  </w:pPr>
                </w:p>
              </w:tc>
              <w:tc>
                <w:tcPr>
                  <w:tcW w:w="1017" w:type="dxa"/>
                  <w:vMerge w:val="continue"/>
                  <w:noWrap w:val="0"/>
                  <w:vAlign w:val="center"/>
                </w:tcPr>
                <w:p>
                  <w:pPr>
                    <w:widowControl/>
                    <w:jc w:val="center"/>
                    <w:rPr>
                      <w:rFonts w:hint="eastAsia" w:ascii="Times New Roman" w:hAnsi="Times New Roman"/>
                      <w:color w:val="000000"/>
                      <w:kern w:val="0"/>
                      <w:szCs w:val="21"/>
                      <w:highlight w:val="none"/>
                      <w:lang w:val="en-US" w:eastAsia="zh-CN"/>
                    </w:rPr>
                  </w:pPr>
                </w:p>
              </w:tc>
              <w:tc>
                <w:tcPr>
                  <w:tcW w:w="1165" w:type="dxa"/>
                  <w:vMerge w:val="continue"/>
                  <w:noWrap w:val="0"/>
                  <w:vAlign w:val="center"/>
                </w:tcPr>
                <w:p>
                  <w:pPr>
                    <w:widowControl/>
                    <w:jc w:val="center"/>
                    <w:rPr>
                      <w:rFonts w:hint="eastAsia" w:ascii="Times New Roman" w:hAnsi="Times New Roman"/>
                      <w:color w:val="000000"/>
                      <w:kern w:val="0"/>
                      <w:szCs w:val="21"/>
                      <w:highlight w:val="none"/>
                      <w:lang w:val="en-US" w:eastAsia="zh-CN"/>
                    </w:rPr>
                  </w:pPr>
                </w:p>
              </w:tc>
              <w:tc>
                <w:tcPr>
                  <w:tcW w:w="963" w:type="dxa"/>
                  <w:vMerge w:val="continue"/>
                  <w:noWrap w:val="0"/>
                  <w:vAlign w:val="center"/>
                </w:tcPr>
                <w:p>
                  <w:pPr>
                    <w:widowControl/>
                    <w:jc w:val="center"/>
                    <w:rPr>
                      <w:rFonts w:hint="eastAsia" w:ascii="Times New Roman" w:hAnsi="Times New Roman"/>
                      <w:color w:val="000000"/>
                      <w:kern w:val="0"/>
                      <w:szCs w:val="21"/>
                      <w:highlight w:val="none"/>
                      <w:lang w:val="en-US" w:eastAsia="zh-CN"/>
                    </w:rPr>
                  </w:pPr>
                </w:p>
              </w:tc>
              <w:tc>
                <w:tcPr>
                  <w:tcW w:w="963" w:type="dxa"/>
                  <w:vMerge w:val="continue"/>
                  <w:noWrap w:val="0"/>
                  <w:vAlign w:val="center"/>
                </w:tcPr>
                <w:p>
                  <w:pPr>
                    <w:widowControl/>
                    <w:jc w:val="center"/>
                    <w:rPr>
                      <w:rFonts w:hint="eastAsia" w:ascii="Times New Roman" w:hAnsi="Times New Roman"/>
                      <w:color w:val="000000"/>
                      <w:kern w:val="0"/>
                      <w:szCs w:val="21"/>
                      <w:highlight w:val="none"/>
                      <w:lang w:val="en-US" w:eastAsia="zh-CN"/>
                    </w:rPr>
                  </w:pPr>
                </w:p>
              </w:tc>
              <w:tc>
                <w:tcPr>
                  <w:tcW w:w="964" w:type="dxa"/>
                  <w:vMerge w:val="continue"/>
                  <w:noWrap w:val="0"/>
                  <w:vAlign w:val="center"/>
                </w:tcPr>
                <w:p>
                  <w:pPr>
                    <w:widowControl/>
                    <w:jc w:val="center"/>
                    <w:rPr>
                      <w:rFonts w:hint="eastAsia" w:ascii="Times New Roman" w:hAnsi="Times New Roman"/>
                      <w:color w:val="000000"/>
                      <w:kern w:val="0"/>
                      <w:szCs w:val="21"/>
                      <w:highlight w:val="none"/>
                      <w:lang w:val="en-US" w:eastAsia="zh-CN"/>
                    </w:rPr>
                  </w:pPr>
                </w:p>
              </w:tc>
            </w:tr>
          </w:tbl>
          <w:p>
            <w:pPr>
              <w:pStyle w:val="7"/>
              <w:rPr>
                <w:rFonts w:hint="eastAsia" w:ascii="Times New Roman" w:hAnsi="Times New Roman"/>
                <w:b/>
                <w:bCs/>
                <w:kern w:val="0"/>
                <w:sz w:val="24"/>
                <w:highlight w:val="none"/>
                <w:lang w:eastAsia="zh-CN"/>
              </w:rPr>
            </w:pPr>
          </w:p>
          <w:p>
            <w:pPr>
              <w:rPr>
                <w:rFonts w:hint="eastAsia" w:ascii="Times New Roman" w:hAnsi="Times New Roman"/>
                <w:b/>
                <w:bCs/>
                <w:kern w:val="0"/>
                <w:sz w:val="24"/>
                <w:highlight w:val="none"/>
                <w:lang w:eastAsia="zh-CN"/>
              </w:rPr>
            </w:pPr>
          </w:p>
          <w:p>
            <w:pPr>
              <w:pStyle w:val="7"/>
              <w:rPr>
                <w:rFonts w:hint="eastAsia" w:ascii="Times New Roman" w:hAnsi="Times New Roman"/>
                <w:b/>
                <w:bCs/>
                <w:kern w:val="0"/>
                <w:sz w:val="24"/>
                <w:highlight w:val="none"/>
                <w:lang w:eastAsia="zh-CN"/>
              </w:rPr>
            </w:pPr>
          </w:p>
          <w:p>
            <w:pPr>
              <w:rPr>
                <w:rFonts w:hint="eastAsia" w:ascii="Times New Roman" w:hAnsi="Times New Roman"/>
                <w:b/>
                <w:bCs/>
                <w:kern w:val="0"/>
                <w:sz w:val="24"/>
                <w:highlight w:val="none"/>
                <w:lang w:eastAsia="zh-CN"/>
              </w:rPr>
            </w:pPr>
          </w:p>
          <w:p>
            <w:pPr>
              <w:rPr>
                <w:rFonts w:hint="eastAsia"/>
                <w:lang w:eastAsia="zh-CN"/>
              </w:rPr>
            </w:pPr>
          </w:p>
          <w:p>
            <w:pPr>
              <w:rPr>
                <w:rFonts w:hint="eastAsia"/>
                <w:lang w:eastAsia="zh-CN"/>
              </w:rPr>
            </w:pPr>
          </w:p>
          <w:p>
            <w:pPr>
              <w:spacing w:line="360" w:lineRule="auto"/>
              <w:ind w:firstLine="472" w:firstLineChars="196"/>
              <w:jc w:val="center"/>
              <w:rPr>
                <w:rFonts w:hint="eastAsia" w:ascii="Times New Roman" w:hAnsi="Times New Roman"/>
                <w:b/>
                <w:bCs/>
                <w:kern w:val="0"/>
                <w:sz w:val="24"/>
                <w:highlight w:val="none"/>
                <w:lang w:eastAsia="zh-CN"/>
              </w:rPr>
            </w:pPr>
          </w:p>
          <w:p>
            <w:pPr>
              <w:spacing w:line="360" w:lineRule="auto"/>
              <w:ind w:firstLine="411" w:firstLineChars="196"/>
              <w:jc w:val="both"/>
              <w:rPr>
                <w:rFonts w:hint="eastAsia" w:ascii="Times New Roman" w:hAnsi="Times New Roman"/>
                <w:kern w:val="0"/>
                <w:sz w:val="24"/>
                <w:highlight w:val="none"/>
                <w:lang w:eastAsia="zh-CN"/>
              </w:rPr>
            </w:pPr>
            <w:r>
              <w:drawing>
                <wp:inline distT="0" distB="0" distL="114300" distR="114300">
                  <wp:extent cx="5262880" cy="3310890"/>
                  <wp:effectExtent l="0" t="0" r="1397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1"/>
                          <a:stretch>
                            <a:fillRect/>
                          </a:stretch>
                        </pic:blipFill>
                        <pic:spPr>
                          <a:xfrm>
                            <a:off x="0" y="0"/>
                            <a:ext cx="5262880" cy="3310890"/>
                          </a:xfrm>
                          <a:prstGeom prst="rect">
                            <a:avLst/>
                          </a:prstGeom>
                          <a:noFill/>
                          <a:ln>
                            <a:noFill/>
                          </a:ln>
                        </pic:spPr>
                      </pic:pic>
                    </a:graphicData>
                  </a:graphic>
                </wp:inline>
              </w:drawing>
            </w:r>
          </w:p>
          <w:p>
            <w:pPr>
              <w:spacing w:line="360" w:lineRule="auto"/>
              <w:ind w:firstLine="472" w:firstLineChars="196"/>
              <w:jc w:val="center"/>
              <w:rPr>
                <w:rFonts w:hint="eastAsia" w:ascii="Times New Roman" w:hAnsi="Times New Roman"/>
                <w:kern w:val="0"/>
                <w:sz w:val="24"/>
                <w:highlight w:val="none"/>
                <w:lang w:eastAsia="zh-CN"/>
              </w:rPr>
            </w:pPr>
            <w:r>
              <w:rPr>
                <w:rFonts w:hint="eastAsia" w:ascii="Times New Roman" w:hAnsi="Times New Roman"/>
                <w:b/>
                <w:bCs/>
                <w:kern w:val="0"/>
                <w:sz w:val="24"/>
                <w:highlight w:val="none"/>
                <w:lang w:eastAsia="zh-CN"/>
              </w:rPr>
              <w:t>图</w:t>
            </w:r>
            <w:r>
              <w:rPr>
                <w:rFonts w:hint="eastAsia" w:ascii="Times New Roman" w:hAnsi="Times New Roman"/>
                <w:b/>
                <w:bCs/>
                <w:kern w:val="0"/>
                <w:sz w:val="24"/>
                <w:highlight w:val="none"/>
                <w:lang w:val="en-US" w:eastAsia="zh-CN"/>
              </w:rPr>
              <w:t>1</w:t>
            </w:r>
            <w:r>
              <w:rPr>
                <w:rFonts w:hint="eastAsia" w:ascii="Times New Roman" w:hAnsi="Times New Roman"/>
                <w:b/>
                <w:bCs/>
                <w:kern w:val="0"/>
                <w:sz w:val="24"/>
                <w:highlight w:val="none"/>
                <w:lang w:eastAsia="zh-CN"/>
              </w:rPr>
              <w:t>-</w:t>
            </w:r>
            <w:r>
              <w:rPr>
                <w:rFonts w:hint="eastAsia" w:ascii="Times New Roman" w:hAnsi="Times New Roman"/>
                <w:b/>
                <w:bCs/>
                <w:kern w:val="0"/>
                <w:sz w:val="24"/>
                <w:highlight w:val="none"/>
                <w:lang w:val="en-US" w:eastAsia="zh-CN"/>
              </w:rPr>
              <w:t>5  地下水</w:t>
            </w:r>
            <w:r>
              <w:rPr>
                <w:rFonts w:hint="eastAsia" w:ascii="Times New Roman" w:hAnsi="Times New Roman"/>
                <w:b/>
                <w:bCs/>
                <w:kern w:val="0"/>
                <w:sz w:val="24"/>
                <w:highlight w:val="none"/>
                <w:lang w:eastAsia="zh-CN"/>
              </w:rPr>
              <w:t>修复范围图</w:t>
            </w:r>
          </w:p>
          <w:p>
            <w:pPr>
              <w:spacing w:line="360" w:lineRule="auto"/>
              <w:ind w:firstLine="470" w:firstLineChars="196"/>
              <w:jc w:val="both"/>
              <w:rPr>
                <w:rFonts w:hint="eastAsia" w:ascii="Times New Roman" w:hAnsi="Times New Roman"/>
                <w:kern w:val="0"/>
                <w:sz w:val="24"/>
                <w:highlight w:val="none"/>
                <w:lang w:eastAsia="zh-CN"/>
              </w:rPr>
            </w:pPr>
          </w:p>
          <w:p>
            <w:pPr>
              <w:spacing w:line="360" w:lineRule="auto"/>
              <w:ind w:firstLine="20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表1-</w:t>
            </w:r>
            <w:r>
              <w:rPr>
                <w:rFonts w:hint="eastAsia" w:ascii="Times New Roman" w:hAnsi="Times New Roman" w:cs="Times New Roman"/>
                <w:b/>
                <w:sz w:val="24"/>
                <w:szCs w:val="24"/>
                <w:lang w:val="en-US" w:eastAsia="zh-CN"/>
              </w:rPr>
              <w:t>4</w:t>
            </w:r>
            <w:r>
              <w:rPr>
                <w:rFonts w:hint="default" w:ascii="Times New Roman" w:hAnsi="Times New Roman" w:eastAsia="宋体" w:cs="Times New Roman"/>
                <w:b/>
                <w:sz w:val="24"/>
                <w:szCs w:val="24"/>
              </w:rPr>
              <w:t xml:space="preserve">  项目建设组成一览表</w:t>
            </w:r>
          </w:p>
          <w:tbl>
            <w:tblPr>
              <w:tblStyle w:val="27"/>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194"/>
              <w:gridCol w:w="1363"/>
              <w:gridCol w:w="3411"/>
              <w:gridCol w:w="1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noWrap w:val="0"/>
                  <w:vAlign w:val="center"/>
                </w:tcPr>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工程名称</w:t>
                  </w:r>
                </w:p>
              </w:tc>
              <w:tc>
                <w:tcPr>
                  <w:tcW w:w="2557" w:type="dxa"/>
                  <w:gridSpan w:val="2"/>
                  <w:noWrap w:val="0"/>
                  <w:vAlign w:val="center"/>
                </w:tcPr>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单项工程名称</w:t>
                  </w:r>
                </w:p>
              </w:tc>
              <w:tc>
                <w:tcPr>
                  <w:tcW w:w="3411" w:type="dxa"/>
                  <w:noWrap w:val="0"/>
                  <w:vAlign w:val="center"/>
                </w:tcPr>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工程内容</w:t>
                  </w:r>
                </w:p>
              </w:tc>
              <w:tc>
                <w:tcPr>
                  <w:tcW w:w="1550" w:type="dxa"/>
                  <w:noWrap w:val="0"/>
                  <w:vAlign w:val="center"/>
                </w:tcPr>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工程规模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restart"/>
                  <w:noWrap w:val="0"/>
                  <w:vAlign w:val="center"/>
                </w:tcPr>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主体工程</w:t>
                  </w:r>
                </w:p>
              </w:tc>
              <w:tc>
                <w:tcPr>
                  <w:tcW w:w="2557" w:type="dxa"/>
                  <w:gridSpan w:val="2"/>
                  <w:noWrap w:val="0"/>
                  <w:vAlign w:val="center"/>
                </w:tcPr>
                <w:p>
                  <w:pPr>
                    <w:spacing w:line="240" w:lineRule="atLeast"/>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土壤修复工程</w:t>
                  </w:r>
                </w:p>
              </w:tc>
              <w:tc>
                <w:tcPr>
                  <w:tcW w:w="3411" w:type="dxa"/>
                  <w:noWrap w:val="0"/>
                  <w:vAlign w:val="center"/>
                </w:tcPr>
                <w:p>
                  <w:pPr>
                    <w:spacing w:line="240" w:lineRule="atLeas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土壤修复位置一处位于原厂电镀车间，修复因子为六价铬污染，修复目标值为3mg/kg，修复深度为0~4m；另一处位于原厂铸造车间，修复因子为总石油烃污染，修复目标值为2081mg/kg，修复深度为0~1m；</w:t>
                  </w:r>
                </w:p>
                <w:p>
                  <w:pPr>
                    <w:spacing w:line="240" w:lineRule="atLeast"/>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修复内容为对</w:t>
                  </w:r>
                  <w:r>
                    <w:rPr>
                      <w:rFonts w:hint="default" w:ascii="Times New Roman" w:hAnsi="Times New Roman" w:eastAsia="宋体" w:cs="Times New Roman"/>
                      <w:szCs w:val="21"/>
                      <w:lang w:val="en-US" w:eastAsia="zh-CN"/>
                    </w:rPr>
                    <w:t>场地内建筑垃圾进行分类及合理处置</w:t>
                  </w:r>
                  <w:r>
                    <w:rPr>
                      <w:rFonts w:hint="eastAsia" w:ascii="Times New Roman" w:hAnsi="Times New Roman" w:cs="Times New Roman"/>
                      <w:szCs w:val="21"/>
                      <w:lang w:val="en-US" w:eastAsia="zh-CN"/>
                    </w:rPr>
                    <w:t>，非污染建筑垃圾作为一般固废外售给物资回收的公司，污染的建筑垃圾作为危废委托有资质单位处置，</w:t>
                  </w:r>
                  <w:r>
                    <w:rPr>
                      <w:rFonts w:hint="default" w:ascii="Times New Roman" w:hAnsi="Times New Roman" w:eastAsia="宋体" w:cs="Times New Roman"/>
                      <w:szCs w:val="21"/>
                      <w:lang w:val="en-US" w:eastAsia="zh-CN"/>
                    </w:rPr>
                    <w:t>对于重金属六价铬污染和总石油烃有机物污染的土壤采用</w:t>
                  </w:r>
                  <w:r>
                    <w:rPr>
                      <w:rFonts w:hint="eastAsia" w:ascii="Times New Roman" w:hAnsi="Times New Roman" w:cs="Times New Roman"/>
                      <w:szCs w:val="21"/>
                      <w:lang w:val="en-US" w:eastAsia="zh-CN"/>
                    </w:rPr>
                    <w:t>水泥窑</w:t>
                  </w:r>
                  <w:r>
                    <w:rPr>
                      <w:rFonts w:hint="default" w:ascii="Times New Roman" w:hAnsi="Times New Roman" w:eastAsia="宋体" w:cs="Times New Roman"/>
                      <w:szCs w:val="21"/>
                      <w:lang w:val="en-US" w:eastAsia="zh-CN"/>
                    </w:rPr>
                    <w:t>协同处置技术进行处置，拟运送至当地芜湖海创环保科技有限责任公司进行处置</w:t>
                  </w:r>
                  <w:r>
                    <w:rPr>
                      <w:rFonts w:hint="eastAsia" w:ascii="Times New Roman" w:hAnsi="Times New Roman" w:cs="Times New Roman"/>
                      <w:szCs w:val="21"/>
                      <w:lang w:val="en-US" w:eastAsia="zh-CN"/>
                    </w:rPr>
                    <w:t>，</w:t>
                  </w:r>
                  <w:r>
                    <w:rPr>
                      <w:rFonts w:hint="default" w:ascii="Times New Roman" w:hAnsi="Times New Roman" w:eastAsia="宋体" w:cs="Times New Roman"/>
                      <w:szCs w:val="21"/>
                      <w:lang w:val="en-US" w:eastAsia="zh-CN"/>
                    </w:rPr>
                    <w:t>外购清洁土壤原位回填。</w:t>
                  </w:r>
                </w:p>
              </w:tc>
              <w:tc>
                <w:tcPr>
                  <w:tcW w:w="1550" w:type="dxa"/>
                  <w:noWrap w:val="0"/>
                  <w:vAlign w:val="center"/>
                </w:tcPr>
                <w:p>
                  <w:pPr>
                    <w:spacing w:line="240" w:lineRule="atLeast"/>
                    <w:jc w:val="center"/>
                    <w:rPr>
                      <w:rFonts w:hint="default" w:ascii="Times New Roman" w:hAnsi="Times New Roman" w:eastAsia="宋体" w:cs="Times New Roman"/>
                      <w:szCs w:val="21"/>
                      <w:vertAlign w:val="baseline"/>
                      <w:lang w:val="en-US" w:eastAsia="zh-CN"/>
                    </w:rPr>
                  </w:pPr>
                  <w:r>
                    <w:rPr>
                      <w:rFonts w:hint="eastAsia" w:ascii="Times New Roman" w:hAnsi="Times New Roman" w:cs="Times New Roman"/>
                      <w:szCs w:val="21"/>
                      <w:lang w:val="en-US" w:eastAsia="zh-CN"/>
                    </w:rPr>
                    <w:t>拆迁建筑垃圾5200m</w:t>
                  </w:r>
                  <w:r>
                    <w:rPr>
                      <w:rFonts w:hint="eastAsia" w:ascii="Times New Roman" w:hAnsi="Times New Roman" w:cs="Times New Roman"/>
                      <w:szCs w:val="21"/>
                      <w:vertAlign w:val="superscript"/>
                      <w:lang w:val="en-US" w:eastAsia="zh-CN"/>
                    </w:rPr>
                    <w:t>3</w:t>
                  </w:r>
                  <w:r>
                    <w:rPr>
                      <w:rFonts w:hint="eastAsia" w:ascii="Times New Roman" w:hAnsi="Times New Roman" w:cs="Times New Roman"/>
                      <w:szCs w:val="21"/>
                      <w:lang w:val="en-US" w:eastAsia="zh-CN"/>
                    </w:rPr>
                    <w:t>，土壤修复</w:t>
                  </w:r>
                  <w:r>
                    <w:rPr>
                      <w:rFonts w:hint="default" w:ascii="Times New Roman" w:hAnsi="Times New Roman" w:eastAsia="宋体" w:cs="Times New Roman"/>
                      <w:szCs w:val="21"/>
                    </w:rPr>
                    <w:t>面积</w:t>
                  </w:r>
                  <w:r>
                    <w:rPr>
                      <w:rFonts w:hint="eastAsia" w:ascii="Times New Roman" w:hAnsi="Times New Roman" w:cs="Times New Roman"/>
                      <w:szCs w:val="21"/>
                      <w:lang w:val="en-US" w:eastAsia="zh-CN"/>
                    </w:rPr>
                    <w:t>3155.4</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r>
                    <w:rPr>
                      <w:rFonts w:hint="eastAsia" w:ascii="Times New Roman" w:hAnsi="Times New Roman" w:cs="Times New Roman"/>
                      <w:szCs w:val="21"/>
                      <w:vertAlign w:val="baseline"/>
                      <w:lang w:eastAsia="zh-CN"/>
                    </w:rPr>
                    <w:t>，</w:t>
                  </w:r>
                  <w:r>
                    <w:rPr>
                      <w:rFonts w:hint="eastAsia" w:ascii="Times New Roman" w:hAnsi="Times New Roman" w:cs="Times New Roman"/>
                      <w:szCs w:val="21"/>
                      <w:vertAlign w:val="baseline"/>
                      <w:lang w:val="en-US" w:eastAsia="zh-CN"/>
                    </w:rPr>
                    <w:t>修复土方量为8221.5m</w:t>
                  </w:r>
                  <w:r>
                    <w:rPr>
                      <w:rFonts w:hint="eastAsia" w:ascii="Times New Roman" w:hAnsi="Times New Roman" w:cs="Times New Roman"/>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noWrap w:val="0"/>
                  <w:vAlign w:val="center"/>
                </w:tcPr>
                <w:p>
                  <w:pPr>
                    <w:spacing w:line="240" w:lineRule="atLeast"/>
                    <w:jc w:val="center"/>
                    <w:rPr>
                      <w:rFonts w:hint="default" w:ascii="Times New Roman" w:hAnsi="Times New Roman" w:eastAsia="宋体" w:cs="Times New Roman"/>
                      <w:szCs w:val="21"/>
                    </w:rPr>
                  </w:pPr>
                </w:p>
              </w:tc>
              <w:tc>
                <w:tcPr>
                  <w:tcW w:w="2557" w:type="dxa"/>
                  <w:gridSpan w:val="2"/>
                  <w:noWrap w:val="0"/>
                  <w:vAlign w:val="center"/>
                </w:tcPr>
                <w:p>
                  <w:pPr>
                    <w:spacing w:line="240" w:lineRule="atLeast"/>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地下水修复工程</w:t>
                  </w:r>
                </w:p>
              </w:tc>
              <w:tc>
                <w:tcPr>
                  <w:tcW w:w="3411" w:type="dxa"/>
                  <w:noWrap w:val="0"/>
                  <w:vAlign w:val="center"/>
                </w:tcPr>
                <w:p>
                  <w:pPr>
                    <w:spacing w:line="240" w:lineRule="atLeast"/>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地下水修复位置位于电镀车间及铸造车间，污染物为六价铬及总石油烃，修复内容为</w:t>
                  </w:r>
                  <w:r>
                    <w:rPr>
                      <w:rFonts w:hint="default" w:ascii="Times New Roman" w:hAnsi="Times New Roman" w:eastAsia="宋体" w:cs="Times New Roman"/>
                      <w:szCs w:val="21"/>
                    </w:rPr>
                    <w:t>建立抽出井群系统，安装抽水泵，</w:t>
                  </w:r>
                  <w:r>
                    <w:rPr>
                      <w:rFonts w:hint="eastAsia" w:ascii="Times New Roman" w:hAnsi="Times New Roman" w:cs="Times New Roman"/>
                      <w:szCs w:val="21"/>
                      <w:lang w:val="en-US" w:eastAsia="zh-CN"/>
                    </w:rPr>
                    <w:t>抽出的污水经自建的污水处理系统处理后排放至市政污水管网</w:t>
                  </w:r>
                </w:p>
              </w:tc>
              <w:tc>
                <w:tcPr>
                  <w:tcW w:w="1550" w:type="dxa"/>
                  <w:noWrap w:val="0"/>
                  <w:vAlign w:val="center"/>
                </w:tcPr>
                <w:p>
                  <w:pPr>
                    <w:spacing w:line="240" w:lineRule="atLeast"/>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地下水修复面积为12068.6m</w:t>
                  </w:r>
                  <w:r>
                    <w:rPr>
                      <w:rFonts w:hint="eastAsia" w:ascii="Times New Roman" w:hAnsi="Times New Roman" w:cs="Times New Roman"/>
                      <w:szCs w:val="21"/>
                      <w:vertAlign w:val="superscript"/>
                      <w:lang w:val="en-US" w:eastAsia="zh-CN"/>
                    </w:rPr>
                    <w:t>2</w:t>
                  </w:r>
                  <w:r>
                    <w:rPr>
                      <w:rFonts w:hint="eastAsia" w:ascii="Times New Roman" w:hAnsi="Times New Roman" w:cs="Times New Roman"/>
                      <w:szCs w:val="21"/>
                      <w:lang w:val="en-US" w:eastAsia="zh-CN"/>
                    </w:rPr>
                    <w:t>，修复量为15464.6m</w:t>
                  </w:r>
                  <w:r>
                    <w:rPr>
                      <w:rFonts w:hint="eastAsia" w:ascii="Times New Roman" w:hAnsi="Times New Roman" w:cs="Times New Roman"/>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6" w:type="dxa"/>
                  <w:noWrap w:val="0"/>
                  <w:vAlign w:val="center"/>
                </w:tcPr>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贮运工程</w:t>
                  </w:r>
                </w:p>
              </w:tc>
              <w:tc>
                <w:tcPr>
                  <w:tcW w:w="2557" w:type="dxa"/>
                  <w:gridSpan w:val="2"/>
                  <w:noWrap w:val="0"/>
                  <w:vAlign w:val="center"/>
                </w:tcPr>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危废暂存场所</w:t>
                  </w:r>
                </w:p>
              </w:tc>
              <w:tc>
                <w:tcPr>
                  <w:tcW w:w="3411" w:type="dxa"/>
                  <w:noWrap w:val="0"/>
                  <w:vAlign w:val="center"/>
                </w:tcPr>
                <w:p>
                  <w:pPr>
                    <w:spacing w:line="240" w:lineRule="atLeast"/>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位于</w:t>
                  </w:r>
                  <w:r>
                    <w:rPr>
                      <w:rFonts w:hint="eastAsia" w:ascii="Times New Roman" w:hAnsi="Times New Roman" w:cs="Times New Roman"/>
                      <w:szCs w:val="21"/>
                      <w:lang w:val="en-US" w:eastAsia="zh-CN"/>
                    </w:rPr>
                    <w:t>厂区西南</w:t>
                  </w:r>
                  <w:r>
                    <w:rPr>
                      <w:rFonts w:hint="default" w:ascii="Times New Roman" w:hAnsi="Times New Roman" w:eastAsia="宋体" w:cs="Times New Roman"/>
                      <w:szCs w:val="21"/>
                      <w:lang w:val="en-US" w:eastAsia="zh-CN"/>
                    </w:rPr>
                    <w:t>侧，用于</w:t>
                  </w:r>
                  <w:r>
                    <w:rPr>
                      <w:rFonts w:hint="eastAsia" w:ascii="Times New Roman" w:hAnsi="Times New Roman" w:cs="Times New Roman"/>
                      <w:szCs w:val="21"/>
                      <w:lang w:val="en-US" w:eastAsia="zh-CN"/>
                    </w:rPr>
                    <w:t>废活性炭，污泥</w:t>
                  </w:r>
                  <w:r>
                    <w:rPr>
                      <w:rFonts w:hint="default" w:ascii="Times New Roman" w:hAnsi="Times New Roman" w:eastAsia="宋体" w:cs="Times New Roman"/>
                      <w:szCs w:val="21"/>
                      <w:lang w:val="en-US" w:eastAsia="zh-CN"/>
                    </w:rPr>
                    <w:t>等危险废物的暂存，</w:t>
                  </w:r>
                  <w:r>
                    <w:rPr>
                      <w:rFonts w:hint="eastAsia" w:ascii="Times New Roman" w:hAnsi="Times New Roman" w:cs="Times New Roman"/>
                      <w:szCs w:val="21"/>
                      <w:lang w:val="en-US" w:eastAsia="zh-CN"/>
                    </w:rPr>
                    <w:t>污染的建筑垃圾及土壤直接用货车清运，不在厂内暂存，</w:t>
                  </w:r>
                  <w:r>
                    <w:rPr>
                      <w:rFonts w:hint="default" w:ascii="Times New Roman" w:hAnsi="Times New Roman" w:eastAsia="宋体" w:cs="Times New Roman"/>
                      <w:szCs w:val="21"/>
                      <w:lang w:val="en-US" w:eastAsia="zh-CN"/>
                    </w:rPr>
                    <w:t>危废暂存场所所在地面需做重点防渗处理</w:t>
                  </w:r>
                </w:p>
              </w:tc>
              <w:tc>
                <w:tcPr>
                  <w:tcW w:w="1550" w:type="dxa"/>
                  <w:noWrap w:val="0"/>
                  <w:vAlign w:val="center"/>
                </w:tcPr>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建筑面积为10m</w:t>
                  </w:r>
                  <w:r>
                    <w:rPr>
                      <w:rFonts w:hint="default" w:ascii="Times New Roman" w:hAnsi="Times New Roman" w:eastAsia="宋体" w:cs="Times New Roman"/>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restart"/>
                  <w:noWrap w:val="0"/>
                  <w:vAlign w:val="center"/>
                </w:tcPr>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公用</w:t>
                  </w:r>
                </w:p>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工程</w:t>
                  </w:r>
                </w:p>
              </w:tc>
              <w:tc>
                <w:tcPr>
                  <w:tcW w:w="2557" w:type="dxa"/>
                  <w:gridSpan w:val="2"/>
                  <w:noWrap w:val="0"/>
                  <w:vAlign w:val="center"/>
                </w:tcPr>
                <w:p>
                  <w:pPr>
                    <w:spacing w:line="240" w:lineRule="atLeas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给水系统</w:t>
                  </w:r>
                </w:p>
              </w:tc>
              <w:tc>
                <w:tcPr>
                  <w:tcW w:w="4961" w:type="dxa"/>
                  <w:gridSpan w:val="2"/>
                  <w:noWrap w:val="0"/>
                  <w:vAlign w:val="center"/>
                </w:tcPr>
                <w:p>
                  <w:pPr>
                    <w:spacing w:line="240" w:lineRule="atLeas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项目用水</w:t>
                  </w:r>
                  <w:r>
                    <w:rPr>
                      <w:rFonts w:hint="eastAsia" w:ascii="Times New Roman" w:hAnsi="Times New Roman" w:cs="Times New Roman"/>
                      <w:color w:val="auto"/>
                      <w:szCs w:val="21"/>
                      <w:lang w:val="en-US" w:eastAsia="zh-CN"/>
                    </w:rPr>
                    <w:t>主要来自施工用水及施工人员生活用水，</w:t>
                  </w:r>
                  <w:r>
                    <w:rPr>
                      <w:rFonts w:hint="default" w:ascii="Times New Roman" w:hAnsi="Times New Roman" w:eastAsia="宋体" w:cs="Times New Roman"/>
                      <w:color w:val="auto"/>
                      <w:szCs w:val="21"/>
                    </w:rPr>
                    <w:t>由市政自来水提供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noWrap w:val="0"/>
                  <w:vAlign w:val="center"/>
                </w:tcPr>
                <w:p>
                  <w:pPr>
                    <w:spacing w:line="240" w:lineRule="atLeast"/>
                    <w:jc w:val="center"/>
                    <w:rPr>
                      <w:rFonts w:hint="default" w:ascii="Times New Roman" w:hAnsi="Times New Roman" w:eastAsia="宋体" w:cs="Times New Roman"/>
                      <w:szCs w:val="21"/>
                    </w:rPr>
                  </w:pPr>
                </w:p>
              </w:tc>
              <w:tc>
                <w:tcPr>
                  <w:tcW w:w="2557" w:type="dxa"/>
                  <w:gridSpan w:val="2"/>
                  <w:noWrap w:val="0"/>
                  <w:vAlign w:val="center"/>
                </w:tcPr>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排水系统</w:t>
                  </w:r>
                </w:p>
              </w:tc>
              <w:tc>
                <w:tcPr>
                  <w:tcW w:w="4961" w:type="dxa"/>
                  <w:gridSpan w:val="2"/>
                  <w:noWrap w:val="0"/>
                  <w:vAlign w:val="center"/>
                </w:tcPr>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生活污水经隔油池、化粪池处置，初期雨水汇入至雨水收集系统内，伴随基坑废水、污染地下水抽水、车辆清洗废水等一同排放至厂区西南侧新建的污水处理站内处置，该污水处理站处理规模为80m3/d，处理工艺采用“调节+破乳池+气浮+两级滤碳”工艺，各股废水污染物处理满足《污水综合排放标准》（GB8978-1996）表4中的三级标准，其中氨氮参照《污水排入城镇下水道水质标准》（GB/T31962-2015中的标准，六价铬执行《污水综合排放标准》（GB8978-1996）表1中的标准，总石油烃参考荷兰标准后，一同排放至</w:t>
                  </w:r>
                  <w:r>
                    <w:rPr>
                      <w:rFonts w:hint="eastAsia" w:ascii="Times New Roman" w:hAnsi="Times New Roman" w:cs="Times New Roman"/>
                      <w:szCs w:val="21"/>
                      <w:lang w:eastAsia="zh-CN"/>
                    </w:rPr>
                    <w:t>朱家桥污水处理厂</w:t>
                  </w:r>
                  <w:r>
                    <w:rPr>
                      <w:rFonts w:hint="default" w:ascii="Times New Roman" w:hAnsi="Times New Roman" w:eastAsia="宋体" w:cs="Times New Roman"/>
                      <w:szCs w:val="21"/>
                    </w:rPr>
                    <w:t>处置，尾水排放满足《城镇污水处理厂污染物排放标准》（GB18918-2002）一级标准中 A 类标准，其中六价铬满足《城镇污水处理厂污染物排放标准》（GB18918-2002）表2中最高允许排放浓度。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noWrap w:val="0"/>
                  <w:vAlign w:val="center"/>
                </w:tcPr>
                <w:p>
                  <w:pPr>
                    <w:spacing w:line="240" w:lineRule="atLeast"/>
                    <w:jc w:val="center"/>
                    <w:rPr>
                      <w:rFonts w:hint="default" w:ascii="Times New Roman" w:hAnsi="Times New Roman" w:eastAsia="宋体" w:cs="Times New Roman"/>
                      <w:szCs w:val="21"/>
                    </w:rPr>
                  </w:pPr>
                </w:p>
              </w:tc>
              <w:tc>
                <w:tcPr>
                  <w:tcW w:w="2557" w:type="dxa"/>
                  <w:gridSpan w:val="2"/>
                  <w:noWrap w:val="0"/>
                  <w:vAlign w:val="center"/>
                </w:tcPr>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供电系统</w:t>
                  </w:r>
                </w:p>
              </w:tc>
              <w:tc>
                <w:tcPr>
                  <w:tcW w:w="4961" w:type="dxa"/>
                  <w:gridSpan w:val="2"/>
                  <w:noWrap w:val="0"/>
                  <w:vAlign w:val="center"/>
                </w:tcPr>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由市政电网供给，工程用电量为</w:t>
                  </w:r>
                  <w:r>
                    <w:rPr>
                      <w:rFonts w:hint="eastAsia" w:ascii="Times New Roman" w:hAnsi="Times New Roman" w:cs="Times New Roman"/>
                      <w:szCs w:val="21"/>
                      <w:lang w:val="en-US" w:eastAsia="zh-CN"/>
                    </w:rPr>
                    <w:t>5</w:t>
                  </w:r>
                  <w:r>
                    <w:rPr>
                      <w:rFonts w:hint="default" w:ascii="Times New Roman" w:hAnsi="Times New Roman" w:eastAsia="宋体" w:cs="Times New Roman"/>
                      <w:szCs w:val="21"/>
                    </w:rPr>
                    <w:t>万kwh/a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restart"/>
                  <w:noWrap w:val="0"/>
                  <w:vAlign w:val="center"/>
                </w:tcPr>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环保</w:t>
                  </w:r>
                </w:p>
                <w:p>
                  <w:pPr>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工程</w:t>
                  </w:r>
                </w:p>
              </w:tc>
              <w:tc>
                <w:tcPr>
                  <w:tcW w:w="1194" w:type="dxa"/>
                  <w:vMerge w:val="restart"/>
                  <w:noWrap w:val="0"/>
                  <w:vAlign w:val="center"/>
                </w:tcPr>
                <w:p>
                  <w:pPr>
                    <w:spacing w:line="240" w:lineRule="atLeas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废气处理</w:t>
                  </w:r>
                </w:p>
              </w:tc>
              <w:tc>
                <w:tcPr>
                  <w:tcW w:w="1363" w:type="dxa"/>
                  <w:noWrap w:val="0"/>
                  <w:vAlign w:val="center"/>
                </w:tcPr>
                <w:p>
                  <w:pPr>
                    <w:jc w:val="center"/>
                    <w:rPr>
                      <w:rFonts w:hint="default" w:ascii="Times New Roman" w:hAnsi="Times New Roman" w:eastAsia="宋体" w:cs="Times New Roman"/>
                      <w:color w:val="auto"/>
                      <w:szCs w:val="21"/>
                      <w:lang w:val="en-US" w:eastAsia="zh-CN"/>
                    </w:rPr>
                  </w:pPr>
                  <w:r>
                    <w:rPr>
                      <w:rFonts w:ascii="Times New Roman" w:hAnsi="Times New Roman"/>
                      <w:color w:val="auto"/>
                      <w:szCs w:val="21"/>
                      <w:highlight w:val="none"/>
                    </w:rPr>
                    <w:t>颗粒物</w:t>
                  </w:r>
                  <w:r>
                    <w:rPr>
                      <w:rFonts w:hint="eastAsia" w:ascii="Times New Roman" w:hAnsi="Times New Roman"/>
                      <w:color w:val="auto"/>
                      <w:szCs w:val="21"/>
                      <w:highlight w:val="none"/>
                      <w:lang w:eastAsia="zh-CN"/>
                    </w:rPr>
                    <w:t>、</w:t>
                  </w:r>
                  <w:r>
                    <w:rPr>
                      <w:rFonts w:hint="eastAsia" w:ascii="Times New Roman" w:hAnsi="Times New Roman"/>
                      <w:color w:val="auto"/>
                      <w:szCs w:val="21"/>
                      <w:highlight w:val="none"/>
                      <w:lang w:val="en-US" w:eastAsia="zh-CN"/>
                    </w:rPr>
                    <w:t>异味</w:t>
                  </w:r>
                </w:p>
              </w:tc>
              <w:tc>
                <w:tcPr>
                  <w:tcW w:w="4961" w:type="dxa"/>
                  <w:gridSpan w:val="2"/>
                  <w:noWrap w:val="0"/>
                  <w:vAlign w:val="center"/>
                </w:tcPr>
                <w:p>
                  <w:pPr>
                    <w:pStyle w:val="44"/>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场地土壤修复施工时场地四周设有阻施工围挡，施工现场做好定期酒水，堆场内空气流动性小</w:t>
                  </w:r>
                  <w:r>
                    <w:rPr>
                      <w:rFonts w:hint="eastAsia" w:ascii="Times New Roman" w:hAnsi="Times New Roman" w:cs="Times New Roman"/>
                      <w:color w:val="auto"/>
                      <w:szCs w:val="21"/>
                      <w:highlight w:val="none"/>
                      <w:lang w:val="en-US" w:eastAsia="zh-CN"/>
                    </w:rPr>
                    <w:t>；及时对道路进行酒水，保持一定湿度，并通过道路硬化和做好运输车辆加盖篷布及车厢防漏措施来得到控制扬尘。车辆进出场做好冲洗工作，出场后做好土壤保湿工作，减少在土壤装载过程中扬尘的产生：外运车辆加帆布履盖，减少在运输途中的扬尘产生；施工过程中喷洒气味抑制剂来控制土壤气味的散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noWrap w:val="0"/>
                  <w:vAlign w:val="center"/>
                </w:tcPr>
                <w:p>
                  <w:pPr>
                    <w:spacing w:line="240" w:lineRule="atLeast"/>
                    <w:jc w:val="center"/>
                    <w:rPr>
                      <w:rFonts w:hint="default" w:ascii="Times New Roman" w:hAnsi="Times New Roman" w:eastAsia="宋体" w:cs="Times New Roman"/>
                      <w:szCs w:val="21"/>
                    </w:rPr>
                  </w:pPr>
                </w:p>
              </w:tc>
              <w:tc>
                <w:tcPr>
                  <w:tcW w:w="1194" w:type="dxa"/>
                  <w:vMerge w:val="continue"/>
                  <w:noWrap w:val="0"/>
                  <w:vAlign w:val="center"/>
                </w:tcPr>
                <w:p>
                  <w:pPr>
                    <w:spacing w:line="240" w:lineRule="atLeast"/>
                    <w:jc w:val="center"/>
                    <w:rPr>
                      <w:rFonts w:hint="default" w:ascii="Times New Roman" w:hAnsi="Times New Roman" w:eastAsia="宋体" w:cs="Times New Roman"/>
                      <w:color w:val="auto"/>
                      <w:szCs w:val="21"/>
                    </w:rPr>
                  </w:pPr>
                </w:p>
              </w:tc>
              <w:tc>
                <w:tcPr>
                  <w:tcW w:w="1363" w:type="dxa"/>
                  <w:noWrap w:val="0"/>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color w:val="auto"/>
                      <w:szCs w:val="21"/>
                      <w:highlight w:val="none"/>
                      <w:lang w:val="en-US" w:eastAsia="zh-CN"/>
                    </w:rPr>
                    <w:t>食堂油烟</w:t>
                  </w:r>
                </w:p>
              </w:tc>
              <w:tc>
                <w:tcPr>
                  <w:tcW w:w="4961" w:type="dxa"/>
                  <w:gridSpan w:val="2"/>
                  <w:noWrap w:val="0"/>
                  <w:vAlign w:val="center"/>
                </w:tcPr>
                <w:p>
                  <w:pPr>
                    <w:pStyle w:val="44"/>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highlight w:val="none"/>
                      <w:lang w:val="en-US" w:eastAsia="zh-CN"/>
                    </w:rPr>
                    <w:t>营地油烟通过油烟净化器净化后排放。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noWrap w:val="0"/>
                  <w:vAlign w:val="center"/>
                </w:tcPr>
                <w:p>
                  <w:pPr>
                    <w:spacing w:line="240" w:lineRule="atLeast"/>
                    <w:jc w:val="center"/>
                    <w:rPr>
                      <w:rFonts w:hint="default" w:ascii="Times New Roman" w:hAnsi="Times New Roman" w:eastAsia="宋体" w:cs="Times New Roman"/>
                      <w:szCs w:val="21"/>
                    </w:rPr>
                  </w:pPr>
                </w:p>
              </w:tc>
              <w:tc>
                <w:tcPr>
                  <w:tcW w:w="1194" w:type="dxa"/>
                  <w:vMerge w:val="restart"/>
                  <w:noWrap w:val="0"/>
                  <w:vAlign w:val="center"/>
                </w:tcPr>
                <w:p>
                  <w:pPr>
                    <w:spacing w:line="240" w:lineRule="atLeas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废水处理</w:t>
                  </w:r>
                </w:p>
              </w:tc>
              <w:tc>
                <w:tcPr>
                  <w:tcW w:w="1363" w:type="dxa"/>
                  <w:noWrap w:val="0"/>
                  <w:vAlign w:val="center"/>
                </w:tcPr>
                <w:p>
                  <w:pPr>
                    <w:jc w:val="center"/>
                    <w:rPr>
                      <w:rFonts w:hint="default" w:ascii="Times New Roman" w:hAnsi="Times New Roman" w:eastAsia="宋体" w:cs="Times New Roman"/>
                      <w:color w:val="auto"/>
                      <w:szCs w:val="21"/>
                    </w:rPr>
                  </w:pPr>
                  <w:r>
                    <w:rPr>
                      <w:rFonts w:hint="eastAsia" w:ascii="Times New Roman" w:hAnsi="Times New Roman"/>
                      <w:color w:val="auto"/>
                      <w:szCs w:val="21"/>
                      <w:highlight w:val="none"/>
                      <w:lang w:val="en-US" w:eastAsia="zh-CN"/>
                    </w:rPr>
                    <w:t>生活废水</w:t>
                  </w:r>
                </w:p>
              </w:tc>
              <w:tc>
                <w:tcPr>
                  <w:tcW w:w="4961" w:type="dxa"/>
                  <w:gridSpan w:val="2"/>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生活污水经隔油池、化粪池处置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noWrap w:val="0"/>
                  <w:vAlign w:val="center"/>
                </w:tcPr>
                <w:p>
                  <w:pPr>
                    <w:spacing w:line="240" w:lineRule="atLeast"/>
                    <w:jc w:val="center"/>
                    <w:rPr>
                      <w:rFonts w:hint="default" w:ascii="Times New Roman" w:hAnsi="Times New Roman" w:eastAsia="宋体" w:cs="Times New Roman"/>
                      <w:szCs w:val="21"/>
                    </w:rPr>
                  </w:pPr>
                </w:p>
              </w:tc>
              <w:tc>
                <w:tcPr>
                  <w:tcW w:w="1194" w:type="dxa"/>
                  <w:vMerge w:val="continue"/>
                  <w:noWrap w:val="0"/>
                  <w:vAlign w:val="center"/>
                </w:tcPr>
                <w:p>
                  <w:pPr>
                    <w:spacing w:line="240" w:lineRule="atLeast"/>
                    <w:jc w:val="center"/>
                    <w:rPr>
                      <w:rFonts w:hint="default" w:ascii="Times New Roman" w:hAnsi="Times New Roman" w:eastAsia="宋体" w:cs="Times New Roman"/>
                      <w:color w:val="auto"/>
                      <w:szCs w:val="21"/>
                    </w:rPr>
                  </w:pPr>
                </w:p>
              </w:tc>
              <w:tc>
                <w:tcPr>
                  <w:tcW w:w="1363" w:type="dxa"/>
                  <w:noWrap w:val="0"/>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color w:val="auto"/>
                      <w:szCs w:val="21"/>
                      <w:highlight w:val="none"/>
                      <w:lang w:val="en-US" w:eastAsia="zh-CN"/>
                    </w:rPr>
                    <w:t>初期雨水、基坑废水、清洗废水、污染地下水抽水</w:t>
                  </w:r>
                </w:p>
              </w:tc>
              <w:tc>
                <w:tcPr>
                  <w:tcW w:w="4961" w:type="dxa"/>
                  <w:gridSpan w:val="2"/>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highlight w:val="none"/>
                      <w:lang w:val="en-US" w:eastAsia="zh-CN"/>
                    </w:rPr>
                    <w:t>初期雨水汇入至雨水收集系统内，伴随基坑废水、污染地下水抽水、车辆清洗废水等一同排放至厂区西南侧新建的污水处理站内处置，该污水处理站处理规模为80m</w:t>
                  </w:r>
                  <w:r>
                    <w:rPr>
                      <w:rFonts w:hint="default" w:ascii="Times New Roman" w:hAnsi="Times New Roman" w:eastAsia="宋体" w:cs="Times New Roman"/>
                      <w:color w:val="auto"/>
                      <w:szCs w:val="21"/>
                      <w:highlight w:val="none"/>
                      <w:vertAlign w:val="superscript"/>
                      <w:lang w:val="en-US" w:eastAsia="zh-CN"/>
                    </w:rPr>
                    <w:t>3</w:t>
                  </w:r>
                  <w:r>
                    <w:rPr>
                      <w:rFonts w:hint="default" w:ascii="Times New Roman" w:hAnsi="Times New Roman" w:eastAsia="宋体" w:cs="Times New Roman"/>
                      <w:color w:val="auto"/>
                      <w:szCs w:val="21"/>
                      <w:highlight w:val="none"/>
                      <w:lang w:val="en-US" w:eastAsia="zh-CN"/>
                    </w:rPr>
                    <w:t>/d，处理工艺采用“调节+破乳池+气浮+两级滤碳”工艺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noWrap w:val="0"/>
                  <w:vAlign w:val="center"/>
                </w:tcPr>
                <w:p>
                  <w:pPr>
                    <w:spacing w:line="240" w:lineRule="atLeast"/>
                    <w:jc w:val="center"/>
                    <w:rPr>
                      <w:rFonts w:hint="default" w:ascii="Times New Roman" w:hAnsi="Times New Roman" w:eastAsia="宋体" w:cs="Times New Roman"/>
                      <w:szCs w:val="21"/>
                    </w:rPr>
                  </w:pPr>
                </w:p>
              </w:tc>
              <w:tc>
                <w:tcPr>
                  <w:tcW w:w="2557" w:type="dxa"/>
                  <w:gridSpan w:val="2"/>
                  <w:noWrap w:val="0"/>
                  <w:vAlign w:val="center"/>
                </w:tcPr>
                <w:p>
                  <w:pPr>
                    <w:spacing w:line="240" w:lineRule="atLeas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噪声治理</w:t>
                  </w:r>
                </w:p>
              </w:tc>
              <w:tc>
                <w:tcPr>
                  <w:tcW w:w="4961" w:type="dxa"/>
                  <w:gridSpan w:val="2"/>
                  <w:noWrap w:val="0"/>
                  <w:vAlign w:val="center"/>
                </w:tcPr>
                <w:p>
                  <w:pPr>
                    <w:spacing w:line="240" w:lineRule="atLeast"/>
                    <w:jc w:val="center"/>
                    <w:rPr>
                      <w:rFonts w:hint="default" w:ascii="Times New Roman" w:hAnsi="Times New Roman" w:eastAsia="宋体" w:cs="Times New Roman"/>
                      <w:color w:val="auto"/>
                      <w:szCs w:val="21"/>
                    </w:rPr>
                  </w:pPr>
                  <w:r>
                    <w:rPr>
                      <w:rFonts w:hint="eastAsia" w:ascii="Times New Roman" w:hAnsi="Times New Roman" w:cs="Times New Roman"/>
                      <w:color w:val="auto"/>
                      <w:szCs w:val="21"/>
                      <w:highlight w:val="none"/>
                    </w:rPr>
                    <w:t>施工期间要做好降噪措施，选用低噪设备并定期检修</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rPr>
                    <w:t>采取合理的作业时间</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采用隔声屏障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noWrap w:val="0"/>
                  <w:vAlign w:val="center"/>
                </w:tcPr>
                <w:p>
                  <w:pPr>
                    <w:spacing w:line="240" w:lineRule="atLeast"/>
                    <w:jc w:val="center"/>
                    <w:rPr>
                      <w:rFonts w:hint="default" w:ascii="Times New Roman" w:hAnsi="Times New Roman" w:eastAsia="宋体" w:cs="Times New Roman"/>
                      <w:szCs w:val="21"/>
                    </w:rPr>
                  </w:pPr>
                </w:p>
              </w:tc>
              <w:tc>
                <w:tcPr>
                  <w:tcW w:w="1194" w:type="dxa"/>
                  <w:vMerge w:val="restart"/>
                  <w:noWrap w:val="0"/>
                  <w:vAlign w:val="center"/>
                </w:tcPr>
                <w:p>
                  <w:pPr>
                    <w:spacing w:line="240" w:lineRule="atLeas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固废处理</w:t>
                  </w:r>
                </w:p>
              </w:tc>
              <w:tc>
                <w:tcPr>
                  <w:tcW w:w="1363" w:type="dxa"/>
                  <w:noWrap w:val="0"/>
                  <w:vAlign w:val="center"/>
                </w:tcPr>
                <w:p>
                  <w:pPr>
                    <w:pStyle w:val="99"/>
                    <w:spacing w:line="240" w:lineRule="atLeast"/>
                    <w:ind w:firstLine="0" w:firstLineChars="0"/>
                    <w:jc w:val="center"/>
                    <w:rPr>
                      <w:rFonts w:hint="default" w:ascii="Times New Roman" w:hAnsi="Times New Roman" w:eastAsia="宋体" w:cs="Times New Roman"/>
                      <w:color w:val="auto"/>
                      <w:szCs w:val="21"/>
                    </w:rPr>
                  </w:pPr>
                  <w:r>
                    <w:rPr>
                      <w:rFonts w:hint="eastAsia" w:ascii="Times New Roman" w:hAnsi="Times New Roman"/>
                      <w:color w:val="auto"/>
                      <w:szCs w:val="21"/>
                      <w:highlight w:val="none"/>
                      <w:lang w:val="en-US" w:eastAsia="zh-CN"/>
                    </w:rPr>
                    <w:t>生活垃圾</w:t>
                  </w:r>
                </w:p>
              </w:tc>
              <w:tc>
                <w:tcPr>
                  <w:tcW w:w="4961" w:type="dxa"/>
                  <w:gridSpan w:val="2"/>
                  <w:noWrap w:val="0"/>
                  <w:vAlign w:val="center"/>
                </w:tcPr>
                <w:p>
                  <w:pPr>
                    <w:pStyle w:val="99"/>
                    <w:spacing w:line="240" w:lineRule="atLeast"/>
                    <w:ind w:firstLine="0" w:firstLineChars="0"/>
                    <w:jc w:val="center"/>
                    <w:rPr>
                      <w:rFonts w:hint="default" w:ascii="Times New Roman" w:hAnsi="Times New Roman" w:eastAsia="宋体" w:cs="Times New Roman"/>
                      <w:color w:val="auto"/>
                      <w:szCs w:val="21"/>
                    </w:rPr>
                  </w:pPr>
                  <w:r>
                    <w:rPr>
                      <w:rFonts w:ascii="Times New Roman" w:hAnsi="Times New Roman"/>
                      <w:color w:val="auto"/>
                      <w:szCs w:val="21"/>
                      <w:highlight w:val="none"/>
                    </w:rPr>
                    <w:t>由</w:t>
                  </w:r>
                  <w:r>
                    <w:rPr>
                      <w:rFonts w:ascii="Times New Roman" w:hAnsi="Times New Roman"/>
                      <w:color w:val="auto"/>
                      <w:szCs w:val="21"/>
                      <w:highlight w:val="none"/>
                      <w:lang w:eastAsia="en-US"/>
                    </w:rPr>
                    <w:t>环卫部门处置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noWrap w:val="0"/>
                  <w:vAlign w:val="center"/>
                </w:tcPr>
                <w:p>
                  <w:pPr>
                    <w:spacing w:line="240" w:lineRule="atLeast"/>
                    <w:jc w:val="center"/>
                    <w:rPr>
                      <w:rFonts w:hint="default" w:ascii="Times New Roman" w:hAnsi="Times New Roman" w:eastAsia="宋体" w:cs="Times New Roman"/>
                      <w:szCs w:val="21"/>
                    </w:rPr>
                  </w:pPr>
                </w:p>
              </w:tc>
              <w:tc>
                <w:tcPr>
                  <w:tcW w:w="1194" w:type="dxa"/>
                  <w:vMerge w:val="continue"/>
                  <w:noWrap w:val="0"/>
                  <w:vAlign w:val="center"/>
                </w:tcPr>
                <w:p>
                  <w:pPr>
                    <w:spacing w:line="240" w:lineRule="atLeast"/>
                    <w:jc w:val="center"/>
                    <w:rPr>
                      <w:rFonts w:hint="default" w:ascii="Times New Roman" w:hAnsi="Times New Roman" w:eastAsia="宋体" w:cs="Times New Roman"/>
                      <w:color w:val="auto"/>
                      <w:szCs w:val="21"/>
                    </w:rPr>
                  </w:pPr>
                </w:p>
              </w:tc>
              <w:tc>
                <w:tcPr>
                  <w:tcW w:w="1363" w:type="dxa"/>
                  <w:noWrap w:val="0"/>
                  <w:vAlign w:val="center"/>
                </w:tcPr>
                <w:p>
                  <w:pPr>
                    <w:pStyle w:val="99"/>
                    <w:spacing w:line="240" w:lineRule="atLeast"/>
                    <w:ind w:firstLine="0" w:firstLineChars="0"/>
                    <w:jc w:val="center"/>
                    <w:rPr>
                      <w:rFonts w:hint="default" w:ascii="Times New Roman" w:hAnsi="Times New Roman" w:eastAsia="宋体" w:cs="Times New Roman"/>
                      <w:color w:val="auto"/>
                      <w:szCs w:val="21"/>
                    </w:rPr>
                  </w:pPr>
                  <w:r>
                    <w:rPr>
                      <w:rFonts w:hint="eastAsia" w:ascii="Times New Roman" w:hAnsi="Times New Roman"/>
                      <w:color w:val="auto"/>
                      <w:szCs w:val="21"/>
                      <w:highlight w:val="none"/>
                      <w:lang w:val="en-US" w:eastAsia="zh-CN"/>
                    </w:rPr>
                    <w:t>非污染建筑垃圾</w:t>
                  </w:r>
                </w:p>
              </w:tc>
              <w:tc>
                <w:tcPr>
                  <w:tcW w:w="4961" w:type="dxa"/>
                  <w:gridSpan w:val="2"/>
                  <w:noWrap w:val="0"/>
                  <w:vAlign w:val="center"/>
                </w:tcPr>
                <w:p>
                  <w:pPr>
                    <w:pStyle w:val="99"/>
                    <w:spacing w:line="240" w:lineRule="atLeast"/>
                    <w:ind w:firstLine="0" w:firstLineChars="0"/>
                    <w:jc w:val="center"/>
                    <w:rPr>
                      <w:rFonts w:hint="default" w:ascii="Times New Roman" w:hAnsi="Times New Roman" w:eastAsia="宋体" w:cs="Times New Roman"/>
                      <w:snapToGrid w:val="0"/>
                      <w:color w:val="auto"/>
                      <w:szCs w:val="21"/>
                      <w:lang w:eastAsia="zh-CN"/>
                    </w:rPr>
                  </w:pPr>
                  <w:r>
                    <w:rPr>
                      <w:rFonts w:hint="eastAsia" w:ascii="Times New Roman" w:hAnsi="Times New Roman"/>
                      <w:color w:val="auto"/>
                      <w:szCs w:val="21"/>
                      <w:highlight w:val="none"/>
                      <w:lang w:val="en-US" w:eastAsia="zh-CN"/>
                    </w:rPr>
                    <w:t>由物资回收公司处理再利用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noWrap w:val="0"/>
                  <w:vAlign w:val="center"/>
                </w:tcPr>
                <w:p>
                  <w:pPr>
                    <w:spacing w:line="240" w:lineRule="atLeast"/>
                    <w:jc w:val="center"/>
                    <w:rPr>
                      <w:rFonts w:hint="default" w:ascii="Times New Roman" w:hAnsi="Times New Roman" w:eastAsia="宋体" w:cs="Times New Roman"/>
                      <w:szCs w:val="21"/>
                    </w:rPr>
                  </w:pPr>
                </w:p>
              </w:tc>
              <w:tc>
                <w:tcPr>
                  <w:tcW w:w="1194" w:type="dxa"/>
                  <w:vMerge w:val="continue"/>
                  <w:noWrap w:val="0"/>
                  <w:vAlign w:val="center"/>
                </w:tcPr>
                <w:p>
                  <w:pPr>
                    <w:spacing w:line="240" w:lineRule="atLeast"/>
                    <w:jc w:val="center"/>
                    <w:rPr>
                      <w:rFonts w:hint="default" w:ascii="Times New Roman" w:hAnsi="Times New Roman" w:eastAsia="宋体" w:cs="Times New Roman"/>
                      <w:color w:val="auto"/>
                      <w:szCs w:val="21"/>
                    </w:rPr>
                  </w:pPr>
                </w:p>
              </w:tc>
              <w:tc>
                <w:tcPr>
                  <w:tcW w:w="1363" w:type="dxa"/>
                  <w:noWrap w:val="0"/>
                  <w:vAlign w:val="center"/>
                </w:tcPr>
                <w:p>
                  <w:pPr>
                    <w:pStyle w:val="99"/>
                    <w:spacing w:line="240" w:lineRule="atLeast"/>
                    <w:ind w:firstLine="0" w:firstLineChars="0"/>
                    <w:jc w:val="center"/>
                    <w:rPr>
                      <w:rFonts w:hint="default" w:ascii="Times New Roman" w:hAnsi="Times New Roman" w:eastAsia="宋体" w:cs="Times New Roman"/>
                      <w:color w:val="auto"/>
                      <w:szCs w:val="21"/>
                    </w:rPr>
                  </w:pPr>
                  <w:r>
                    <w:rPr>
                      <w:rFonts w:hint="eastAsia" w:ascii="Times New Roman" w:hAnsi="Times New Roman"/>
                      <w:color w:val="auto"/>
                      <w:szCs w:val="21"/>
                      <w:highlight w:val="none"/>
                      <w:lang w:val="en-US" w:eastAsia="zh-CN"/>
                    </w:rPr>
                    <w:t>污染垃圾</w:t>
                  </w:r>
                </w:p>
              </w:tc>
              <w:tc>
                <w:tcPr>
                  <w:tcW w:w="4961" w:type="dxa"/>
                  <w:gridSpan w:val="2"/>
                  <w:noWrap w:val="0"/>
                  <w:vAlign w:val="center"/>
                </w:tcPr>
                <w:p>
                  <w:pPr>
                    <w:spacing w:line="240" w:lineRule="atLeast"/>
                    <w:jc w:val="center"/>
                    <w:rPr>
                      <w:rFonts w:hint="eastAsia" w:ascii="Times New Roman" w:hAnsi="Times New Roman"/>
                      <w:color w:val="auto"/>
                      <w:szCs w:val="21"/>
                    </w:rPr>
                  </w:pPr>
                  <w:r>
                    <w:rPr>
                      <w:rFonts w:hint="eastAsia" w:ascii="Times New Roman" w:hAnsi="Times New Roman"/>
                      <w:color w:val="auto"/>
                      <w:szCs w:val="21"/>
                      <w:highlight w:val="none"/>
                      <w:lang w:val="en-US" w:eastAsia="zh-CN"/>
                    </w:rPr>
                    <w:t>直接由货车清运至异地水泥窑协同处置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noWrap w:val="0"/>
                  <w:vAlign w:val="center"/>
                </w:tcPr>
                <w:p>
                  <w:pPr>
                    <w:spacing w:line="240" w:lineRule="atLeast"/>
                    <w:jc w:val="center"/>
                    <w:rPr>
                      <w:rFonts w:hint="default" w:ascii="Times New Roman" w:hAnsi="Times New Roman" w:eastAsia="宋体" w:cs="Times New Roman"/>
                      <w:szCs w:val="21"/>
                    </w:rPr>
                  </w:pPr>
                </w:p>
              </w:tc>
              <w:tc>
                <w:tcPr>
                  <w:tcW w:w="1194" w:type="dxa"/>
                  <w:vMerge w:val="continue"/>
                  <w:noWrap w:val="0"/>
                  <w:vAlign w:val="center"/>
                </w:tcPr>
                <w:p>
                  <w:pPr>
                    <w:spacing w:line="240" w:lineRule="atLeast"/>
                    <w:jc w:val="center"/>
                    <w:rPr>
                      <w:rFonts w:hint="default" w:ascii="Times New Roman" w:hAnsi="Times New Roman" w:eastAsia="宋体" w:cs="Times New Roman"/>
                      <w:color w:val="FF0000"/>
                      <w:szCs w:val="21"/>
                    </w:rPr>
                  </w:pPr>
                </w:p>
              </w:tc>
              <w:tc>
                <w:tcPr>
                  <w:tcW w:w="1363" w:type="dxa"/>
                  <w:noWrap w:val="0"/>
                  <w:vAlign w:val="center"/>
                </w:tcPr>
                <w:p>
                  <w:pPr>
                    <w:pStyle w:val="99"/>
                    <w:spacing w:line="240" w:lineRule="atLeast"/>
                    <w:ind w:firstLine="0" w:firstLineChars="0"/>
                    <w:jc w:val="center"/>
                    <w:rPr>
                      <w:rFonts w:hint="default" w:ascii="Times New Roman" w:hAnsi="Times New Roman" w:eastAsia="宋体" w:cs="Times New Roman"/>
                      <w:color w:val="FF0000"/>
                      <w:szCs w:val="21"/>
                    </w:rPr>
                  </w:pPr>
                  <w:r>
                    <w:rPr>
                      <w:rFonts w:ascii="Times New Roman" w:hAnsi="Times New Roman"/>
                      <w:color w:val="000000"/>
                      <w:szCs w:val="21"/>
                      <w:highlight w:val="none"/>
                      <w:lang w:eastAsia="en-US"/>
                    </w:rPr>
                    <w:t>废</w:t>
                  </w:r>
                  <w:r>
                    <w:rPr>
                      <w:rFonts w:hint="eastAsia" w:ascii="Times New Roman" w:hAnsi="Times New Roman"/>
                      <w:color w:val="000000"/>
                      <w:szCs w:val="21"/>
                      <w:highlight w:val="none"/>
                      <w:lang w:val="en-US" w:eastAsia="zh-CN"/>
                    </w:rPr>
                    <w:t>活性炭、污泥</w:t>
                  </w:r>
                </w:p>
              </w:tc>
              <w:tc>
                <w:tcPr>
                  <w:tcW w:w="4961" w:type="dxa"/>
                  <w:gridSpan w:val="2"/>
                  <w:noWrap w:val="0"/>
                  <w:vAlign w:val="center"/>
                </w:tcPr>
                <w:p>
                  <w:pPr>
                    <w:spacing w:line="240" w:lineRule="atLeast"/>
                    <w:jc w:val="center"/>
                    <w:rPr>
                      <w:rFonts w:hint="default" w:ascii="Times New Roman" w:hAnsi="Times New Roman" w:eastAsia="宋体" w:cs="Times New Roman"/>
                      <w:snapToGrid w:val="0"/>
                      <w:color w:val="FF0000"/>
                      <w:szCs w:val="21"/>
                    </w:rPr>
                  </w:pPr>
                  <w:r>
                    <w:rPr>
                      <w:rFonts w:ascii="Times New Roman" w:hAnsi="Times New Roman"/>
                      <w:color w:val="000000"/>
                      <w:szCs w:val="21"/>
                      <w:highlight w:val="none"/>
                    </w:rPr>
                    <w:t>暂存于</w:t>
                  </w:r>
                  <w:r>
                    <w:rPr>
                      <w:rFonts w:hint="eastAsia" w:ascii="Times New Roman" w:hAnsi="Times New Roman"/>
                      <w:color w:val="000000"/>
                      <w:szCs w:val="21"/>
                      <w:highlight w:val="none"/>
                      <w:lang w:val="en-US" w:eastAsia="zh-CN"/>
                    </w:rPr>
                    <w:t>西南</w:t>
                  </w:r>
                  <w:r>
                    <w:rPr>
                      <w:rFonts w:hint="eastAsia" w:ascii="Times New Roman" w:hAnsi="Times New Roman"/>
                      <w:color w:val="000000"/>
                      <w:szCs w:val="21"/>
                      <w:highlight w:val="none"/>
                    </w:rPr>
                    <w:t>侧</w:t>
                  </w:r>
                  <w:r>
                    <w:rPr>
                      <w:rFonts w:hint="eastAsia" w:ascii="Times New Roman" w:hAnsi="Times New Roman"/>
                      <w:color w:val="000000"/>
                      <w:szCs w:val="21"/>
                      <w:highlight w:val="none"/>
                      <w:lang w:val="en-US" w:eastAsia="zh-CN"/>
                    </w:rPr>
                    <w:t>建设</w:t>
                  </w:r>
                  <w:r>
                    <w:rPr>
                      <w:rFonts w:ascii="Times New Roman" w:hAnsi="Times New Roman"/>
                      <w:color w:val="000000"/>
                      <w:szCs w:val="21"/>
                      <w:highlight w:val="none"/>
                    </w:rPr>
                    <w:t>的危废暂存场所（建筑面积</w:t>
                  </w:r>
                  <w:r>
                    <w:rPr>
                      <w:rFonts w:hint="eastAsia" w:ascii="Times New Roman" w:hAnsi="Times New Roman"/>
                      <w:color w:val="000000"/>
                      <w:szCs w:val="21"/>
                      <w:highlight w:val="none"/>
                      <w:lang w:val="en-US" w:eastAsia="zh-CN"/>
                    </w:rPr>
                    <w:t>3</w:t>
                  </w:r>
                  <w:r>
                    <w:rPr>
                      <w:rFonts w:ascii="Times New Roman" w:hAnsi="Times New Roman"/>
                      <w:color w:val="000000"/>
                      <w:szCs w:val="21"/>
                      <w:highlight w:val="none"/>
                    </w:rPr>
                    <w:t>0m</w:t>
                  </w:r>
                  <w:r>
                    <w:rPr>
                      <w:rFonts w:ascii="Times New Roman" w:hAnsi="Times New Roman"/>
                      <w:color w:val="000000"/>
                      <w:szCs w:val="21"/>
                      <w:highlight w:val="none"/>
                      <w:vertAlign w:val="superscript"/>
                    </w:rPr>
                    <w:t>2</w:t>
                  </w:r>
                  <w:r>
                    <w:rPr>
                      <w:rFonts w:ascii="Times New Roman" w:hAnsi="Times New Roman"/>
                      <w:color w:val="000000"/>
                      <w:szCs w:val="21"/>
                      <w:highlight w:val="none"/>
                    </w:rPr>
                    <w:t>），交由有资质单位处置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noWrap w:val="0"/>
                  <w:vAlign w:val="center"/>
                </w:tcPr>
                <w:p>
                  <w:pPr>
                    <w:spacing w:line="240" w:lineRule="atLeast"/>
                    <w:jc w:val="center"/>
                    <w:rPr>
                      <w:rFonts w:hint="default" w:ascii="Times New Roman" w:hAnsi="Times New Roman" w:eastAsia="宋体" w:cs="Times New Roman"/>
                      <w:szCs w:val="21"/>
                    </w:rPr>
                  </w:pPr>
                </w:p>
              </w:tc>
              <w:tc>
                <w:tcPr>
                  <w:tcW w:w="1194" w:type="dxa"/>
                  <w:noWrap w:val="0"/>
                  <w:vAlign w:val="center"/>
                </w:tcPr>
                <w:p>
                  <w:pPr>
                    <w:pStyle w:val="44"/>
                    <w:rPr>
                      <w:rFonts w:hint="default" w:ascii="Times New Roman" w:hAnsi="Times New Roman" w:eastAsia="宋体" w:cs="Times New Roman"/>
                      <w:color w:val="FF0000"/>
                      <w:szCs w:val="21"/>
                    </w:rPr>
                  </w:pPr>
                  <w:r>
                    <w:rPr>
                      <w:rFonts w:hint="default" w:ascii="Times New Roman" w:hAnsi="Times New Roman" w:cs="Times New Roman"/>
                      <w:color w:val="000000"/>
                      <w:szCs w:val="21"/>
                      <w:lang w:val="en-US" w:eastAsia="zh-CN"/>
                    </w:rPr>
                    <w:t>防渗治理</w:t>
                  </w:r>
                </w:p>
              </w:tc>
              <w:tc>
                <w:tcPr>
                  <w:tcW w:w="6324" w:type="dxa"/>
                  <w:gridSpan w:val="3"/>
                  <w:noWrap w:val="0"/>
                  <w:vAlign w:val="center"/>
                </w:tcPr>
                <w:p>
                  <w:pPr>
                    <w:pStyle w:val="44"/>
                    <w:rPr>
                      <w:rFonts w:ascii="Times New Roman" w:hAnsi="Times New Roman"/>
                      <w:color w:val="000000"/>
                      <w:szCs w:val="21"/>
                      <w:highlight w:val="none"/>
                    </w:rPr>
                  </w:pPr>
                  <w:r>
                    <w:rPr>
                      <w:rFonts w:hint="default" w:ascii="Times New Roman" w:hAnsi="Times New Roman" w:cs="Times New Roman"/>
                      <w:szCs w:val="21"/>
                    </w:rPr>
                    <w:t>危废暂存仓库</w:t>
                  </w:r>
                  <w:r>
                    <w:rPr>
                      <w:rFonts w:hint="default" w:ascii="Times New Roman" w:hAnsi="Times New Roman" w:cs="Times New Roman"/>
                      <w:szCs w:val="21"/>
                      <w:lang w:eastAsia="zh-CN"/>
                    </w:rPr>
                    <w:t>、</w:t>
                  </w:r>
                  <w:r>
                    <w:rPr>
                      <w:rFonts w:hint="default" w:ascii="Times New Roman" w:hAnsi="Times New Roman" w:cs="Times New Roman"/>
                      <w:szCs w:val="21"/>
                    </w:rPr>
                    <w:t>污水处理设备所在地面</w:t>
                  </w:r>
                  <w:r>
                    <w:rPr>
                      <w:rFonts w:hint="default" w:ascii="Times New Roman" w:hAnsi="Times New Roman" w:cs="Times New Roman"/>
                      <w:szCs w:val="21"/>
                      <w:lang w:eastAsia="zh-CN"/>
                    </w:rPr>
                    <w:t>、</w:t>
                  </w:r>
                  <w:r>
                    <w:rPr>
                      <w:rFonts w:hint="default" w:ascii="Times New Roman" w:hAnsi="Times New Roman" w:cs="Times New Roman"/>
                      <w:szCs w:val="21"/>
                    </w:rPr>
                    <w:t>事故池</w:t>
                  </w:r>
                  <w:r>
                    <w:rPr>
                      <w:rFonts w:hint="default" w:ascii="Times New Roman" w:hAnsi="Times New Roman" w:cs="Times New Roman"/>
                      <w:szCs w:val="21"/>
                      <w:lang w:eastAsia="zh-CN"/>
                    </w:rPr>
                    <w:t>、</w:t>
                  </w:r>
                  <w:r>
                    <w:rPr>
                      <w:rFonts w:hint="eastAsia" w:ascii="Times New Roman" w:hAnsi="Times New Roman" w:cs="Times New Roman"/>
                      <w:szCs w:val="21"/>
                      <w:lang w:val="en-US" w:eastAsia="zh-CN"/>
                    </w:rPr>
                    <w:t>雨水收集池</w:t>
                  </w:r>
                  <w:r>
                    <w:rPr>
                      <w:rFonts w:hint="default" w:ascii="Times New Roman" w:hAnsi="Times New Roman" w:cs="Times New Roman"/>
                      <w:szCs w:val="21"/>
                      <w:lang w:val="en-US" w:eastAsia="zh-CN"/>
                    </w:rPr>
                    <w:t>所在地面做重点防渗处理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6" w:type="dxa"/>
                  <w:vMerge w:val="continue"/>
                  <w:noWrap w:val="0"/>
                  <w:vAlign w:val="center"/>
                </w:tcPr>
                <w:p>
                  <w:pPr>
                    <w:spacing w:line="240" w:lineRule="atLeast"/>
                    <w:jc w:val="center"/>
                    <w:rPr>
                      <w:rFonts w:hint="default" w:ascii="Times New Roman" w:hAnsi="Times New Roman" w:eastAsia="宋体" w:cs="Times New Roman"/>
                      <w:szCs w:val="21"/>
                    </w:rPr>
                  </w:pPr>
                </w:p>
              </w:tc>
              <w:tc>
                <w:tcPr>
                  <w:tcW w:w="1194" w:type="dxa"/>
                  <w:noWrap w:val="0"/>
                  <w:vAlign w:val="center"/>
                </w:tcPr>
                <w:p>
                  <w:pPr>
                    <w:pStyle w:val="44"/>
                    <w:rPr>
                      <w:rFonts w:hint="default" w:ascii="Times New Roman" w:hAnsi="Times New Roman" w:eastAsia="宋体" w:cs="Times New Roman"/>
                      <w:color w:val="FF0000"/>
                      <w:szCs w:val="21"/>
                    </w:rPr>
                  </w:pPr>
                  <w:r>
                    <w:rPr>
                      <w:rFonts w:hint="default" w:ascii="Times New Roman" w:hAnsi="Times New Roman" w:cs="Times New Roman"/>
                      <w:color w:val="000000"/>
                      <w:szCs w:val="21"/>
                      <w:lang w:val="en-US" w:eastAsia="zh-CN"/>
                    </w:rPr>
                    <w:t>环境风险治理</w:t>
                  </w:r>
                </w:p>
              </w:tc>
              <w:tc>
                <w:tcPr>
                  <w:tcW w:w="6324" w:type="dxa"/>
                  <w:gridSpan w:val="3"/>
                  <w:noWrap w:val="0"/>
                  <w:vAlign w:val="center"/>
                </w:tcPr>
                <w:p>
                  <w:pPr>
                    <w:pStyle w:val="44"/>
                    <w:rPr>
                      <w:rFonts w:ascii="Times New Roman" w:hAnsi="Times New Roman"/>
                      <w:color w:val="000000"/>
                      <w:szCs w:val="21"/>
                      <w:highlight w:val="none"/>
                    </w:rPr>
                  </w:pPr>
                  <w:r>
                    <w:rPr>
                      <w:rFonts w:hint="default" w:ascii="Times New Roman" w:hAnsi="Times New Roman" w:cs="Times New Roman"/>
                      <w:szCs w:val="21"/>
                      <w:lang w:val="en-US" w:eastAsia="zh-CN"/>
                    </w:rPr>
                    <w:t>建设事故池1座，容积</w:t>
                  </w:r>
                  <w:r>
                    <w:rPr>
                      <w:rFonts w:hint="eastAsia" w:ascii="Times New Roman" w:hAnsi="Times New Roman" w:cs="Times New Roman"/>
                      <w:szCs w:val="21"/>
                      <w:lang w:val="en-US" w:eastAsia="zh-CN"/>
                    </w:rPr>
                    <w:t>100</w:t>
                  </w:r>
                  <w:r>
                    <w:rPr>
                      <w:rFonts w:hint="default" w:ascii="Times New Roman" w:hAnsi="Times New Roman" w:cs="Times New Roman"/>
                      <w:szCs w:val="21"/>
                      <w:lang w:val="en-US" w:eastAsia="zh-CN"/>
                    </w:rPr>
                    <w:t>m</w:t>
                  </w:r>
                  <w:r>
                    <w:rPr>
                      <w:rFonts w:hint="default" w:ascii="Times New Roman" w:hAnsi="Times New Roman" w:cs="Times New Roman"/>
                      <w:szCs w:val="21"/>
                      <w:vertAlign w:val="superscript"/>
                      <w:lang w:val="en-US" w:eastAsia="zh-CN"/>
                    </w:rPr>
                    <w:t>3</w:t>
                  </w:r>
                </w:p>
              </w:tc>
            </w:tr>
          </w:tbl>
          <w:p>
            <w:pPr>
              <w:rPr>
                <w:rFonts w:hint="default" w:ascii="Times New Roman" w:hAnsi="Times New Roman" w:eastAsia="宋体" w:cs="Times New Roman"/>
              </w:rPr>
            </w:pPr>
          </w:p>
          <w:p>
            <w:pPr>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（8）生产设备</w:t>
            </w:r>
          </w:p>
          <w:p>
            <w:pPr>
              <w:spacing w:line="360" w:lineRule="auto"/>
              <w:ind w:firstLine="480" w:firstLineChars="200"/>
              <w:rPr>
                <w:rFonts w:ascii="Times New Roman" w:hAnsi="Times New Roman"/>
                <w:b/>
                <w:highlight w:val="none"/>
              </w:rPr>
            </w:pPr>
            <w:r>
              <w:rPr>
                <w:rFonts w:hint="eastAsia" w:ascii="Times New Roman" w:hAnsi="Times New Roman"/>
                <w:bCs/>
                <w:sz w:val="24"/>
                <w:highlight w:val="none"/>
                <w:lang w:val="en-US" w:eastAsia="zh-CN"/>
              </w:rPr>
              <w:t>本项目主要施工设备见下表</w:t>
            </w:r>
            <w:r>
              <w:rPr>
                <w:rFonts w:ascii="Times New Roman" w:hAnsi="Times New Roman"/>
                <w:bCs/>
                <w:sz w:val="24"/>
                <w:highlight w:val="none"/>
              </w:rPr>
              <w:t>：</w:t>
            </w:r>
          </w:p>
          <w:p>
            <w:pPr>
              <w:spacing w:line="360" w:lineRule="auto"/>
              <w:ind w:firstLine="482" w:firstLineChars="200"/>
              <w:jc w:val="center"/>
              <w:rPr>
                <w:rFonts w:hint="default" w:ascii="Times New Roman" w:hAnsi="Times New Roman" w:eastAsia="宋体" w:cs="Times New Roman"/>
                <w:b/>
                <w:sz w:val="24"/>
              </w:rPr>
            </w:pPr>
            <w:r>
              <w:rPr>
                <w:rFonts w:hint="default" w:ascii="Times New Roman" w:hAnsi="Times New Roman" w:eastAsia="宋体" w:cs="Times New Roman"/>
                <w:b/>
                <w:sz w:val="24"/>
              </w:rPr>
              <w:t>表1</w:t>
            </w:r>
            <w:r>
              <w:rPr>
                <w:rFonts w:hint="eastAsia" w:ascii="Times New Roman" w:hAnsi="Times New Roman" w:eastAsia="宋体" w:cs="Times New Roman"/>
                <w:b/>
                <w:sz w:val="24"/>
                <w:lang w:val="en-US" w:eastAsia="zh-CN"/>
              </w:rPr>
              <w:t>-5</w:t>
            </w:r>
            <w:r>
              <w:rPr>
                <w:rFonts w:hint="default" w:ascii="Times New Roman" w:hAnsi="Times New Roman" w:eastAsia="宋体" w:cs="Times New Roman"/>
                <w:b/>
                <w:sz w:val="24"/>
              </w:rPr>
              <w:t xml:space="preserve">  主要</w:t>
            </w:r>
            <w:r>
              <w:rPr>
                <w:rFonts w:hint="eastAsia" w:ascii="Times New Roman" w:hAnsi="Times New Roman" w:eastAsia="宋体" w:cs="Times New Roman"/>
                <w:b/>
                <w:sz w:val="24"/>
                <w:lang w:val="en-US" w:eastAsia="zh-CN"/>
              </w:rPr>
              <w:t>施工</w:t>
            </w:r>
            <w:r>
              <w:rPr>
                <w:rFonts w:hint="default" w:ascii="Times New Roman" w:hAnsi="Times New Roman" w:eastAsia="宋体" w:cs="Times New Roman"/>
                <w:b/>
                <w:sz w:val="24"/>
              </w:rPr>
              <w:t>设备一览表</w:t>
            </w:r>
          </w:p>
          <w:tbl>
            <w:tblPr>
              <w:tblStyle w:val="27"/>
              <w:tblW w:w="8844" w:type="dxa"/>
              <w:jc w:val="center"/>
              <w:tblLayout w:type="fixed"/>
              <w:tblCellMar>
                <w:top w:w="0" w:type="dxa"/>
                <w:left w:w="0" w:type="dxa"/>
                <w:bottom w:w="0" w:type="dxa"/>
                <w:right w:w="0" w:type="dxa"/>
              </w:tblCellMar>
            </w:tblPr>
            <w:tblGrid>
              <w:gridCol w:w="1663"/>
              <w:gridCol w:w="4679"/>
              <w:gridCol w:w="2502"/>
            </w:tblGrid>
            <w:tr>
              <w:tblPrEx>
                <w:tblCellMar>
                  <w:top w:w="0" w:type="dxa"/>
                  <w:left w:w="0" w:type="dxa"/>
                  <w:bottom w:w="0" w:type="dxa"/>
                  <w:right w:w="0" w:type="dxa"/>
                </w:tblCellMar>
              </w:tblPrEx>
              <w:trPr>
                <w:trHeight w:val="369" w:hRule="atLeast"/>
                <w:jc w:val="center"/>
              </w:trPr>
              <w:tc>
                <w:tcPr>
                  <w:tcW w:w="1663" w:type="dxa"/>
                  <w:tcBorders>
                    <w:top w:val="single" w:color="auto"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序号</w:t>
                  </w:r>
                </w:p>
              </w:tc>
              <w:tc>
                <w:tcPr>
                  <w:tcW w:w="4679" w:type="dxa"/>
                  <w:tcBorders>
                    <w:top w:val="single" w:color="auto"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设备名称</w:t>
                  </w:r>
                </w:p>
              </w:tc>
              <w:tc>
                <w:tcPr>
                  <w:tcW w:w="2502" w:type="dxa"/>
                  <w:tcBorders>
                    <w:top w:val="single" w:color="auto"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数量（台、套）</w:t>
                  </w:r>
                </w:p>
              </w:tc>
            </w:tr>
            <w:tr>
              <w:tblPrEx>
                <w:tblCellMar>
                  <w:top w:w="0" w:type="dxa"/>
                  <w:left w:w="0" w:type="dxa"/>
                  <w:bottom w:w="0" w:type="dxa"/>
                  <w:right w:w="0" w:type="dxa"/>
                </w:tblCellMar>
              </w:tblPrEx>
              <w:trPr>
                <w:trHeight w:val="369" w:hRule="atLeast"/>
                <w:jc w:val="center"/>
              </w:trPr>
              <w:tc>
                <w:tcPr>
                  <w:tcW w:w="1663"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67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pStyle w:val="94"/>
                    <w:kinsoku w:val="0"/>
                    <w:overflowPunct w:val="0"/>
                    <w:spacing w:line="240" w:lineRule="atLeast"/>
                    <w:jc w:val="center"/>
                    <w:rPr>
                      <w:rFonts w:hint="default" w:ascii="Times New Roman" w:hAnsi="Times New Roman" w:eastAsia="宋体" w:cs="Times New Roman"/>
                      <w:szCs w:val="21"/>
                      <w:shd w:val="clear" w:color="000000" w:fill="FFFFFF"/>
                      <w:lang w:eastAsia="zh-CN"/>
                    </w:rPr>
                  </w:pPr>
                  <w:r>
                    <w:rPr>
                      <w:rFonts w:hint="default" w:ascii="Times New Roman" w:hAnsi="Times New Roman" w:cs="Times New Roman"/>
                      <w:color w:val="auto"/>
                      <w:sz w:val="21"/>
                      <w:szCs w:val="21"/>
                      <w:lang w:eastAsia="zh-CN"/>
                    </w:rPr>
                    <w:t>挖掘机</w:t>
                  </w:r>
                </w:p>
              </w:tc>
              <w:tc>
                <w:tcPr>
                  <w:tcW w:w="250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widowControl/>
                    <w:jc w:val="center"/>
                    <w:textAlignment w:val="center"/>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2</w:t>
                  </w:r>
                </w:p>
              </w:tc>
            </w:tr>
            <w:tr>
              <w:tblPrEx>
                <w:tblCellMar>
                  <w:top w:w="0" w:type="dxa"/>
                  <w:left w:w="0" w:type="dxa"/>
                  <w:bottom w:w="0" w:type="dxa"/>
                  <w:right w:w="0" w:type="dxa"/>
                </w:tblCellMar>
              </w:tblPrEx>
              <w:trPr>
                <w:trHeight w:val="369" w:hRule="atLeast"/>
                <w:jc w:val="center"/>
              </w:trPr>
              <w:tc>
                <w:tcPr>
                  <w:tcW w:w="1663"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67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pStyle w:val="94"/>
                    <w:kinsoku w:val="0"/>
                    <w:overflowPunct w:val="0"/>
                    <w:spacing w:line="240" w:lineRule="atLeast"/>
                    <w:jc w:val="center"/>
                    <w:rPr>
                      <w:rFonts w:hint="default" w:ascii="Times New Roman" w:hAnsi="Times New Roman" w:eastAsia="宋体" w:cs="Times New Roman"/>
                      <w:szCs w:val="21"/>
                      <w:shd w:val="clear" w:color="000000" w:fill="FFFFFF"/>
                    </w:rPr>
                  </w:pPr>
                  <w:r>
                    <w:rPr>
                      <w:rFonts w:hint="default" w:ascii="Times New Roman" w:hAnsi="Times New Roman" w:cs="Times New Roman"/>
                      <w:color w:val="auto"/>
                      <w:sz w:val="21"/>
                      <w:szCs w:val="21"/>
                      <w:lang w:eastAsia="zh-CN"/>
                    </w:rPr>
                    <w:t>轮式装载机</w:t>
                  </w:r>
                </w:p>
              </w:tc>
              <w:tc>
                <w:tcPr>
                  <w:tcW w:w="250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widowControl/>
                    <w:jc w:val="center"/>
                    <w:textAlignment w:val="center"/>
                    <w:rPr>
                      <w:rFonts w:hint="default" w:ascii="Times New Roman" w:hAnsi="Times New Roman" w:eastAsia="宋体" w:cs="Times New Roman"/>
                      <w:kern w:val="0"/>
                      <w:szCs w:val="21"/>
                      <w:lang w:val="en-US" w:eastAsia="zh-CN" w:bidi="ar"/>
                    </w:rPr>
                  </w:pPr>
                  <w:r>
                    <w:rPr>
                      <w:rFonts w:hint="default" w:ascii="Times New Roman" w:hAnsi="Times New Roman" w:eastAsia="宋体" w:cs="Times New Roman"/>
                      <w:kern w:val="0"/>
                      <w:szCs w:val="21"/>
                      <w:lang w:val="en-US" w:eastAsia="zh-CN" w:bidi="ar"/>
                    </w:rPr>
                    <w:t>2</w:t>
                  </w:r>
                </w:p>
              </w:tc>
            </w:tr>
            <w:tr>
              <w:tblPrEx>
                <w:tblCellMar>
                  <w:top w:w="0" w:type="dxa"/>
                  <w:left w:w="0" w:type="dxa"/>
                  <w:bottom w:w="0" w:type="dxa"/>
                  <w:right w:w="0" w:type="dxa"/>
                </w:tblCellMar>
              </w:tblPrEx>
              <w:trPr>
                <w:trHeight w:val="369" w:hRule="atLeast"/>
                <w:jc w:val="center"/>
              </w:trPr>
              <w:tc>
                <w:tcPr>
                  <w:tcW w:w="1663"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67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pStyle w:val="94"/>
                    <w:kinsoku w:val="0"/>
                    <w:overflowPunct w:val="0"/>
                    <w:spacing w:line="240" w:lineRule="atLeast"/>
                    <w:jc w:val="center"/>
                    <w:rPr>
                      <w:rFonts w:hint="default" w:ascii="Times New Roman" w:hAnsi="Times New Roman" w:eastAsia="宋体" w:cs="Times New Roman"/>
                      <w:szCs w:val="21"/>
                      <w:shd w:val="clear" w:color="000000" w:fill="FFFFFF"/>
                    </w:rPr>
                  </w:pPr>
                  <w:r>
                    <w:rPr>
                      <w:rFonts w:hint="default" w:ascii="Times New Roman" w:hAnsi="Times New Roman" w:cs="Times New Roman"/>
                      <w:color w:val="auto"/>
                      <w:sz w:val="21"/>
                      <w:szCs w:val="21"/>
                      <w:lang w:eastAsia="zh-CN"/>
                    </w:rPr>
                    <w:t>推土机</w:t>
                  </w:r>
                </w:p>
              </w:tc>
              <w:tc>
                <w:tcPr>
                  <w:tcW w:w="250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widowControl/>
                    <w:jc w:val="center"/>
                    <w:textAlignment w:val="center"/>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2</w:t>
                  </w:r>
                </w:p>
              </w:tc>
            </w:tr>
            <w:tr>
              <w:tblPrEx>
                <w:tblCellMar>
                  <w:top w:w="0" w:type="dxa"/>
                  <w:left w:w="0" w:type="dxa"/>
                  <w:bottom w:w="0" w:type="dxa"/>
                  <w:right w:w="0" w:type="dxa"/>
                </w:tblCellMar>
              </w:tblPrEx>
              <w:trPr>
                <w:trHeight w:val="369" w:hRule="atLeast"/>
                <w:jc w:val="center"/>
              </w:trPr>
              <w:tc>
                <w:tcPr>
                  <w:tcW w:w="1663"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pPr>
                    <w:autoSpaceDE w:val="0"/>
                    <w:autoSpaceDN w:val="0"/>
                    <w:spacing w:line="240" w:lineRule="atLeast"/>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467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pStyle w:val="94"/>
                    <w:kinsoku w:val="0"/>
                    <w:overflowPunct w:val="0"/>
                    <w:spacing w:line="240" w:lineRule="atLeast"/>
                    <w:jc w:val="center"/>
                    <w:rPr>
                      <w:rFonts w:hint="default" w:ascii="Times New Roman" w:hAnsi="Times New Roman" w:eastAsia="宋体" w:cs="Times New Roman"/>
                      <w:szCs w:val="21"/>
                      <w:shd w:val="clear" w:color="000000" w:fill="FFFFFF"/>
                      <w:lang w:eastAsia="zh-CN"/>
                    </w:rPr>
                  </w:pPr>
                  <w:r>
                    <w:rPr>
                      <w:rFonts w:hint="default" w:ascii="Times New Roman" w:hAnsi="Times New Roman" w:cs="Times New Roman"/>
                      <w:color w:val="auto"/>
                      <w:sz w:val="21"/>
                      <w:szCs w:val="21"/>
                      <w:lang w:eastAsia="zh-CN"/>
                    </w:rPr>
                    <w:t>电锯</w:t>
                  </w:r>
                </w:p>
              </w:tc>
              <w:tc>
                <w:tcPr>
                  <w:tcW w:w="250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widowControl/>
                    <w:jc w:val="center"/>
                    <w:textAlignment w:val="center"/>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5</w:t>
                  </w:r>
                </w:p>
              </w:tc>
            </w:tr>
            <w:tr>
              <w:tblPrEx>
                <w:tblCellMar>
                  <w:top w:w="0" w:type="dxa"/>
                  <w:left w:w="0" w:type="dxa"/>
                  <w:bottom w:w="0" w:type="dxa"/>
                  <w:right w:w="0" w:type="dxa"/>
                </w:tblCellMar>
              </w:tblPrEx>
              <w:trPr>
                <w:trHeight w:val="369" w:hRule="atLeast"/>
                <w:jc w:val="center"/>
              </w:trPr>
              <w:tc>
                <w:tcPr>
                  <w:tcW w:w="1663"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pPr>
                    <w:autoSpaceDE w:val="0"/>
                    <w:autoSpaceDN w:val="0"/>
                    <w:spacing w:line="24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w:t>
                  </w:r>
                </w:p>
              </w:tc>
              <w:tc>
                <w:tcPr>
                  <w:tcW w:w="467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pStyle w:val="94"/>
                    <w:kinsoku w:val="0"/>
                    <w:overflowPunct w:val="0"/>
                    <w:spacing w:line="240" w:lineRule="atLeast"/>
                    <w:jc w:val="center"/>
                    <w:rPr>
                      <w:rFonts w:hint="default" w:ascii="Times New Roman" w:hAnsi="Times New Roman" w:eastAsia="宋体" w:cs="Times New Roman"/>
                      <w:lang w:val="en-US" w:eastAsia="zh-CN"/>
                    </w:rPr>
                  </w:pPr>
                  <w:r>
                    <w:rPr>
                      <w:rFonts w:hint="default" w:ascii="Times New Roman" w:hAnsi="Times New Roman" w:cs="Times New Roman"/>
                      <w:color w:val="auto"/>
                      <w:sz w:val="21"/>
                      <w:szCs w:val="21"/>
                      <w:lang w:eastAsia="zh-CN"/>
                    </w:rPr>
                    <w:t>电锤</w:t>
                  </w:r>
                </w:p>
              </w:tc>
              <w:tc>
                <w:tcPr>
                  <w:tcW w:w="250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widowControl/>
                    <w:jc w:val="center"/>
                    <w:textAlignment w:val="center"/>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5</w:t>
                  </w:r>
                </w:p>
              </w:tc>
            </w:tr>
            <w:tr>
              <w:tblPrEx>
                <w:tblCellMar>
                  <w:top w:w="0" w:type="dxa"/>
                  <w:left w:w="0" w:type="dxa"/>
                  <w:bottom w:w="0" w:type="dxa"/>
                  <w:right w:w="0" w:type="dxa"/>
                </w:tblCellMar>
              </w:tblPrEx>
              <w:trPr>
                <w:trHeight w:val="369" w:hRule="atLeast"/>
                <w:jc w:val="center"/>
              </w:trPr>
              <w:tc>
                <w:tcPr>
                  <w:tcW w:w="1663"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pPr>
                    <w:autoSpaceDE w:val="0"/>
                    <w:autoSpaceDN w:val="0"/>
                    <w:spacing w:line="24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6</w:t>
                  </w:r>
                </w:p>
              </w:tc>
              <w:tc>
                <w:tcPr>
                  <w:tcW w:w="467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pStyle w:val="94"/>
                    <w:kinsoku w:val="0"/>
                    <w:overflowPunct w:val="0"/>
                    <w:spacing w:line="240" w:lineRule="atLeast"/>
                    <w:jc w:val="center"/>
                    <w:rPr>
                      <w:rFonts w:hint="default" w:ascii="Times New Roman" w:hAnsi="Times New Roman" w:eastAsia="宋体" w:cs="Times New Roman"/>
                      <w:lang w:val="en-US" w:eastAsia="zh-CN"/>
                    </w:rPr>
                  </w:pPr>
                  <w:r>
                    <w:rPr>
                      <w:rFonts w:hint="default" w:ascii="Times New Roman" w:hAnsi="Times New Roman" w:cs="Times New Roman"/>
                      <w:color w:val="auto"/>
                      <w:sz w:val="21"/>
                      <w:szCs w:val="21"/>
                      <w:lang w:eastAsia="zh-CN"/>
                    </w:rPr>
                    <w:t>运输车</w:t>
                  </w:r>
                </w:p>
              </w:tc>
              <w:tc>
                <w:tcPr>
                  <w:tcW w:w="250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widowControl/>
                    <w:jc w:val="center"/>
                    <w:textAlignment w:val="center"/>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20</w:t>
                  </w:r>
                </w:p>
              </w:tc>
            </w:tr>
            <w:tr>
              <w:tblPrEx>
                <w:tblCellMar>
                  <w:top w:w="0" w:type="dxa"/>
                  <w:left w:w="0" w:type="dxa"/>
                  <w:bottom w:w="0" w:type="dxa"/>
                  <w:right w:w="0" w:type="dxa"/>
                </w:tblCellMar>
              </w:tblPrEx>
              <w:trPr>
                <w:trHeight w:val="369" w:hRule="atLeast"/>
                <w:jc w:val="center"/>
              </w:trPr>
              <w:tc>
                <w:tcPr>
                  <w:tcW w:w="1663"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pPr>
                    <w:autoSpaceDE w:val="0"/>
                    <w:autoSpaceDN w:val="0"/>
                    <w:spacing w:line="24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7</w:t>
                  </w:r>
                </w:p>
              </w:tc>
              <w:tc>
                <w:tcPr>
                  <w:tcW w:w="467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pStyle w:val="94"/>
                    <w:kinsoku w:val="0"/>
                    <w:overflowPunct w:val="0"/>
                    <w:spacing w:line="240" w:lineRule="atLeast"/>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污水净化设备</w:t>
                  </w:r>
                </w:p>
              </w:tc>
              <w:tc>
                <w:tcPr>
                  <w:tcW w:w="250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widowControl/>
                    <w:jc w:val="center"/>
                    <w:textAlignment w:val="center"/>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1</w:t>
                  </w:r>
                </w:p>
              </w:tc>
            </w:tr>
            <w:tr>
              <w:tblPrEx>
                <w:tblCellMar>
                  <w:top w:w="0" w:type="dxa"/>
                  <w:left w:w="0" w:type="dxa"/>
                  <w:bottom w:w="0" w:type="dxa"/>
                  <w:right w:w="0" w:type="dxa"/>
                </w:tblCellMar>
              </w:tblPrEx>
              <w:trPr>
                <w:trHeight w:val="369" w:hRule="atLeast"/>
                <w:jc w:val="center"/>
              </w:trPr>
              <w:tc>
                <w:tcPr>
                  <w:tcW w:w="1663"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pPr>
                    <w:autoSpaceDE w:val="0"/>
                    <w:autoSpaceDN w:val="0"/>
                    <w:spacing w:line="24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8</w:t>
                  </w:r>
                </w:p>
              </w:tc>
              <w:tc>
                <w:tcPr>
                  <w:tcW w:w="467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pStyle w:val="94"/>
                    <w:kinsoku w:val="0"/>
                    <w:overflowPunct w:val="0"/>
                    <w:spacing w:line="240" w:lineRule="atLeast"/>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洗车平台</w:t>
                  </w:r>
                </w:p>
              </w:tc>
              <w:tc>
                <w:tcPr>
                  <w:tcW w:w="250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widowControl/>
                    <w:jc w:val="center"/>
                    <w:textAlignment w:val="center"/>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1</w:t>
                  </w:r>
                </w:p>
              </w:tc>
            </w:tr>
            <w:tr>
              <w:tblPrEx>
                <w:tblCellMar>
                  <w:top w:w="0" w:type="dxa"/>
                  <w:left w:w="0" w:type="dxa"/>
                  <w:bottom w:w="0" w:type="dxa"/>
                  <w:right w:w="0" w:type="dxa"/>
                </w:tblCellMar>
              </w:tblPrEx>
              <w:trPr>
                <w:trHeight w:val="369" w:hRule="atLeast"/>
                <w:jc w:val="center"/>
              </w:trPr>
              <w:tc>
                <w:tcPr>
                  <w:tcW w:w="1663"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pPr>
                    <w:autoSpaceDE w:val="0"/>
                    <w:autoSpaceDN w:val="0"/>
                    <w:spacing w:line="24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w:t>
                  </w:r>
                </w:p>
              </w:tc>
              <w:tc>
                <w:tcPr>
                  <w:tcW w:w="467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pStyle w:val="94"/>
                    <w:kinsoku w:val="0"/>
                    <w:overflowPunct w:val="0"/>
                    <w:spacing w:line="240" w:lineRule="atLeast"/>
                    <w:jc w:val="center"/>
                    <w:rPr>
                      <w:rFonts w:hint="default" w:ascii="Times New Roman" w:hAnsi="Times New Roman" w:eastAsia="宋体" w:cs="Times New Roman"/>
                      <w:lang w:val="en-US" w:eastAsia="zh-CN"/>
                    </w:rPr>
                  </w:pPr>
                  <w:r>
                    <w:rPr>
                      <w:rFonts w:hint="eastAsia" w:ascii="Times New Roman" w:hAnsi="Times New Roman" w:cs="Times New Roman"/>
                      <w:color w:val="auto"/>
                      <w:sz w:val="21"/>
                      <w:szCs w:val="21"/>
                      <w:lang w:val="en-US" w:eastAsia="zh-CN"/>
                    </w:rPr>
                    <w:t>雾炮</w:t>
                  </w:r>
                </w:p>
              </w:tc>
              <w:tc>
                <w:tcPr>
                  <w:tcW w:w="250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widowControl/>
                    <w:jc w:val="center"/>
                    <w:textAlignment w:val="center"/>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5</w:t>
                  </w:r>
                </w:p>
              </w:tc>
            </w:tr>
          </w:tbl>
          <w:p>
            <w:pPr>
              <w:spacing w:line="360" w:lineRule="auto"/>
              <w:ind w:firstLine="480" w:firstLineChars="200"/>
              <w:rPr>
                <w:rFonts w:ascii="Times New Roman" w:hAnsi="Times New Roman"/>
                <w:sz w:val="24"/>
                <w:szCs w:val="24"/>
                <w:highlight w:val="none"/>
              </w:rPr>
            </w:pPr>
          </w:p>
          <w:p>
            <w:pPr>
              <w:spacing w:line="360" w:lineRule="auto"/>
              <w:ind w:firstLine="480" w:firstLineChars="200"/>
              <w:rPr>
                <w:rFonts w:ascii="Times New Roman" w:hAnsi="Times New Roman"/>
                <w:sz w:val="24"/>
                <w:szCs w:val="24"/>
                <w:highlight w:val="none"/>
              </w:rPr>
            </w:pPr>
            <w:r>
              <w:rPr>
                <w:rFonts w:ascii="Times New Roman" w:hAnsi="Times New Roman"/>
                <w:sz w:val="24"/>
                <w:szCs w:val="24"/>
                <w:highlight w:val="none"/>
              </w:rPr>
              <w:t>（9）主要原辅材料及能源消耗</w:t>
            </w:r>
          </w:p>
          <w:p>
            <w:pPr>
              <w:spacing w:line="360" w:lineRule="auto"/>
              <w:ind w:firstLine="480" w:firstLineChars="200"/>
              <w:rPr>
                <w:rFonts w:ascii="Times New Roman" w:hAnsi="Times New Roman"/>
                <w:sz w:val="24"/>
                <w:szCs w:val="24"/>
                <w:highlight w:val="none"/>
              </w:rPr>
            </w:pPr>
            <w:r>
              <w:rPr>
                <w:rFonts w:ascii="Times New Roman" w:hAnsi="Times New Roman"/>
                <w:sz w:val="24"/>
                <w:szCs w:val="24"/>
                <w:highlight w:val="none"/>
              </w:rPr>
              <w:t>本项目所用原辅材料及能源消耗见下表：</w:t>
            </w:r>
          </w:p>
          <w:p>
            <w:pPr>
              <w:spacing w:line="360" w:lineRule="auto"/>
              <w:ind w:firstLine="482" w:firstLineChars="200"/>
              <w:jc w:val="center"/>
              <w:rPr>
                <w:rFonts w:hint="default" w:ascii="Times New Roman" w:hAnsi="Times New Roman" w:eastAsia="宋体" w:cs="Times New Roman"/>
                <w:b/>
                <w:sz w:val="24"/>
                <w:szCs w:val="22"/>
              </w:rPr>
            </w:pPr>
            <w:r>
              <w:rPr>
                <w:rFonts w:hint="default" w:ascii="Times New Roman" w:hAnsi="Times New Roman" w:eastAsia="宋体" w:cs="Times New Roman"/>
                <w:b/>
                <w:sz w:val="24"/>
                <w:szCs w:val="22"/>
              </w:rPr>
              <w:t>表</w:t>
            </w:r>
            <w:r>
              <w:rPr>
                <w:rFonts w:hint="default" w:ascii="Times New Roman" w:hAnsi="Times New Roman" w:eastAsia="宋体" w:cs="Times New Roman"/>
                <w:b/>
                <w:sz w:val="24"/>
                <w:szCs w:val="22"/>
                <w:lang w:val="en-US" w:eastAsia="zh-CN"/>
              </w:rPr>
              <w:t>1-</w:t>
            </w:r>
            <w:r>
              <w:rPr>
                <w:rFonts w:hint="eastAsia" w:ascii="Times New Roman" w:hAnsi="Times New Roman" w:eastAsia="宋体" w:cs="Times New Roman"/>
                <w:b/>
                <w:sz w:val="24"/>
                <w:szCs w:val="22"/>
                <w:lang w:val="en-US" w:eastAsia="zh-CN"/>
              </w:rPr>
              <w:t>6</w:t>
            </w:r>
            <w:r>
              <w:rPr>
                <w:rFonts w:hint="default" w:ascii="Times New Roman" w:hAnsi="Times New Roman" w:eastAsia="宋体" w:cs="Times New Roman"/>
                <w:b/>
                <w:sz w:val="24"/>
                <w:szCs w:val="22"/>
                <w:lang w:val="en-US" w:eastAsia="zh-CN"/>
              </w:rPr>
              <w:t xml:space="preserve">  </w:t>
            </w:r>
            <w:r>
              <w:rPr>
                <w:rFonts w:hint="default" w:ascii="Times New Roman" w:hAnsi="Times New Roman" w:eastAsia="宋体" w:cs="Times New Roman"/>
                <w:b/>
                <w:sz w:val="24"/>
                <w:szCs w:val="22"/>
                <w:lang w:eastAsia="zh-CN"/>
              </w:rPr>
              <w:t>本项目</w:t>
            </w:r>
            <w:r>
              <w:rPr>
                <w:rFonts w:hint="default" w:ascii="Times New Roman" w:hAnsi="Times New Roman" w:eastAsia="宋体" w:cs="Times New Roman"/>
                <w:b/>
                <w:sz w:val="24"/>
                <w:szCs w:val="22"/>
              </w:rPr>
              <w:t>主要原辅材料</w:t>
            </w:r>
            <w:r>
              <w:rPr>
                <w:rFonts w:hint="eastAsia" w:ascii="Times New Roman" w:hAnsi="Times New Roman" w:eastAsia="宋体" w:cs="Times New Roman"/>
                <w:b/>
                <w:sz w:val="24"/>
                <w:szCs w:val="22"/>
                <w:lang w:val="en-US" w:eastAsia="zh-CN"/>
              </w:rPr>
              <w:t>使用</w:t>
            </w:r>
            <w:r>
              <w:rPr>
                <w:rFonts w:hint="default" w:ascii="Times New Roman" w:hAnsi="Times New Roman" w:eastAsia="宋体" w:cs="Times New Roman"/>
                <w:b/>
                <w:sz w:val="24"/>
                <w:szCs w:val="22"/>
              </w:rPr>
              <w:t>一览表</w:t>
            </w:r>
          </w:p>
          <w:tbl>
            <w:tblPr>
              <w:tblStyle w:val="27"/>
              <w:tblW w:w="884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37"/>
              <w:gridCol w:w="1372"/>
              <w:gridCol w:w="2599"/>
              <w:gridCol w:w="1807"/>
              <w:gridCol w:w="242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序号</w:t>
                  </w:r>
                </w:p>
              </w:tc>
              <w:tc>
                <w:tcPr>
                  <w:tcW w:w="1372"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名    称</w:t>
                  </w:r>
                </w:p>
              </w:tc>
              <w:tc>
                <w:tcPr>
                  <w:tcW w:w="259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性状/</w:t>
                  </w:r>
                  <w:r>
                    <w:rPr>
                      <w:rFonts w:hint="default" w:ascii="Times New Roman" w:hAnsi="Times New Roman" w:cs="Times New Roman"/>
                      <w:color w:val="auto"/>
                      <w:szCs w:val="21"/>
                    </w:rPr>
                    <w:t>存储方式</w:t>
                  </w:r>
                </w:p>
              </w:tc>
              <w:tc>
                <w:tcPr>
                  <w:tcW w:w="18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消</w:t>
                  </w:r>
                  <w:r>
                    <w:rPr>
                      <w:rFonts w:hint="default" w:ascii="Times New Roman" w:hAnsi="Times New Roman" w:cs="Times New Roman"/>
                      <w:color w:val="auto"/>
                      <w:szCs w:val="21"/>
                    </w:rPr>
                    <w:t>耗量</w:t>
                  </w:r>
                </w:p>
              </w:tc>
              <w:tc>
                <w:tcPr>
                  <w:tcW w:w="242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最大存储量/存储周期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37"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372" w:type="dxa"/>
                  <w:tcBorders>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宋体" w:cs="Times New Roman"/>
                      <w:color w:val="000000"/>
                      <w:szCs w:val="21"/>
                      <w:lang w:eastAsia="zh-CN"/>
                    </w:rPr>
                  </w:pPr>
                  <w:r>
                    <w:rPr>
                      <w:rFonts w:hint="eastAsia" w:ascii="Times New Roman" w:hAnsi="Times New Roman" w:eastAsia="宋体" w:cs="Times New Roman"/>
                      <w:color w:val="000000"/>
                      <w:szCs w:val="21"/>
                      <w:lang w:val="en-US" w:eastAsia="zh-CN"/>
                    </w:rPr>
                    <w:t>活性炭</w:t>
                  </w:r>
                </w:p>
              </w:tc>
              <w:tc>
                <w:tcPr>
                  <w:tcW w:w="259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袋装，</w:t>
                  </w:r>
                  <w:r>
                    <w:rPr>
                      <w:rFonts w:hint="eastAsia" w:ascii="Times New Roman" w:hAnsi="Times New Roman" w:cs="Times New Roman"/>
                      <w:color w:val="000000"/>
                      <w:szCs w:val="21"/>
                      <w:lang w:val="en-US" w:eastAsia="zh-CN"/>
                    </w:rPr>
                    <w:t>颗粒状</w:t>
                  </w:r>
                </w:p>
              </w:tc>
              <w:tc>
                <w:tcPr>
                  <w:tcW w:w="18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Cs w:val="21"/>
                      <w:lang w:val="en-US"/>
                    </w:rPr>
                  </w:pPr>
                  <w:r>
                    <w:rPr>
                      <w:rFonts w:hint="eastAsia" w:ascii="Times New Roman" w:hAnsi="Times New Roman" w:cs="Times New Roman"/>
                      <w:color w:val="auto"/>
                      <w:szCs w:val="21"/>
                      <w:lang w:val="en-US" w:eastAsia="zh-CN"/>
                    </w:rPr>
                    <w:t>2.5</w:t>
                  </w:r>
                  <w:r>
                    <w:rPr>
                      <w:rFonts w:hint="default" w:ascii="Times New Roman" w:hAnsi="Times New Roman" w:cs="Times New Roman"/>
                      <w:color w:val="auto"/>
                      <w:szCs w:val="21"/>
                      <w:lang w:val="en-US" w:eastAsia="zh-CN"/>
                    </w:rPr>
                    <w:t>t/</w:t>
                  </w:r>
                  <w:r>
                    <w:rPr>
                      <w:rFonts w:hint="eastAsia" w:ascii="Times New Roman" w:hAnsi="Times New Roman" w:cs="Times New Roman"/>
                      <w:color w:val="auto"/>
                      <w:szCs w:val="21"/>
                      <w:lang w:val="en-US" w:eastAsia="zh-CN"/>
                    </w:rPr>
                    <w:t>工期</w:t>
                  </w:r>
                </w:p>
              </w:tc>
              <w:tc>
                <w:tcPr>
                  <w:tcW w:w="242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hint="default" w:ascii="Times New Roman" w:hAnsi="Times New Roman" w:eastAsia="宋体" w:cs="Times New Roman"/>
                      <w:color w:val="auto"/>
                      <w:szCs w:val="21"/>
                      <w:lang w:val="en-US" w:eastAsia="zh-CN"/>
                    </w:rPr>
                    <w:t>5t/1个月</w:t>
                  </w:r>
                </w:p>
              </w:tc>
            </w:tr>
          </w:tbl>
          <w:p>
            <w:pPr>
              <w:rPr>
                <w:highlight w:val="none"/>
              </w:rPr>
            </w:pPr>
          </w:p>
          <w:p>
            <w:pPr>
              <w:widowControl/>
              <w:spacing w:line="360" w:lineRule="auto"/>
              <w:jc w:val="center"/>
              <w:rPr>
                <w:rFonts w:ascii="Times New Roman" w:hAnsi="Times New Roman"/>
                <w:b/>
                <w:color w:val="000000"/>
                <w:sz w:val="24"/>
                <w:szCs w:val="24"/>
                <w:highlight w:val="none"/>
              </w:rPr>
            </w:pPr>
            <w:r>
              <w:rPr>
                <w:rFonts w:ascii="Times New Roman" w:hAnsi="Times New Roman"/>
                <w:b/>
                <w:color w:val="000000"/>
                <w:sz w:val="24"/>
                <w:szCs w:val="24"/>
                <w:highlight w:val="none"/>
              </w:rPr>
              <w:t>表1-</w:t>
            </w:r>
            <w:r>
              <w:rPr>
                <w:rFonts w:hint="eastAsia" w:ascii="Times New Roman" w:hAnsi="Times New Roman"/>
                <w:b/>
                <w:color w:val="000000"/>
                <w:sz w:val="24"/>
                <w:szCs w:val="24"/>
                <w:highlight w:val="none"/>
                <w:lang w:val="en-US" w:eastAsia="zh-CN"/>
              </w:rPr>
              <w:t>7</w:t>
            </w:r>
            <w:r>
              <w:rPr>
                <w:rFonts w:ascii="Times New Roman" w:hAnsi="Times New Roman"/>
                <w:b/>
                <w:color w:val="000000"/>
                <w:sz w:val="24"/>
                <w:szCs w:val="24"/>
                <w:highlight w:val="none"/>
              </w:rPr>
              <w:t xml:space="preserve">  主要能源消耗一览表</w:t>
            </w:r>
          </w:p>
          <w:tbl>
            <w:tblPr>
              <w:tblStyle w:val="27"/>
              <w:tblW w:w="8844" w:type="dxa"/>
              <w:jc w:val="center"/>
              <w:tblLayout w:type="fixed"/>
              <w:tblCellMar>
                <w:top w:w="0" w:type="dxa"/>
                <w:left w:w="0" w:type="dxa"/>
                <w:bottom w:w="0" w:type="dxa"/>
                <w:right w:w="0" w:type="dxa"/>
              </w:tblCellMar>
            </w:tblPr>
            <w:tblGrid>
              <w:gridCol w:w="959"/>
              <w:gridCol w:w="3033"/>
              <w:gridCol w:w="2510"/>
              <w:gridCol w:w="2342"/>
            </w:tblGrid>
            <w:tr>
              <w:tblPrEx>
                <w:tblCellMar>
                  <w:top w:w="0" w:type="dxa"/>
                  <w:left w:w="0" w:type="dxa"/>
                  <w:bottom w:w="0" w:type="dxa"/>
                  <w:right w:w="0" w:type="dxa"/>
                </w:tblCellMar>
              </w:tblPrEx>
              <w:trPr>
                <w:trHeight w:val="23" w:hRule="atLeast"/>
                <w:jc w:val="center"/>
              </w:trPr>
              <w:tc>
                <w:tcPr>
                  <w:tcW w:w="510" w:type="dxa"/>
                  <w:tcBorders>
                    <w:top w:val="single" w:color="auto" w:sz="4" w:space="0"/>
                    <w:left w:val="single" w:color="auto" w:sz="12" w:space="0"/>
                    <w:bottom w:val="single" w:color="auto" w:sz="4" w:space="0"/>
                    <w:right w:val="single" w:color="auto" w:sz="4" w:space="0"/>
                  </w:tcBorders>
                  <w:noWrap w:val="0"/>
                  <w:tcMar>
                    <w:top w:w="0" w:type="dxa"/>
                    <w:left w:w="108" w:type="dxa"/>
                    <w:bottom w:w="0" w:type="dxa"/>
                    <w:right w:w="108" w:type="dxa"/>
                  </w:tcMar>
                  <w:vAlign w:val="center"/>
                </w:tcPr>
                <w:p>
                  <w:pPr>
                    <w:autoSpaceDE w:val="0"/>
                    <w:autoSpaceDN w:val="0"/>
                    <w:spacing w:line="240" w:lineRule="atLeast"/>
                    <w:jc w:val="center"/>
                    <w:rPr>
                      <w:rFonts w:ascii="Times New Roman" w:hAnsi="Times New Roman"/>
                      <w:color w:val="auto"/>
                      <w:szCs w:val="21"/>
                      <w:highlight w:val="none"/>
                    </w:rPr>
                  </w:pPr>
                  <w:r>
                    <w:rPr>
                      <w:rFonts w:ascii="Times New Roman" w:hAnsi="Times New Roman"/>
                      <w:color w:val="auto"/>
                      <w:szCs w:val="21"/>
                      <w:highlight w:val="none"/>
                    </w:rPr>
                    <w:t>序号</w:t>
                  </w:r>
                </w:p>
              </w:tc>
              <w:tc>
                <w:tcPr>
                  <w:tcW w:w="1613"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autoSpaceDE w:val="0"/>
                    <w:autoSpaceDN w:val="0"/>
                    <w:spacing w:line="240" w:lineRule="atLeast"/>
                    <w:jc w:val="center"/>
                    <w:rPr>
                      <w:rFonts w:hint="eastAsia" w:ascii="Times New Roman" w:hAnsi="Times New Roman" w:eastAsia="宋体"/>
                      <w:color w:val="auto"/>
                      <w:szCs w:val="21"/>
                      <w:highlight w:val="none"/>
                      <w:lang w:val="en-US" w:eastAsia="zh-CN"/>
                    </w:rPr>
                  </w:pPr>
                  <w:r>
                    <w:rPr>
                      <w:rFonts w:hint="eastAsia" w:ascii="Times New Roman" w:hAnsi="Times New Roman"/>
                      <w:color w:val="auto"/>
                      <w:szCs w:val="21"/>
                      <w:highlight w:val="none"/>
                      <w:lang w:val="en-US" w:eastAsia="zh-CN"/>
                    </w:rPr>
                    <w:t>名称</w:t>
                  </w:r>
                </w:p>
              </w:tc>
              <w:tc>
                <w:tcPr>
                  <w:tcW w:w="133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autoSpaceDE w:val="0"/>
                    <w:autoSpaceDN w:val="0"/>
                    <w:spacing w:line="240" w:lineRule="atLeast"/>
                    <w:jc w:val="center"/>
                    <w:rPr>
                      <w:rFonts w:ascii="Times New Roman" w:hAnsi="Times New Roman"/>
                      <w:color w:val="auto"/>
                      <w:szCs w:val="21"/>
                      <w:highlight w:val="none"/>
                    </w:rPr>
                  </w:pPr>
                  <w:r>
                    <w:rPr>
                      <w:rFonts w:ascii="Times New Roman" w:hAnsi="Times New Roman"/>
                      <w:color w:val="auto"/>
                      <w:szCs w:val="21"/>
                      <w:highlight w:val="none"/>
                    </w:rPr>
                    <w:t>单位</w:t>
                  </w:r>
                </w:p>
              </w:tc>
              <w:tc>
                <w:tcPr>
                  <w:tcW w:w="124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autoSpaceDE w:val="0"/>
                    <w:autoSpaceDN w:val="0"/>
                    <w:spacing w:line="240" w:lineRule="atLeast"/>
                    <w:jc w:val="center"/>
                    <w:rPr>
                      <w:rFonts w:ascii="Times New Roman" w:hAnsi="Times New Roman"/>
                      <w:color w:val="auto"/>
                      <w:szCs w:val="21"/>
                      <w:highlight w:val="none"/>
                    </w:rPr>
                  </w:pPr>
                  <w:r>
                    <w:rPr>
                      <w:rFonts w:ascii="Times New Roman" w:hAnsi="Times New Roman"/>
                      <w:color w:val="auto"/>
                      <w:szCs w:val="21"/>
                      <w:highlight w:val="none"/>
                    </w:rPr>
                    <w:t>数量</w:t>
                  </w:r>
                </w:p>
              </w:tc>
            </w:tr>
            <w:tr>
              <w:tblPrEx>
                <w:tblCellMar>
                  <w:top w:w="0" w:type="dxa"/>
                  <w:left w:w="0" w:type="dxa"/>
                  <w:bottom w:w="0" w:type="dxa"/>
                  <w:right w:w="0" w:type="dxa"/>
                </w:tblCellMar>
              </w:tblPrEx>
              <w:trPr>
                <w:trHeight w:val="23" w:hRule="atLeast"/>
                <w:jc w:val="center"/>
              </w:trPr>
              <w:tc>
                <w:tcPr>
                  <w:tcW w:w="510" w:type="dxa"/>
                  <w:tcBorders>
                    <w:top w:val="single" w:color="auto"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autoSpaceDE w:val="0"/>
                    <w:autoSpaceDN w:val="0"/>
                    <w:spacing w:line="240" w:lineRule="atLeast"/>
                    <w:jc w:val="center"/>
                    <w:rPr>
                      <w:rFonts w:ascii="Times New Roman" w:hAnsi="Times New Roman"/>
                      <w:color w:val="auto"/>
                      <w:szCs w:val="21"/>
                      <w:highlight w:val="none"/>
                    </w:rPr>
                  </w:pPr>
                  <w:r>
                    <w:rPr>
                      <w:rFonts w:ascii="Times New Roman" w:hAnsi="Times New Roman"/>
                      <w:color w:val="auto"/>
                      <w:szCs w:val="21"/>
                      <w:highlight w:val="none"/>
                    </w:rPr>
                    <w:t>1</w:t>
                  </w:r>
                </w:p>
              </w:tc>
              <w:tc>
                <w:tcPr>
                  <w:tcW w:w="1613" w:type="dxa"/>
                  <w:tcBorders>
                    <w:top w:val="single" w:color="auto"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ascii="Times New Roman" w:hAnsi="Times New Roman"/>
                      <w:color w:val="auto"/>
                      <w:szCs w:val="21"/>
                      <w:highlight w:val="none"/>
                    </w:rPr>
                  </w:pPr>
                  <w:r>
                    <w:rPr>
                      <w:rFonts w:ascii="Times New Roman" w:hAnsi="Times New Roman"/>
                      <w:color w:val="auto"/>
                      <w:szCs w:val="21"/>
                      <w:highlight w:val="none"/>
                    </w:rPr>
                    <w:t>水</w:t>
                  </w:r>
                </w:p>
              </w:tc>
              <w:tc>
                <w:tcPr>
                  <w:tcW w:w="1335" w:type="dxa"/>
                  <w:tcBorders>
                    <w:top w:val="single" w:color="auto"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ascii="Times New Roman" w:hAnsi="Times New Roman"/>
                      <w:color w:val="auto"/>
                      <w:szCs w:val="21"/>
                      <w:highlight w:val="none"/>
                    </w:rPr>
                  </w:pPr>
                  <w:r>
                    <w:rPr>
                      <w:rFonts w:ascii="Times New Roman" w:hAnsi="Times New Roman"/>
                      <w:color w:val="auto"/>
                      <w:szCs w:val="21"/>
                      <w:highlight w:val="none"/>
                    </w:rPr>
                    <w:t>t/a</w:t>
                  </w:r>
                </w:p>
              </w:tc>
              <w:tc>
                <w:tcPr>
                  <w:tcW w:w="1245" w:type="dxa"/>
                  <w:tcBorders>
                    <w:top w:val="single" w:color="auto"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hint="default" w:ascii="Times New Roman" w:hAnsi="Times New Roman" w:eastAsia="宋体"/>
                      <w:color w:val="auto"/>
                      <w:szCs w:val="21"/>
                      <w:highlight w:val="none"/>
                      <w:shd w:val="clear" w:color="000000" w:fill="FFFFFF"/>
                      <w:lang w:val="en-US" w:eastAsia="zh-CN"/>
                    </w:rPr>
                  </w:pPr>
                  <w:r>
                    <w:rPr>
                      <w:rFonts w:hint="eastAsia" w:ascii="Times New Roman" w:hAnsi="Times New Roman"/>
                      <w:color w:val="auto"/>
                      <w:szCs w:val="21"/>
                      <w:highlight w:val="none"/>
                      <w:shd w:val="clear" w:color="000000" w:fill="FFFFFF"/>
                      <w:lang w:val="en-US" w:eastAsia="zh-CN"/>
                    </w:rPr>
                    <w:t>1645</w:t>
                  </w:r>
                </w:p>
              </w:tc>
            </w:tr>
            <w:tr>
              <w:tblPrEx>
                <w:tblCellMar>
                  <w:top w:w="0" w:type="dxa"/>
                  <w:left w:w="0" w:type="dxa"/>
                  <w:bottom w:w="0" w:type="dxa"/>
                  <w:right w:w="0" w:type="dxa"/>
                </w:tblCellMar>
              </w:tblPrEx>
              <w:trPr>
                <w:trHeight w:val="23" w:hRule="atLeast"/>
                <w:jc w:val="center"/>
              </w:trPr>
              <w:tc>
                <w:tcPr>
                  <w:tcW w:w="510" w:type="dxa"/>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autoSpaceDE w:val="0"/>
                    <w:autoSpaceDN w:val="0"/>
                    <w:spacing w:line="240" w:lineRule="atLeast"/>
                    <w:jc w:val="center"/>
                    <w:rPr>
                      <w:rFonts w:ascii="Times New Roman" w:hAnsi="Times New Roman"/>
                      <w:color w:val="000000"/>
                      <w:szCs w:val="21"/>
                      <w:highlight w:val="none"/>
                    </w:rPr>
                  </w:pPr>
                  <w:r>
                    <w:rPr>
                      <w:rFonts w:ascii="Times New Roman" w:hAnsi="Times New Roman"/>
                      <w:color w:val="000000"/>
                      <w:szCs w:val="21"/>
                      <w:highlight w:val="none"/>
                    </w:rPr>
                    <w:t>2</w:t>
                  </w:r>
                </w:p>
              </w:tc>
              <w:tc>
                <w:tcPr>
                  <w:tcW w:w="1613" w:type="dxa"/>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ascii="Times New Roman" w:hAnsi="Times New Roman"/>
                      <w:color w:val="auto"/>
                      <w:szCs w:val="21"/>
                      <w:highlight w:val="none"/>
                    </w:rPr>
                  </w:pPr>
                  <w:r>
                    <w:rPr>
                      <w:rFonts w:ascii="Times New Roman" w:hAnsi="Times New Roman"/>
                      <w:color w:val="auto"/>
                      <w:szCs w:val="21"/>
                      <w:highlight w:val="none"/>
                    </w:rPr>
                    <w:t>电</w:t>
                  </w:r>
                </w:p>
              </w:tc>
              <w:tc>
                <w:tcPr>
                  <w:tcW w:w="1335" w:type="dxa"/>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ascii="Times New Roman" w:hAnsi="Times New Roman"/>
                      <w:color w:val="auto"/>
                      <w:szCs w:val="21"/>
                      <w:highlight w:val="none"/>
                    </w:rPr>
                  </w:pPr>
                  <w:r>
                    <w:rPr>
                      <w:rFonts w:ascii="Times New Roman" w:hAnsi="Times New Roman"/>
                      <w:color w:val="auto"/>
                      <w:szCs w:val="21"/>
                      <w:highlight w:val="none"/>
                    </w:rPr>
                    <w:t>万kw·h/a</w:t>
                  </w:r>
                </w:p>
              </w:tc>
              <w:tc>
                <w:tcPr>
                  <w:tcW w:w="1245" w:type="dxa"/>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jc w:val="center"/>
                    <w:rPr>
                      <w:rFonts w:hint="default" w:ascii="Times New Roman" w:hAnsi="Times New Roman" w:eastAsia="宋体"/>
                      <w:color w:val="auto"/>
                      <w:szCs w:val="21"/>
                      <w:highlight w:val="none"/>
                      <w:shd w:val="clear" w:color="000000" w:fill="FFFFFF"/>
                      <w:lang w:val="en-US" w:eastAsia="zh-CN"/>
                    </w:rPr>
                  </w:pPr>
                  <w:r>
                    <w:rPr>
                      <w:rFonts w:hint="eastAsia" w:ascii="Times New Roman" w:hAnsi="Times New Roman"/>
                      <w:color w:val="auto"/>
                      <w:szCs w:val="21"/>
                      <w:highlight w:val="none"/>
                      <w:shd w:val="clear" w:color="000000" w:fill="FFFFFF"/>
                      <w:lang w:val="en-US" w:eastAsia="zh-CN"/>
                    </w:rPr>
                    <w:t>5</w:t>
                  </w:r>
                </w:p>
              </w:tc>
            </w:tr>
          </w:tbl>
          <w:p>
            <w:pPr>
              <w:spacing w:line="360" w:lineRule="auto"/>
              <w:ind w:firstLine="482" w:firstLineChars="200"/>
              <w:rPr>
                <w:rFonts w:ascii="Times New Roman" w:hAnsi="Times New Roman"/>
                <w:b/>
                <w:color w:val="000000"/>
                <w:sz w:val="24"/>
                <w:szCs w:val="24"/>
                <w:highlight w:val="none"/>
              </w:rPr>
            </w:pPr>
          </w:p>
          <w:p>
            <w:pPr>
              <w:spacing w:line="360" w:lineRule="auto"/>
              <w:ind w:firstLine="482" w:firstLineChars="200"/>
              <w:rPr>
                <w:rFonts w:ascii="Times New Roman" w:hAnsi="Times New Roman"/>
                <w:b/>
                <w:color w:val="000000"/>
                <w:sz w:val="24"/>
                <w:szCs w:val="24"/>
                <w:highlight w:val="none"/>
              </w:rPr>
            </w:pPr>
          </w:p>
          <w:p>
            <w:pPr>
              <w:spacing w:line="360" w:lineRule="auto"/>
              <w:ind w:firstLine="482" w:firstLineChars="200"/>
              <w:rPr>
                <w:rFonts w:ascii="Times New Roman" w:hAnsi="Times New Roman"/>
                <w:b/>
                <w:color w:val="000000"/>
                <w:sz w:val="24"/>
                <w:szCs w:val="24"/>
                <w:highlight w:val="none"/>
              </w:rPr>
            </w:pPr>
            <w:r>
              <w:rPr>
                <w:rFonts w:ascii="Times New Roman" w:hAnsi="Times New Roman"/>
                <w:b/>
                <w:color w:val="000000"/>
                <w:sz w:val="24"/>
                <w:szCs w:val="24"/>
                <w:highlight w:val="none"/>
              </w:rPr>
              <w:t>3、</w:t>
            </w:r>
            <w:r>
              <w:rPr>
                <w:rFonts w:hint="eastAsia" w:ascii="Times New Roman" w:hAnsi="Times New Roman"/>
                <w:b/>
                <w:color w:val="000000"/>
                <w:sz w:val="24"/>
                <w:szCs w:val="24"/>
                <w:highlight w:val="none"/>
                <w:lang w:val="en-US" w:eastAsia="zh-CN"/>
              </w:rPr>
              <w:t>劳动</w:t>
            </w:r>
            <w:r>
              <w:rPr>
                <w:rFonts w:ascii="Times New Roman" w:hAnsi="Times New Roman"/>
                <w:b/>
                <w:color w:val="000000"/>
                <w:sz w:val="24"/>
                <w:szCs w:val="24"/>
                <w:highlight w:val="none"/>
              </w:rPr>
              <w:t>人数和工作制度</w:t>
            </w:r>
          </w:p>
          <w:p>
            <w:pPr>
              <w:spacing w:line="360" w:lineRule="auto"/>
              <w:ind w:firstLine="480" w:firstLineChars="200"/>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本项目总施工周期为1000天，其中土壤修复治理工程为100天，地下水修复治理工程为370天，地下水后续自检及评估为900天，施工期劳动定员50人，</w:t>
            </w:r>
            <w:r>
              <w:rPr>
                <w:rFonts w:ascii="Times New Roman" w:hAnsi="Times New Roman"/>
                <w:sz w:val="24"/>
                <w:highlight w:val="none"/>
              </w:rPr>
              <w:t>采用</w:t>
            </w:r>
            <w:r>
              <w:rPr>
                <w:rFonts w:hint="eastAsia" w:ascii="Times New Roman" w:hAnsi="Times New Roman"/>
                <w:sz w:val="24"/>
                <w:highlight w:val="none"/>
                <w:lang w:val="en-US" w:eastAsia="zh-CN"/>
              </w:rPr>
              <w:t>两</w:t>
            </w:r>
            <w:r>
              <w:rPr>
                <w:rFonts w:ascii="Times New Roman" w:hAnsi="Times New Roman"/>
                <w:sz w:val="24"/>
                <w:highlight w:val="none"/>
              </w:rPr>
              <w:t>班8小时工作制</w:t>
            </w:r>
            <w:r>
              <w:rPr>
                <w:rFonts w:hint="eastAsia" w:ascii="Times New Roman" w:hAnsi="Times New Roman"/>
                <w:sz w:val="24"/>
                <w:highlight w:val="none"/>
                <w:lang w:eastAsia="zh-CN"/>
              </w:rPr>
              <w:t>，</w:t>
            </w:r>
            <w:r>
              <w:rPr>
                <w:rFonts w:hint="eastAsia" w:ascii="Times New Roman" w:hAnsi="Times New Roman"/>
                <w:sz w:val="24"/>
                <w:highlight w:val="none"/>
                <w:lang w:val="en-US" w:eastAsia="zh-CN"/>
              </w:rPr>
              <w:t>设置施工营地</w:t>
            </w:r>
            <w:r>
              <w:rPr>
                <w:rFonts w:ascii="Times New Roman" w:hAnsi="Times New Roman"/>
                <w:sz w:val="24"/>
                <w:highlight w:val="none"/>
              </w:rPr>
              <w:t>。</w:t>
            </w:r>
          </w:p>
          <w:p>
            <w:pPr>
              <w:spacing w:line="360" w:lineRule="auto"/>
              <w:ind w:firstLine="482" w:firstLineChars="200"/>
              <w:rPr>
                <w:rFonts w:ascii="Times New Roman" w:hAnsi="Times New Roman"/>
                <w:b/>
                <w:color w:val="000000"/>
                <w:sz w:val="24"/>
                <w:szCs w:val="24"/>
                <w:highlight w:val="none"/>
              </w:rPr>
            </w:pPr>
            <w:r>
              <w:rPr>
                <w:rFonts w:ascii="Times New Roman" w:hAnsi="Times New Roman"/>
                <w:b/>
                <w:color w:val="000000"/>
                <w:sz w:val="24"/>
                <w:szCs w:val="24"/>
                <w:highlight w:val="none"/>
              </w:rPr>
              <w:t>4、公用工程</w:t>
            </w:r>
          </w:p>
          <w:p>
            <w:pPr>
              <w:spacing w:line="360" w:lineRule="auto"/>
              <w:ind w:firstLine="480" w:firstLineChars="200"/>
              <w:rPr>
                <w:rFonts w:ascii="Times New Roman" w:hAnsi="Times New Roman"/>
                <w:bCs/>
                <w:color w:val="000000"/>
                <w:kern w:val="0"/>
                <w:sz w:val="24"/>
                <w:szCs w:val="24"/>
                <w:highlight w:val="none"/>
              </w:rPr>
            </w:pPr>
            <w:r>
              <w:rPr>
                <w:rFonts w:ascii="Times New Roman" w:hAnsi="Times New Roman"/>
                <w:bCs/>
                <w:color w:val="000000"/>
                <w:kern w:val="0"/>
                <w:sz w:val="24"/>
                <w:szCs w:val="24"/>
                <w:highlight w:val="none"/>
              </w:rPr>
              <w:t>（1）给水</w:t>
            </w:r>
          </w:p>
          <w:p>
            <w:pPr>
              <w:spacing w:line="360" w:lineRule="auto"/>
              <w:ind w:firstLine="480" w:firstLineChars="200"/>
              <w:rPr>
                <w:rFonts w:ascii="Times New Roman" w:hAnsi="Times New Roman"/>
                <w:sz w:val="24"/>
                <w:highlight w:val="none"/>
              </w:rPr>
            </w:pPr>
            <w:r>
              <w:rPr>
                <w:rFonts w:hint="eastAsia" w:ascii="Times New Roman" w:hAnsi="Times New Roman"/>
                <w:sz w:val="24"/>
                <w:highlight w:val="none"/>
                <w:lang w:val="en-US" w:eastAsia="zh-CN"/>
              </w:rPr>
              <w:t>本次项目给水包括施工人员生活用水，施工用水，雾炮用水，洗车平台用水，均</w:t>
            </w:r>
            <w:r>
              <w:rPr>
                <w:rFonts w:ascii="Times New Roman" w:hAnsi="Times New Roman"/>
                <w:sz w:val="24"/>
                <w:highlight w:val="none"/>
              </w:rPr>
              <w:t>利用厂区已建成的供水管网，全部由</w:t>
            </w:r>
            <w:r>
              <w:rPr>
                <w:rFonts w:hint="eastAsia" w:ascii="Times New Roman" w:hAnsi="Times New Roman"/>
                <w:sz w:val="24"/>
                <w:highlight w:val="none"/>
                <w:lang w:val="en-US" w:eastAsia="zh-CN"/>
              </w:rPr>
              <w:t>市政</w:t>
            </w:r>
            <w:r>
              <w:rPr>
                <w:rFonts w:ascii="Times New Roman" w:hAnsi="Times New Roman"/>
                <w:sz w:val="24"/>
                <w:highlight w:val="none"/>
              </w:rPr>
              <w:t>管网提供。</w:t>
            </w:r>
          </w:p>
          <w:p>
            <w:pPr>
              <w:spacing w:line="360" w:lineRule="auto"/>
              <w:ind w:firstLine="480" w:firstLineChars="200"/>
              <w:rPr>
                <w:rFonts w:ascii="Times New Roman" w:hAnsi="Times New Roman"/>
                <w:sz w:val="24"/>
                <w:highlight w:val="none"/>
              </w:rPr>
            </w:pPr>
            <w:r>
              <w:rPr>
                <w:rFonts w:ascii="Times New Roman" w:hAnsi="Times New Roman"/>
                <w:sz w:val="24"/>
                <w:highlight w:val="none"/>
              </w:rPr>
              <w:t>（2）排水</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雨污分流，设置初期雨水收集池、集水井、污水处理站等污水净化设施。</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生活污水经隔油池、化粪池处置，初期雨水汇入至雨水收集系统内，伴随基坑废水、污染地下水抽水、车辆清洗废水等一同排放至厂区西南侧新建的污水处理站内处置，该污水处理站处理规模为80m3/d，处理工艺采用“调节+破乳池+气浮+两级滤碳”工艺，各股废水污染物处理满足《污水综合排放标准》（GB8978-1996）表4中的三级标准，其中氨氮参照《污水排入城镇下水道水质标准》（GB/T31962-2015中的标准，六价铬执行《污水综合排放标准》（GB8978-1996）表1中的标准，总石油烃参考荷兰标准后，一同排放至朱家桥污水处理厂处置，尾水排放满足《城镇污水处理厂污染物排放标准》（GB18918-2002）一级标准中 A 类标准，其中六价铬满足《城镇污水处理厂污染物排放标准》（GB18918-2002）表2中最高允许排放浓度。</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集水井：基坑渗水采用明沟排水，集水井抽水方式。明沟规格：场地四周挖深0.5m，宽0.3m 的浅沟；集水井规格：每隔 20m 挖一个2m×2m×1.5m 的集水坑，将水泵放置在集水坑内抽水，基坑涌水集中收集</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污水处理站：建设单位在厂区西南侧建设一处污水处理站，污水处理站规模为80m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/d，处理工艺为“调节+破乳池+气浮+两级滤碳”工艺，</w:t>
            </w:r>
          </w:p>
          <w:p>
            <w:pPr>
              <w:spacing w:line="360" w:lineRule="auto"/>
              <w:ind w:firstLine="480" w:firstLineChars="200"/>
              <w:rPr>
                <w:rFonts w:hint="default" w:ascii="Times New Roman" w:hAnsi="Times New Roman"/>
                <w:sz w:val="24"/>
                <w:highlight w:val="none"/>
                <w:lang w:val="en-US" w:eastAsia="zh-CN"/>
              </w:rPr>
            </w:pPr>
            <w:r>
              <w:rPr>
                <w:rFonts w:hint="eastAsia" w:ascii="Times New Roman" w:hAnsi="Times New Roman"/>
                <w:sz w:val="24"/>
                <w:highlight w:val="none"/>
                <w:lang w:val="en-US" w:eastAsia="zh-CN"/>
              </w:rPr>
              <w:t>初期雨水收集池：50m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w:t>
            </w:r>
          </w:p>
          <w:p>
            <w:pPr>
              <w:spacing w:line="360" w:lineRule="auto"/>
              <w:ind w:firstLine="480" w:firstLineChars="200"/>
              <w:rPr>
                <w:rFonts w:ascii="Times New Roman" w:hAnsi="Times New Roman"/>
                <w:sz w:val="24"/>
                <w:highlight w:val="none"/>
              </w:rPr>
            </w:pPr>
            <w:r>
              <w:rPr>
                <w:rFonts w:ascii="Times New Roman" w:hAnsi="Times New Roman"/>
                <w:sz w:val="24"/>
                <w:highlight w:val="none"/>
              </w:rPr>
              <w:t>（3）供电</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本项目设备生产均使用电能，供电由外部市政供电供整个项目部使用。</w:t>
            </w:r>
          </w:p>
          <w:p>
            <w:pPr>
              <w:spacing w:line="360" w:lineRule="auto"/>
              <w:ind w:firstLine="482" w:firstLineChars="200"/>
              <w:rPr>
                <w:rFonts w:ascii="Times New Roman" w:hAnsi="Times New Roman"/>
                <w:b/>
                <w:sz w:val="24"/>
                <w:szCs w:val="24"/>
                <w:highlight w:val="none"/>
              </w:rPr>
            </w:pPr>
            <w:r>
              <w:rPr>
                <w:rFonts w:ascii="Times New Roman" w:hAnsi="Times New Roman"/>
                <w:b/>
                <w:sz w:val="24"/>
                <w:szCs w:val="24"/>
                <w:highlight w:val="none"/>
              </w:rPr>
              <w:t>5、产业政策分析</w:t>
            </w:r>
          </w:p>
          <w:p>
            <w:pPr>
              <w:spacing w:line="360" w:lineRule="auto"/>
              <w:ind w:firstLine="480" w:firstLineChars="200"/>
              <w:rPr>
                <w:rFonts w:ascii="Times New Roman" w:hAnsi="Times New Roman"/>
                <w:sz w:val="24"/>
                <w:szCs w:val="22"/>
                <w:highlight w:val="none"/>
              </w:rPr>
            </w:pPr>
            <w:r>
              <w:rPr>
                <w:rFonts w:ascii="Times New Roman" w:hAnsi="Times New Roman"/>
                <w:sz w:val="24"/>
                <w:highlight w:val="none"/>
              </w:rPr>
              <w:t>对照国家发展和改革委员会令第9号令《产业结构调整指导目录（201</w:t>
            </w:r>
            <w:r>
              <w:rPr>
                <w:rFonts w:hint="eastAsia" w:ascii="Times New Roman" w:hAnsi="Times New Roman"/>
                <w:sz w:val="24"/>
                <w:highlight w:val="none"/>
                <w:lang w:val="en-US" w:eastAsia="zh-CN"/>
              </w:rPr>
              <w:t>9</w:t>
            </w:r>
            <w:r>
              <w:rPr>
                <w:rFonts w:ascii="Times New Roman" w:hAnsi="Times New Roman"/>
                <w:sz w:val="24"/>
                <w:highlight w:val="none"/>
              </w:rPr>
              <w:t>年本）》，本项目不属于鼓励类、限制类和淘汰类，属于允许类项目，因此本项目符合国家产业政策，项目已经于20</w:t>
            </w:r>
            <w:r>
              <w:rPr>
                <w:rFonts w:hint="eastAsia" w:ascii="Times New Roman" w:hAnsi="Times New Roman"/>
                <w:sz w:val="24"/>
                <w:highlight w:val="none"/>
                <w:lang w:val="en-US" w:eastAsia="zh-CN"/>
              </w:rPr>
              <w:t>20</w:t>
            </w:r>
            <w:r>
              <w:rPr>
                <w:rFonts w:ascii="Times New Roman" w:hAnsi="Times New Roman"/>
                <w:sz w:val="24"/>
                <w:highlight w:val="none"/>
              </w:rPr>
              <w:t>年</w:t>
            </w:r>
            <w:r>
              <w:rPr>
                <w:rFonts w:hint="eastAsia" w:ascii="Times New Roman" w:hAnsi="Times New Roman"/>
                <w:sz w:val="24"/>
                <w:highlight w:val="none"/>
                <w:lang w:val="en-US" w:eastAsia="zh-CN"/>
              </w:rPr>
              <w:t>4</w:t>
            </w:r>
            <w:r>
              <w:rPr>
                <w:rFonts w:ascii="Times New Roman" w:hAnsi="Times New Roman"/>
                <w:sz w:val="24"/>
                <w:highlight w:val="none"/>
              </w:rPr>
              <w:t>月</w:t>
            </w:r>
            <w:r>
              <w:rPr>
                <w:rFonts w:hint="eastAsia" w:ascii="Times New Roman" w:hAnsi="Times New Roman"/>
                <w:sz w:val="24"/>
                <w:highlight w:val="none"/>
                <w:lang w:val="en-US" w:eastAsia="zh-CN"/>
              </w:rPr>
              <w:t>9</w:t>
            </w:r>
            <w:r>
              <w:rPr>
                <w:rFonts w:ascii="Times New Roman" w:hAnsi="Times New Roman"/>
                <w:sz w:val="24"/>
                <w:highlight w:val="none"/>
              </w:rPr>
              <w:t>日取得</w:t>
            </w:r>
            <w:r>
              <w:rPr>
                <w:rFonts w:hint="eastAsia" w:ascii="Times New Roman" w:hAnsi="Times New Roman"/>
                <w:kern w:val="0"/>
                <w:sz w:val="24"/>
                <w:highlight w:val="none"/>
                <w:lang w:eastAsia="zh-CN"/>
              </w:rPr>
              <w:t>芜湖市镜湖区发展和改革委员会</w:t>
            </w:r>
            <w:r>
              <w:rPr>
                <w:rFonts w:ascii="Times New Roman" w:hAnsi="Times New Roman"/>
                <w:kern w:val="0"/>
                <w:sz w:val="24"/>
                <w:highlight w:val="none"/>
              </w:rPr>
              <w:t>文件“关于同意</w:t>
            </w:r>
            <w:r>
              <w:rPr>
                <w:rFonts w:hint="eastAsia" w:ascii="Times New Roman" w:hAnsi="Times New Roman"/>
                <w:sz w:val="24"/>
                <w:szCs w:val="24"/>
                <w:highlight w:val="none"/>
                <w:lang w:eastAsia="zh-CN"/>
              </w:rPr>
              <w:t>镜湖区老船厂智慧港项目二期污染地块污染治理项目</w:t>
            </w:r>
            <w:r>
              <w:rPr>
                <w:rFonts w:ascii="Times New Roman" w:hAnsi="Times New Roman"/>
                <w:sz w:val="24"/>
                <w:szCs w:val="24"/>
                <w:highlight w:val="none"/>
              </w:rPr>
              <w:t>项目</w:t>
            </w:r>
            <w:r>
              <w:rPr>
                <w:rFonts w:ascii="Times New Roman" w:hAnsi="Times New Roman"/>
                <w:kern w:val="0"/>
                <w:sz w:val="24"/>
                <w:highlight w:val="none"/>
              </w:rPr>
              <w:t>备案的通知”</w:t>
            </w:r>
            <w:r>
              <w:rPr>
                <w:rFonts w:ascii="Times New Roman" w:hAnsi="Times New Roman"/>
                <w:sz w:val="24"/>
                <w:szCs w:val="22"/>
                <w:highlight w:val="none"/>
              </w:rPr>
              <w:t xml:space="preserve">，因此项目符合国家和当地的相关产业政策。 </w:t>
            </w:r>
          </w:p>
          <w:p>
            <w:pPr>
              <w:spacing w:line="360" w:lineRule="auto"/>
              <w:ind w:firstLine="482" w:firstLineChars="200"/>
              <w:rPr>
                <w:rFonts w:hint="eastAsia" w:ascii="Times New Roman" w:hAnsi="Times New Roman" w:eastAsia="宋体"/>
                <w:sz w:val="24"/>
                <w:szCs w:val="22"/>
                <w:highlight w:val="none"/>
                <w:lang w:val="en-US" w:eastAsia="zh-CN"/>
              </w:rPr>
            </w:pPr>
            <w:r>
              <w:rPr>
                <w:rFonts w:ascii="Times New Roman" w:hAnsi="Times New Roman"/>
                <w:b/>
                <w:bCs/>
                <w:sz w:val="24"/>
                <w:szCs w:val="22"/>
                <w:highlight w:val="none"/>
              </w:rPr>
              <w:t>6、</w:t>
            </w:r>
            <w:r>
              <w:rPr>
                <w:rFonts w:ascii="Times New Roman" w:hAnsi="Times New Roman"/>
                <w:b/>
                <w:sz w:val="24"/>
                <w:szCs w:val="24"/>
                <w:highlight w:val="none"/>
              </w:rPr>
              <w:t>选址可行性</w:t>
            </w:r>
            <w:r>
              <w:rPr>
                <w:rFonts w:hint="eastAsia" w:ascii="Times New Roman" w:hAnsi="Times New Roman"/>
                <w:b/>
                <w:sz w:val="24"/>
                <w:szCs w:val="24"/>
                <w:highlight w:val="none"/>
                <w:lang w:val="en-US" w:eastAsia="zh-CN"/>
              </w:rPr>
              <w:t>分析</w:t>
            </w:r>
          </w:p>
          <w:p>
            <w:pPr>
              <w:spacing w:line="360" w:lineRule="auto"/>
              <w:ind w:firstLine="439" w:firstLineChars="183"/>
              <w:rPr>
                <w:rFonts w:hint="default" w:ascii="Times New Roman" w:hAnsi="Times New Roman" w:eastAsia="宋体"/>
                <w:color w:val="auto"/>
                <w:sz w:val="24"/>
                <w:szCs w:val="24"/>
                <w:highlight w:val="none"/>
                <w:lang w:val="en-US" w:eastAsia="zh-CN"/>
              </w:rPr>
            </w:pPr>
            <w:r>
              <w:rPr>
                <w:rFonts w:ascii="Times New Roman" w:hAnsi="Times New Roman"/>
                <w:color w:val="000000"/>
                <w:sz w:val="24"/>
                <w:szCs w:val="24"/>
                <w:highlight w:val="none"/>
              </w:rPr>
              <w:t>本项目</w:t>
            </w:r>
            <w:r>
              <w:rPr>
                <w:rFonts w:hint="eastAsia" w:ascii="Times New Roman" w:hAnsi="Times New Roman"/>
                <w:color w:val="000000"/>
                <w:sz w:val="24"/>
                <w:szCs w:val="24"/>
                <w:highlight w:val="none"/>
                <w:lang w:val="en-US" w:eastAsia="zh-CN"/>
              </w:rPr>
              <w:t>安徽省芜湖市镜湖区长江中路49号芜湖市造船厂内</w:t>
            </w:r>
            <w:r>
              <w:rPr>
                <w:rFonts w:ascii="Times New Roman" w:hAnsi="Times New Roman"/>
                <w:color w:val="000000"/>
                <w:sz w:val="24"/>
                <w:szCs w:val="24"/>
                <w:highlight w:val="none"/>
              </w:rPr>
              <w:t>，</w:t>
            </w:r>
            <w:r>
              <w:rPr>
                <w:rFonts w:hint="eastAsia" w:ascii="Times New Roman" w:hAnsi="Times New Roman"/>
                <w:color w:val="000000"/>
                <w:sz w:val="24"/>
                <w:szCs w:val="24"/>
                <w:highlight w:val="none"/>
              </w:rPr>
              <w:t>场地位于镜湖区，周边以居住用地、公共服务用地为主。场地周边土地利用如</w:t>
            </w:r>
            <w:r>
              <w:rPr>
                <w:rFonts w:hint="eastAsia" w:ascii="Times New Roman" w:hAnsi="Times New Roman"/>
                <w:color w:val="000000"/>
                <w:sz w:val="24"/>
                <w:szCs w:val="24"/>
                <w:highlight w:val="none"/>
                <w:lang w:val="en-US" w:eastAsia="zh-CN"/>
              </w:rPr>
              <w:t>下</w:t>
            </w:r>
            <w:r>
              <w:rPr>
                <w:rFonts w:hint="eastAsia" w:ascii="Times New Roman" w:hAnsi="Times New Roman"/>
                <w:color w:val="000000"/>
                <w:sz w:val="24"/>
                <w:szCs w:val="24"/>
                <w:highlight w:val="none"/>
              </w:rPr>
              <w:t>图所示。场地紧</w:t>
            </w:r>
            <w:r>
              <w:rPr>
                <w:rFonts w:hint="eastAsia" w:ascii="Times New Roman" w:hAnsi="Times New Roman"/>
                <w:color w:val="000000"/>
                <w:sz w:val="24"/>
                <w:szCs w:val="24"/>
                <w:highlight w:val="none"/>
                <w:lang w:val="en-US" w:eastAsia="zh-CN"/>
              </w:rPr>
              <w:t>北侧为</w:t>
            </w:r>
            <w:r>
              <w:rPr>
                <w:rFonts w:hint="eastAsia" w:ascii="Times New Roman" w:hAnsi="Times New Roman"/>
                <w:color w:val="000000"/>
                <w:sz w:val="24"/>
                <w:szCs w:val="24"/>
                <w:highlight w:val="none"/>
              </w:rPr>
              <w:t>芜湖造船厂原厂区一期地块</w:t>
            </w:r>
            <w:r>
              <w:rPr>
                <w:rFonts w:hint="eastAsia" w:ascii="Times New Roman" w:hAnsi="Times New Roman"/>
                <w:color w:val="000000"/>
                <w:sz w:val="24"/>
                <w:szCs w:val="24"/>
                <w:highlight w:val="none"/>
                <w:lang w:eastAsia="zh-CN"/>
              </w:rPr>
              <w:t>，</w:t>
            </w:r>
            <w:r>
              <w:rPr>
                <w:rFonts w:hint="eastAsia" w:ascii="Times New Roman" w:hAnsi="Times New Roman"/>
                <w:color w:val="000000"/>
                <w:sz w:val="24"/>
                <w:szCs w:val="24"/>
                <w:highlight w:val="none"/>
                <w:lang w:val="en-US" w:eastAsia="zh-CN"/>
              </w:rPr>
              <w:t>西侧为</w:t>
            </w:r>
            <w:r>
              <w:rPr>
                <w:rFonts w:hint="eastAsia" w:ascii="Times New Roman" w:hAnsi="Times New Roman"/>
                <w:color w:val="000000"/>
                <w:sz w:val="24"/>
                <w:szCs w:val="24"/>
                <w:highlight w:val="none"/>
              </w:rPr>
              <w:t>世茂滨江花园</w:t>
            </w:r>
            <w:r>
              <w:rPr>
                <w:rFonts w:hint="eastAsia" w:ascii="Times New Roman" w:hAnsi="Times New Roman"/>
                <w:color w:val="000000"/>
                <w:sz w:val="24"/>
                <w:szCs w:val="24"/>
                <w:highlight w:val="none"/>
                <w:lang w:eastAsia="zh-CN"/>
              </w:rPr>
              <w:t>，</w:t>
            </w:r>
            <w:r>
              <w:rPr>
                <w:rFonts w:hint="eastAsia" w:ascii="Times New Roman" w:hAnsi="Times New Roman"/>
                <w:color w:val="000000"/>
                <w:sz w:val="24"/>
                <w:szCs w:val="24"/>
                <w:highlight w:val="none"/>
                <w:lang w:val="en-US" w:eastAsia="zh-CN"/>
              </w:rPr>
              <w:t>南侧为</w:t>
            </w:r>
            <w:r>
              <w:rPr>
                <w:rFonts w:hint="eastAsia" w:ascii="Times New Roman" w:hAnsi="Times New Roman"/>
                <w:color w:val="000000"/>
                <w:sz w:val="24"/>
                <w:szCs w:val="24"/>
                <w:highlight w:val="none"/>
              </w:rPr>
              <w:t>江南新村、狮子山庄</w:t>
            </w:r>
            <w:r>
              <w:rPr>
                <w:rFonts w:hint="eastAsia" w:ascii="Times New Roman" w:hAnsi="Times New Roman"/>
                <w:color w:val="000000"/>
                <w:sz w:val="24"/>
                <w:szCs w:val="24"/>
                <w:highlight w:val="none"/>
                <w:lang w:eastAsia="zh-CN"/>
              </w:rPr>
              <w:t>，</w:t>
            </w:r>
            <w:r>
              <w:rPr>
                <w:rFonts w:hint="eastAsia" w:ascii="Times New Roman" w:hAnsi="Times New Roman"/>
                <w:color w:val="000000"/>
                <w:sz w:val="24"/>
                <w:szCs w:val="24"/>
                <w:highlight w:val="none"/>
                <w:lang w:val="en-US" w:eastAsia="zh-CN"/>
              </w:rPr>
              <w:t>东侧为</w:t>
            </w:r>
            <w:r>
              <w:rPr>
                <w:rFonts w:hint="eastAsia" w:ascii="Times New Roman" w:hAnsi="Times New Roman"/>
                <w:color w:val="000000"/>
                <w:sz w:val="24"/>
                <w:szCs w:val="24"/>
                <w:highlight w:val="none"/>
              </w:rPr>
              <w:t>新工村</w:t>
            </w:r>
            <w:r>
              <w:rPr>
                <w:rFonts w:hint="eastAsia" w:ascii="Times New Roman" w:hAnsi="Times New Roman"/>
                <w:color w:val="000000"/>
                <w:sz w:val="24"/>
                <w:szCs w:val="24"/>
                <w:highlight w:val="none"/>
                <w:lang w:eastAsia="zh-CN"/>
              </w:rPr>
              <w:t>。</w:t>
            </w:r>
            <w:r>
              <w:rPr>
                <w:rFonts w:hint="eastAsia" w:ascii="Times New Roman" w:hAnsi="Times New Roman"/>
                <w:color w:val="000000"/>
                <w:sz w:val="24"/>
                <w:szCs w:val="24"/>
                <w:highlight w:val="none"/>
              </w:rPr>
              <w:t>北部和东部将进行拆迁，纳入到芜湖市镜湖区老船厂·智慧港项目中，场地西部和南部分布着众多敏感点，主要为居住和生活区。</w:t>
            </w:r>
            <w:r>
              <w:rPr>
                <w:rFonts w:hint="eastAsia" w:ascii="Times New Roman" w:hAnsi="Times New Roman"/>
                <w:color w:val="000000"/>
                <w:sz w:val="24"/>
                <w:szCs w:val="24"/>
                <w:highlight w:val="none"/>
                <w:lang w:val="en-US" w:eastAsia="zh-CN"/>
              </w:rPr>
              <w:t>对于施工期产生的扬尘，采用设置围堰、雾炮喷洒、规范化</w:t>
            </w:r>
            <w:r>
              <w:rPr>
                <w:rFonts w:hint="eastAsia" w:ascii="Times New Roman" w:hAnsi="Times New Roman"/>
                <w:color w:val="auto"/>
                <w:sz w:val="24"/>
                <w:szCs w:val="24"/>
                <w:highlight w:val="none"/>
                <w:lang w:val="en-US" w:eastAsia="zh-CN"/>
              </w:rPr>
              <w:t>作业等方式减少粉尘对周围敏感点的影响，合理设置施工时间，减少施工噪声对周围敏感点的影响。本工程为土壤、地下水修复项目，不涉及新增占地，工程施工完成后，区域的土壤、地下水环境将得到改善，本项目仅施工期会对周边的环境产生一定的影响，落实本次评价提出的各项污染防治措施后，可确保施工期污染物达标排放。因此，本项目的选址是可行的。</w:t>
            </w:r>
          </w:p>
          <w:p>
            <w:pPr>
              <w:spacing w:line="360" w:lineRule="auto"/>
              <w:ind w:firstLine="482" w:firstLineChars="200"/>
              <w:rPr>
                <w:rFonts w:ascii="Times New Roman" w:hAnsi="Times New Roman"/>
                <w:b/>
                <w:bCs/>
                <w:sz w:val="24"/>
                <w:szCs w:val="22"/>
                <w:highlight w:val="none"/>
                <w:lang w:val="zh-CN"/>
              </w:rPr>
            </w:pPr>
            <w:r>
              <w:rPr>
                <w:rFonts w:hint="eastAsia" w:ascii="Times New Roman" w:hAnsi="Times New Roman"/>
                <w:b/>
                <w:bCs/>
                <w:sz w:val="24"/>
                <w:szCs w:val="22"/>
                <w:highlight w:val="none"/>
                <w:lang w:val="en-US" w:eastAsia="zh-CN"/>
              </w:rPr>
              <w:t>7</w:t>
            </w:r>
            <w:r>
              <w:rPr>
                <w:rFonts w:ascii="Times New Roman" w:hAnsi="Times New Roman"/>
                <w:b/>
                <w:bCs/>
                <w:sz w:val="24"/>
                <w:szCs w:val="22"/>
                <w:highlight w:val="none"/>
              </w:rPr>
              <w:t>、</w:t>
            </w:r>
            <w:r>
              <w:rPr>
                <w:rFonts w:ascii="Times New Roman" w:hAnsi="Times New Roman"/>
                <w:b/>
                <w:bCs/>
                <w:sz w:val="24"/>
                <w:szCs w:val="22"/>
                <w:highlight w:val="none"/>
                <w:lang w:val="zh-CN"/>
              </w:rPr>
              <w:t>《安徽省打赢蓝天保卫战三年行动计划实施方案》符合性分析</w:t>
            </w:r>
          </w:p>
          <w:p>
            <w:pPr>
              <w:spacing w:line="360" w:lineRule="auto"/>
              <w:ind w:firstLine="480" w:firstLineChars="200"/>
              <w:rPr>
                <w:rFonts w:ascii="Times New Roman" w:hAnsi="Times New Roman" w:eastAsia="Times New Roman"/>
                <w:sz w:val="24"/>
                <w:szCs w:val="22"/>
                <w:highlight w:val="none"/>
                <w:lang w:val="zh-CN"/>
              </w:rPr>
            </w:pPr>
            <w:r>
              <w:rPr>
                <w:rFonts w:ascii="Times New Roman" w:hAnsi="Times New Roman" w:eastAsia="Times New Roman"/>
                <w:sz w:val="24"/>
                <w:szCs w:val="22"/>
                <w:highlight w:val="none"/>
                <w:lang w:val="zh-CN"/>
              </w:rPr>
              <w:t>根据文件精神，与本项目相关的内容如下：</w:t>
            </w:r>
          </w:p>
          <w:p>
            <w:pPr>
              <w:spacing w:line="360" w:lineRule="auto"/>
              <w:ind w:firstLine="480" w:firstLineChars="200"/>
              <w:rPr>
                <w:rFonts w:ascii="Times New Roman" w:hAnsi="Times New Roman" w:eastAsia="Times New Roman"/>
                <w:sz w:val="24"/>
                <w:szCs w:val="22"/>
                <w:highlight w:val="none"/>
                <w:lang w:val="zh-CN"/>
              </w:rPr>
            </w:pPr>
            <w:r>
              <w:rPr>
                <w:rFonts w:ascii="Times New Roman" w:hAnsi="Times New Roman" w:eastAsia="Times New Roman"/>
                <w:sz w:val="24"/>
                <w:szCs w:val="22"/>
                <w:highlight w:val="none"/>
                <w:lang w:val="zh-CN"/>
              </w:rPr>
              <w:t>①优化产业布局。完成生态保护红线、环境质量底线、资源利用上线、环境准入清单编制工作，明确禁止和限制发展的行业、生产工艺和产业目录。严格执行国家高耗能、高污染和资源型行业准入条件，环境空气质量未达标城市应制定更严格的产业准入门槛。积极推行区域、规划环境影响评价，新、改、扩建钢铁、石化、化工、焦化、建材、有色等项目的环境影响评价，应满足区域、规划环评要求。加快区域产业调整。加快城市建成区重污染企业搬迁改造或关闭退出，推动实施一批水泥、平板玻璃、焦化、化工等重污染企业搬迁工程；城市钢铁企业要切实采取彻底关停、转型发展、就地改造、域外搬迁等方式，推动转型升级。禁止新增化工园区，加大现有化工园区整治力度。各地已明确的退城企业，要明确时间表，逾期不退城的予以停产。</w:t>
            </w:r>
          </w:p>
          <w:p>
            <w:pPr>
              <w:spacing w:line="360" w:lineRule="auto"/>
              <w:ind w:firstLine="480" w:firstLineChars="200"/>
              <w:rPr>
                <w:rFonts w:ascii="Times New Roman" w:hAnsi="Times New Roman" w:eastAsia="Times New Roman"/>
                <w:sz w:val="24"/>
                <w:szCs w:val="22"/>
                <w:highlight w:val="none"/>
                <w:lang w:val="zh-CN"/>
              </w:rPr>
            </w:pPr>
            <w:r>
              <w:rPr>
                <w:rFonts w:ascii="Times New Roman" w:hAnsi="Times New Roman" w:eastAsia="Times New Roman"/>
                <w:sz w:val="24"/>
                <w:szCs w:val="22"/>
                <w:highlight w:val="none"/>
                <w:lang w:val="zh-CN"/>
              </w:rPr>
              <w:t>②严控“两高”行业产能。严格执行国家关于“两高”产业准入目录和产能总量控制政策措施。严禁新增钢铁、焦化、电解铝、铸造、水泥和平板玻璃等产能；严格执行钢铁、水泥、平板玻璃等行业产能置换实施办法；新、改、扩建涉及大宗物料运输的建设项目，原则上不得采用公路运输。加大落后产能淘汰和过剩产能压减力度。严格执行质量、环保、能耗、安全等法规标准。严格按照《产业结构调整指导目录》，执行过剩产能淘汰标准。严防“地条钢”死灰复燃。</w:t>
            </w:r>
          </w:p>
          <w:p>
            <w:pPr>
              <w:spacing w:line="360" w:lineRule="auto"/>
              <w:ind w:firstLine="480" w:firstLineChars="200"/>
              <w:rPr>
                <w:rFonts w:ascii="Times New Roman" w:hAnsi="Times New Roman" w:eastAsia="Times New Roman"/>
                <w:sz w:val="24"/>
                <w:szCs w:val="22"/>
                <w:highlight w:val="none"/>
                <w:lang w:val="zh-CN"/>
              </w:rPr>
            </w:pPr>
            <w:r>
              <w:rPr>
                <w:rFonts w:ascii="Times New Roman" w:hAnsi="Times New Roman" w:eastAsia="Times New Roman"/>
                <w:sz w:val="24"/>
                <w:szCs w:val="22"/>
                <w:highlight w:val="none"/>
                <w:lang w:val="zh-CN"/>
              </w:rPr>
              <w:t>③强化“散乱污”企业综合整治。全面开展“散乱污”企业及集群综合整治行动。年产155台起重设备生产线项目环境影响报告表根据国家规定，细化“散乱污”企业及集群整治标准。实行拉网式排查，建立管理台账。按照“先停后治”的原则，实施分类处置。列入关停取缔类的，基本做到“两断三清”（切断工业用水、用电，清除原料、产品、生产设备）；列入整合搬迁类的，要按照产业发展规模化、现代化的原则，搬迁至合规工业园区并实施升级改造；列入升级改造类的，树立行业标杆，实施清洁生产技术改造，全面提升污染治理水平。建立“散乱污”企业动态管理机制，坚决杜绝“散乱污”企业项目建设和已取缔的“散乱污”企业异地转移、死灰复燃。以上工作任务2019年底前全面完成。</w:t>
            </w:r>
          </w:p>
          <w:p>
            <w:pPr>
              <w:spacing w:line="360" w:lineRule="auto"/>
              <w:ind w:firstLine="480" w:firstLineChars="200"/>
              <w:rPr>
                <w:rFonts w:ascii="Times New Roman" w:hAnsi="Times New Roman" w:eastAsia="Times New Roman"/>
                <w:sz w:val="24"/>
                <w:szCs w:val="22"/>
                <w:highlight w:val="none"/>
                <w:lang w:val="zh-CN"/>
              </w:rPr>
            </w:pPr>
            <w:r>
              <w:rPr>
                <w:rFonts w:ascii="Times New Roman" w:hAnsi="Times New Roman" w:eastAsia="Times New Roman"/>
                <w:sz w:val="24"/>
                <w:szCs w:val="22"/>
                <w:highlight w:val="none"/>
                <w:lang w:val="zh-CN"/>
              </w:rPr>
              <w:t>④深化工业污染治理。持续推进工业污染源全面达标排放，将烟气在线监测数据作为执法依据，加大超标处罚和联合惩戒力度，未达标排放的企业一律依法停产整治。建立覆盖所有固定污染源的企业排放许可制度，2020年底前，完成排污许可管理名录规定的行业许可证核发。</w:t>
            </w:r>
          </w:p>
          <w:p>
            <w:pPr>
              <w:spacing w:line="360" w:lineRule="auto"/>
              <w:ind w:firstLine="480" w:firstLineChars="200"/>
              <w:rPr>
                <w:rFonts w:ascii="Times New Roman" w:hAnsi="Times New Roman" w:eastAsia="Times New Roman"/>
                <w:sz w:val="24"/>
                <w:szCs w:val="22"/>
                <w:highlight w:val="none"/>
                <w:lang w:val="zh-CN"/>
              </w:rPr>
            </w:pPr>
            <w:r>
              <w:rPr>
                <w:rFonts w:ascii="Times New Roman" w:hAnsi="Times New Roman" w:eastAsia="Times New Roman"/>
                <w:sz w:val="24"/>
                <w:szCs w:val="22"/>
                <w:highlight w:val="none"/>
                <w:lang w:val="zh-CN"/>
              </w:rPr>
              <w:t>⑤推进重点行业污染治理升级改造。二氧化硫、氮氧化物、颗粒物、挥发性有机物全面执行大气污染物特别排放限值。推动实施钢铁等行业超低排放改造，城市建成区内焦炉实施炉体加罩封闭，并对废气进行收集处理。强化工业企业无组织排放管控。开展钢铁、建材、有色、火电、焦化、铸造等重点行业及燃煤锅炉无组织排放排查，建立管理台账，对物料（含废渣）运输、装卸、储存、转移和工艺过程等无组织排放实施深度治理。推进各类园区循环化改造、规范发展和提质增效。大力推进企业清洁生产。对各类开发区、工业园区、高新区等进行集中整治，限期进行达标改造，减少工业集聚区污染。完善园区集中供热设施，积极推广集中供热，2020年底前基本完成。有条件的工业集聚区建设集中喷涂工程中心，配备高效治污设施，替代企业独立喷涂工序。</w:t>
            </w:r>
          </w:p>
          <w:p>
            <w:pPr>
              <w:spacing w:line="360" w:lineRule="auto"/>
              <w:ind w:firstLine="480" w:firstLineChars="200"/>
              <w:rPr>
                <w:rFonts w:hint="eastAsia" w:ascii="Times New Roman" w:hAnsi="Times New Roman"/>
                <w:b/>
                <w:bCs/>
                <w:sz w:val="24"/>
                <w:szCs w:val="22"/>
                <w:highlight w:val="none"/>
              </w:rPr>
            </w:pPr>
            <w:r>
              <w:rPr>
                <w:rFonts w:ascii="Times New Roman" w:hAnsi="Times New Roman" w:eastAsia="Times New Roman"/>
                <w:b/>
                <w:bCs/>
                <w:sz w:val="24"/>
                <w:highlight w:val="none"/>
                <w:lang w:val="zh-CN"/>
              </w:rPr>
              <w:t>本项目位于</w:t>
            </w:r>
            <w:r>
              <w:rPr>
                <w:rFonts w:hint="eastAsia" w:ascii="Times New Roman" w:hAnsi="Times New Roman" w:eastAsia="Times New Roman"/>
                <w:b/>
                <w:bCs/>
                <w:sz w:val="24"/>
                <w:highlight w:val="none"/>
                <w:lang w:val="zh-CN"/>
              </w:rPr>
              <w:t>安徽省芜湖市镜湖区长江中路49号</w:t>
            </w:r>
            <w:r>
              <w:rPr>
                <w:rFonts w:ascii="Times New Roman" w:hAnsi="Times New Roman" w:eastAsia="Times New Roman"/>
                <w:b/>
                <w:bCs/>
                <w:sz w:val="24"/>
                <w:highlight w:val="none"/>
                <w:lang w:val="zh-CN"/>
              </w:rPr>
              <w:t>，</w:t>
            </w:r>
            <w:r>
              <w:rPr>
                <w:rFonts w:ascii="Times New Roman" w:hAnsi="Times New Roman"/>
                <w:b/>
                <w:sz w:val="24"/>
                <w:szCs w:val="24"/>
                <w:highlight w:val="none"/>
                <w:lang w:val="zh-CN"/>
              </w:rPr>
              <w:t>本项目不属于“两高”行业，项目为</w:t>
            </w:r>
            <w:r>
              <w:rPr>
                <w:rFonts w:hint="eastAsia" w:ascii="Times New Roman" w:hAnsi="Times New Roman"/>
                <w:b/>
                <w:sz w:val="24"/>
                <w:szCs w:val="24"/>
                <w:highlight w:val="none"/>
                <w:lang w:val="en-US" w:eastAsia="zh-CN"/>
              </w:rPr>
              <w:t>污染土壤、地下水修复项目</w:t>
            </w:r>
            <w:r>
              <w:rPr>
                <w:rFonts w:ascii="Times New Roman" w:hAnsi="Times New Roman"/>
                <w:b/>
                <w:sz w:val="24"/>
                <w:szCs w:val="24"/>
                <w:highlight w:val="none"/>
                <w:lang w:val="zh-CN"/>
              </w:rPr>
              <w:t>，</w:t>
            </w:r>
            <w:r>
              <w:rPr>
                <w:rFonts w:hint="eastAsia" w:ascii="Times New Roman" w:hAnsi="Times New Roman"/>
                <w:b/>
                <w:sz w:val="24"/>
                <w:szCs w:val="24"/>
                <w:highlight w:val="none"/>
                <w:lang w:val="en-US" w:eastAsia="zh-CN"/>
              </w:rPr>
              <w:t>本项目的建设将有效治理地块内土壤、地下水环境，</w:t>
            </w:r>
            <w:r>
              <w:rPr>
                <w:rFonts w:ascii="Times New Roman" w:hAnsi="Times New Roman"/>
                <w:b/>
                <w:sz w:val="24"/>
                <w:szCs w:val="24"/>
                <w:highlight w:val="none"/>
                <w:lang w:val="zh-CN"/>
              </w:rPr>
              <w:t>符合</w:t>
            </w:r>
            <w:r>
              <w:rPr>
                <w:rFonts w:hint="eastAsia" w:ascii="Times New Roman" w:hAnsi="Times New Roman"/>
                <w:b/>
                <w:sz w:val="24"/>
                <w:szCs w:val="24"/>
                <w:highlight w:val="none"/>
                <w:lang w:val="zh-CN"/>
              </w:rPr>
              <w:t>《打高蓝天保卫战三年行动计划的通知》（国发[2018]22号）</w:t>
            </w:r>
            <w:r>
              <w:rPr>
                <w:rFonts w:hint="eastAsia" w:ascii="Times New Roman" w:hAnsi="Times New Roman"/>
                <w:b/>
                <w:sz w:val="24"/>
                <w:szCs w:val="24"/>
                <w:highlight w:val="none"/>
                <w:lang w:val="en-US" w:eastAsia="zh-CN"/>
              </w:rPr>
              <w:t>中的要求</w:t>
            </w:r>
            <w:r>
              <w:rPr>
                <w:rFonts w:ascii="Times New Roman" w:hAnsi="Times New Roman"/>
                <w:b/>
                <w:sz w:val="24"/>
                <w:szCs w:val="24"/>
                <w:highlight w:val="none"/>
                <w:lang w:val="zh-CN"/>
              </w:rPr>
              <w:t>。</w:t>
            </w:r>
          </w:p>
          <w:p>
            <w:pPr>
              <w:spacing w:line="360" w:lineRule="auto"/>
              <w:ind w:firstLine="482" w:firstLineChars="200"/>
              <w:rPr>
                <w:rFonts w:ascii="Times New Roman" w:hAnsi="Times New Roman"/>
                <w:b/>
                <w:sz w:val="24"/>
                <w:szCs w:val="24"/>
                <w:highlight w:val="none"/>
                <w:lang w:val="zh-CN"/>
              </w:rPr>
            </w:pPr>
            <w:r>
              <w:rPr>
                <w:rFonts w:hint="eastAsia" w:ascii="Times New Roman" w:hAnsi="Times New Roman"/>
                <w:b/>
                <w:sz w:val="24"/>
                <w:szCs w:val="24"/>
                <w:highlight w:val="none"/>
                <w:lang w:val="en-US" w:eastAsia="zh-CN"/>
              </w:rPr>
              <w:t>8</w:t>
            </w:r>
            <w:r>
              <w:rPr>
                <w:rFonts w:ascii="Times New Roman" w:hAnsi="Times New Roman"/>
                <w:b/>
                <w:sz w:val="24"/>
                <w:szCs w:val="24"/>
                <w:highlight w:val="none"/>
              </w:rPr>
              <w:t>、</w:t>
            </w:r>
            <w:r>
              <w:rPr>
                <w:rFonts w:ascii="Times New Roman" w:hAnsi="Times New Roman"/>
                <w:b/>
                <w:sz w:val="24"/>
                <w:szCs w:val="24"/>
                <w:highlight w:val="none"/>
                <w:lang w:val="zh-CN"/>
              </w:rPr>
              <w:t>与《中共安徽省委安徽省人民政府关于全面打造水清岸绿产业优美丽长江（安徽）经济带的实施意见》相符性分析</w:t>
            </w:r>
          </w:p>
          <w:p>
            <w:pPr>
              <w:spacing w:line="360" w:lineRule="auto"/>
              <w:ind w:firstLine="480" w:firstLineChars="200"/>
              <w:rPr>
                <w:rFonts w:ascii="Times New Roman" w:hAnsi="Times New Roman" w:eastAsia="Times New Roman"/>
                <w:sz w:val="24"/>
                <w:highlight w:val="none"/>
                <w:lang w:val="zh-CN"/>
              </w:rPr>
            </w:pPr>
            <w:r>
              <w:rPr>
                <w:rFonts w:ascii="Times New Roman" w:hAnsi="Times New Roman" w:eastAsia="Times New Roman"/>
                <w:sz w:val="24"/>
                <w:highlight w:val="none"/>
                <w:lang w:val="zh-CN"/>
              </w:rPr>
              <w:t>根据《中共安徽省委安徽省人民政府关于全面打造水清岸绿产业优美丽长江（安徽）经济带的实施意见》</w:t>
            </w:r>
          </w:p>
          <w:p>
            <w:pPr>
              <w:spacing w:line="360" w:lineRule="auto"/>
              <w:ind w:firstLine="480" w:firstLineChars="200"/>
              <w:rPr>
                <w:rFonts w:ascii="Times New Roman" w:hAnsi="Times New Roman" w:eastAsia="Times New Roman"/>
                <w:sz w:val="24"/>
                <w:highlight w:val="none"/>
                <w:lang w:val="zh-CN"/>
              </w:rPr>
            </w:pPr>
            <w:r>
              <w:rPr>
                <w:rFonts w:ascii="Times New Roman" w:hAnsi="Times New Roman" w:eastAsia="Times New Roman"/>
                <w:sz w:val="24"/>
                <w:highlight w:val="none"/>
                <w:lang w:val="zh-CN"/>
              </w:rPr>
              <w:t>1、严禁1公里范围内新建项目。自2018年7月起，长江干流及主要支流岸线1公里范围内，除必须实施的防洪护岸、河道治理、供水、航道整治、港口码头及集疏运通道、道路及跨江桥隧、公共管理、生态环境治理、国家重要基础设施等事关公共安全和公众利益建设项目，以及长江岸线规划确定的城市建设区内非工业项目外，不得新批建设项目，不得布局新的工业园区。已批未建设的项目，严格进行检查评估，不符合岸线规划和环保、安全要求的，全部依法依规停建搬迁。</w:t>
            </w:r>
          </w:p>
          <w:p>
            <w:pPr>
              <w:spacing w:line="360" w:lineRule="auto"/>
              <w:ind w:firstLine="480" w:firstLineChars="200"/>
              <w:rPr>
                <w:rFonts w:ascii="Times New Roman" w:hAnsi="Times New Roman" w:eastAsia="Times New Roman"/>
                <w:sz w:val="24"/>
                <w:highlight w:val="none"/>
                <w:lang w:val="zh-CN"/>
              </w:rPr>
            </w:pPr>
            <w:r>
              <w:rPr>
                <w:rFonts w:ascii="Times New Roman" w:hAnsi="Times New Roman" w:eastAsia="Times New Roman"/>
                <w:sz w:val="24"/>
                <w:highlight w:val="none"/>
                <w:lang w:val="zh-CN"/>
              </w:rPr>
              <w:t>2、严控5公里范围内新建项目。长江干流岸线5公里范围内，全面落实长江岸线功能定位要求，实施严格的化工项目市场准入制度，除提升安全、环保、节能水平，以及质量升级、结构调整的改扩建项目外，严格控制新建石油化工和煤化工等重化工、重污染项目。严禁新建布局重化工园区。合规化工园区内，严禁新批环境基础设施不完善或长期不能稳定运行的企业新建和扩建化工项目。</w:t>
            </w:r>
          </w:p>
          <w:p>
            <w:pPr>
              <w:spacing w:line="360" w:lineRule="auto"/>
              <w:ind w:firstLine="480" w:firstLineChars="200"/>
              <w:rPr>
                <w:rFonts w:ascii="Times New Roman" w:hAnsi="Times New Roman" w:eastAsia="Times New Roman"/>
                <w:sz w:val="24"/>
                <w:szCs w:val="22"/>
                <w:highlight w:val="none"/>
                <w:lang w:val="zh-CN"/>
              </w:rPr>
            </w:pPr>
            <w:r>
              <w:rPr>
                <w:rFonts w:ascii="Times New Roman" w:hAnsi="Times New Roman" w:eastAsia="Times New Roman"/>
                <w:sz w:val="24"/>
                <w:highlight w:val="none"/>
                <w:lang w:val="zh-CN"/>
              </w:rPr>
              <w:t>3、严管15公里范围内新建项目。长江干流岸线15公里范围内，严把各类项目准入门槛，严格执行环境保护标准，把主要污染物和重点重金属排放总量控制目标作为新（改、扩）建项目环评审批的前置条件，禁止建设没有环境容量和减排总量项目。在岸线开发、河段利用、区域活动和产业发展等方面，全面执行国家长江经济带市场准入禁止限制目录。实施备案、环评、安评、能评等并联审批，未落实生态保护、安全生产、能源</w:t>
            </w:r>
            <w:r>
              <w:rPr>
                <w:rFonts w:ascii="Times New Roman" w:hAnsi="Times New Roman" w:eastAsia="Times New Roman"/>
                <w:sz w:val="24"/>
                <w:szCs w:val="22"/>
                <w:highlight w:val="none"/>
                <w:lang w:val="zh-CN"/>
              </w:rPr>
              <w:t>节约要求的，一律不得建设。</w:t>
            </w:r>
          </w:p>
          <w:p>
            <w:pPr>
              <w:spacing w:line="360" w:lineRule="auto"/>
              <w:ind w:firstLine="480" w:firstLineChars="200"/>
              <w:rPr>
                <w:rFonts w:ascii="Times New Roman" w:hAnsi="Times New Roman" w:eastAsia="Times New Roman"/>
                <w:b/>
                <w:bCs/>
                <w:sz w:val="24"/>
                <w:szCs w:val="22"/>
                <w:highlight w:val="none"/>
                <w:lang w:val="zh-CN"/>
              </w:rPr>
            </w:pPr>
            <w:r>
              <w:rPr>
                <w:rFonts w:ascii="Times New Roman" w:hAnsi="Times New Roman" w:eastAsia="Times New Roman"/>
                <w:b/>
                <w:bCs/>
                <w:sz w:val="24"/>
                <w:szCs w:val="22"/>
                <w:highlight w:val="none"/>
                <w:lang w:val="zh-CN"/>
              </w:rPr>
              <w:t>本项目</w:t>
            </w:r>
            <w:r>
              <w:rPr>
                <w:rFonts w:hint="eastAsia" w:ascii="Times New Roman" w:hAnsi="Times New Roman" w:eastAsia="宋体"/>
                <w:b/>
                <w:bCs/>
                <w:sz w:val="24"/>
                <w:szCs w:val="22"/>
                <w:highlight w:val="none"/>
                <w:lang w:val="en-US" w:eastAsia="zh-CN"/>
              </w:rPr>
              <w:t>位于长江最近距离为</w:t>
            </w:r>
            <w:r>
              <w:rPr>
                <w:rFonts w:hint="eastAsia" w:ascii="Times New Roman" w:hAnsi="Times New Roman"/>
                <w:b/>
                <w:bCs/>
                <w:sz w:val="24"/>
                <w:szCs w:val="22"/>
                <w:highlight w:val="none"/>
                <w:lang w:val="en-US" w:eastAsia="zh-CN"/>
              </w:rPr>
              <w:t>310</w:t>
            </w:r>
            <w:r>
              <w:rPr>
                <w:rFonts w:hint="eastAsia" w:ascii="Times New Roman" w:hAnsi="Times New Roman" w:eastAsia="宋体"/>
                <w:b/>
                <w:bCs/>
                <w:sz w:val="24"/>
                <w:szCs w:val="22"/>
                <w:highlight w:val="none"/>
                <w:lang w:val="en-US" w:eastAsia="zh-CN"/>
              </w:rPr>
              <w:t>m</w:t>
            </w:r>
            <w:r>
              <w:rPr>
                <w:rFonts w:hint="eastAsia" w:ascii="Times New Roman" w:hAnsi="Times New Roman" w:eastAsia="Times New Roman"/>
                <w:b/>
                <w:bCs/>
                <w:sz w:val="24"/>
                <w:szCs w:val="22"/>
                <w:highlight w:val="none"/>
                <w:lang w:val="zh-CN"/>
              </w:rPr>
              <w:t>。</w:t>
            </w:r>
            <w:r>
              <w:rPr>
                <w:rFonts w:ascii="Times New Roman" w:hAnsi="Times New Roman" w:eastAsia="Times New Roman"/>
                <w:b/>
                <w:bCs/>
                <w:sz w:val="24"/>
                <w:szCs w:val="22"/>
                <w:highlight w:val="none"/>
                <w:lang w:val="zh-CN"/>
              </w:rPr>
              <w:t>项目不属于石油化工、煤化工等重化工、重污染项目，符合长江干流岸线5公里范围内新建项目的要求；项目严格执行环境保护标准，主要污染物排放总量控制目标符合要求，区域环境容量满足建设需要，符合长江干流岸线5公里范围内建设项目的要求。</w:t>
            </w:r>
          </w:p>
          <w:p>
            <w:pPr>
              <w:spacing w:line="360" w:lineRule="auto"/>
              <w:ind w:firstLine="482" w:firstLineChars="200"/>
              <w:rPr>
                <w:rFonts w:ascii="Times New Roman" w:hAnsi="Times New Roman"/>
                <w:b/>
                <w:sz w:val="24"/>
                <w:szCs w:val="24"/>
                <w:highlight w:val="none"/>
                <w:lang w:val="zh-CN"/>
              </w:rPr>
            </w:pPr>
            <w:r>
              <w:rPr>
                <w:rFonts w:hint="eastAsia" w:ascii="Times New Roman" w:hAnsi="Times New Roman"/>
                <w:b/>
                <w:sz w:val="24"/>
                <w:szCs w:val="24"/>
                <w:highlight w:val="none"/>
                <w:lang w:val="en-US" w:eastAsia="zh-CN"/>
              </w:rPr>
              <w:t>9</w:t>
            </w:r>
            <w:r>
              <w:rPr>
                <w:rFonts w:ascii="Times New Roman" w:hAnsi="Times New Roman"/>
                <w:b/>
                <w:sz w:val="24"/>
                <w:szCs w:val="24"/>
                <w:highlight w:val="none"/>
              </w:rPr>
              <w:t>、</w:t>
            </w:r>
            <w:r>
              <w:rPr>
                <w:rFonts w:ascii="Times New Roman" w:hAnsi="Times New Roman"/>
                <w:b/>
                <w:sz w:val="24"/>
                <w:szCs w:val="24"/>
                <w:highlight w:val="none"/>
                <w:lang w:val="zh-CN"/>
              </w:rPr>
              <w:t>与《中共安徽省委安徽省人民政府关于全面打造水清岸绿产业优美丽长江（</w:t>
            </w:r>
            <w:r>
              <w:rPr>
                <w:rFonts w:ascii="Times New Roman" w:hAnsi="Times New Roman"/>
                <w:b/>
                <w:sz w:val="24"/>
                <w:szCs w:val="24"/>
                <w:highlight w:val="none"/>
              </w:rPr>
              <w:t>芜湖</w:t>
            </w:r>
            <w:r>
              <w:rPr>
                <w:rFonts w:ascii="Times New Roman" w:hAnsi="Times New Roman"/>
                <w:b/>
                <w:sz w:val="24"/>
                <w:szCs w:val="24"/>
                <w:highlight w:val="none"/>
                <w:lang w:val="zh-CN"/>
              </w:rPr>
              <w:t>）经济带的实施意见》相符性分析</w:t>
            </w:r>
          </w:p>
          <w:p>
            <w:pPr>
              <w:spacing w:line="360" w:lineRule="auto"/>
              <w:ind w:firstLine="480" w:firstLineChars="200"/>
              <w:rPr>
                <w:rFonts w:ascii="Times New Roman" w:hAnsi="Times New Roman" w:eastAsia="Times New Roman"/>
                <w:sz w:val="24"/>
                <w:highlight w:val="none"/>
                <w:lang w:val="zh-CN"/>
              </w:rPr>
            </w:pPr>
            <w:r>
              <w:rPr>
                <w:rFonts w:ascii="Times New Roman" w:hAnsi="Times New Roman" w:eastAsia="Times New Roman"/>
                <w:sz w:val="24"/>
                <w:highlight w:val="none"/>
                <w:lang w:val="zh-CN"/>
              </w:rPr>
              <w:t>1、划定1公里范围内禁建区。2018年7月起，长江干流及主要支流岸线1公里范围内，除必须实施的防洪护岸、河道治理、供水、航道整治、港口码头及集疏运通道、道路及跨江桥隧、公共管理、生态环境治理、国家及省重要基础设施等事关公共安全及公众利益的建设项目，以及环境治理、技术改造升级项目，长江岸线规划、主要支流岸线规划、城（镇）总体规划确定的城市建设区内非工业项目外，不得新批建设项目，不得布局新的工业园区。已批未开工的项目，依法停止建设，支持重新选址：已经开工建设的项目，严格进行检查评估，不符合岸线规划和环保、安全要求的，全部依法依规停建搬迁。</w:t>
            </w:r>
          </w:p>
          <w:p>
            <w:pPr>
              <w:spacing w:line="360" w:lineRule="auto"/>
              <w:ind w:firstLine="480" w:firstLineChars="200"/>
              <w:rPr>
                <w:rFonts w:ascii="Times New Roman" w:hAnsi="Times New Roman" w:eastAsia="Times New Roman"/>
                <w:sz w:val="24"/>
                <w:highlight w:val="none"/>
                <w:lang w:val="zh-CN"/>
              </w:rPr>
            </w:pPr>
            <w:r>
              <w:rPr>
                <w:rFonts w:ascii="Times New Roman" w:hAnsi="Times New Roman" w:eastAsia="Times New Roman"/>
                <w:sz w:val="24"/>
                <w:highlight w:val="none"/>
                <w:lang w:val="zh-CN"/>
              </w:rPr>
              <w:t>2、严控5公里范围内新建项目。长江干流岸线5公里范围内，全面落实长江岸线功能定位要求，实施严格的化工项目市场准入制度，除提升安全、环保、节能水平，以及质量升级、结构调整的改扩建项目外，严格控制新建石油化工和煤化工等重化工、重污染项目。严禁布局新建化工园区。</w:t>
            </w:r>
          </w:p>
          <w:p>
            <w:pPr>
              <w:spacing w:line="360" w:lineRule="auto"/>
              <w:ind w:firstLine="480" w:firstLineChars="200"/>
              <w:rPr>
                <w:rFonts w:ascii="Times New Roman" w:hAnsi="Times New Roman" w:eastAsia="Times New Roman"/>
                <w:sz w:val="24"/>
                <w:highlight w:val="none"/>
                <w:lang w:val="zh-CN"/>
              </w:rPr>
            </w:pPr>
            <w:r>
              <w:rPr>
                <w:rFonts w:ascii="Times New Roman" w:hAnsi="Times New Roman" w:eastAsia="Times New Roman"/>
                <w:sz w:val="24"/>
                <w:highlight w:val="none"/>
                <w:lang w:val="zh-CN"/>
              </w:rPr>
              <w:t>3、严管15公里范围内新建项目。长江干流岸线15公里范围内，严把各类项目准入门槛，严格执行环境保护标准，把主要污染物和重点重金属排放总量控制目标作为新（改、扩）建项目环评审批的前置条件，新建项目必须全部合规达标，禁止建设没有环境容量和减排总量的项目。在岸线开发、河段利用、区域活动和产业发展等方面，全面执行国家长江经济带市场准入禁止限制目录。实施备案、环评、安评、能评等并联审批，未落实生态环保、安全生产、能源节约要求的，一律不得开工建设。</w:t>
            </w:r>
          </w:p>
          <w:p>
            <w:pPr>
              <w:spacing w:line="360" w:lineRule="auto"/>
              <w:ind w:firstLine="480" w:firstLineChars="200"/>
              <w:rPr>
                <w:rFonts w:ascii="Times New Roman" w:hAnsi="Times New Roman" w:eastAsia="Times New Roman"/>
                <w:b/>
                <w:bCs/>
                <w:sz w:val="24"/>
                <w:highlight w:val="none"/>
                <w:lang w:val="zh-CN"/>
              </w:rPr>
            </w:pPr>
            <w:r>
              <w:rPr>
                <w:rFonts w:ascii="Times New Roman" w:hAnsi="Times New Roman" w:eastAsia="Times New Roman"/>
                <w:b/>
                <w:bCs/>
                <w:sz w:val="24"/>
                <w:szCs w:val="22"/>
                <w:highlight w:val="none"/>
                <w:lang w:val="zh-CN"/>
              </w:rPr>
              <w:t>本项目</w:t>
            </w:r>
            <w:r>
              <w:rPr>
                <w:rFonts w:hint="eastAsia" w:ascii="Times New Roman" w:hAnsi="Times New Roman" w:eastAsia="宋体"/>
                <w:b/>
                <w:bCs/>
                <w:sz w:val="24"/>
                <w:szCs w:val="22"/>
                <w:highlight w:val="none"/>
                <w:lang w:val="en-US" w:eastAsia="zh-CN"/>
              </w:rPr>
              <w:t>位于长江最近距离为</w:t>
            </w:r>
            <w:r>
              <w:rPr>
                <w:rFonts w:hint="eastAsia" w:ascii="Times New Roman" w:hAnsi="Times New Roman"/>
                <w:b/>
                <w:bCs/>
                <w:sz w:val="24"/>
                <w:szCs w:val="22"/>
                <w:highlight w:val="none"/>
                <w:lang w:val="en-US" w:eastAsia="zh-CN"/>
              </w:rPr>
              <w:t>310</w:t>
            </w:r>
            <w:r>
              <w:rPr>
                <w:rFonts w:hint="eastAsia" w:ascii="Times New Roman" w:hAnsi="Times New Roman" w:eastAsia="宋体"/>
                <w:b/>
                <w:bCs/>
                <w:sz w:val="24"/>
                <w:szCs w:val="22"/>
                <w:highlight w:val="none"/>
                <w:lang w:val="en-US" w:eastAsia="zh-CN"/>
              </w:rPr>
              <w:t>m</w:t>
            </w:r>
            <w:r>
              <w:rPr>
                <w:rFonts w:hint="eastAsia" w:ascii="Times New Roman" w:hAnsi="Times New Roman" w:eastAsia="Times New Roman"/>
                <w:b/>
                <w:bCs/>
                <w:sz w:val="24"/>
                <w:szCs w:val="22"/>
                <w:highlight w:val="none"/>
                <w:lang w:val="zh-CN"/>
              </w:rPr>
              <w:t>。</w:t>
            </w:r>
            <w:r>
              <w:rPr>
                <w:rFonts w:ascii="Times New Roman" w:hAnsi="Times New Roman" w:eastAsia="Times New Roman"/>
                <w:b/>
                <w:bCs/>
                <w:sz w:val="24"/>
                <w:szCs w:val="22"/>
                <w:highlight w:val="none"/>
                <w:lang w:val="zh-CN"/>
              </w:rPr>
              <w:t>项目不属于石油化工、煤化工等重化工、重污染项目，符合长江干流岸线5公里范围内新建项目的要求；项目严格执行环境保护标准，主要污染物排放总量控制目标符合要求，区域环境容量满足建设需要，符合长江干流岸线5公里范围内建设项目的要求。</w:t>
            </w:r>
          </w:p>
          <w:p>
            <w:pPr>
              <w:pStyle w:val="14"/>
              <w:spacing w:after="0" w:line="360" w:lineRule="auto"/>
              <w:ind w:left="0" w:leftChars="0" w:firstLine="482" w:firstLineChars="200"/>
              <w:rPr>
                <w:rFonts w:ascii="Times New Roman" w:hAnsi="Times New Roman"/>
                <w:sz w:val="24"/>
                <w:szCs w:val="22"/>
                <w:highlight w:val="none"/>
              </w:rPr>
            </w:pPr>
            <w:r>
              <w:rPr>
                <w:rFonts w:ascii="Times New Roman" w:hAnsi="Times New Roman"/>
                <w:b/>
                <w:bCs/>
                <w:sz w:val="24"/>
                <w:highlight w:val="none"/>
              </w:rPr>
              <w:t>1</w:t>
            </w:r>
            <w:r>
              <w:rPr>
                <w:rFonts w:hint="eastAsia" w:ascii="Times New Roman" w:hAnsi="Times New Roman"/>
                <w:b/>
                <w:bCs/>
                <w:sz w:val="24"/>
                <w:highlight w:val="none"/>
                <w:lang w:val="en-US" w:eastAsia="zh-CN"/>
              </w:rPr>
              <w:t>0</w:t>
            </w:r>
            <w:r>
              <w:rPr>
                <w:rFonts w:ascii="Times New Roman" w:hAnsi="Times New Roman"/>
                <w:b/>
                <w:bCs/>
                <w:sz w:val="24"/>
                <w:szCs w:val="22"/>
                <w:highlight w:val="none"/>
              </w:rPr>
              <w:t>、与长江经济带生态环境保护规划相符性分析</w:t>
            </w:r>
          </w:p>
          <w:p>
            <w:pPr>
              <w:pStyle w:val="14"/>
              <w:spacing w:after="0" w:line="360" w:lineRule="auto"/>
              <w:ind w:left="0" w:leftChars="0" w:firstLine="480" w:firstLineChars="200"/>
              <w:rPr>
                <w:rFonts w:ascii="Times New Roman" w:hAnsi="Times New Roman"/>
                <w:sz w:val="24"/>
                <w:szCs w:val="22"/>
                <w:highlight w:val="none"/>
              </w:rPr>
            </w:pPr>
            <w:r>
              <w:rPr>
                <w:rFonts w:ascii="Times New Roman" w:hAnsi="Times New Roman"/>
                <w:sz w:val="24"/>
                <w:szCs w:val="22"/>
                <w:highlight w:val="none"/>
              </w:rPr>
              <w:t>推进重点领域节水。强化工业节水，以南京、武汉、长沙、重庆、成都等城市为重点，实施高耗水行业生产工艺节水改造，降低单位产品用水量。</w:t>
            </w:r>
          </w:p>
          <w:p>
            <w:pPr>
              <w:pStyle w:val="14"/>
              <w:spacing w:after="0" w:line="360" w:lineRule="auto"/>
              <w:ind w:left="0" w:leftChars="0" w:firstLine="480" w:firstLineChars="200"/>
              <w:rPr>
                <w:rFonts w:ascii="Times New Roman" w:hAnsi="Times New Roman"/>
                <w:sz w:val="24"/>
                <w:szCs w:val="22"/>
                <w:highlight w:val="none"/>
              </w:rPr>
            </w:pPr>
            <w:r>
              <w:rPr>
                <w:rFonts w:ascii="Times New Roman" w:hAnsi="Times New Roman"/>
                <w:sz w:val="24"/>
                <w:szCs w:val="22"/>
                <w:highlight w:val="none"/>
              </w:rPr>
              <w:t>划定并严守生态保护红线。生态保护红线原则上按禁止开发区域的要求进行管理，严禁不符合主体功能定位的各类开发活动，严禁任意改变用途。</w:t>
            </w:r>
          </w:p>
          <w:p>
            <w:pPr>
              <w:pStyle w:val="14"/>
              <w:spacing w:after="0" w:line="360" w:lineRule="auto"/>
              <w:ind w:left="0" w:leftChars="0" w:firstLine="480" w:firstLineChars="200"/>
              <w:rPr>
                <w:rFonts w:ascii="Times New Roman" w:hAnsi="Times New Roman"/>
                <w:sz w:val="24"/>
                <w:szCs w:val="22"/>
                <w:highlight w:val="none"/>
              </w:rPr>
            </w:pPr>
            <w:r>
              <w:rPr>
                <w:rFonts w:ascii="Times New Roman" w:hAnsi="Times New Roman"/>
                <w:sz w:val="24"/>
                <w:szCs w:val="22"/>
                <w:highlight w:val="none"/>
              </w:rPr>
              <w:t>全面推进长江经济带126个地级及以上城市空气质量限期达标工作，已达标城市空气质量进一步巩固，未达标城市要制定并实施分阶段达标计划。完善大气污染物排放总量控制制度，加强二氧化硫、氮氧化物、烟粉尘、挥发性有机物等主要污染物综合防治。</w:t>
            </w:r>
          </w:p>
          <w:p>
            <w:pPr>
              <w:pStyle w:val="14"/>
              <w:spacing w:after="0" w:line="360" w:lineRule="auto"/>
              <w:ind w:left="0" w:leftChars="0" w:firstLine="480" w:firstLineChars="200"/>
              <w:rPr>
                <w:rFonts w:ascii="Times New Roman" w:hAnsi="Times New Roman"/>
                <w:sz w:val="24"/>
                <w:szCs w:val="22"/>
                <w:highlight w:val="none"/>
              </w:rPr>
            </w:pPr>
            <w:r>
              <w:rPr>
                <w:rFonts w:ascii="Times New Roman" w:hAnsi="Times New Roman"/>
                <w:sz w:val="24"/>
                <w:szCs w:val="22"/>
                <w:highlight w:val="none"/>
              </w:rPr>
              <w:t>禁止在长江干流自然保护区、风景名胜区、“四大家鱼”产卵场等管控重点区域新建工业类和污染类项目。</w:t>
            </w:r>
          </w:p>
          <w:p>
            <w:pPr>
              <w:pStyle w:val="14"/>
              <w:spacing w:after="0" w:line="360" w:lineRule="auto"/>
              <w:ind w:left="0" w:leftChars="0" w:firstLine="482" w:firstLineChars="200"/>
              <w:rPr>
                <w:rFonts w:ascii="Times New Roman" w:hAnsi="Times New Roman"/>
                <w:b/>
                <w:bCs/>
                <w:sz w:val="24"/>
                <w:szCs w:val="22"/>
                <w:highlight w:val="none"/>
              </w:rPr>
            </w:pPr>
            <w:r>
              <w:rPr>
                <w:rFonts w:hint="eastAsia" w:ascii="Times New Roman" w:hAnsi="Times New Roman"/>
                <w:b/>
                <w:bCs/>
                <w:sz w:val="24"/>
                <w:szCs w:val="22"/>
                <w:highlight w:val="none"/>
                <w:lang w:val="en-US" w:eastAsia="zh-CN"/>
              </w:rPr>
              <w:t>本项目为污染土壤、地下水修复治理项目，待项目施工结束后，对周围环境将产生积极有益的影响</w:t>
            </w:r>
            <w:r>
              <w:rPr>
                <w:rFonts w:ascii="Times New Roman" w:hAnsi="Times New Roman"/>
                <w:b/>
                <w:bCs/>
                <w:sz w:val="24"/>
                <w:szCs w:val="22"/>
                <w:highlight w:val="none"/>
              </w:rPr>
              <w:t>。项目不在安徽省生态保护红线范围内，本项目位于</w:t>
            </w:r>
            <w:r>
              <w:rPr>
                <w:rFonts w:hint="eastAsia" w:ascii="Times New Roman" w:hAnsi="Times New Roman"/>
                <w:b/>
                <w:bCs/>
                <w:sz w:val="24"/>
                <w:szCs w:val="22"/>
                <w:highlight w:val="none"/>
                <w:lang w:eastAsia="zh-CN"/>
              </w:rPr>
              <w:t>安徽省芜湖市镜湖区长江中路49号</w:t>
            </w:r>
            <w:r>
              <w:rPr>
                <w:rFonts w:ascii="Times New Roman" w:hAnsi="Times New Roman"/>
                <w:b/>
                <w:bCs/>
                <w:sz w:val="24"/>
                <w:szCs w:val="22"/>
                <w:highlight w:val="none"/>
              </w:rPr>
              <w:t>，芜湖市属于长江经济带126个地级及以上城市之一，项目实施总量控制制度，</w:t>
            </w:r>
            <w:r>
              <w:rPr>
                <w:rFonts w:hint="eastAsia" w:ascii="Times New Roman" w:hAnsi="Times New Roman"/>
                <w:b/>
                <w:bCs/>
                <w:sz w:val="24"/>
                <w:szCs w:val="22"/>
                <w:highlight w:val="none"/>
                <w:lang w:val="en-US" w:eastAsia="zh-CN"/>
              </w:rPr>
              <w:t>技改项目有效减少了颗粒物排放量</w:t>
            </w:r>
            <w:r>
              <w:rPr>
                <w:rFonts w:ascii="Times New Roman" w:hAnsi="Times New Roman"/>
                <w:b/>
                <w:bCs/>
                <w:sz w:val="24"/>
                <w:szCs w:val="22"/>
                <w:highlight w:val="none"/>
              </w:rPr>
              <w:t>。项目用地不涉及长江干流自然保护区、风景名胜区、“四大家鱼”产卵场等管控重点区。</w:t>
            </w:r>
          </w:p>
          <w:p>
            <w:pPr>
              <w:spacing w:line="360" w:lineRule="auto"/>
              <w:ind w:firstLine="482" w:firstLineChars="200"/>
              <w:rPr>
                <w:rFonts w:ascii="Times New Roman" w:hAnsi="Times New Roman"/>
                <w:b/>
                <w:sz w:val="24"/>
                <w:szCs w:val="24"/>
                <w:highlight w:val="none"/>
              </w:rPr>
            </w:pPr>
            <w:r>
              <w:rPr>
                <w:rFonts w:ascii="Times New Roman" w:hAnsi="Times New Roman"/>
                <w:b/>
                <w:sz w:val="24"/>
                <w:szCs w:val="24"/>
                <w:highlight w:val="none"/>
              </w:rPr>
              <w:t>1</w:t>
            </w:r>
            <w:r>
              <w:rPr>
                <w:rFonts w:hint="eastAsia" w:ascii="Times New Roman" w:hAnsi="Times New Roman"/>
                <w:b/>
                <w:sz w:val="24"/>
                <w:szCs w:val="24"/>
                <w:highlight w:val="none"/>
                <w:lang w:val="en-US" w:eastAsia="zh-CN"/>
              </w:rPr>
              <w:t>1</w:t>
            </w:r>
            <w:r>
              <w:rPr>
                <w:rFonts w:ascii="Times New Roman" w:hAnsi="Times New Roman"/>
                <w:b/>
                <w:sz w:val="24"/>
                <w:szCs w:val="24"/>
                <w:highlight w:val="none"/>
              </w:rPr>
              <w:t>、项目“三线一单”符合性分析</w:t>
            </w:r>
          </w:p>
          <w:p>
            <w:pPr>
              <w:pStyle w:val="14"/>
              <w:spacing w:after="0" w:line="360" w:lineRule="auto"/>
              <w:ind w:left="0" w:leftChars="0" w:firstLine="480" w:firstLineChars="200"/>
              <w:rPr>
                <w:rFonts w:ascii="Times New Roman" w:hAnsi="Times New Roman"/>
                <w:sz w:val="24"/>
                <w:szCs w:val="22"/>
                <w:highlight w:val="none"/>
              </w:rPr>
            </w:pPr>
            <w:r>
              <w:rPr>
                <w:rFonts w:ascii="Times New Roman" w:hAnsi="Times New Roman"/>
                <w:sz w:val="24"/>
                <w:szCs w:val="22"/>
                <w:highlight w:val="none"/>
              </w:rPr>
              <w:t>根据环境保护部2016年10月27日下发的《关于以改善环境质量为核心加强环境影响评价管理的通知》( 环环评[2016]150号)要求，切实加强环境影响评价管理，落实“生态保护红线、环境质量底线、资源利用上线和环境准入负面清单”约束，建立项目环评审批与规划环评、现有项目环境管理、区域环境质量联动机制，更好地发挥环评制度从源头防范环境污染和生态破坏的作用，加快推进改善环境质量。本项目的“三线一单”符合性分析如下:</w:t>
            </w: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szCs w:val="24"/>
                <w:highlight w:val="none"/>
              </w:rPr>
            </w:pPr>
          </w:p>
          <w:p>
            <w:pPr>
              <w:spacing w:line="360" w:lineRule="auto"/>
              <w:ind w:firstLine="482" w:firstLineChars="200"/>
              <w:jc w:val="center"/>
              <w:rPr>
                <w:rFonts w:ascii="Times New Roman" w:hAnsi="Times New Roman"/>
                <w:b/>
                <w:sz w:val="24"/>
                <w:highlight w:val="none"/>
              </w:rPr>
            </w:pPr>
            <w:r>
              <w:rPr>
                <w:rFonts w:ascii="Times New Roman" w:hAnsi="Times New Roman"/>
                <w:b/>
                <w:sz w:val="24"/>
                <w:szCs w:val="24"/>
                <w:highlight w:val="none"/>
              </w:rPr>
              <w:t>表1-</w:t>
            </w:r>
            <w:r>
              <w:rPr>
                <w:rFonts w:hint="eastAsia" w:ascii="Times New Roman" w:hAnsi="Times New Roman"/>
                <w:b/>
                <w:sz w:val="24"/>
                <w:szCs w:val="24"/>
                <w:highlight w:val="none"/>
                <w:lang w:val="en-US" w:eastAsia="zh-CN"/>
              </w:rPr>
              <w:t>8</w:t>
            </w:r>
            <w:r>
              <w:rPr>
                <w:rFonts w:ascii="Times New Roman" w:hAnsi="Times New Roman"/>
                <w:b/>
                <w:sz w:val="24"/>
                <w:szCs w:val="24"/>
                <w:highlight w:val="none"/>
              </w:rPr>
              <w:t xml:space="preserve">  “三线一单”符合性分析</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1"/>
              <w:gridCol w:w="6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61" w:type="dxa"/>
                  <w:noWrap w:val="0"/>
                  <w:vAlign w:val="center"/>
                </w:tcPr>
                <w:p>
                  <w:pPr>
                    <w:jc w:val="center"/>
                    <w:rPr>
                      <w:rFonts w:ascii="Times New Roman" w:hAnsi="Times New Roman"/>
                      <w:szCs w:val="21"/>
                      <w:highlight w:val="none"/>
                    </w:rPr>
                  </w:pPr>
                  <w:r>
                    <w:rPr>
                      <w:rFonts w:ascii="Times New Roman" w:hAnsi="Times New Roman"/>
                      <w:szCs w:val="21"/>
                      <w:highlight w:val="none"/>
                    </w:rPr>
                    <w:t>内容</w:t>
                  </w:r>
                </w:p>
              </w:tc>
              <w:tc>
                <w:tcPr>
                  <w:tcW w:w="6083" w:type="dxa"/>
                  <w:noWrap w:val="0"/>
                  <w:vAlign w:val="center"/>
                </w:tcPr>
                <w:p>
                  <w:pPr>
                    <w:jc w:val="center"/>
                    <w:rPr>
                      <w:rFonts w:ascii="Times New Roman" w:hAnsi="Times New Roman"/>
                      <w:szCs w:val="21"/>
                      <w:highlight w:val="none"/>
                    </w:rPr>
                  </w:pPr>
                  <w:r>
                    <w:rPr>
                      <w:rFonts w:ascii="Times New Roman" w:hAnsi="Times New Roman"/>
                      <w:szCs w:val="21"/>
                      <w:highlight w:val="none"/>
                    </w:rPr>
                    <w:t>符合性分析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761" w:type="dxa"/>
                  <w:noWrap w:val="0"/>
                  <w:vAlign w:val="center"/>
                </w:tcPr>
                <w:p>
                  <w:pPr>
                    <w:jc w:val="center"/>
                    <w:rPr>
                      <w:rFonts w:ascii="Times New Roman" w:hAnsi="Times New Roman"/>
                      <w:szCs w:val="21"/>
                      <w:highlight w:val="none"/>
                    </w:rPr>
                  </w:pPr>
                  <w:r>
                    <w:rPr>
                      <w:rFonts w:ascii="Times New Roman" w:hAnsi="Times New Roman"/>
                      <w:szCs w:val="21"/>
                      <w:highlight w:val="none"/>
                    </w:rPr>
                    <w:t>生态保护红线</w:t>
                  </w:r>
                </w:p>
              </w:tc>
              <w:tc>
                <w:tcPr>
                  <w:tcW w:w="6083" w:type="dxa"/>
                  <w:noWrap w:val="0"/>
                  <w:vAlign w:val="center"/>
                </w:tcPr>
                <w:p>
                  <w:pPr>
                    <w:rPr>
                      <w:rFonts w:ascii="Times New Roman" w:hAnsi="Times New Roman"/>
                      <w:szCs w:val="21"/>
                      <w:highlight w:val="none"/>
                    </w:rPr>
                  </w:pPr>
                  <w:r>
                    <w:rPr>
                      <w:rFonts w:ascii="Times New Roman" w:hAnsi="Times New Roman"/>
                      <w:szCs w:val="21"/>
                      <w:highlight w:val="none"/>
                    </w:rPr>
                    <w:t>2018年6月27日，安徽省人民政府发布了《安徽省生态保护红线》（皖政秘【2018】120号），安徽省内的国家级和省级禁止开发区域包括国家公园、自然保护区、森林公园的生态保育区和核心景观区、风景名胜区的核心景区、地质公园的地质遗迹保护区、世界自然遗产的核心区和缓冲区、湿地公园的湿地保育区和恢复重建区、饮用水水源地的一级保护区、水产种质资源保护区的核心区、其他类型禁止开发区的核心保护区域。</w:t>
                  </w:r>
                </w:p>
                <w:p>
                  <w:pPr>
                    <w:rPr>
                      <w:rFonts w:ascii="Times New Roman" w:hAnsi="Times New Roman"/>
                      <w:szCs w:val="21"/>
                      <w:highlight w:val="none"/>
                    </w:rPr>
                  </w:pPr>
                  <w:r>
                    <w:rPr>
                      <w:rFonts w:ascii="Times New Roman" w:hAnsi="Times New Roman"/>
                      <w:szCs w:val="21"/>
                      <w:highlight w:val="none"/>
                    </w:rPr>
                    <w:t>本项目位于</w:t>
                  </w:r>
                  <w:r>
                    <w:rPr>
                      <w:rFonts w:hint="eastAsia" w:ascii="Times New Roman" w:hAnsi="Times New Roman"/>
                      <w:szCs w:val="21"/>
                      <w:highlight w:val="none"/>
                      <w:lang w:eastAsia="zh-CN"/>
                    </w:rPr>
                    <w:t>安徽省芜湖市镜湖区长江中路49号</w:t>
                  </w:r>
                  <w:r>
                    <w:rPr>
                      <w:rFonts w:ascii="Times New Roman" w:hAnsi="Times New Roman"/>
                      <w:szCs w:val="21"/>
                      <w:highlight w:val="none"/>
                    </w:rPr>
                    <w:t>，项目影响范围内无国家级和省级禁止开发区域，项目建设与安徽省生态红线区域保护规划是相符的。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61" w:type="dxa"/>
                  <w:noWrap w:val="0"/>
                  <w:vAlign w:val="center"/>
                </w:tcPr>
                <w:p>
                  <w:pPr>
                    <w:jc w:val="center"/>
                    <w:rPr>
                      <w:rFonts w:ascii="Times New Roman" w:hAnsi="Times New Roman"/>
                      <w:szCs w:val="21"/>
                      <w:highlight w:val="none"/>
                    </w:rPr>
                  </w:pPr>
                  <w:r>
                    <w:rPr>
                      <w:rFonts w:ascii="Times New Roman" w:hAnsi="Times New Roman"/>
                      <w:szCs w:val="21"/>
                      <w:highlight w:val="none"/>
                    </w:rPr>
                    <w:t>资源利用上线</w:t>
                  </w:r>
                </w:p>
              </w:tc>
              <w:tc>
                <w:tcPr>
                  <w:tcW w:w="6083" w:type="dxa"/>
                  <w:noWrap w:val="0"/>
                  <w:vAlign w:val="center"/>
                </w:tcPr>
                <w:p>
                  <w:pPr>
                    <w:rPr>
                      <w:rFonts w:ascii="Times New Roman" w:hAnsi="Times New Roman"/>
                      <w:szCs w:val="21"/>
                      <w:highlight w:val="none"/>
                    </w:rPr>
                  </w:pPr>
                  <w:r>
                    <w:rPr>
                      <w:rFonts w:ascii="Times New Roman" w:hAnsi="Times New Roman"/>
                      <w:szCs w:val="21"/>
                      <w:highlight w:val="none"/>
                    </w:rPr>
                    <w:t>本项目</w:t>
                  </w:r>
                  <w:r>
                    <w:rPr>
                      <w:rFonts w:hint="eastAsia" w:ascii="Times New Roman" w:hAnsi="Times New Roman"/>
                      <w:szCs w:val="21"/>
                      <w:highlight w:val="none"/>
                      <w:lang w:val="en-US" w:eastAsia="zh-CN"/>
                    </w:rPr>
                    <w:t>施工</w:t>
                  </w:r>
                  <w:r>
                    <w:rPr>
                      <w:rFonts w:ascii="Times New Roman" w:hAnsi="Times New Roman"/>
                      <w:szCs w:val="21"/>
                      <w:highlight w:val="none"/>
                    </w:rPr>
                    <w:t>过程中消耗一定量的电源、水资源等资源，</w:t>
                  </w:r>
                  <w:r>
                    <w:rPr>
                      <w:rFonts w:hint="eastAsia" w:ascii="Times New Roman" w:hAnsi="Times New Roman"/>
                      <w:szCs w:val="21"/>
                      <w:highlight w:val="none"/>
                      <w:lang w:val="en-US" w:eastAsia="zh-CN"/>
                    </w:rPr>
                    <w:t>项目</w:t>
                  </w:r>
                  <w:r>
                    <w:rPr>
                      <w:rFonts w:ascii="Times New Roman" w:hAnsi="Times New Roman"/>
                      <w:szCs w:val="21"/>
                      <w:highlight w:val="none"/>
                    </w:rPr>
                    <w:t>所在地水资源利用源充足，本项目</w:t>
                  </w:r>
                  <w:r>
                    <w:rPr>
                      <w:rFonts w:hint="eastAsia" w:ascii="Times New Roman" w:hAnsi="Times New Roman"/>
                      <w:szCs w:val="21"/>
                      <w:highlight w:val="none"/>
                      <w:lang w:val="en-US" w:eastAsia="zh-CN"/>
                    </w:rPr>
                    <w:t>施工、</w:t>
                  </w:r>
                  <w:r>
                    <w:rPr>
                      <w:rFonts w:ascii="Times New Roman" w:hAnsi="Times New Roman"/>
                      <w:szCs w:val="21"/>
                      <w:highlight w:val="none"/>
                    </w:rPr>
                    <w:t>生活用水来自自来水，用水量较少；能源主要依托当地电网上线供电。因此，项目资源利用满足要求。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761"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环境质量底线</w:t>
                  </w:r>
                </w:p>
              </w:tc>
              <w:tc>
                <w:tcPr>
                  <w:tcW w:w="6083" w:type="dxa"/>
                  <w:noWrap w:val="0"/>
                  <w:vAlign w:val="center"/>
                </w:tcPr>
                <w:p>
                  <w:pPr>
                    <w:rPr>
                      <w:rFonts w:ascii="Times New Roman" w:hAnsi="Times New Roman"/>
                      <w:color w:val="000000"/>
                      <w:szCs w:val="21"/>
                      <w:highlight w:val="none"/>
                    </w:rPr>
                  </w:pPr>
                  <w:r>
                    <w:rPr>
                      <w:rFonts w:ascii="Times New Roman" w:hAnsi="Times New Roman"/>
                      <w:color w:val="000000"/>
                      <w:szCs w:val="21"/>
                      <w:highlight w:val="none"/>
                    </w:rPr>
                    <w:t>项目所在地区域环境空气质量</w:t>
                  </w:r>
                  <w:r>
                    <w:rPr>
                      <w:rFonts w:hint="eastAsia" w:ascii="Times New Roman" w:hAnsi="Times New Roman"/>
                      <w:color w:val="000000"/>
                      <w:szCs w:val="21"/>
                      <w:highlight w:val="none"/>
                      <w:lang w:val="en-US" w:eastAsia="zh-CN"/>
                    </w:rPr>
                    <w:t>不符合</w:t>
                  </w:r>
                  <w:r>
                    <w:rPr>
                      <w:rFonts w:ascii="Times New Roman" w:hAnsi="Times New Roman"/>
                      <w:color w:val="000000"/>
                      <w:szCs w:val="21"/>
                      <w:highlight w:val="none"/>
                    </w:rPr>
                    <w:t>《环境空气质量标准》( GB3095-2012)二级标准要求；</w:t>
                  </w:r>
                </w:p>
                <w:p>
                  <w:pPr>
                    <w:rPr>
                      <w:rFonts w:ascii="Times New Roman" w:hAnsi="Times New Roman"/>
                      <w:color w:val="000000"/>
                      <w:szCs w:val="21"/>
                      <w:highlight w:val="none"/>
                    </w:rPr>
                  </w:pPr>
                  <w:r>
                    <w:rPr>
                      <w:rFonts w:ascii="Times New Roman" w:hAnsi="Times New Roman"/>
                      <w:color w:val="000000"/>
                      <w:szCs w:val="21"/>
                      <w:highlight w:val="none"/>
                    </w:rPr>
                    <w:t>区域环境噪声达到《声环境质量标准》（GB3096-2008）</w:t>
                  </w:r>
                  <w:r>
                    <w:rPr>
                      <w:rFonts w:hint="eastAsia" w:ascii="Times New Roman" w:hAnsi="Times New Roman"/>
                      <w:color w:val="000000"/>
                      <w:szCs w:val="21"/>
                      <w:highlight w:val="none"/>
                      <w:lang w:val="en-US" w:eastAsia="zh-CN"/>
                    </w:rPr>
                    <w:t>2</w:t>
                  </w:r>
                  <w:r>
                    <w:rPr>
                      <w:rFonts w:ascii="Times New Roman" w:hAnsi="Times New Roman"/>
                      <w:color w:val="000000"/>
                      <w:szCs w:val="21"/>
                      <w:highlight w:val="none"/>
                    </w:rPr>
                    <w:t>类标准。地表水长江可以满足环境质量《地表水环境质量标准》( GB3838-2002)中的Ⅲ类标准要求。</w:t>
                  </w:r>
                </w:p>
                <w:p>
                  <w:pPr>
                    <w:rPr>
                      <w:rFonts w:ascii="Times New Roman" w:hAnsi="Times New Roman"/>
                      <w:color w:val="000000"/>
                      <w:szCs w:val="21"/>
                      <w:highlight w:val="none"/>
                    </w:rPr>
                  </w:pPr>
                  <w:r>
                    <w:rPr>
                      <w:rFonts w:ascii="Times New Roman" w:hAnsi="Times New Roman"/>
                      <w:color w:val="000000"/>
                      <w:szCs w:val="21"/>
                      <w:highlight w:val="none"/>
                    </w:rPr>
                    <w:t>本项目</w:t>
                  </w:r>
                  <w:r>
                    <w:rPr>
                      <w:rFonts w:hint="eastAsia" w:ascii="Times New Roman" w:hAnsi="Times New Roman"/>
                      <w:color w:val="000000"/>
                      <w:szCs w:val="21"/>
                      <w:highlight w:val="none"/>
                      <w:lang w:val="en-US" w:eastAsia="zh-CN"/>
                    </w:rPr>
                    <w:t>废气、废水</w:t>
                  </w:r>
                  <w:r>
                    <w:rPr>
                      <w:rFonts w:ascii="Times New Roman" w:hAnsi="Times New Roman"/>
                      <w:color w:val="000000"/>
                      <w:szCs w:val="21"/>
                      <w:highlight w:val="none"/>
                    </w:rPr>
                    <w:t>均得到合理处置，对区域环境影响较小</w:t>
                  </w:r>
                  <w:r>
                    <w:rPr>
                      <w:rFonts w:hint="eastAsia" w:ascii="Times New Roman" w:hAnsi="Times New Roman"/>
                      <w:color w:val="000000"/>
                      <w:szCs w:val="21"/>
                      <w:highlight w:val="none"/>
                      <w:lang w:eastAsia="zh-CN"/>
                    </w:rPr>
                    <w:t>；</w:t>
                  </w:r>
                  <w:r>
                    <w:rPr>
                      <w:rFonts w:ascii="Times New Roman" w:hAnsi="Times New Roman"/>
                      <w:color w:val="000000"/>
                      <w:szCs w:val="21"/>
                      <w:highlight w:val="none"/>
                    </w:rPr>
                    <w:t>本项目噪声经减振、隔声等措施后，</w:t>
                  </w:r>
                  <w:r>
                    <w:rPr>
                      <w:rFonts w:hint="eastAsia" w:ascii="Times New Roman" w:hAnsi="Times New Roman"/>
                      <w:color w:val="000000"/>
                      <w:szCs w:val="21"/>
                      <w:highlight w:val="none"/>
                      <w:lang w:val="en-US" w:eastAsia="zh-CN"/>
                    </w:rPr>
                    <w:t>施工期</w:t>
                  </w:r>
                  <w:r>
                    <w:rPr>
                      <w:rFonts w:ascii="Times New Roman" w:hAnsi="Times New Roman"/>
                      <w:color w:val="000000"/>
                      <w:szCs w:val="21"/>
                      <w:highlight w:val="none"/>
                    </w:rPr>
                    <w:t>厂界噪声排放可满足</w:t>
                  </w:r>
                  <w:r>
                    <w:rPr>
                      <w:rFonts w:hint="eastAsia" w:ascii="Times New Roman" w:hAnsi="Times New Roman"/>
                      <w:color w:val="000000"/>
                      <w:szCs w:val="21"/>
                      <w:highlight w:val="none"/>
                    </w:rPr>
                    <w:t>《建筑施工场界环境噪声排放标准》（GB12523-2011）所规定的噪声限值</w:t>
                  </w:r>
                  <w:r>
                    <w:rPr>
                      <w:rFonts w:ascii="Times New Roman" w:hAnsi="Times New Roman"/>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61" w:type="dxa"/>
                  <w:noWrap w:val="0"/>
                  <w:vAlign w:val="center"/>
                </w:tcPr>
                <w:p>
                  <w:pPr>
                    <w:jc w:val="center"/>
                    <w:rPr>
                      <w:rFonts w:ascii="Times New Roman" w:hAnsi="Times New Roman"/>
                      <w:szCs w:val="21"/>
                      <w:highlight w:val="none"/>
                    </w:rPr>
                  </w:pPr>
                  <w:r>
                    <w:rPr>
                      <w:rFonts w:ascii="Times New Roman" w:hAnsi="Times New Roman"/>
                      <w:szCs w:val="21"/>
                      <w:highlight w:val="none"/>
                    </w:rPr>
                    <w:t>负面清单</w:t>
                  </w:r>
                </w:p>
              </w:tc>
              <w:tc>
                <w:tcPr>
                  <w:tcW w:w="6083" w:type="dxa"/>
                  <w:noWrap w:val="0"/>
                  <w:vAlign w:val="center"/>
                </w:tcPr>
                <w:p>
                  <w:pPr>
                    <w:rPr>
                      <w:rFonts w:hint="eastAsia" w:ascii="Times New Roman" w:hAnsi="Times New Roman" w:eastAsia="宋体"/>
                      <w:szCs w:val="21"/>
                      <w:highlight w:val="none"/>
                      <w:lang w:eastAsia="zh-CN"/>
                    </w:rPr>
                  </w:pPr>
                  <w:r>
                    <w:rPr>
                      <w:rFonts w:ascii="Times New Roman" w:hAnsi="Times New Roman"/>
                      <w:szCs w:val="21"/>
                      <w:highlight w:val="none"/>
                    </w:rPr>
                    <w:t>本项目位于</w:t>
                  </w:r>
                  <w:r>
                    <w:rPr>
                      <w:rFonts w:hint="eastAsia" w:ascii="Times New Roman" w:hAnsi="Times New Roman"/>
                      <w:szCs w:val="21"/>
                      <w:highlight w:val="none"/>
                      <w:lang w:eastAsia="zh-CN"/>
                    </w:rPr>
                    <w:t>安徽省芜湖市镜湖区长江中路49号</w:t>
                  </w:r>
                  <w:r>
                    <w:rPr>
                      <w:rFonts w:ascii="Times New Roman" w:hAnsi="Times New Roman"/>
                      <w:szCs w:val="21"/>
                      <w:highlight w:val="none"/>
                    </w:rPr>
                    <w:t>，</w:t>
                  </w:r>
                  <w:r>
                    <w:rPr>
                      <w:rFonts w:hint="eastAsia" w:ascii="Times New Roman" w:hAnsi="Times New Roman"/>
                      <w:szCs w:val="21"/>
                      <w:highlight w:val="none"/>
                      <w:lang w:val="en-US" w:eastAsia="zh-CN"/>
                    </w:rPr>
                    <w:t>本</w:t>
                  </w:r>
                  <w:r>
                    <w:rPr>
                      <w:rFonts w:ascii="Times New Roman" w:hAnsi="Times New Roman"/>
                      <w:szCs w:val="21"/>
                      <w:highlight w:val="none"/>
                    </w:rPr>
                    <w:t>项目</w:t>
                  </w:r>
                  <w:r>
                    <w:rPr>
                      <w:rFonts w:hint="eastAsia" w:ascii="Times New Roman" w:hAnsi="Times New Roman"/>
                      <w:szCs w:val="21"/>
                      <w:highlight w:val="none"/>
                      <w:lang w:val="en-US" w:eastAsia="zh-CN"/>
                    </w:rPr>
                    <w:t>不在选址</w:t>
                  </w:r>
                  <w:r>
                    <w:rPr>
                      <w:rFonts w:ascii="Times New Roman" w:hAnsi="Times New Roman"/>
                      <w:szCs w:val="21"/>
                      <w:highlight w:val="none"/>
                    </w:rPr>
                    <w:t>区</w:t>
                  </w:r>
                  <w:r>
                    <w:rPr>
                      <w:rFonts w:hint="eastAsia" w:ascii="Times New Roman" w:hAnsi="Times New Roman"/>
                      <w:szCs w:val="21"/>
                      <w:highlight w:val="none"/>
                      <w:lang w:val="en-US" w:eastAsia="zh-CN"/>
                    </w:rPr>
                    <w:t>设置</w:t>
                  </w:r>
                  <w:r>
                    <w:rPr>
                      <w:rFonts w:ascii="Times New Roman" w:hAnsi="Times New Roman"/>
                      <w:szCs w:val="21"/>
                      <w:highlight w:val="none"/>
                    </w:rPr>
                    <w:t>的环境准入负面清单</w:t>
                  </w:r>
                  <w:r>
                    <w:rPr>
                      <w:rFonts w:hint="eastAsia" w:ascii="Times New Roman" w:hAnsi="Times New Roman"/>
                      <w:szCs w:val="21"/>
                      <w:highlight w:val="none"/>
                      <w:lang w:val="en-US" w:eastAsia="zh-CN"/>
                    </w:rPr>
                    <w:t>内</w:t>
                  </w:r>
                  <w:r>
                    <w:rPr>
                      <w:rFonts w:hint="eastAsia" w:ascii="Times New Roman" w:hAnsi="Times New Roman"/>
                      <w:szCs w:val="21"/>
                      <w:highlight w:val="none"/>
                      <w:lang w:eastAsia="zh-CN"/>
                    </w:rPr>
                    <w:t>。</w:t>
                  </w:r>
                </w:p>
              </w:tc>
            </w:tr>
          </w:tbl>
          <w:p>
            <w:pPr>
              <w:rPr>
                <w:rFonts w:ascii="Times New Roman" w:hAnsi="Times New Roman"/>
                <w:b/>
                <w:color w:val="FF0000"/>
                <w:sz w:val="24"/>
                <w:szCs w:val="24"/>
                <w:highlight w:val="none"/>
              </w:rPr>
            </w:pPr>
          </w:p>
          <w:p>
            <w:pPr>
              <w:pStyle w:val="36"/>
              <w:jc w:val="both"/>
              <w:rPr>
                <w:rFonts w:ascii="Times New Roman" w:hAnsi="Times New Roman"/>
                <w:b/>
                <w:color w:val="FF0000"/>
                <w:sz w:val="24"/>
                <w:szCs w:val="24"/>
                <w:highlight w:val="none"/>
              </w:rPr>
            </w:pPr>
          </w:p>
          <w:p>
            <w:pPr>
              <w:pStyle w:val="36"/>
              <w:jc w:val="both"/>
              <w:rPr>
                <w:rFonts w:ascii="Times New Roman" w:hAnsi="Times New Roman"/>
                <w:b/>
                <w:color w:val="FF0000"/>
                <w:sz w:val="24"/>
                <w:szCs w:val="24"/>
                <w:highlight w:val="none"/>
              </w:rPr>
            </w:pPr>
          </w:p>
          <w:p>
            <w:pPr>
              <w:pStyle w:val="15"/>
              <w:rPr>
                <w:rFonts w:ascii="Times New Roman" w:hAnsi="Times New Roman"/>
                <w:b/>
                <w:color w:val="FF0000"/>
                <w:sz w:val="24"/>
                <w:szCs w:val="24"/>
                <w:highlight w:val="none"/>
              </w:rPr>
            </w:pPr>
          </w:p>
          <w:p>
            <w:pPr>
              <w:rPr>
                <w:rFonts w:ascii="Times New Roman" w:hAnsi="Times New Roman"/>
                <w:b/>
                <w:color w:val="FF0000"/>
                <w:sz w:val="24"/>
                <w:szCs w:val="24"/>
                <w:highlight w:val="none"/>
              </w:rPr>
            </w:pPr>
          </w:p>
          <w:p>
            <w:pPr>
              <w:pStyle w:val="144"/>
              <w:rPr>
                <w:rFonts w:ascii="Times New Roman" w:hAnsi="Times New Roman"/>
                <w:b/>
                <w:color w:val="FF0000"/>
                <w:sz w:val="24"/>
                <w:szCs w:val="24"/>
                <w:highlight w:val="none"/>
              </w:rPr>
            </w:pPr>
          </w:p>
          <w:p>
            <w:pPr>
              <w:pStyle w:val="144"/>
              <w:rPr>
                <w:rFonts w:ascii="Times New Roman" w:hAnsi="Times New Roman"/>
                <w:b/>
                <w:color w:val="FF0000"/>
                <w:sz w:val="24"/>
                <w:szCs w:val="24"/>
                <w:highlight w:val="none"/>
              </w:rPr>
            </w:pPr>
          </w:p>
          <w:p>
            <w:pPr>
              <w:pStyle w:val="144"/>
              <w:rPr>
                <w:rFonts w:ascii="Times New Roman" w:hAnsi="Times New Roman"/>
                <w:b/>
                <w:color w:val="FF0000"/>
                <w:sz w:val="24"/>
                <w:szCs w:val="24"/>
                <w:highlight w:val="none"/>
              </w:rPr>
            </w:pPr>
          </w:p>
          <w:p>
            <w:pPr>
              <w:pStyle w:val="144"/>
              <w:rPr>
                <w:rFonts w:ascii="Times New Roman" w:hAnsi="Times New Roman"/>
                <w:b/>
                <w:color w:val="FF0000"/>
                <w:sz w:val="24"/>
                <w:szCs w:val="24"/>
                <w:highlight w:val="none"/>
              </w:rPr>
            </w:pPr>
          </w:p>
          <w:p>
            <w:pPr>
              <w:pStyle w:val="144"/>
              <w:rPr>
                <w:rFonts w:ascii="Times New Roman" w:hAnsi="Times New Roman"/>
                <w:b/>
                <w:color w:val="FF0000"/>
                <w:sz w:val="24"/>
                <w:szCs w:val="24"/>
                <w:highlight w:val="none"/>
              </w:rPr>
            </w:pPr>
          </w:p>
          <w:p>
            <w:pPr>
              <w:pStyle w:val="144"/>
              <w:rPr>
                <w:rFonts w:ascii="Times New Roman" w:hAnsi="Times New Roman"/>
                <w:b/>
                <w:color w:val="FF0000"/>
                <w:sz w:val="24"/>
                <w:szCs w:val="24"/>
                <w:highlight w:val="none"/>
              </w:rPr>
            </w:pPr>
          </w:p>
          <w:p>
            <w:pPr>
              <w:pStyle w:val="144"/>
              <w:rPr>
                <w:rFonts w:ascii="Times New Roman" w:hAnsi="Times New Roman"/>
                <w:b/>
                <w:color w:val="FF0000"/>
                <w:sz w:val="24"/>
                <w:szCs w:val="24"/>
                <w:highlight w:val="none"/>
              </w:rPr>
            </w:pPr>
          </w:p>
          <w:p>
            <w:pPr>
              <w:pStyle w:val="144"/>
              <w:rPr>
                <w:rFonts w:ascii="Times New Roman" w:hAnsi="Times New Roman"/>
                <w:b/>
                <w:color w:val="FF0000"/>
                <w:sz w:val="24"/>
                <w:szCs w:val="24"/>
                <w:highlight w:val="none"/>
              </w:rPr>
            </w:pPr>
          </w:p>
          <w:p>
            <w:pPr>
              <w:pStyle w:val="144"/>
              <w:rPr>
                <w:rFonts w:ascii="Times New Roman" w:hAnsi="Times New Roman"/>
                <w:b/>
                <w:color w:val="FF0000"/>
                <w:sz w:val="24"/>
                <w:szCs w:val="24"/>
                <w:highlight w:val="none"/>
              </w:rPr>
            </w:pPr>
          </w:p>
          <w:p>
            <w:pPr>
              <w:pStyle w:val="36"/>
              <w:jc w:val="both"/>
              <w:rPr>
                <w:rFonts w:ascii="Times New Roman" w:hAnsi="Times New Roman"/>
                <w:b/>
                <w:color w:val="FF0000"/>
                <w:sz w:val="24"/>
                <w:szCs w:val="24"/>
                <w:highlight w:val="none"/>
              </w:rPr>
            </w:pPr>
          </w:p>
          <w:p>
            <w:pPr>
              <w:pStyle w:val="14"/>
              <w:spacing w:after="0" w:line="360" w:lineRule="auto"/>
              <w:ind w:left="0" w:leftChars="0"/>
              <w:rPr>
                <w:rFonts w:ascii="Times New Roman" w:hAnsi="Times New Roman"/>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1" w:hRule="atLeast"/>
          <w:jc w:val="center"/>
        </w:trPr>
        <w:tc>
          <w:tcPr>
            <w:tcW w:w="9242" w:type="dxa"/>
            <w:gridSpan w:val="6"/>
            <w:tcBorders>
              <w:top w:val="single" w:color="auto" w:sz="4" w:space="0"/>
            </w:tcBorders>
            <w:noWrap w:val="0"/>
            <w:vAlign w:val="top"/>
          </w:tcPr>
          <w:p>
            <w:pPr>
              <w:spacing w:line="360" w:lineRule="auto"/>
              <w:rPr>
                <w:rFonts w:ascii="Times New Roman" w:hAnsi="Times New Roman"/>
                <w:b/>
                <w:color w:val="000000"/>
                <w:sz w:val="28"/>
                <w:szCs w:val="28"/>
                <w:highlight w:val="none"/>
              </w:rPr>
            </w:pPr>
            <w:r>
              <w:rPr>
                <w:rFonts w:ascii="Times New Roman" w:hAnsi="Times New Roman"/>
                <w:b/>
                <w:color w:val="000000"/>
                <w:sz w:val="28"/>
                <w:szCs w:val="28"/>
                <w:highlight w:val="none"/>
              </w:rPr>
              <w:t>与本项目有关的原有污染情况及主要环境问题：</w:t>
            </w:r>
          </w:p>
          <w:p>
            <w:pPr>
              <w:spacing w:line="360" w:lineRule="auto"/>
              <w:ind w:firstLine="470" w:firstLineChars="196"/>
              <w:rPr>
                <w:rFonts w:hint="eastAsia" w:ascii="Times New Roman" w:hAnsi="Times New Roman"/>
                <w:kern w:val="0"/>
                <w:sz w:val="24"/>
                <w:highlight w:val="none"/>
              </w:rPr>
            </w:pPr>
            <w:r>
              <w:rPr>
                <w:rFonts w:hint="eastAsia" w:ascii="Times New Roman" w:hAnsi="Times New Roman"/>
                <w:kern w:val="0"/>
                <w:sz w:val="24"/>
                <w:highlight w:val="none"/>
              </w:rPr>
              <w:t>芜湖造船厂原厂址地块（以下简称“造船厂”或“场地”）位于芜湖市镜湖区长江中路49号。场地最早为农业用地，1900年福记恒机器厂创办成立，从事机械加工与船舶维修。新中国成立后，1954年改名为国营芜湖造船厂，是国家“一五”计划，苏联援建的156项重点工程之一，此后一直从事船舶制造及相关机械制造。</w:t>
            </w:r>
          </w:p>
          <w:p>
            <w:pPr>
              <w:spacing w:line="360" w:lineRule="auto"/>
              <w:ind w:firstLine="470" w:firstLineChars="196"/>
              <w:rPr>
                <w:rFonts w:hint="eastAsia" w:ascii="Times New Roman" w:hAnsi="Times New Roman"/>
                <w:kern w:val="0"/>
                <w:sz w:val="24"/>
                <w:highlight w:val="none"/>
              </w:rPr>
            </w:pPr>
            <w:r>
              <w:rPr>
                <w:rFonts w:hint="eastAsia" w:ascii="Times New Roman" w:hAnsi="Times New Roman"/>
                <w:kern w:val="0"/>
                <w:sz w:val="24"/>
                <w:highlight w:val="none"/>
              </w:rPr>
              <w:t>随着芜湖城市发展以及城市功能定位的转型升级，位于城市中心区的厂区已被居民区所包围，企业的生存发展与城市发展相矛盾。2011年3月，根据芜湖城市发展、城市功能定位及《芜湖市国民经济和社会发展第十二个五年规划纲要》和《芜湖市城市总体规划（2012-2030年》所提出的战略定位和空间布局，2013年4月芜湖造船厂完成原厂址全面停产搬迁。</w:t>
            </w:r>
          </w:p>
          <w:p>
            <w:pPr>
              <w:spacing w:line="360" w:lineRule="auto"/>
              <w:ind w:firstLine="470" w:firstLineChars="196"/>
              <w:rPr>
                <w:rFonts w:hint="eastAsia" w:ascii="Times New Roman" w:hAnsi="Times New Roman"/>
                <w:kern w:val="0"/>
                <w:sz w:val="24"/>
                <w:highlight w:val="none"/>
              </w:rPr>
            </w:pPr>
            <w:r>
              <w:rPr>
                <w:rFonts w:hint="eastAsia" w:ascii="Times New Roman" w:hAnsi="Times New Roman"/>
                <w:kern w:val="0"/>
                <w:sz w:val="24"/>
                <w:highlight w:val="none"/>
              </w:rPr>
              <w:t>《关于将芜湖市造船厂地块打造成滨江总部经济园区暨现代服务业集聚区的议案》和安徽省人民政府《关于下达2017年重点项目投资计划的通知》皖政[2017〕41号等文件均提出，将该地块建立为长江航运大数据中心、长江航运业集聚中心，同时引入金融机构、区域结算中心、区域营销中心等经济项目及工业设计、创意设计等，全力建成产城一体化的芜湖市滨江总部经济园区暨现代服务业集聚区。未来该地块将作为居住、商务服务设施用地。</w:t>
            </w:r>
          </w:p>
          <w:p>
            <w:pPr>
              <w:spacing w:line="360" w:lineRule="auto"/>
              <w:ind w:firstLine="470" w:firstLineChars="196"/>
              <w:rPr>
                <w:rFonts w:hint="eastAsia" w:ascii="Times New Roman" w:hAnsi="Times New Roman"/>
                <w:kern w:val="0"/>
                <w:sz w:val="24"/>
                <w:highlight w:val="none"/>
              </w:rPr>
            </w:pPr>
            <w:r>
              <w:rPr>
                <w:rFonts w:hint="eastAsia" w:ascii="Times New Roman" w:hAnsi="Times New Roman"/>
                <w:kern w:val="0"/>
                <w:sz w:val="24"/>
                <w:highlight w:val="none"/>
              </w:rPr>
              <w:t>根据《关于保障工业企业场地再开发利用环境安全的通知》（环发[2012]140号）、《关于加强工业企业关停、搬迁及原址场地再开发利用过程中污染防治工作的通知》（环发[2014]66号）和《污染地块土壤环境管理办法》（部令第42号）等相关文件的规定与要求，工业用地原址在改变原土地使用性质，进行二次开发利用前必须进行场地环境调查评估，对原址土壤和地下水进行污染监测分析和评价，并对发现存在污染的场地制定修复治理方案，以保障人体健康、维护正常的生产建设活动，防止场地性质变化带来新的环境问题。</w:t>
            </w:r>
          </w:p>
          <w:p>
            <w:pPr>
              <w:spacing w:line="360" w:lineRule="auto"/>
              <w:ind w:firstLine="470" w:firstLineChars="196"/>
              <w:rPr>
                <w:rFonts w:hint="eastAsia" w:ascii="Times New Roman" w:hAnsi="Times New Roman"/>
                <w:kern w:val="0"/>
                <w:sz w:val="24"/>
                <w:highlight w:val="none"/>
              </w:rPr>
            </w:pPr>
            <w:r>
              <w:rPr>
                <w:rFonts w:hint="eastAsia" w:ascii="Times New Roman" w:hAnsi="Times New Roman"/>
                <w:kern w:val="0"/>
                <w:sz w:val="24"/>
                <w:highlight w:val="none"/>
              </w:rPr>
              <w:t>2018年9月，《芜湖市造船厂原厂址二期地块场地环境调查与风险评估报告》通过专家评审并取得原芜湖市环境保护局备案。</w:t>
            </w:r>
          </w:p>
          <w:p>
            <w:pPr>
              <w:spacing w:line="360" w:lineRule="auto"/>
              <w:ind w:firstLine="470" w:firstLineChars="196"/>
              <w:rPr>
                <w:rFonts w:hint="eastAsia" w:ascii="Times New Roman" w:hAnsi="Times New Roman" w:eastAsia="宋体"/>
                <w:kern w:val="0"/>
                <w:sz w:val="24"/>
                <w:highlight w:val="none"/>
                <w:lang w:eastAsia="zh-CN"/>
              </w:rPr>
            </w:pPr>
            <w:r>
              <w:rPr>
                <w:rFonts w:hint="eastAsia" w:ascii="Times New Roman" w:hAnsi="Times New Roman"/>
                <w:kern w:val="0"/>
                <w:sz w:val="24"/>
                <w:highlight w:val="none"/>
              </w:rPr>
              <w:t>根据二期场地调查和风险评估结果，土壤和地下水中均存在六价铬、总石油烃超过可接受风险水平，根据《土壤污染防治法》相关要求芜湖市造船厂原厂址二期地块需要开展场地治理修复工作</w:t>
            </w:r>
            <w:r>
              <w:rPr>
                <w:rFonts w:hint="eastAsia" w:ascii="Times New Roman" w:hAnsi="Times New Roman"/>
                <w:kern w:val="0"/>
                <w:sz w:val="24"/>
                <w:highlight w:val="none"/>
                <w:lang w:eastAsia="zh-CN"/>
              </w:rPr>
              <w:t>。</w:t>
            </w:r>
          </w:p>
          <w:p>
            <w:pPr>
              <w:spacing w:line="360" w:lineRule="auto"/>
              <w:ind w:firstLine="470" w:firstLineChars="196"/>
              <w:rPr>
                <w:rFonts w:hint="eastAsia" w:ascii="Times New Roman" w:hAnsi="Times New Roman"/>
                <w:kern w:val="0"/>
                <w:sz w:val="24"/>
                <w:highlight w:val="none"/>
              </w:rPr>
            </w:pPr>
            <w:r>
              <w:rPr>
                <w:rFonts w:hint="eastAsia" w:ascii="Times New Roman" w:hAnsi="Times New Roman"/>
                <w:kern w:val="0"/>
                <w:sz w:val="24"/>
                <w:highlight w:val="none"/>
              </w:rPr>
              <w:t>芜湖市镜湖区投资促进中心</w:t>
            </w:r>
            <w:r>
              <w:rPr>
                <w:rFonts w:hint="eastAsia" w:ascii="Times New Roman" w:hAnsi="Times New Roman"/>
                <w:kern w:val="0"/>
                <w:sz w:val="24"/>
                <w:highlight w:val="none"/>
                <w:lang w:val="en-US" w:eastAsia="zh-CN"/>
              </w:rPr>
              <w:t>于2020年7月委托</w:t>
            </w:r>
            <w:r>
              <w:rPr>
                <w:rFonts w:hint="eastAsia" w:ascii="Times New Roman" w:hAnsi="Times New Roman"/>
                <w:kern w:val="0"/>
                <w:sz w:val="24"/>
                <w:highlight w:val="none"/>
              </w:rPr>
              <w:t>南京大学环境规划设计研究院股份公司</w:t>
            </w:r>
            <w:r>
              <w:rPr>
                <w:rFonts w:hint="eastAsia" w:ascii="Times New Roman" w:hAnsi="Times New Roman"/>
                <w:kern w:val="0"/>
                <w:sz w:val="24"/>
                <w:highlight w:val="none"/>
                <w:lang w:val="en-US" w:eastAsia="zh-CN"/>
              </w:rPr>
              <w:t>编制了</w:t>
            </w:r>
            <w:r>
              <w:rPr>
                <w:rFonts w:hint="eastAsia" w:ascii="Times New Roman" w:hAnsi="Times New Roman"/>
                <w:kern w:val="0"/>
                <w:sz w:val="24"/>
                <w:highlight w:val="none"/>
              </w:rPr>
              <w:t>《芜湖市造船厂原厂址二期地块场地治理与修复技术方案》。</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lang w:val="en-US" w:eastAsia="zh-CN"/>
              </w:rPr>
              <w:t>1、</w:t>
            </w:r>
            <w:r>
              <w:rPr>
                <w:rFonts w:hint="eastAsia" w:ascii="Times New Roman" w:hAnsi="Times New Roman"/>
                <w:sz w:val="24"/>
                <w:highlight w:val="none"/>
              </w:rPr>
              <w:t>地理位置</w:t>
            </w:r>
          </w:p>
          <w:p>
            <w:pPr>
              <w:spacing w:line="360" w:lineRule="auto"/>
              <w:ind w:firstLine="480" w:firstLineChars="200"/>
              <w:rPr>
                <w:rFonts w:ascii="Times New Roman" w:hAnsi="Times New Roman"/>
                <w:sz w:val="24"/>
                <w:highlight w:val="none"/>
              </w:rPr>
            </w:pPr>
            <w:r>
              <w:rPr>
                <w:rFonts w:hint="eastAsia" w:ascii="Times New Roman" w:hAnsi="Times New Roman"/>
                <w:sz w:val="24"/>
                <w:highlight w:val="none"/>
              </w:rPr>
              <w:t>芜湖造船厂原厂址二期地块位于安徽省芜湖市长江中路49号，其西侧为世茂滨江花园，北侧为芜湖造船厂一期调查地块，南侧为中山北路，东侧为新工村。其中，北侧芜湖造船厂一期调查地块与二期接壤部分主要规划为商业服务用地。</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2</w:t>
            </w:r>
            <w:r>
              <w:rPr>
                <w:rFonts w:hint="eastAsia" w:ascii="Times New Roman" w:hAnsi="Times New Roman"/>
                <w:sz w:val="24"/>
                <w:highlight w:val="none"/>
                <w:lang w:eastAsia="zh-CN"/>
              </w:rPr>
              <w:t>、</w:t>
            </w:r>
            <w:r>
              <w:rPr>
                <w:rFonts w:hint="eastAsia" w:ascii="Times New Roman" w:hAnsi="Times New Roman"/>
                <w:sz w:val="24"/>
                <w:highlight w:val="none"/>
              </w:rPr>
              <w:t>场地基本情况</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lang w:eastAsia="zh-CN"/>
              </w:rPr>
              <w:t>（</w:t>
            </w:r>
            <w:r>
              <w:rPr>
                <w:rFonts w:hint="eastAsia" w:ascii="Times New Roman" w:hAnsi="Times New Roman"/>
                <w:sz w:val="24"/>
                <w:highlight w:val="none"/>
                <w:lang w:val="en-US" w:eastAsia="zh-CN"/>
              </w:rPr>
              <w:t>1</w:t>
            </w:r>
            <w:r>
              <w:rPr>
                <w:rFonts w:hint="eastAsia" w:ascii="Times New Roman" w:hAnsi="Times New Roman"/>
                <w:sz w:val="24"/>
                <w:highlight w:val="none"/>
                <w:lang w:eastAsia="zh-CN"/>
              </w:rPr>
              <w:t>）</w:t>
            </w:r>
            <w:r>
              <w:rPr>
                <w:rFonts w:hint="eastAsia" w:ascii="Times New Roman" w:hAnsi="Times New Roman"/>
                <w:sz w:val="24"/>
                <w:highlight w:val="none"/>
              </w:rPr>
              <w:t>企业生产历史</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芜湖造船厂原厂址地块使用历史回顾：</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1900年以前，芜湖造船厂原厂址地块为农用地或荒地；</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1900年，芜湖造船厂原厂址建设为福记恒机器厂用地；</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1954年，第一机械工业部船舶局国营芜湖造船厂；</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1963年，六机部国营芜湖造船厂；</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1982年，中船总国营芜湖造船厂；</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1999年，中船集团芜湖造船厂；</w:t>
            </w:r>
          </w:p>
          <w:p>
            <w:pPr>
              <w:spacing w:line="360" w:lineRule="auto"/>
              <w:ind w:firstLine="480" w:firstLineChars="200"/>
              <w:rPr>
                <w:rFonts w:ascii="Times New Roman" w:hAnsi="Times New Roman"/>
                <w:sz w:val="24"/>
                <w:highlight w:val="none"/>
              </w:rPr>
            </w:pPr>
            <w:r>
              <w:rPr>
                <w:rFonts w:hint="eastAsia" w:ascii="Times New Roman" w:hAnsi="Times New Roman"/>
                <w:sz w:val="24"/>
                <w:highlight w:val="none"/>
              </w:rPr>
              <w:t>2003年，中船集团湖新联造船有限公司；</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2007年，奇瑞汽车芜湖新联造船有限公司；</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2013年，芜湖造船厂全面停产搬迁。</w:t>
            </w:r>
          </w:p>
          <w:p>
            <w:pPr>
              <w:pStyle w:val="7"/>
              <w:rPr>
                <w:rFonts w:hint="eastAsia" w:ascii="Times New Roman" w:hAnsi="Times New Roman"/>
                <w:sz w:val="24"/>
                <w:highlight w:val="none"/>
              </w:rPr>
            </w:pPr>
          </w:p>
          <w:p>
            <w:pPr>
              <w:rPr>
                <w:rFonts w:hint="eastAsia" w:ascii="Times New Roman" w:hAnsi="Times New Roman"/>
                <w:sz w:val="24"/>
                <w:highlight w:val="none"/>
              </w:rPr>
            </w:pPr>
          </w:p>
          <w:p>
            <w:pPr>
              <w:pStyle w:val="7"/>
              <w:rPr>
                <w:rFonts w:hint="eastAsia" w:ascii="Times New Roman" w:hAnsi="Times New Roman"/>
                <w:sz w:val="24"/>
                <w:highlight w:val="none"/>
              </w:rPr>
            </w:pPr>
          </w:p>
          <w:p>
            <w:pPr>
              <w:rPr>
                <w:rFonts w:hint="eastAsia" w:ascii="Times New Roman" w:hAnsi="Times New Roman"/>
                <w:sz w:val="24"/>
                <w:highlight w:val="none"/>
              </w:rPr>
            </w:pPr>
          </w:p>
          <w:p>
            <w:pPr>
              <w:pStyle w:val="7"/>
              <w:rPr>
                <w:rFonts w:hint="eastAsia" w:ascii="Times New Roman" w:hAnsi="Times New Roman"/>
                <w:sz w:val="24"/>
                <w:highlight w:val="none"/>
              </w:rPr>
            </w:pPr>
          </w:p>
          <w:p>
            <w:pPr>
              <w:rPr>
                <w:rFonts w:hint="eastAsia" w:ascii="Times New Roman" w:hAnsi="Times New Roman"/>
                <w:sz w:val="24"/>
                <w:highlight w:val="none"/>
              </w:rPr>
            </w:pPr>
          </w:p>
          <w:p>
            <w:pPr>
              <w:pStyle w:val="7"/>
              <w:rPr>
                <w:rFonts w:hint="eastAsia" w:ascii="Times New Roman" w:hAnsi="Times New Roman"/>
                <w:sz w:val="24"/>
                <w:highlight w:val="none"/>
              </w:rPr>
            </w:pPr>
          </w:p>
          <w:p>
            <w:pPr>
              <w:rPr>
                <w:rFonts w:hint="eastAsia" w:ascii="Times New Roman" w:hAnsi="Times New Roman"/>
                <w:sz w:val="24"/>
                <w:highlight w:val="none"/>
              </w:rPr>
            </w:pPr>
          </w:p>
          <w:p>
            <w:pPr>
              <w:pStyle w:val="7"/>
              <w:rPr>
                <w:rFonts w:hint="eastAsia" w:ascii="Times New Roman" w:hAnsi="Times New Roman"/>
                <w:sz w:val="24"/>
                <w:highlight w:val="none"/>
              </w:rPr>
            </w:pPr>
          </w:p>
          <w:p>
            <w:pPr>
              <w:rPr>
                <w:rFonts w:hint="eastAsia" w:ascii="Times New Roman" w:hAnsi="Times New Roman"/>
                <w:sz w:val="24"/>
                <w:highlight w:val="none"/>
              </w:rPr>
            </w:pPr>
          </w:p>
          <w:p>
            <w:pPr>
              <w:pStyle w:val="7"/>
            </w:pPr>
          </w:p>
          <w:p>
            <w:pPr>
              <w:spacing w:line="360" w:lineRule="auto"/>
              <w:rPr>
                <w:rFonts w:ascii="Times New Roman" w:hAnsi="Times New Roman"/>
                <w:sz w:val="24"/>
                <w:highlight w:val="none"/>
              </w:rPr>
            </w:pPr>
            <w:r>
              <w:drawing>
                <wp:inline distT="0" distB="0" distL="114300" distR="114300">
                  <wp:extent cx="5756275" cy="7662545"/>
                  <wp:effectExtent l="0" t="0" r="15875" b="1460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2"/>
                          <a:stretch>
                            <a:fillRect/>
                          </a:stretch>
                        </pic:blipFill>
                        <pic:spPr>
                          <a:xfrm>
                            <a:off x="0" y="0"/>
                            <a:ext cx="5756275" cy="7662545"/>
                          </a:xfrm>
                          <a:prstGeom prst="rect">
                            <a:avLst/>
                          </a:prstGeom>
                          <a:noFill/>
                          <a:ln>
                            <a:noFill/>
                          </a:ln>
                        </pic:spPr>
                      </pic:pic>
                    </a:graphicData>
                  </a:graphic>
                </wp:inline>
              </w:drawing>
            </w:r>
          </w:p>
          <w:p>
            <w:pPr>
              <w:spacing w:line="360" w:lineRule="auto"/>
              <w:ind w:firstLine="480" w:firstLineChars="200"/>
              <w:rPr>
                <w:rFonts w:ascii="Times New Roman" w:hAnsi="Times New Roman"/>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pPr>
            <w:r>
              <w:drawing>
                <wp:inline distT="0" distB="0" distL="114300" distR="114300">
                  <wp:extent cx="5727065" cy="2590165"/>
                  <wp:effectExtent l="0" t="0" r="6985" b="63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3"/>
                          <a:stretch>
                            <a:fillRect/>
                          </a:stretch>
                        </pic:blipFill>
                        <pic:spPr>
                          <a:xfrm>
                            <a:off x="0" y="0"/>
                            <a:ext cx="5727065" cy="2590165"/>
                          </a:xfrm>
                          <a:prstGeom prst="rect">
                            <a:avLst/>
                          </a:prstGeom>
                          <a:noFill/>
                          <a:ln>
                            <a:noFill/>
                          </a:ln>
                        </pic:spPr>
                      </pic:pic>
                    </a:graphicData>
                  </a:graphic>
                </wp:inline>
              </w:drawing>
            </w:r>
          </w:p>
          <w:p>
            <w:pPr>
              <w:pStyle w:val="7"/>
              <w:keepNext/>
              <w:keepLines/>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default" w:eastAsia="宋体"/>
                <w:lang w:val="en-US" w:eastAsia="zh-CN"/>
              </w:rPr>
            </w:pPr>
            <w:r>
              <w:rPr>
                <w:rFonts w:hint="default" w:ascii="Times New Roman" w:hAnsi="Times New Roman" w:cs="Times New Roman"/>
                <w:lang w:val="en-US" w:eastAsia="zh-CN"/>
              </w:rPr>
              <w:t>图1-3  场地历史卫星图</w:t>
            </w:r>
          </w:p>
          <w:p>
            <w:pPr>
              <w:spacing w:line="360" w:lineRule="auto"/>
            </w:pPr>
            <w:r>
              <w:drawing>
                <wp:inline distT="0" distB="0" distL="114300" distR="114300">
                  <wp:extent cx="5726430" cy="3583305"/>
                  <wp:effectExtent l="0" t="0" r="7620" b="1714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4"/>
                          <a:stretch>
                            <a:fillRect/>
                          </a:stretch>
                        </pic:blipFill>
                        <pic:spPr>
                          <a:xfrm>
                            <a:off x="0" y="0"/>
                            <a:ext cx="5726430" cy="3583305"/>
                          </a:xfrm>
                          <a:prstGeom prst="rect">
                            <a:avLst/>
                          </a:prstGeom>
                          <a:noFill/>
                          <a:ln>
                            <a:noFill/>
                          </a:ln>
                        </pic:spPr>
                      </pic:pic>
                    </a:graphicData>
                  </a:graphic>
                </wp:inline>
              </w:drawing>
            </w:r>
          </w:p>
          <w:p>
            <w:pPr>
              <w:pStyle w:val="7"/>
              <w:keepNext/>
              <w:keepLines/>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default" w:ascii="Times New Roman" w:hAnsi="Times New Roman" w:cs="Times New Roman"/>
              </w:rPr>
            </w:pPr>
            <w:r>
              <w:rPr>
                <w:rFonts w:hint="default" w:ascii="Times New Roman" w:hAnsi="Times New Roman" w:cs="Times New Roman"/>
              </w:rPr>
              <w:t>图</w:t>
            </w:r>
            <w:r>
              <w:rPr>
                <w:rFonts w:hint="eastAsia" w:ascii="Times New Roman" w:hAnsi="Times New Roman" w:cs="Times New Roman"/>
                <w:lang w:val="en-US" w:eastAsia="zh-CN"/>
              </w:rPr>
              <w:t>1</w:t>
            </w:r>
            <w:r>
              <w:rPr>
                <w:rFonts w:hint="default" w:ascii="Times New Roman" w:hAnsi="Times New Roman" w:cs="Times New Roman"/>
              </w:rPr>
              <w:t>-4 保留建筑物位置分布围</w:t>
            </w:r>
          </w:p>
          <w:p>
            <w:pPr>
              <w:rPr>
                <w:rFonts w:hint="default" w:ascii="Times New Roman" w:hAnsi="Times New Roman" w:cs="Times New Roman"/>
              </w:rPr>
            </w:pPr>
          </w:p>
          <w:p>
            <w:pPr>
              <w:pStyle w:val="7"/>
              <w:rPr>
                <w:rFonts w:hint="default" w:ascii="Times New Roman" w:hAnsi="Times New Roman" w:cs="Times New Roman"/>
              </w:rPr>
            </w:pPr>
          </w:p>
          <w:p>
            <w:pPr>
              <w:rPr>
                <w:rFonts w:hint="default" w:ascii="Times New Roman" w:hAnsi="Times New Roman" w:cs="Times New Roman"/>
              </w:rPr>
            </w:pPr>
          </w:p>
          <w:p>
            <w:pPr>
              <w:pStyle w:val="7"/>
              <w:rPr>
                <w:rFonts w:hint="default" w:ascii="Times New Roman" w:hAnsi="Times New Roman" w:cs="Times New Roman"/>
              </w:rPr>
            </w:pPr>
          </w:p>
          <w:p>
            <w:pPr>
              <w:pStyle w:val="7"/>
            </w:pPr>
          </w:p>
          <w:p>
            <w:pPr>
              <w:spacing w:line="360" w:lineRule="auto"/>
              <w:rPr>
                <w:rFonts w:ascii="Times New Roman" w:hAnsi="Times New Roman"/>
                <w:sz w:val="24"/>
                <w:highlight w:val="none"/>
              </w:rPr>
            </w:pPr>
            <w:r>
              <w:drawing>
                <wp:inline distT="0" distB="0" distL="114300" distR="114300">
                  <wp:extent cx="5730875" cy="4046855"/>
                  <wp:effectExtent l="0" t="0" r="3175" b="1079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5"/>
                          <a:stretch>
                            <a:fillRect/>
                          </a:stretch>
                        </pic:blipFill>
                        <pic:spPr>
                          <a:xfrm>
                            <a:off x="0" y="0"/>
                            <a:ext cx="5730875" cy="4046855"/>
                          </a:xfrm>
                          <a:prstGeom prst="rect">
                            <a:avLst/>
                          </a:prstGeom>
                          <a:noFill/>
                          <a:ln>
                            <a:noFill/>
                          </a:ln>
                        </pic:spPr>
                      </pic:pic>
                    </a:graphicData>
                  </a:graphic>
                </wp:inline>
              </w:drawing>
            </w:r>
          </w:p>
          <w:p>
            <w:pPr>
              <w:spacing w:line="360" w:lineRule="auto"/>
              <w:ind w:firstLine="482" w:firstLineChars="200"/>
              <w:jc w:val="center"/>
              <w:rPr>
                <w:rFonts w:hint="eastAsia" w:ascii="Times New Roman" w:hAnsi="Times New Roman"/>
                <w:b/>
                <w:bCs/>
                <w:sz w:val="24"/>
                <w:highlight w:val="none"/>
              </w:rPr>
            </w:pPr>
            <w:r>
              <w:rPr>
                <w:rFonts w:hint="eastAsia" w:ascii="Times New Roman" w:hAnsi="Times New Roman"/>
                <w:b/>
                <w:bCs/>
                <w:sz w:val="24"/>
                <w:highlight w:val="none"/>
              </w:rPr>
              <w:t>图</w:t>
            </w:r>
            <w:r>
              <w:rPr>
                <w:rFonts w:hint="eastAsia" w:ascii="Times New Roman" w:hAnsi="Times New Roman"/>
                <w:b/>
                <w:bCs/>
                <w:sz w:val="24"/>
                <w:highlight w:val="none"/>
                <w:lang w:val="en-US" w:eastAsia="zh-CN"/>
              </w:rPr>
              <w:t>1</w:t>
            </w:r>
            <w:r>
              <w:rPr>
                <w:rFonts w:hint="eastAsia" w:ascii="Times New Roman" w:hAnsi="Times New Roman"/>
                <w:b/>
                <w:bCs/>
                <w:sz w:val="24"/>
                <w:highlight w:val="none"/>
              </w:rPr>
              <w:t>-5</w:t>
            </w:r>
            <w:r>
              <w:rPr>
                <w:rFonts w:hint="eastAsia" w:ascii="Times New Roman" w:hAnsi="Times New Roman"/>
                <w:b/>
                <w:bCs/>
                <w:sz w:val="24"/>
                <w:highlight w:val="none"/>
                <w:lang w:val="en-US" w:eastAsia="zh-CN"/>
              </w:rPr>
              <w:t xml:space="preserve">  </w:t>
            </w:r>
            <w:r>
              <w:rPr>
                <w:rFonts w:hint="eastAsia" w:ascii="Times New Roman" w:hAnsi="Times New Roman"/>
                <w:b/>
                <w:bCs/>
                <w:sz w:val="24"/>
                <w:highlight w:val="none"/>
              </w:rPr>
              <w:t>未来用地规划图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sz w:val="24"/>
                <w:highlight w:val="none"/>
              </w:rPr>
            </w:pPr>
            <w:r>
              <w:rPr>
                <w:rFonts w:hint="eastAsia" w:ascii="Times New Roman" w:hAnsi="Times New Roman"/>
                <w:sz w:val="24"/>
                <w:highlight w:val="none"/>
                <w:lang w:val="en-US" w:eastAsia="zh-CN"/>
              </w:rPr>
              <w:t>3、</w:t>
            </w:r>
            <w:r>
              <w:rPr>
                <w:rFonts w:hint="eastAsia" w:ascii="Times New Roman" w:hAnsi="Times New Roman"/>
                <w:sz w:val="24"/>
                <w:highlight w:val="none"/>
              </w:rPr>
              <w:t>场地现场情况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sz w:val="24"/>
                <w:highlight w:val="none"/>
                <w:lang w:eastAsia="zh-CN"/>
              </w:rPr>
            </w:pPr>
            <w:r>
              <w:rPr>
                <w:rFonts w:hint="eastAsia" w:ascii="Times New Roman" w:hAnsi="Times New Roman"/>
                <w:sz w:val="24"/>
                <w:highlight w:val="none"/>
              </w:rPr>
              <w:t>场地内厂房仍然保留未发生变化，厂房内的生产设备基本已全部搬迁完毕，仅少部分设备待资产评估后再做搬迁，在搬迁过程中废弃的部分设施及废液仍堆放在厂房内，现场踏勘情况如</w:t>
            </w:r>
            <w:r>
              <w:rPr>
                <w:rFonts w:hint="eastAsia" w:ascii="Times New Roman" w:hAnsi="Times New Roman"/>
                <w:sz w:val="24"/>
                <w:highlight w:val="none"/>
                <w:lang w:val="en-US" w:eastAsia="zh-CN"/>
              </w:rPr>
              <w:t>下</w:t>
            </w:r>
            <w:r>
              <w:rPr>
                <w:rFonts w:hint="eastAsia" w:ascii="Times New Roman" w:hAnsi="Times New Roman"/>
                <w:sz w:val="24"/>
                <w:highlight w:val="none"/>
              </w:rPr>
              <w:t>图所示</w:t>
            </w:r>
            <w:r>
              <w:rPr>
                <w:rFonts w:hint="eastAsia" w:ascii="Times New Roman" w:hAnsi="Times New Roman"/>
                <w:sz w:val="24"/>
                <w:highlight w:val="none"/>
                <w:lang w:eastAsia="zh-CN"/>
              </w:rPr>
              <w:t>。</w:t>
            </w:r>
          </w:p>
          <w:p>
            <w:pPr>
              <w:pStyle w:val="7"/>
              <w:rPr>
                <w:rFonts w:hint="eastAsia" w:ascii="Times New Roman" w:hAnsi="Times New Roman"/>
                <w:sz w:val="24"/>
                <w:highlight w:val="none"/>
                <w:lang w:eastAsia="zh-CN"/>
              </w:rPr>
            </w:pPr>
          </w:p>
          <w:p>
            <w:pPr>
              <w:rPr>
                <w:rFonts w:hint="eastAsia" w:ascii="Times New Roman" w:hAnsi="Times New Roman"/>
                <w:sz w:val="24"/>
                <w:highlight w:val="none"/>
                <w:lang w:eastAsia="zh-CN"/>
              </w:rPr>
            </w:pPr>
          </w:p>
          <w:p>
            <w:pPr>
              <w:pStyle w:val="7"/>
              <w:rPr>
                <w:rFonts w:hint="eastAsia" w:ascii="Times New Roman" w:hAnsi="Times New Roman"/>
                <w:sz w:val="24"/>
                <w:highlight w:val="none"/>
                <w:lang w:eastAsia="zh-CN"/>
              </w:rPr>
            </w:pPr>
          </w:p>
          <w:p>
            <w:pPr>
              <w:rPr>
                <w:rFonts w:hint="eastAsia" w:ascii="Times New Roman" w:hAnsi="Times New Roman"/>
                <w:sz w:val="24"/>
                <w:highlight w:val="none"/>
                <w:lang w:eastAsia="zh-CN"/>
              </w:rPr>
            </w:pPr>
          </w:p>
          <w:p>
            <w:pPr>
              <w:pStyle w:val="7"/>
              <w:rPr>
                <w:rFonts w:hint="eastAsia" w:ascii="Times New Roman" w:hAnsi="Times New Roman"/>
                <w:sz w:val="24"/>
                <w:highlight w:val="none"/>
                <w:lang w:eastAsia="zh-CN"/>
              </w:rPr>
            </w:pPr>
          </w:p>
          <w:p>
            <w:pPr>
              <w:rPr>
                <w:rFonts w:hint="eastAsia" w:ascii="Times New Roman" w:hAnsi="Times New Roman"/>
                <w:sz w:val="24"/>
                <w:highlight w:val="none"/>
                <w:lang w:eastAsia="zh-CN"/>
              </w:rPr>
            </w:pPr>
          </w:p>
          <w:p>
            <w:pPr>
              <w:pStyle w:val="7"/>
              <w:rPr>
                <w:rFonts w:hint="eastAsia" w:ascii="Times New Roman" w:hAnsi="Times New Roman"/>
                <w:sz w:val="24"/>
                <w:highlight w:val="none"/>
                <w:lang w:eastAsia="zh-CN"/>
              </w:rPr>
            </w:pPr>
          </w:p>
          <w:p>
            <w:pPr>
              <w:rPr>
                <w:rFonts w:hint="eastAsia" w:ascii="Times New Roman" w:hAnsi="Times New Roman"/>
                <w:sz w:val="24"/>
                <w:highlight w:val="none"/>
                <w:lang w:eastAsia="zh-CN"/>
              </w:rPr>
            </w:pPr>
          </w:p>
          <w:p>
            <w:pPr>
              <w:rPr>
                <w:rFonts w:hint="eastAsia"/>
                <w:lang w:eastAsia="zh-CN"/>
              </w:rPr>
            </w:pPr>
            <w:r>
              <w:drawing>
                <wp:inline distT="0" distB="0" distL="114300" distR="114300">
                  <wp:extent cx="5757545" cy="2492375"/>
                  <wp:effectExtent l="0" t="0" r="14605" b="3175"/>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16"/>
                          <a:stretch>
                            <a:fillRect/>
                          </a:stretch>
                        </pic:blipFill>
                        <pic:spPr>
                          <a:xfrm>
                            <a:off x="0" y="0"/>
                            <a:ext cx="5757545" cy="2492375"/>
                          </a:xfrm>
                          <a:prstGeom prst="rect">
                            <a:avLst/>
                          </a:prstGeom>
                          <a:noFill/>
                          <a:ln>
                            <a:noFill/>
                          </a:ln>
                        </pic:spPr>
                      </pic:pic>
                    </a:graphicData>
                  </a:graphic>
                </wp:inline>
              </w:drawing>
            </w:r>
          </w:p>
          <w:p>
            <w:pPr>
              <w:bidi w:val="0"/>
              <w:rPr>
                <w:rFonts w:hint="eastAsia"/>
              </w:rPr>
            </w:pPr>
          </w:p>
          <w:p>
            <w:pPr>
              <w:spacing w:line="360" w:lineRule="auto"/>
              <w:ind w:firstLine="470" w:firstLineChars="196"/>
              <w:rPr>
                <w:rFonts w:hint="eastAsia" w:ascii="Times New Roman" w:hAnsi="Times New Roman"/>
                <w:kern w:val="0"/>
                <w:sz w:val="24"/>
                <w:szCs w:val="22"/>
                <w:highlight w:val="none"/>
                <w:lang w:eastAsia="zh-CN"/>
              </w:rPr>
            </w:pPr>
            <w:r>
              <w:rPr>
                <w:rFonts w:hint="eastAsia" w:ascii="Times New Roman" w:hAnsi="Times New Roman"/>
                <w:kern w:val="0"/>
                <w:sz w:val="24"/>
                <w:szCs w:val="22"/>
                <w:highlight w:val="none"/>
              </w:rPr>
              <w:t>车间设备均已拆除清运，现车间内无设备但存在少量废弃杂物堆积，地面无明显裂痕</w:t>
            </w:r>
            <w:r>
              <w:rPr>
                <w:rFonts w:hint="eastAsia" w:ascii="Times New Roman" w:hAnsi="Times New Roman"/>
                <w:kern w:val="0"/>
                <w:sz w:val="24"/>
                <w:szCs w:val="22"/>
                <w:highlight w:val="none"/>
                <w:lang w:eastAsia="zh-CN"/>
              </w:rPr>
              <w:t>。</w:t>
            </w:r>
          </w:p>
          <w:p>
            <w:pPr>
              <w:bidi w:val="0"/>
              <w:rPr>
                <w:rFonts w:hint="eastAsia"/>
                <w:lang w:eastAsia="zh-CN"/>
              </w:rPr>
            </w:pPr>
            <w:r>
              <w:drawing>
                <wp:inline distT="0" distB="0" distL="114300" distR="114300">
                  <wp:extent cx="5742940" cy="4538980"/>
                  <wp:effectExtent l="0" t="0" r="10160" b="13970"/>
                  <wp:docPr id="2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
                          <pic:cNvPicPr>
                            <a:picLocks noChangeAspect="1"/>
                          </pic:cNvPicPr>
                        </pic:nvPicPr>
                        <pic:blipFill>
                          <a:blip r:embed="rId17"/>
                          <a:stretch>
                            <a:fillRect/>
                          </a:stretch>
                        </pic:blipFill>
                        <pic:spPr>
                          <a:xfrm>
                            <a:off x="0" y="0"/>
                            <a:ext cx="5742940" cy="4538980"/>
                          </a:xfrm>
                          <a:prstGeom prst="rect">
                            <a:avLst/>
                          </a:prstGeom>
                          <a:noFill/>
                          <a:ln>
                            <a:noFill/>
                          </a:ln>
                        </pic:spPr>
                      </pic:pic>
                    </a:graphicData>
                  </a:graphic>
                </wp:inline>
              </w:drawing>
            </w:r>
          </w:p>
          <w:p>
            <w:pPr>
              <w:spacing w:line="360" w:lineRule="auto"/>
              <w:ind w:firstLine="480" w:firstLineChars="200"/>
              <w:rPr>
                <w:rFonts w:hint="eastAsia" w:ascii="Times New Roman" w:hAnsi="Times New Roman" w:eastAsia="宋体"/>
                <w:sz w:val="24"/>
                <w:highlight w:val="none"/>
                <w:lang w:eastAsia="zh-CN"/>
              </w:rPr>
            </w:pPr>
            <w:r>
              <w:rPr>
                <w:rFonts w:hint="eastAsia" w:ascii="Times New Roman" w:hAnsi="Times New Roman"/>
                <w:sz w:val="24"/>
                <w:highlight w:val="none"/>
              </w:rPr>
              <w:t>车间设备均已拆除清运，现车间内无设备，部分废焊条未清空，存在沙土和较多废弃杂物堆积，地面有液体积存</w:t>
            </w:r>
            <w:r>
              <w:rPr>
                <w:rFonts w:hint="eastAsia" w:ascii="Times New Roman" w:hAnsi="Times New Roman"/>
                <w:sz w:val="24"/>
                <w:highlight w:val="none"/>
                <w:lang w:eastAsia="zh-CN"/>
              </w:rPr>
              <w:t>。</w:t>
            </w:r>
          </w:p>
          <w:p>
            <w:pPr>
              <w:spacing w:line="360" w:lineRule="auto"/>
              <w:rPr>
                <w:rFonts w:hint="eastAsia" w:ascii="Times New Roman" w:hAnsi="Times New Roman"/>
                <w:sz w:val="24"/>
                <w:highlight w:val="none"/>
              </w:rPr>
            </w:pPr>
            <w:r>
              <w:drawing>
                <wp:inline distT="0" distB="0" distL="114300" distR="114300">
                  <wp:extent cx="5759450" cy="2283460"/>
                  <wp:effectExtent l="0" t="0" r="12700" b="2540"/>
                  <wp:docPr id="2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2"/>
                          <pic:cNvPicPr>
                            <a:picLocks noChangeAspect="1"/>
                          </pic:cNvPicPr>
                        </pic:nvPicPr>
                        <pic:blipFill>
                          <a:blip r:embed="rId18"/>
                          <a:stretch>
                            <a:fillRect/>
                          </a:stretch>
                        </pic:blipFill>
                        <pic:spPr>
                          <a:xfrm>
                            <a:off x="0" y="0"/>
                            <a:ext cx="5759450" cy="2283460"/>
                          </a:xfrm>
                          <a:prstGeom prst="rect">
                            <a:avLst/>
                          </a:prstGeom>
                          <a:noFill/>
                          <a:ln>
                            <a:noFill/>
                          </a:ln>
                        </pic:spPr>
                      </pic:pic>
                    </a:graphicData>
                  </a:graphic>
                </wp:inline>
              </w:drawing>
            </w:r>
          </w:p>
          <w:p>
            <w:pPr>
              <w:spacing w:line="360" w:lineRule="auto"/>
              <w:ind w:firstLine="480" w:firstLineChars="200"/>
              <w:rPr>
                <w:rFonts w:hint="eastAsia" w:ascii="Times New Roman" w:hAnsi="Times New Roman" w:eastAsia="宋体"/>
                <w:sz w:val="24"/>
                <w:highlight w:val="none"/>
                <w:lang w:eastAsia="zh-CN"/>
              </w:rPr>
            </w:pPr>
            <w:r>
              <w:rPr>
                <w:rFonts w:hint="eastAsia" w:ascii="Times New Roman" w:hAnsi="Times New Roman"/>
                <w:sz w:val="24"/>
                <w:highlight w:val="none"/>
              </w:rPr>
              <w:t>车间设备均已拆除清运，现车间内无设备且地面无明显裂痕</w:t>
            </w:r>
            <w:r>
              <w:rPr>
                <w:rFonts w:hint="eastAsia" w:ascii="Times New Roman" w:hAnsi="Times New Roman"/>
                <w:sz w:val="24"/>
                <w:highlight w:val="none"/>
                <w:lang w:eastAsia="zh-CN"/>
              </w:rPr>
              <w:t>。</w:t>
            </w:r>
          </w:p>
          <w:p>
            <w:pPr>
              <w:spacing w:line="360" w:lineRule="auto"/>
              <w:rPr>
                <w:rFonts w:hint="eastAsia" w:ascii="Times New Roman" w:hAnsi="Times New Roman"/>
                <w:sz w:val="24"/>
                <w:highlight w:val="none"/>
              </w:rPr>
            </w:pPr>
            <w:r>
              <w:drawing>
                <wp:inline distT="0" distB="0" distL="114300" distR="114300">
                  <wp:extent cx="5812790" cy="2485390"/>
                  <wp:effectExtent l="0" t="0" r="16510" b="10160"/>
                  <wp:docPr id="2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3"/>
                          <pic:cNvPicPr>
                            <a:picLocks noChangeAspect="1"/>
                          </pic:cNvPicPr>
                        </pic:nvPicPr>
                        <pic:blipFill>
                          <a:blip r:embed="rId19"/>
                          <a:stretch>
                            <a:fillRect/>
                          </a:stretch>
                        </pic:blipFill>
                        <pic:spPr>
                          <a:xfrm>
                            <a:off x="0" y="0"/>
                            <a:ext cx="5812790" cy="2485390"/>
                          </a:xfrm>
                          <a:prstGeom prst="rect">
                            <a:avLst/>
                          </a:prstGeom>
                          <a:noFill/>
                          <a:ln>
                            <a:noFill/>
                          </a:ln>
                        </pic:spPr>
                      </pic:pic>
                    </a:graphicData>
                  </a:graphic>
                </wp:inline>
              </w:drawing>
            </w:r>
          </w:p>
          <w:p>
            <w:pPr>
              <w:spacing w:line="360" w:lineRule="auto"/>
              <w:ind w:firstLine="480" w:firstLineChars="200"/>
              <w:rPr>
                <w:rFonts w:hint="eastAsia" w:ascii="Times New Roman" w:hAnsi="Times New Roman" w:eastAsia="宋体"/>
                <w:sz w:val="24"/>
                <w:highlight w:val="none"/>
                <w:lang w:eastAsia="zh-CN"/>
              </w:rPr>
            </w:pPr>
            <w:r>
              <w:rPr>
                <w:rFonts w:hint="eastAsia" w:ascii="Times New Roman" w:hAnsi="Times New Roman"/>
                <w:sz w:val="24"/>
                <w:highlight w:val="none"/>
              </w:rPr>
              <w:t>车间设备均已拆除清运，现车间内无设备但存在少量废弃电缆和杂物堆积，地面无明显裂痕</w:t>
            </w:r>
            <w:r>
              <w:rPr>
                <w:rFonts w:hint="eastAsia" w:ascii="Times New Roman" w:hAnsi="Times New Roman"/>
                <w:sz w:val="24"/>
                <w:highlight w:val="none"/>
                <w:lang w:eastAsia="zh-CN"/>
              </w:rPr>
              <w:t>。</w:t>
            </w:r>
          </w:p>
          <w:p>
            <w:pPr>
              <w:spacing w:line="360" w:lineRule="auto"/>
              <w:rPr>
                <w:rFonts w:hint="eastAsia" w:ascii="Times New Roman" w:hAnsi="Times New Roman"/>
                <w:sz w:val="24"/>
                <w:highlight w:val="none"/>
              </w:rPr>
            </w:pPr>
            <w:r>
              <w:drawing>
                <wp:inline distT="0" distB="0" distL="114300" distR="114300">
                  <wp:extent cx="5732145" cy="2465705"/>
                  <wp:effectExtent l="0" t="0" r="1905" b="10795"/>
                  <wp:docPr id="2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4"/>
                          <pic:cNvPicPr>
                            <a:picLocks noChangeAspect="1"/>
                          </pic:cNvPicPr>
                        </pic:nvPicPr>
                        <pic:blipFill>
                          <a:blip r:embed="rId20"/>
                          <a:stretch>
                            <a:fillRect/>
                          </a:stretch>
                        </pic:blipFill>
                        <pic:spPr>
                          <a:xfrm>
                            <a:off x="0" y="0"/>
                            <a:ext cx="5732145" cy="2465705"/>
                          </a:xfrm>
                          <a:prstGeom prst="rect">
                            <a:avLst/>
                          </a:prstGeom>
                          <a:noFill/>
                          <a:ln>
                            <a:noFill/>
                          </a:ln>
                        </pic:spPr>
                      </pic:pic>
                    </a:graphicData>
                  </a:graphic>
                </wp:inline>
              </w:drawing>
            </w:r>
          </w:p>
          <w:p>
            <w:pPr>
              <w:spacing w:line="360" w:lineRule="auto"/>
              <w:ind w:firstLine="480" w:firstLineChars="200"/>
              <w:rPr>
                <w:rFonts w:hint="eastAsia" w:ascii="Times New Roman" w:hAnsi="Times New Roman" w:eastAsia="宋体"/>
                <w:sz w:val="24"/>
                <w:highlight w:val="none"/>
                <w:lang w:eastAsia="zh-CN"/>
              </w:rPr>
            </w:pPr>
            <w:r>
              <w:rPr>
                <w:rFonts w:hint="eastAsia" w:ascii="Times New Roman" w:hAnsi="Times New Roman"/>
                <w:sz w:val="24"/>
                <w:highlight w:val="none"/>
              </w:rPr>
              <w:t>配套库内货架上存在部分机电模具和皮带等零部件</w:t>
            </w:r>
            <w:r>
              <w:rPr>
                <w:rFonts w:hint="eastAsia" w:ascii="Times New Roman" w:hAnsi="Times New Roman"/>
                <w:sz w:val="24"/>
                <w:highlight w:val="none"/>
                <w:lang w:eastAsia="zh-CN"/>
              </w:rPr>
              <w:t>。</w:t>
            </w:r>
          </w:p>
          <w:p>
            <w:pPr>
              <w:spacing w:line="360" w:lineRule="auto"/>
              <w:rPr>
                <w:rFonts w:hint="eastAsia" w:ascii="Times New Roman" w:hAnsi="Times New Roman"/>
                <w:sz w:val="24"/>
                <w:highlight w:val="none"/>
              </w:rPr>
            </w:pPr>
            <w:r>
              <w:drawing>
                <wp:inline distT="0" distB="0" distL="114300" distR="114300">
                  <wp:extent cx="5761990" cy="2313305"/>
                  <wp:effectExtent l="0" t="0" r="10160" b="10795"/>
                  <wp:docPr id="2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5"/>
                          <pic:cNvPicPr>
                            <a:picLocks noChangeAspect="1"/>
                          </pic:cNvPicPr>
                        </pic:nvPicPr>
                        <pic:blipFill>
                          <a:blip r:embed="rId21"/>
                          <a:stretch>
                            <a:fillRect/>
                          </a:stretch>
                        </pic:blipFill>
                        <pic:spPr>
                          <a:xfrm>
                            <a:off x="0" y="0"/>
                            <a:ext cx="5761990" cy="2313305"/>
                          </a:xfrm>
                          <a:prstGeom prst="rect">
                            <a:avLst/>
                          </a:prstGeom>
                          <a:noFill/>
                          <a:ln>
                            <a:noFill/>
                          </a:ln>
                        </pic:spPr>
                      </pic:pic>
                    </a:graphicData>
                  </a:graphic>
                </wp:inline>
              </w:drawing>
            </w:r>
          </w:p>
          <w:p>
            <w:pPr>
              <w:spacing w:line="360" w:lineRule="auto"/>
              <w:ind w:firstLine="480" w:firstLineChars="200"/>
              <w:rPr>
                <w:rFonts w:hint="eastAsia" w:ascii="Times New Roman" w:hAnsi="Times New Roman" w:eastAsia="宋体"/>
                <w:sz w:val="24"/>
                <w:highlight w:val="none"/>
                <w:lang w:eastAsia="zh-CN"/>
              </w:rPr>
            </w:pPr>
            <w:r>
              <w:rPr>
                <w:rFonts w:hint="eastAsia" w:ascii="Times New Roman" w:hAnsi="Times New Roman"/>
                <w:sz w:val="24"/>
                <w:highlight w:val="none"/>
              </w:rPr>
              <w:t>库内清运较为干净，基本无杂物</w:t>
            </w:r>
            <w:r>
              <w:rPr>
                <w:rFonts w:hint="eastAsia" w:ascii="Times New Roman" w:hAnsi="Times New Roman"/>
                <w:sz w:val="24"/>
                <w:highlight w:val="none"/>
                <w:lang w:eastAsia="zh-CN"/>
              </w:rPr>
              <w:t>。</w:t>
            </w:r>
          </w:p>
          <w:p>
            <w:pPr>
              <w:spacing w:line="360" w:lineRule="auto"/>
              <w:rPr>
                <w:rFonts w:ascii="Times New Roman" w:hAnsi="Times New Roman"/>
                <w:sz w:val="24"/>
                <w:highlight w:val="none"/>
              </w:rPr>
            </w:pPr>
            <w:r>
              <w:drawing>
                <wp:inline distT="0" distB="0" distL="114300" distR="114300">
                  <wp:extent cx="5767070" cy="2464435"/>
                  <wp:effectExtent l="0" t="0" r="5080" b="12065"/>
                  <wp:docPr id="2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6"/>
                          <pic:cNvPicPr>
                            <a:picLocks noChangeAspect="1"/>
                          </pic:cNvPicPr>
                        </pic:nvPicPr>
                        <pic:blipFill>
                          <a:blip r:embed="rId22"/>
                          <a:stretch>
                            <a:fillRect/>
                          </a:stretch>
                        </pic:blipFill>
                        <pic:spPr>
                          <a:xfrm>
                            <a:off x="0" y="0"/>
                            <a:ext cx="5767070" cy="2464435"/>
                          </a:xfrm>
                          <a:prstGeom prst="rect">
                            <a:avLst/>
                          </a:prstGeom>
                          <a:noFill/>
                          <a:ln>
                            <a:noFill/>
                          </a:ln>
                        </pic:spPr>
                      </pic:pic>
                    </a:graphicData>
                  </a:graphic>
                </wp:inline>
              </w:drawing>
            </w:r>
          </w:p>
          <w:p>
            <w:pPr>
              <w:spacing w:line="360" w:lineRule="auto"/>
              <w:ind w:firstLine="480" w:firstLineChars="200"/>
              <w:rPr>
                <w:rFonts w:hint="eastAsia" w:ascii="Times New Roman" w:hAnsi="Times New Roman" w:eastAsia="宋体"/>
                <w:sz w:val="24"/>
                <w:highlight w:val="none"/>
                <w:lang w:eastAsia="zh-CN"/>
              </w:rPr>
            </w:pPr>
            <w:r>
              <w:rPr>
                <w:rFonts w:hint="eastAsia" w:ascii="Times New Roman" w:hAnsi="Times New Roman"/>
                <w:sz w:val="24"/>
                <w:highlight w:val="none"/>
              </w:rPr>
              <w:t>车间内退火炉已移走，较深处有部分积水</w:t>
            </w:r>
            <w:r>
              <w:rPr>
                <w:rFonts w:hint="eastAsia" w:ascii="Times New Roman" w:hAnsi="Times New Roman"/>
                <w:sz w:val="24"/>
                <w:highlight w:val="none"/>
                <w:lang w:eastAsia="zh-CN"/>
              </w:rPr>
              <w:t>。</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lang w:val="en-US" w:eastAsia="zh-CN"/>
              </w:rPr>
              <w:t>4、</w:t>
            </w:r>
            <w:r>
              <w:rPr>
                <w:rFonts w:hint="eastAsia" w:ascii="Times New Roman" w:hAnsi="Times New Roman"/>
                <w:sz w:val="24"/>
                <w:highlight w:val="none"/>
              </w:rPr>
              <w:t>场地调查评估结论</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芜湖市造船厂原厂址二期地块范围内主要生产车间和构筑物有：电镀车间、铸造车间、电缆加工车间、叶子加工车间、金工车间、管配加工车间、主机仓库、138舰总装车间、管子集配车间、办公楼等。场地最早为农业用地，1900年左右开始建设，早期为福记恒机器厂，新中国成立后，1954年改名为国营芜湖造船厂，此后一直从事造船活动，至今已有118年的历史。</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本次参照南京大学环境规划设计研究院股份公司编制的《芜湖市造船厂原厂址二期地块场地治理与修复技术方案》中的调查结论：</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lang w:val="en-US" w:eastAsia="zh-CN"/>
              </w:rPr>
              <w:t>该调查报告</w:t>
            </w:r>
            <w:r>
              <w:rPr>
                <w:rFonts w:hint="eastAsia" w:ascii="Times New Roman" w:hAnsi="Times New Roman"/>
                <w:sz w:val="24"/>
                <w:highlight w:val="none"/>
              </w:rPr>
              <w:t>总计布置了55个土壤采样点（含3个对照点），最大调查深度至地面以下6.0m，总计设置了22口地下水监测井（含3个对照点）</w:t>
            </w:r>
            <w:r>
              <w:rPr>
                <w:rFonts w:hint="eastAsia" w:ascii="Times New Roman" w:hAnsi="Times New Roman"/>
                <w:sz w:val="24"/>
                <w:highlight w:val="none"/>
                <w:lang w:eastAsia="zh-CN"/>
              </w:rPr>
              <w:t>。</w:t>
            </w:r>
            <w:r>
              <w:rPr>
                <w:rFonts w:hint="eastAsia" w:ascii="Times New Roman" w:hAnsi="Times New Roman"/>
                <w:sz w:val="24"/>
                <w:highlight w:val="none"/>
              </w:rPr>
              <w:t>共采集了312份土壤样品（其中初调112份，详调200份），共送检了157份土壤样品（其中初调52份，详调105份），设置了28个土壤平行样（其中初调7个，详调21个），建立了22口地下水监测井，共采集了22个地下水样品（其中初调5个，详调17个），全部送检。检测的指标包括重金属（铜、铬、镉、镍、锌、铅、砷、汞、六价铬），52种挥发性有机物、62种半挥发性有机物和总石油烃（C</w:t>
            </w:r>
            <w:r>
              <w:rPr>
                <w:rFonts w:hint="eastAsia" w:ascii="Times New Roman" w:hAnsi="Times New Roman"/>
                <w:sz w:val="24"/>
                <w:highlight w:val="none"/>
                <w:vertAlign w:val="subscript"/>
                <w:lang w:val="en-US" w:eastAsia="zh-CN"/>
              </w:rPr>
              <w:t>10</w:t>
            </w:r>
            <w:r>
              <w:rPr>
                <w:rFonts w:hint="eastAsia" w:ascii="Times New Roman" w:hAnsi="Times New Roman"/>
                <w:sz w:val="24"/>
                <w:highlight w:val="none"/>
              </w:rPr>
              <w:t>-C</w:t>
            </w:r>
            <w:r>
              <w:rPr>
                <w:rFonts w:hint="eastAsia" w:ascii="Times New Roman" w:hAnsi="Times New Roman"/>
                <w:sz w:val="24"/>
                <w:highlight w:val="none"/>
                <w:vertAlign w:val="subscript"/>
              </w:rPr>
              <w:t>36</w:t>
            </w:r>
            <w:r>
              <w:rPr>
                <w:rFonts w:hint="eastAsia" w:ascii="Times New Roman" w:hAnsi="Times New Roman"/>
                <w:sz w:val="24"/>
                <w:highlight w:val="none"/>
              </w:rPr>
              <w:t>）</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1）现场布置了17个土壤采样点，共采集土壤样品112份，送检52份样品；布置了2口地下水监测井，共采集了2个地下水样品；采集了2个地面积水和1个地面表层土。在厂区外布设了1个土壤对照点，采集了1份土壤样品。在厂区外布设了3个地下水对照点，采集了1份地下水样品。对这些样品中的pH.重金属（铜、铬、镉、镍、锌、铅、砷、汞）、六价铬、总石油烃（Co-C16，CirC36），52种挥发性有机物、62种半挥发性有机物指标进行监测分析。</w:t>
            </w:r>
          </w:p>
          <w:p>
            <w:p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（2）</w:t>
            </w:r>
            <w:r>
              <w:rPr>
                <w:rFonts w:hint="eastAsia" w:ascii="Times New Roman" w:hAnsi="Times New Roman"/>
                <w:sz w:val="24"/>
                <w:highlight w:val="none"/>
                <w:lang w:val="en-US" w:eastAsia="zh-CN"/>
              </w:rPr>
              <w:t>根据</w:t>
            </w:r>
            <w:r>
              <w:rPr>
                <w:rFonts w:hint="eastAsia" w:ascii="Times New Roman" w:hAnsi="Times New Roman"/>
                <w:sz w:val="24"/>
                <w:highlight w:val="none"/>
              </w:rPr>
              <w:t>送检的样品检测数据结果得知，土壤共检出了7种重金属（铜、铬、镍、锌、铅、砷、汞）、六价铬、总石油烃、4种挥发性有机物、11种半挥发性有机物。土壤中铜含量在18.5-808.2mg/kg之间，平均值为105.23mg/kg，最大值点位位于FD003（电镀车间），锌含量在40.0-181.6mg/kg之间，平均值为75.1mg/kg，最大值点位位于FD011（主机仓库），铅含量在16.7-89.9mg/kg之间，均值为32.2mg/kg，最大值点位位于FD025（电镀车间），镍含量在13.6-43.5mg/kg之间，平均值为27.4mg/kg，最大值点位位于FD024（电镀车间），铬含量在12.5-411.4mg/kg之间，平均值为49.1mg/kg，最大值点位位于FD003（电镀车间），汞含量在0.028-0.355mgkg之间，平均值为0.128mgkg，最大值点位位于FD012（管配加工车间），砷含量在3.15~18.5mg/kg之间，平均值为9.21mg/kg，最大值点位位于FD025（电镀车间），六价铬含量在ND-44.6mgkg之间，最大值点位位于FD003（电镀车间）；C</w:t>
            </w:r>
            <w:r>
              <w:rPr>
                <w:rFonts w:hint="eastAsia" w:ascii="Times New Roman" w:hAnsi="Times New Roman"/>
                <w:sz w:val="24"/>
                <w:highlight w:val="none"/>
                <w:vertAlign w:val="subscript"/>
              </w:rPr>
              <w:t>10</w:t>
            </w:r>
            <w:r>
              <w:rPr>
                <w:rFonts w:hint="eastAsia" w:ascii="Times New Roman" w:hAnsi="Times New Roman"/>
                <w:sz w:val="24"/>
                <w:highlight w:val="none"/>
              </w:rPr>
              <w:t>-C</w:t>
            </w:r>
            <w:r>
              <w:rPr>
                <w:rFonts w:hint="eastAsia" w:ascii="Times New Roman" w:hAnsi="Times New Roman"/>
                <w:sz w:val="24"/>
                <w:highlight w:val="none"/>
                <w:vertAlign w:val="subscript"/>
              </w:rPr>
              <w:t>36</w:t>
            </w:r>
            <w:r>
              <w:rPr>
                <w:rFonts w:hint="eastAsia" w:ascii="Times New Roman" w:hAnsi="Times New Roman"/>
                <w:sz w:val="24"/>
                <w:highlight w:val="none"/>
              </w:rPr>
              <w:t>含量在&lt;</w:t>
            </w:r>
            <w:r>
              <w:rPr>
                <w:rFonts w:hint="eastAsia" w:ascii="Times New Roman" w:hAnsi="Times New Roman"/>
                <w:sz w:val="24"/>
                <w:highlight w:val="none"/>
                <w:lang w:val="en-US" w:eastAsia="zh-CN"/>
              </w:rPr>
              <w:t>5</w:t>
            </w:r>
            <w:r>
              <w:rPr>
                <w:rFonts w:hint="eastAsia" w:ascii="Times New Roman" w:hAnsi="Times New Roman"/>
                <w:sz w:val="24"/>
                <w:highlight w:val="none"/>
              </w:rPr>
              <w:t>-398mgkg之间，最大值点位位于FD012（5#装焊平台东侧）；土壤中挥发性有机物和半挥发性有机物检出的有：间-二甲苯&amp;对-二甲苯、正丙基苯、1，2，4-三甲苯、正丁基苯、苯酚、</w:t>
            </w:r>
            <w:r>
              <w:rPr>
                <w:rFonts w:hint="eastAsia" w:ascii="Times New Roman" w:hAnsi="Times New Roman"/>
                <w:sz w:val="24"/>
                <w:highlight w:val="none"/>
                <w:lang w:val="en-US" w:eastAsia="zh-CN"/>
              </w:rPr>
              <w:t>萘</w:t>
            </w:r>
            <w:r>
              <w:rPr>
                <w:rFonts w:hint="eastAsia" w:ascii="Times New Roman" w:hAnsi="Times New Roman"/>
                <w:sz w:val="24"/>
                <w:highlight w:val="none"/>
              </w:rPr>
              <w:t>、2-甲基萘、菲、</w:t>
            </w:r>
            <w:r>
              <w:rPr>
                <w:rFonts w:hint="eastAsia" w:ascii="Times New Roman" w:hAnsi="Times New Roman"/>
                <w:sz w:val="24"/>
                <w:highlight w:val="none"/>
                <w:lang w:val="en-US" w:eastAsia="zh-CN"/>
              </w:rPr>
              <w:t>蒽、荧蒽、芘</w:t>
            </w:r>
            <w:r>
              <w:rPr>
                <w:rFonts w:hint="eastAsia" w:ascii="Times New Roman" w:hAnsi="Times New Roman"/>
                <w:sz w:val="24"/>
                <w:highlight w:val="none"/>
              </w:rPr>
              <w:t>、范、苯并[a]</w:t>
            </w:r>
            <w:r>
              <w:rPr>
                <w:rFonts w:hint="eastAsia" w:ascii="Times New Roman" w:hAnsi="Times New Roman"/>
                <w:sz w:val="24"/>
                <w:highlight w:val="none"/>
                <w:lang w:val="en-US" w:eastAsia="zh-CN"/>
              </w:rPr>
              <w:t>蒽</w:t>
            </w:r>
            <w:r>
              <w:rPr>
                <w:rFonts w:hint="eastAsia" w:ascii="Times New Roman" w:hAnsi="Times New Roman"/>
                <w:sz w:val="24"/>
                <w:highlight w:val="none"/>
              </w:rPr>
              <w:t>、苯并[回荧葱、苯并[</w:t>
            </w:r>
            <w:r>
              <w:rPr>
                <w:rFonts w:hint="eastAsia" w:ascii="Times New Roman" w:hAnsi="Times New Roman"/>
                <w:sz w:val="24"/>
                <w:highlight w:val="none"/>
                <w:lang w:val="en-US" w:eastAsia="zh-CN"/>
              </w:rPr>
              <w:t>b</w:t>
            </w:r>
            <w:r>
              <w:rPr>
                <w:rFonts w:hint="eastAsia" w:ascii="Times New Roman" w:hAnsi="Times New Roman"/>
                <w:sz w:val="24"/>
                <w:highlight w:val="none"/>
              </w:rPr>
              <w:t>]</w:t>
            </w:r>
            <w:r>
              <w:rPr>
                <w:rFonts w:hint="eastAsia" w:ascii="Times New Roman" w:hAnsi="Times New Roman"/>
                <w:sz w:val="24"/>
                <w:highlight w:val="none"/>
                <w:lang w:val="en-US" w:eastAsia="zh-CN"/>
              </w:rPr>
              <w:t>荧蒽</w:t>
            </w:r>
            <w:r>
              <w:rPr>
                <w:rFonts w:hint="eastAsia" w:ascii="Times New Roman" w:hAnsi="Times New Roman"/>
                <w:sz w:val="24"/>
                <w:highlight w:val="none"/>
              </w:rPr>
              <w:t>。土壤样品检出的有机物中苯酚的检出率最高，样品检出率为73.91%，点位检出率为81.25%，多环芳烃类中有9个污染物检出。</w:t>
            </w:r>
          </w:p>
          <w:p>
            <w:pPr>
              <w:numPr>
                <w:ilvl w:val="0"/>
                <w:numId w:val="3"/>
              </w:num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土壤污染物筛选结果表明电镀车间FD003点位存在六价铬超标，检出最大值为44.6m/kg，位于1.5m处，最大超标倍数为13.87，并超过了《土壤还境质量建设用地土壤污染风险管控标准（试行）》（GB36600-2018）第一类围地管制值，最大超标深度至3m</w:t>
            </w:r>
            <w:r>
              <w:rPr>
                <w:rFonts w:hint="eastAsia" w:ascii="Times New Roman" w:hAnsi="Times New Roman"/>
                <w:sz w:val="24"/>
                <w:highlight w:val="none"/>
                <w:lang w:eastAsia="zh-CN"/>
              </w:rPr>
              <w:t>。</w:t>
            </w:r>
          </w:p>
          <w:p>
            <w:pPr>
              <w:numPr>
                <w:ilvl w:val="0"/>
                <w:numId w:val="0"/>
              </w:num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（4）地下水共检出铬、砷和六价铬，总石油烃、vOCs和SVOCs均未检出。地下水中铬含量在ND-1.26mg/L之间，最大值位于FD003-GW，砷含量在0.01037-0.01439mg/L之间，最大值位于FD003-GW，六价铬在FD003-GW检出值为0.601mg/.</w:t>
            </w:r>
          </w:p>
          <w:p>
            <w:pPr>
              <w:numPr>
                <w:ilvl w:val="0"/>
                <w:numId w:val="0"/>
              </w:numPr>
              <w:spacing w:line="360" w:lineRule="auto"/>
              <w:ind w:firstLine="480" w:firstLineChars="200"/>
              <w:rPr>
                <w:rFonts w:hint="eastAsia" w:ascii="Times New Roman" w:hAnsi="Times New Roman" w:eastAsia="宋体"/>
                <w:sz w:val="24"/>
                <w:highlight w:val="none"/>
                <w:lang w:eastAsia="zh-CN"/>
              </w:rPr>
            </w:pPr>
            <w:r>
              <w:rPr>
                <w:rFonts w:hint="eastAsia" w:ascii="Times New Roman" w:hAnsi="Times New Roman"/>
                <w:sz w:val="24"/>
                <w:highlight w:val="none"/>
              </w:rPr>
              <w:t>（5）本项目地块浅层地下水未来不作为饮用水，选用《地下水质量标准》（GB/T 14848-2017）IV类标准值作为筛选值。地下水污染物筛选结果表明电镀车间FD003-GW地下水井六价铬超标，检测结果为0.601mgL，超标倍数为5.01</w:t>
            </w:r>
            <w:r>
              <w:rPr>
                <w:rFonts w:hint="eastAsia" w:ascii="Times New Roman" w:hAnsi="Times New Roman"/>
                <w:sz w:val="24"/>
                <w:highlight w:val="none"/>
                <w:lang w:eastAsia="zh-CN"/>
              </w:rPr>
              <w:t>。</w:t>
            </w:r>
          </w:p>
          <w:p>
            <w:pPr>
              <w:numPr>
                <w:ilvl w:val="0"/>
                <w:numId w:val="0"/>
              </w:numPr>
              <w:spacing w:line="360" w:lineRule="auto"/>
              <w:ind w:firstLine="480" w:firstLineChars="200"/>
              <w:rPr>
                <w:rFonts w:hint="eastAsia" w:ascii="Times New Roman" w:hAnsi="Times New Roman"/>
                <w:sz w:val="24"/>
                <w:highlight w:val="none"/>
              </w:rPr>
            </w:pPr>
            <w:r>
              <w:rPr>
                <w:rFonts w:hint="eastAsia" w:ascii="Times New Roman" w:hAnsi="Times New Roman"/>
                <w:sz w:val="24"/>
                <w:highlight w:val="none"/>
              </w:rPr>
              <w:t>（6）地面积水检出结果分析表明，电镀车间地面积水存在六价铬和铅超标，铸造车间地面积水存在铜、镍和总石油烃超标，后期开发过程中需要处理达标后方可排放。电镀车间地面残留固体检测到铜、锌、铅、镍、砷和总石油烃超标，后续开发中应收集集中处理。</w:t>
            </w:r>
          </w:p>
          <w:p>
            <w:pPr>
              <w:bidi w:val="0"/>
            </w:pPr>
            <w:r>
              <w:drawing>
                <wp:inline distT="0" distB="0" distL="114300" distR="114300">
                  <wp:extent cx="5727065" cy="3596005"/>
                  <wp:effectExtent l="0" t="0" r="6985" b="4445"/>
                  <wp:docPr id="2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8"/>
                          <pic:cNvPicPr>
                            <a:picLocks noChangeAspect="1"/>
                          </pic:cNvPicPr>
                        </pic:nvPicPr>
                        <pic:blipFill>
                          <a:blip r:embed="rId23"/>
                          <a:stretch>
                            <a:fillRect/>
                          </a:stretch>
                        </pic:blipFill>
                        <pic:spPr>
                          <a:xfrm>
                            <a:off x="0" y="0"/>
                            <a:ext cx="5727065" cy="3596005"/>
                          </a:xfrm>
                          <a:prstGeom prst="rect">
                            <a:avLst/>
                          </a:prstGeom>
                          <a:noFill/>
                          <a:ln>
                            <a:noFill/>
                          </a:ln>
                        </pic:spPr>
                      </pic:pic>
                    </a:graphicData>
                  </a:graphic>
                </wp:inline>
              </w:drawing>
            </w:r>
          </w:p>
          <w:p>
            <w:pPr>
              <w:pStyle w:val="8"/>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图1-6  土壤六价铬浓度分布平面及截面图</w:t>
            </w:r>
          </w:p>
          <w:p>
            <w:pPr>
              <w:rPr>
                <w:rFonts w:hint="eastAsia"/>
              </w:rPr>
            </w:pPr>
          </w:p>
          <w:p>
            <w:pPr>
              <w:pStyle w:val="7"/>
              <w:rPr>
                <w:rFonts w:hint="eastAsia"/>
              </w:rPr>
            </w:pPr>
          </w:p>
          <w:p>
            <w:pPr>
              <w:spacing w:line="360" w:lineRule="auto"/>
              <w:rPr>
                <w:rFonts w:ascii="Times New Roman" w:hAnsi="Times New Roman"/>
                <w:sz w:val="24"/>
                <w:highlight w:val="none"/>
              </w:rPr>
            </w:pPr>
            <w:r>
              <w:drawing>
                <wp:inline distT="0" distB="0" distL="114300" distR="114300">
                  <wp:extent cx="5723890" cy="3596640"/>
                  <wp:effectExtent l="0" t="0" r="10160" b="3810"/>
                  <wp:docPr id="3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9"/>
                          <pic:cNvPicPr>
                            <a:picLocks noChangeAspect="1"/>
                          </pic:cNvPicPr>
                        </pic:nvPicPr>
                        <pic:blipFill>
                          <a:blip r:embed="rId24"/>
                          <a:stretch>
                            <a:fillRect/>
                          </a:stretch>
                        </pic:blipFill>
                        <pic:spPr>
                          <a:xfrm>
                            <a:off x="0" y="0"/>
                            <a:ext cx="5723890" cy="3596640"/>
                          </a:xfrm>
                          <a:prstGeom prst="rect">
                            <a:avLst/>
                          </a:prstGeom>
                          <a:noFill/>
                          <a:ln>
                            <a:noFill/>
                          </a:ln>
                        </pic:spPr>
                      </pic:pic>
                    </a:graphicData>
                  </a:graphic>
                </wp:inline>
              </w:drawing>
            </w:r>
          </w:p>
          <w:p>
            <w:pPr>
              <w:spacing w:line="360" w:lineRule="auto"/>
              <w:jc w:val="center"/>
              <w:rPr>
                <w:rFonts w:ascii="Times New Roman" w:hAnsi="Times New Roman"/>
                <w:b/>
                <w:bCs/>
                <w:sz w:val="24"/>
                <w:highlight w:val="none"/>
              </w:rPr>
            </w:pPr>
            <w:r>
              <w:rPr>
                <w:rFonts w:hint="eastAsia" w:ascii="Times New Roman" w:hAnsi="Times New Roman"/>
                <w:b/>
                <w:bCs/>
                <w:sz w:val="24"/>
                <w:highlight w:val="none"/>
              </w:rPr>
              <w:t>图</w:t>
            </w:r>
            <w:r>
              <w:rPr>
                <w:rFonts w:hint="eastAsia" w:ascii="Times New Roman" w:hAnsi="Times New Roman"/>
                <w:b/>
                <w:bCs/>
                <w:sz w:val="24"/>
                <w:highlight w:val="none"/>
                <w:lang w:val="en-US" w:eastAsia="zh-CN"/>
              </w:rPr>
              <w:t xml:space="preserve">1-7  </w:t>
            </w:r>
            <w:r>
              <w:rPr>
                <w:rFonts w:hint="eastAsia" w:ascii="Times New Roman" w:hAnsi="Times New Roman"/>
                <w:b/>
                <w:bCs/>
                <w:sz w:val="24"/>
                <w:highlight w:val="none"/>
              </w:rPr>
              <w:t>土壤总石油烃浓度分布平面及截面图</w:t>
            </w:r>
          </w:p>
          <w:p>
            <w:pPr>
              <w:spacing w:line="360" w:lineRule="auto"/>
            </w:pPr>
            <w:r>
              <w:drawing>
                <wp:inline distT="0" distB="0" distL="114300" distR="114300">
                  <wp:extent cx="5728970" cy="3631565"/>
                  <wp:effectExtent l="0" t="0" r="5080" b="6985"/>
                  <wp:docPr id="3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0"/>
                          <pic:cNvPicPr>
                            <a:picLocks noChangeAspect="1"/>
                          </pic:cNvPicPr>
                        </pic:nvPicPr>
                        <pic:blipFill>
                          <a:blip r:embed="rId25"/>
                          <a:stretch>
                            <a:fillRect/>
                          </a:stretch>
                        </pic:blipFill>
                        <pic:spPr>
                          <a:xfrm>
                            <a:off x="0" y="0"/>
                            <a:ext cx="5728970" cy="3631565"/>
                          </a:xfrm>
                          <a:prstGeom prst="rect">
                            <a:avLst/>
                          </a:prstGeom>
                          <a:noFill/>
                          <a:ln>
                            <a:noFill/>
                          </a:ln>
                        </pic:spPr>
                      </pic:pic>
                    </a:graphicData>
                  </a:graphic>
                </wp:inline>
              </w:drawing>
            </w:r>
          </w:p>
          <w:p>
            <w:pPr>
              <w:pStyle w:val="7"/>
              <w:keepNext/>
              <w:keepLines/>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rPr>
            </w:pPr>
            <w:r>
              <w:rPr>
                <w:rFonts w:hint="default" w:ascii="Times New Roman" w:hAnsi="Times New Roman" w:cs="Times New Roman"/>
              </w:rPr>
              <w:t>图</w:t>
            </w:r>
            <w:r>
              <w:rPr>
                <w:rFonts w:hint="default" w:ascii="Times New Roman" w:hAnsi="Times New Roman" w:cs="Times New Roman"/>
                <w:lang w:val="en-US" w:eastAsia="zh-CN"/>
              </w:rPr>
              <w:t>1-8</w:t>
            </w:r>
            <w:r>
              <w:rPr>
                <w:rFonts w:hint="default" w:ascii="Times New Roman" w:hAnsi="Times New Roman" w:cs="Times New Roman"/>
              </w:rPr>
              <w:t>土壤铜浓度分布平面及</w:t>
            </w:r>
            <w:r>
              <w:rPr>
                <w:rFonts w:hint="eastAsia"/>
              </w:rPr>
              <w:t>截面图</w:t>
            </w:r>
          </w:p>
          <w:p>
            <w:pPr>
              <w:rPr>
                <w:rFonts w:hint="eastAsia"/>
              </w:rPr>
            </w:pPr>
          </w:p>
          <w:p>
            <w:pPr>
              <w:pStyle w:val="7"/>
            </w:pPr>
          </w:p>
          <w:p>
            <w:r>
              <w:drawing>
                <wp:inline distT="0" distB="0" distL="114300" distR="114300">
                  <wp:extent cx="5723255" cy="3600450"/>
                  <wp:effectExtent l="0" t="0" r="10795" b="0"/>
                  <wp:docPr id="3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1"/>
                          <pic:cNvPicPr>
                            <a:picLocks noChangeAspect="1"/>
                          </pic:cNvPicPr>
                        </pic:nvPicPr>
                        <pic:blipFill>
                          <a:blip r:embed="rId26"/>
                          <a:stretch>
                            <a:fillRect/>
                          </a:stretch>
                        </pic:blipFill>
                        <pic:spPr>
                          <a:xfrm>
                            <a:off x="0" y="0"/>
                            <a:ext cx="5723255" cy="3600450"/>
                          </a:xfrm>
                          <a:prstGeom prst="rect">
                            <a:avLst/>
                          </a:prstGeom>
                          <a:noFill/>
                          <a:ln>
                            <a:noFill/>
                          </a:ln>
                        </pic:spPr>
                      </pic:pic>
                    </a:graphicData>
                  </a:graphic>
                </wp:inline>
              </w:drawing>
            </w:r>
          </w:p>
          <w:p>
            <w:pPr>
              <w:spacing w:line="360" w:lineRule="auto"/>
              <w:jc w:val="center"/>
              <w:rPr>
                <w:rFonts w:ascii="Times New Roman" w:hAnsi="Times New Roman"/>
                <w:sz w:val="24"/>
                <w:highlight w:val="none"/>
              </w:rPr>
            </w:pPr>
            <w:r>
              <w:rPr>
                <w:rFonts w:hint="eastAsia" w:ascii="Times New Roman" w:hAnsi="Times New Roman"/>
                <w:b/>
                <w:bCs/>
                <w:sz w:val="24"/>
                <w:highlight w:val="none"/>
              </w:rPr>
              <w:t>图</w:t>
            </w:r>
            <w:r>
              <w:rPr>
                <w:rFonts w:hint="eastAsia" w:ascii="Times New Roman" w:hAnsi="Times New Roman"/>
                <w:b/>
                <w:bCs/>
                <w:sz w:val="24"/>
                <w:highlight w:val="none"/>
                <w:lang w:val="en-US" w:eastAsia="zh-CN"/>
              </w:rPr>
              <w:t xml:space="preserve">1-9 </w:t>
            </w:r>
            <w:r>
              <w:rPr>
                <w:rFonts w:hint="eastAsia" w:ascii="Times New Roman" w:hAnsi="Times New Roman"/>
                <w:b/>
                <w:bCs/>
                <w:sz w:val="24"/>
                <w:highlight w:val="none"/>
              </w:rPr>
              <w:t>地下水六价铬浓度分布平面图</w:t>
            </w:r>
          </w:p>
          <w:p>
            <w:pPr>
              <w:spacing w:line="360" w:lineRule="auto"/>
              <w:rPr>
                <w:rFonts w:ascii="Times New Roman" w:hAnsi="Times New Roman"/>
                <w:sz w:val="24"/>
                <w:highlight w:val="none"/>
              </w:rPr>
            </w:pPr>
            <w:r>
              <w:drawing>
                <wp:inline distT="0" distB="0" distL="114300" distR="114300">
                  <wp:extent cx="5728335" cy="3587115"/>
                  <wp:effectExtent l="0" t="0" r="5715" b="13335"/>
                  <wp:docPr id="3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2"/>
                          <pic:cNvPicPr>
                            <a:picLocks noChangeAspect="1"/>
                          </pic:cNvPicPr>
                        </pic:nvPicPr>
                        <pic:blipFill>
                          <a:blip r:embed="rId27"/>
                          <a:stretch>
                            <a:fillRect/>
                          </a:stretch>
                        </pic:blipFill>
                        <pic:spPr>
                          <a:xfrm>
                            <a:off x="0" y="0"/>
                            <a:ext cx="5728335" cy="3587115"/>
                          </a:xfrm>
                          <a:prstGeom prst="rect">
                            <a:avLst/>
                          </a:prstGeom>
                          <a:noFill/>
                          <a:ln>
                            <a:noFill/>
                          </a:ln>
                        </pic:spPr>
                      </pic:pic>
                    </a:graphicData>
                  </a:graphic>
                </wp:inline>
              </w:drawing>
            </w:r>
          </w:p>
          <w:p>
            <w:pPr>
              <w:spacing w:line="360" w:lineRule="auto"/>
              <w:jc w:val="center"/>
              <w:rPr>
                <w:rFonts w:ascii="Times New Roman" w:hAnsi="Times New Roman"/>
                <w:sz w:val="24"/>
                <w:highlight w:val="none"/>
              </w:rPr>
            </w:pPr>
            <w:r>
              <w:rPr>
                <w:rFonts w:hint="eastAsia" w:ascii="Times New Roman" w:hAnsi="Times New Roman"/>
                <w:b/>
                <w:bCs/>
                <w:sz w:val="24"/>
                <w:highlight w:val="none"/>
              </w:rPr>
              <w:t>图</w:t>
            </w:r>
            <w:r>
              <w:rPr>
                <w:rFonts w:hint="eastAsia" w:ascii="Times New Roman" w:hAnsi="Times New Roman"/>
                <w:b/>
                <w:bCs/>
                <w:sz w:val="24"/>
                <w:highlight w:val="none"/>
                <w:lang w:val="en-US" w:eastAsia="zh-CN"/>
              </w:rPr>
              <w:t xml:space="preserve">1-10 </w:t>
            </w:r>
            <w:r>
              <w:rPr>
                <w:rFonts w:hint="eastAsia" w:ascii="Times New Roman" w:hAnsi="Times New Roman"/>
                <w:b/>
                <w:bCs/>
                <w:sz w:val="24"/>
                <w:highlight w:val="none"/>
              </w:rPr>
              <w:t>地下水</w:t>
            </w:r>
            <w:r>
              <w:rPr>
                <w:rFonts w:hint="eastAsia" w:ascii="Times New Roman" w:hAnsi="Times New Roman"/>
                <w:b/>
                <w:bCs/>
                <w:sz w:val="24"/>
                <w:highlight w:val="none"/>
                <w:lang w:val="en-US" w:eastAsia="zh-CN"/>
              </w:rPr>
              <w:t>总石油烃</w:t>
            </w:r>
            <w:r>
              <w:rPr>
                <w:rFonts w:hint="eastAsia" w:ascii="Times New Roman" w:hAnsi="Times New Roman"/>
                <w:b/>
                <w:bCs/>
                <w:sz w:val="24"/>
                <w:highlight w:val="none"/>
              </w:rPr>
              <w:t>浓度分布平面图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olor w:val="000000"/>
                <w:sz w:val="24"/>
                <w:highlight w:val="none"/>
              </w:rPr>
            </w:pPr>
            <w:r>
              <w:rPr>
                <w:rFonts w:hint="eastAsia" w:ascii="Times New Roman" w:hAnsi="Times New Roman"/>
                <w:sz w:val="24"/>
                <w:highlight w:val="none"/>
                <w:lang w:val="en-US" w:eastAsia="zh-CN"/>
              </w:rPr>
              <w:t>根据</w:t>
            </w:r>
            <w:r>
              <w:rPr>
                <w:rFonts w:hint="eastAsia" w:ascii="Times New Roman" w:hAnsi="Times New Roman"/>
                <w:sz w:val="24"/>
                <w:highlight w:val="none"/>
              </w:rPr>
              <w:t>《芜湖市造船厂原厂址二期地块场地环境调查与风险评估报告》的结论，在对以上点位进行了风险评估的基础上，结果显示这些超标点位风险可接受。</w:t>
            </w:r>
          </w:p>
        </w:tc>
      </w:tr>
    </w:tbl>
    <w:p>
      <w:pPr>
        <w:pStyle w:val="4"/>
        <w:rPr>
          <w:rFonts w:ascii="Times New Roman" w:hAnsi="Times New Roman"/>
        </w:rPr>
      </w:pPr>
      <w:r>
        <w:rPr>
          <w:rFonts w:ascii="Times New Roman" w:hAnsi="Times New Roman"/>
        </w:rPr>
        <w:t>建设项目所在地自然环境简况</w:t>
      </w:r>
    </w:p>
    <w:tbl>
      <w:tblPr>
        <w:tblStyle w:val="27"/>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24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508" w:hRule="atLeast"/>
          <w:jc w:val="center"/>
        </w:trPr>
        <w:tc>
          <w:tcPr>
            <w:tcW w:w="924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Times New Roman" w:hAnsi="Times New Roman"/>
                <w:b/>
                <w:color w:val="000000"/>
                <w:spacing w:val="-6"/>
                <w:sz w:val="28"/>
              </w:rPr>
            </w:pPr>
            <w:r>
              <w:rPr>
                <w:rFonts w:ascii="Times New Roman" w:hAnsi="Times New Roman"/>
                <w:b/>
                <w:color w:val="000000"/>
                <w:spacing w:val="-6"/>
                <w:sz w:val="28"/>
              </w:rPr>
              <w:t>自然环境简况（地形、地貌、地质、气候、气象、水文、植被、生物多样性等）：</w:t>
            </w:r>
          </w:p>
          <w:p>
            <w:pPr>
              <w:spacing w:line="360" w:lineRule="auto"/>
              <w:ind w:firstLine="482" w:firstLineChars="200"/>
              <w:rPr>
                <w:rFonts w:ascii="Times New Roman" w:hAnsi="Times New Roman"/>
                <w:b/>
                <w:sz w:val="24"/>
              </w:rPr>
            </w:pPr>
            <w:r>
              <w:rPr>
                <w:rFonts w:ascii="Times New Roman" w:hAnsi="Times New Roman"/>
                <w:b/>
                <w:sz w:val="24"/>
              </w:rPr>
              <w:t>1、地理位置</w:t>
            </w:r>
          </w:p>
          <w:p>
            <w:pPr>
              <w:spacing w:line="360" w:lineRule="auto"/>
              <w:ind w:firstLine="480" w:firstLineChars="200"/>
              <w:rPr>
                <w:rFonts w:ascii="Times New Roman" w:hAnsi="Times New Roman"/>
                <w:sz w:val="24"/>
              </w:rPr>
            </w:pPr>
            <w:r>
              <w:rPr>
                <w:rFonts w:ascii="Times New Roman" w:hAnsi="Times New Roman"/>
                <w:sz w:val="24"/>
              </w:rPr>
              <w:t>芜湖市位于安徽省东南部，长江下游南岸，其地理位置为东经117°58′～118°43′，北纬30°38′～31°31′，市区坐落在长江与青弋江交汇处，是座有着两千五百多年历史的滨江古城，曾以中国“四大米市“之一闻名遐迩，素有”长江巨埠，皖中之坚“的美誉。 芜湖市域面积5988平方公里，人口384.21万，其中市区面积1064.7平方公里、人口123.8万，下辖无为、芜湖、繁昌、南陵4县和镜湖、弋江、鸠江、三山4区，2个国家级开发区。</w:t>
            </w:r>
          </w:p>
          <w:p>
            <w:pPr>
              <w:spacing w:line="360" w:lineRule="auto"/>
              <w:ind w:firstLine="482" w:firstLineChars="200"/>
              <w:rPr>
                <w:rFonts w:ascii="Times New Roman" w:hAnsi="Times New Roman"/>
                <w:b/>
                <w:sz w:val="24"/>
              </w:rPr>
            </w:pPr>
            <w:r>
              <w:rPr>
                <w:rFonts w:ascii="Times New Roman" w:hAnsi="Times New Roman"/>
                <w:b/>
                <w:sz w:val="24"/>
              </w:rPr>
              <w:t>2、地质地貌</w:t>
            </w:r>
          </w:p>
          <w:p>
            <w:pPr>
              <w:spacing w:line="360" w:lineRule="auto"/>
              <w:ind w:firstLine="480" w:firstLineChars="200"/>
              <w:rPr>
                <w:rFonts w:ascii="Times New Roman" w:hAnsi="Times New Roman"/>
                <w:sz w:val="24"/>
              </w:rPr>
            </w:pPr>
            <w:r>
              <w:rPr>
                <w:rFonts w:ascii="Times New Roman" w:hAnsi="Times New Roman"/>
                <w:sz w:val="24"/>
              </w:rPr>
              <w:t>芜湖市在大地构造上分属淮阳山字型构造东翼下扬子准地台宁芜凹陷南缘，基岩以岩浆岩为主。规划区内绝大部分地质条件良好，主要持力层为可塑状态粘土及砂质粘土，部分为坚硬性粘土，适宜中型以上建筑物。沿青弋江边200m左右地带，土质的主要挂力层为可塑性流动状态的薄层淤泥质土壤和粘土，砂质粘土，宜建中型以下的建筑物。</w:t>
            </w:r>
          </w:p>
          <w:p>
            <w:pPr>
              <w:spacing w:line="360" w:lineRule="auto"/>
              <w:ind w:firstLine="480" w:firstLineChars="200"/>
              <w:rPr>
                <w:rFonts w:ascii="Times New Roman" w:hAnsi="Times New Roman"/>
                <w:sz w:val="24"/>
              </w:rPr>
            </w:pPr>
            <w:r>
              <w:rPr>
                <w:rFonts w:ascii="Times New Roman" w:hAnsi="Times New Roman"/>
                <w:sz w:val="24"/>
              </w:rPr>
              <w:t>总体上地势西高东低、南高北低，属长江中下游冲积平原地貌，主要由河漫滩和阶地构成。而弋江区区内东北高、西南低，地势平坦低洼，且多沟塘；地面标高一般在6～10m之间(黄海高程)，低于1954年洪水位（10.95m）4.0m左右，基本属于圩区，仅有一些低岗在边缘零星分布。</w:t>
            </w:r>
          </w:p>
          <w:p>
            <w:pPr>
              <w:spacing w:line="360" w:lineRule="auto"/>
              <w:ind w:firstLine="482" w:firstLineChars="200"/>
              <w:rPr>
                <w:rFonts w:ascii="Times New Roman" w:hAnsi="Times New Roman"/>
                <w:b/>
                <w:sz w:val="24"/>
              </w:rPr>
            </w:pPr>
            <w:r>
              <w:rPr>
                <w:rFonts w:ascii="Times New Roman" w:hAnsi="Times New Roman"/>
                <w:b/>
                <w:sz w:val="24"/>
              </w:rPr>
              <w:t>3、气侯</w:t>
            </w:r>
          </w:p>
          <w:p>
            <w:pPr>
              <w:spacing w:line="360" w:lineRule="auto"/>
              <w:ind w:firstLine="480" w:firstLineChars="200"/>
              <w:rPr>
                <w:rFonts w:ascii="Times New Roman" w:hAnsi="Times New Roman"/>
                <w:sz w:val="24"/>
              </w:rPr>
            </w:pPr>
            <w:r>
              <w:rPr>
                <w:rFonts w:ascii="Times New Roman" w:hAnsi="Times New Roman"/>
                <w:sz w:val="24"/>
              </w:rPr>
              <w:t>芜湖市属亚热带湿润季风气候。地势南高北低，地形呈不规则长条状；地貌类型多样，平原丘陵皆备，河湖水网密布。芜湖的气候特点是：光照充足，雨量充沛，四季分明，年平均气温15-16摄氏度，日照时数2000小时左右。最热为7-8月，平均气温超过28℃，极端最高气温接近40℃；最冷为1月，月平均气温仅3℃，曾出现过-10℃的极端最低气温。芜湖降雨充沛，年降雨量1200毫米，但分布不均，主要集中在春季、梅雨季节和初冬。</w:t>
            </w:r>
          </w:p>
          <w:p>
            <w:pPr>
              <w:spacing w:line="360" w:lineRule="auto"/>
              <w:ind w:firstLine="482" w:firstLineChars="200"/>
              <w:rPr>
                <w:rFonts w:ascii="Times New Roman" w:hAnsi="Times New Roman"/>
                <w:b/>
                <w:sz w:val="24"/>
              </w:rPr>
            </w:pPr>
            <w:r>
              <w:rPr>
                <w:rFonts w:ascii="Times New Roman" w:hAnsi="Times New Roman"/>
                <w:b/>
                <w:sz w:val="24"/>
              </w:rPr>
              <w:t>4、水文</w:t>
            </w:r>
          </w:p>
          <w:p>
            <w:pPr>
              <w:spacing w:line="360" w:lineRule="auto"/>
              <w:ind w:firstLine="480" w:firstLineChars="200"/>
              <w:rPr>
                <w:rFonts w:ascii="Times New Roman" w:hAnsi="Times New Roman"/>
                <w:sz w:val="24"/>
              </w:rPr>
            </w:pPr>
            <w:r>
              <w:rPr>
                <w:rFonts w:ascii="Times New Roman" w:hAnsi="Times New Roman"/>
                <w:sz w:val="24"/>
              </w:rPr>
              <w:t>区域内主要地表水系为长江，据水文站水文资料统计，本段长江多年平均流量为28300m</w:t>
            </w:r>
            <w:r>
              <w:rPr>
                <w:rFonts w:ascii="Times New Roman" w:hAnsi="Times New Roman"/>
                <w:sz w:val="24"/>
                <w:vertAlign w:val="superscript"/>
              </w:rPr>
              <w:t>3</w:t>
            </w:r>
            <w:r>
              <w:rPr>
                <w:rFonts w:ascii="Times New Roman" w:hAnsi="Times New Roman"/>
                <w:sz w:val="24"/>
              </w:rPr>
              <w:t>/s，终年水量丰沛，冬季为枯水期，年最低水位一般在1～2月，一般在7～8月水位最高。</w:t>
            </w:r>
          </w:p>
          <w:p>
            <w:pPr>
              <w:spacing w:line="360" w:lineRule="auto"/>
              <w:ind w:firstLine="482" w:firstLineChars="200"/>
              <w:rPr>
                <w:rFonts w:ascii="Times New Roman" w:hAnsi="Times New Roman"/>
                <w:b/>
                <w:sz w:val="24"/>
              </w:rPr>
            </w:pPr>
            <w:r>
              <w:rPr>
                <w:rFonts w:ascii="Times New Roman" w:hAnsi="Times New Roman"/>
                <w:b/>
                <w:sz w:val="24"/>
              </w:rPr>
              <w:t>5、土壤</w:t>
            </w:r>
          </w:p>
          <w:p>
            <w:pPr>
              <w:spacing w:line="360" w:lineRule="auto"/>
              <w:ind w:firstLine="480" w:firstLineChars="200"/>
              <w:rPr>
                <w:rFonts w:ascii="Times New Roman" w:hAnsi="Times New Roman"/>
                <w:sz w:val="24"/>
              </w:rPr>
            </w:pPr>
            <w:r>
              <w:rPr>
                <w:rFonts w:ascii="Times New Roman" w:hAnsi="Times New Roman"/>
                <w:sz w:val="24"/>
              </w:rPr>
              <w:t>本项目所属区域地貌分区为冲积平原、侵蚀残丘和长江古老阶地三个基本地貌单元，土壤类型复杂多样，自然土壤有黄棕壤土和砂质粘土，适合发展林业，耕作土壤为水稻土和砂壤土，宜于种植水稻、油菜和各种蔬菜。</w:t>
            </w:r>
          </w:p>
          <w:p>
            <w:pPr>
              <w:spacing w:line="360" w:lineRule="auto"/>
              <w:ind w:firstLine="482" w:firstLineChars="200"/>
              <w:rPr>
                <w:rFonts w:ascii="Times New Roman" w:hAnsi="Times New Roman"/>
                <w:b/>
                <w:sz w:val="24"/>
              </w:rPr>
            </w:pPr>
            <w:r>
              <w:rPr>
                <w:rFonts w:ascii="Times New Roman" w:hAnsi="Times New Roman"/>
                <w:b/>
                <w:sz w:val="24"/>
              </w:rPr>
              <w:t>6、植被</w:t>
            </w:r>
          </w:p>
          <w:p>
            <w:pPr>
              <w:spacing w:line="360" w:lineRule="auto"/>
              <w:ind w:firstLine="480" w:firstLineChars="200"/>
              <w:rPr>
                <w:rFonts w:ascii="Times New Roman" w:hAnsi="Times New Roman"/>
                <w:sz w:val="24"/>
              </w:rPr>
            </w:pPr>
            <w:r>
              <w:rPr>
                <w:rFonts w:ascii="Times New Roman" w:hAnsi="Times New Roman"/>
                <w:sz w:val="24"/>
              </w:rPr>
              <w:t>芜湖属于北亚热带、中亚热带的落叶阔叶林与常绿阔叶林混杂林地带，由于人为影响，原生天然植物已不存在，多为次生和人工林，如马尾松、银杏、水杉、香樟等，主要花卉有月季、杜鹃、牡丹、菊花等。</w:t>
            </w:r>
          </w:p>
          <w:p>
            <w:pPr>
              <w:spacing w:line="360" w:lineRule="auto"/>
              <w:ind w:firstLine="482" w:firstLineChars="200"/>
              <w:rPr>
                <w:rFonts w:ascii="Times New Roman" w:hAnsi="Times New Roman"/>
                <w:b/>
                <w:sz w:val="24"/>
              </w:rPr>
            </w:pPr>
            <w:r>
              <w:rPr>
                <w:rFonts w:ascii="Times New Roman" w:hAnsi="Times New Roman"/>
                <w:b/>
                <w:sz w:val="24"/>
              </w:rPr>
              <w:t>7、动物</w:t>
            </w:r>
          </w:p>
          <w:p>
            <w:pPr>
              <w:spacing w:line="360" w:lineRule="auto"/>
              <w:ind w:firstLine="480" w:firstLineChars="200"/>
              <w:rPr>
                <w:rFonts w:ascii="Times New Roman" w:hAnsi="Times New Roman"/>
                <w:sz w:val="24"/>
              </w:rPr>
            </w:pPr>
            <w:r>
              <w:rPr>
                <w:rFonts w:ascii="Times New Roman" w:hAnsi="Times New Roman"/>
                <w:sz w:val="24"/>
              </w:rPr>
              <w:t>芜湖有山地、丘陵和广阔水面，动物资源丰富，有食用动物、毛皮动物、药源动物和珍稀动物。拟建项目区域内目前已少见野生动物。</w:t>
            </w:r>
          </w:p>
          <w:p>
            <w:pPr>
              <w:spacing w:line="360" w:lineRule="auto"/>
              <w:ind w:firstLine="482" w:firstLineChars="200"/>
              <w:rPr>
                <w:rFonts w:ascii="Times New Roman" w:hAnsi="Times New Roman"/>
                <w:b/>
                <w:sz w:val="24"/>
              </w:rPr>
            </w:pPr>
            <w:r>
              <w:rPr>
                <w:rFonts w:ascii="Times New Roman" w:hAnsi="Times New Roman"/>
                <w:b/>
                <w:sz w:val="24"/>
              </w:rPr>
              <w:t>8、矿产资源</w:t>
            </w:r>
          </w:p>
          <w:p>
            <w:pPr>
              <w:spacing w:line="360" w:lineRule="auto"/>
              <w:ind w:firstLine="480" w:firstLineChars="200"/>
              <w:rPr>
                <w:rFonts w:ascii="Times New Roman" w:hAnsi="Times New Roman"/>
                <w:sz w:val="24"/>
              </w:rPr>
            </w:pPr>
            <w:r>
              <w:rPr>
                <w:rFonts w:ascii="Times New Roman" w:hAnsi="Times New Roman"/>
                <w:sz w:val="24"/>
              </w:rPr>
              <w:t>矿产资源比较丰富，至今已查明的矿产有55种，矿产地逾百处，但储量均不大，仅石灰石等非金属资源储量较大，主要分布在芜湖县白马山和繁昌荻港、马坝等地，其次为铁矿，分布在繁昌县桃冲等地，这些主要矿产均已被开发利用。开发区境内未发现有开采价值的矿产地。</w:t>
            </w: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pStyle w:val="21"/>
              <w:spacing w:line="360" w:lineRule="auto"/>
              <w:ind w:leftChars="0" w:firstLine="0" w:firstLineChars="0"/>
              <w:rPr>
                <w:rFonts w:ascii="Times New Roman" w:hAnsi="Times New Roman"/>
              </w:rPr>
            </w:pPr>
          </w:p>
          <w:p>
            <w:pPr>
              <w:spacing w:line="360" w:lineRule="auto"/>
              <w:rPr>
                <w:rFonts w:ascii="Times New Roman" w:hAnsi="Times New Roman"/>
              </w:rPr>
            </w:pPr>
          </w:p>
          <w:p>
            <w:pPr>
              <w:spacing w:line="360" w:lineRule="auto"/>
              <w:rPr>
                <w:rFonts w:ascii="Times New Roman" w:hAnsi="Times New Roman"/>
                <w:color w:val="000000"/>
                <w:sz w:val="24"/>
                <w:highlight w:val="yellow"/>
              </w:rPr>
            </w:pPr>
          </w:p>
        </w:tc>
      </w:tr>
    </w:tbl>
    <w:p>
      <w:pPr>
        <w:pStyle w:val="4"/>
        <w:rPr>
          <w:rFonts w:ascii="Times New Roman" w:hAnsi="Times New Roman"/>
        </w:rPr>
      </w:pPr>
      <w:r>
        <w:rPr>
          <w:rFonts w:ascii="Times New Roman" w:hAnsi="Times New Roman"/>
        </w:rPr>
        <w:t>环境质量状况</w:t>
      </w:r>
    </w:p>
    <w:tbl>
      <w:tblPr>
        <w:tblStyle w:val="2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28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74" w:hRule="atLeast"/>
          <w:jc w:val="center"/>
        </w:trPr>
        <w:tc>
          <w:tcPr>
            <w:tcW w:w="928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Times New Roman" w:hAnsi="Times New Roman"/>
                <w:sz w:val="24"/>
                <w:szCs w:val="24"/>
              </w:rPr>
            </w:pPr>
            <w:r>
              <w:rPr>
                <w:rFonts w:ascii="Times New Roman" w:hAnsi="Times New Roman"/>
                <w:sz w:val="24"/>
                <w:szCs w:val="24"/>
              </w:rPr>
              <w:t>建设项目所在地区域环境质量现状及主要环境问题（环境空气、地面水、地下水、声环境、生态环境等）：</w:t>
            </w:r>
          </w:p>
          <w:p>
            <w:pPr>
              <w:numPr>
                <w:ilvl w:val="0"/>
                <w:numId w:val="4"/>
              </w:numPr>
              <w:spacing w:line="360" w:lineRule="auto"/>
              <w:ind w:firstLine="482" w:firstLineChars="200"/>
              <w:rPr>
                <w:rFonts w:ascii="Times New Roman" w:hAnsi="Times New Roman"/>
                <w:b/>
                <w:bCs/>
                <w:sz w:val="24"/>
                <w:szCs w:val="24"/>
              </w:rPr>
            </w:pPr>
            <w:bookmarkStart w:id="0" w:name="_Hlk507535386"/>
            <w:r>
              <w:rPr>
                <w:rFonts w:ascii="Times New Roman" w:hAnsi="Times New Roman"/>
                <w:b/>
                <w:bCs/>
                <w:sz w:val="24"/>
                <w:szCs w:val="24"/>
              </w:rPr>
              <w:t>环境空气质量现状</w:t>
            </w:r>
          </w:p>
          <w:p>
            <w:pPr>
              <w:adjustRightInd/>
              <w:snapToGrid/>
              <w:spacing w:line="360" w:lineRule="auto"/>
              <w:ind w:firstLine="480" w:firstLineChars="200"/>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根据《环境影响评价技术导则大气环境》（HJ2.2-2018）内相关要求，需调查项目所在区域环境质量达标情况，判定所在地区域是否为达标区，项目所在区域达标情况判定优先采用国家或地方生态环境主管部门公开发布的环境质量公告或环境质量报告中的数据或结论。一、二级评价还需补充现状监测，用于区域污染物环境质量现状评价以及环境影响预测。</w:t>
            </w:r>
          </w:p>
          <w:p>
            <w:pPr>
              <w:adjustRightInd/>
              <w:snapToGrid/>
              <w:spacing w:line="360" w:lineRule="auto"/>
              <w:ind w:firstLine="480" w:firstLineChars="200"/>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根据《2019年芜湖市生态环境状况公报》，执行芜湖市全年环境空气优良天数为260天，优良率71.82%，优良天数比去年增加15天，轻度污染88天，中度污染12天，重度污染2天，无严重污染天气，重度污染天数比去年减少11天。2019年，芜湖市共设置9座空气质量监测站点，其中，市区设置5座，所辖四县各设置1座。各监测区域污染物浓度汇总及浓度见下表。</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kern w:val="0"/>
                <w:sz w:val="24"/>
              </w:rPr>
            </w:pPr>
            <w:r>
              <w:rPr>
                <w:rFonts w:hint="default" w:ascii="Times New Roman" w:hAnsi="Times New Roman" w:eastAsia="宋体" w:cs="Times New Roman"/>
                <w:b/>
                <w:kern w:val="0"/>
                <w:sz w:val="24"/>
              </w:rPr>
              <w:t>表</w:t>
            </w:r>
            <w:r>
              <w:rPr>
                <w:rFonts w:hint="default" w:ascii="Times New Roman" w:hAnsi="Times New Roman" w:eastAsia="宋体" w:cs="Times New Roman"/>
                <w:b/>
                <w:kern w:val="0"/>
                <w:sz w:val="24"/>
                <w:lang w:val="en-US" w:eastAsia="zh-CN"/>
              </w:rPr>
              <w:t>3</w:t>
            </w:r>
            <w:r>
              <w:rPr>
                <w:rFonts w:hint="default" w:ascii="Times New Roman" w:hAnsi="Times New Roman" w:eastAsia="宋体" w:cs="Times New Roman"/>
                <w:b/>
                <w:kern w:val="0"/>
                <w:sz w:val="24"/>
              </w:rPr>
              <w:t>-1  2019年芜湖市大气污染物平均浓度值    单位：</w:t>
            </w:r>
            <w:r>
              <w:rPr>
                <w:rFonts w:hint="default" w:ascii="Times New Roman" w:hAnsi="Times New Roman" w:eastAsia="宋体" w:cs="Times New Roman"/>
                <w:b/>
                <w:bCs/>
                <w:color w:val="000000"/>
                <w:sz w:val="21"/>
                <w:szCs w:val="21"/>
              </w:rPr>
              <w:t>ug/m</w:t>
            </w:r>
            <w:r>
              <w:rPr>
                <w:rFonts w:hint="default" w:ascii="Times New Roman" w:hAnsi="Times New Roman" w:eastAsia="宋体" w:cs="Times New Roman"/>
                <w:b/>
                <w:bCs/>
                <w:color w:val="000000"/>
                <w:sz w:val="21"/>
                <w:szCs w:val="21"/>
                <w:vertAlign w:val="superscript"/>
              </w:rPr>
              <w:t>3</w:t>
            </w:r>
          </w:p>
          <w:tbl>
            <w:tblPr>
              <w:tblStyle w:val="27"/>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864"/>
              <w:gridCol w:w="1711"/>
              <w:gridCol w:w="895"/>
              <w:gridCol w:w="1109"/>
              <w:gridCol w:w="1185"/>
              <w:gridCol w:w="1104"/>
              <w:gridCol w:w="1102"/>
              <w:gridCol w:w="1100"/>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top w:val="single" w:color="auto" w:sz="4" w:space="0"/>
                    <w:left w:val="single" w:color="000000" w:sz="6"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区县</w:t>
                  </w:r>
                </w:p>
              </w:tc>
              <w:tc>
                <w:tcPr>
                  <w:tcW w:w="1574" w:type="dxa"/>
                  <w:tcBorders>
                    <w:top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监测点名称</w:t>
                  </w:r>
                </w:p>
              </w:tc>
              <w:tc>
                <w:tcPr>
                  <w:tcW w:w="823" w:type="dxa"/>
                  <w:tcBorders>
                    <w:top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SO</w:t>
                  </w:r>
                  <w:r>
                    <w:rPr>
                      <w:rFonts w:hint="default" w:ascii="Times New Roman" w:hAnsi="Times New Roman" w:eastAsia="宋体" w:cs="Times New Roman"/>
                      <w:b/>
                      <w:bCs/>
                      <w:color w:val="000000"/>
                      <w:sz w:val="21"/>
                      <w:szCs w:val="21"/>
                      <w:vertAlign w:val="subscript"/>
                    </w:rPr>
                    <w:t>2</w:t>
                  </w:r>
                </w:p>
              </w:tc>
              <w:tc>
                <w:tcPr>
                  <w:tcW w:w="1020" w:type="dxa"/>
                  <w:tcBorders>
                    <w:top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NO</w:t>
                  </w:r>
                  <w:r>
                    <w:rPr>
                      <w:rFonts w:hint="default" w:ascii="Times New Roman" w:hAnsi="Times New Roman" w:eastAsia="宋体" w:cs="Times New Roman"/>
                      <w:b/>
                      <w:bCs/>
                      <w:color w:val="000000"/>
                      <w:sz w:val="21"/>
                      <w:szCs w:val="21"/>
                      <w:vertAlign w:val="subscript"/>
                    </w:rPr>
                    <w:t>2</w:t>
                  </w:r>
                </w:p>
              </w:tc>
              <w:tc>
                <w:tcPr>
                  <w:tcW w:w="1090" w:type="dxa"/>
                  <w:tcBorders>
                    <w:top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O</w:t>
                  </w:r>
                  <w:r>
                    <w:rPr>
                      <w:rFonts w:hint="default" w:ascii="Times New Roman" w:hAnsi="Times New Roman" w:eastAsia="宋体" w:cs="Times New Roman"/>
                      <w:b/>
                      <w:bCs/>
                      <w:color w:val="000000"/>
                      <w:sz w:val="21"/>
                      <w:szCs w:val="21"/>
                      <w:vertAlign w:val="subscript"/>
                    </w:rPr>
                    <w:t>3</w:t>
                  </w:r>
                  <w:r>
                    <w:rPr>
                      <w:rFonts w:hint="default" w:ascii="Times New Roman" w:hAnsi="Times New Roman" w:eastAsia="宋体" w:cs="Times New Roman"/>
                      <w:b/>
                      <w:bCs/>
                      <w:color w:val="000000"/>
                      <w:sz w:val="21"/>
                      <w:szCs w:val="21"/>
                    </w:rPr>
                    <w:t>8h</w:t>
                  </w:r>
                </w:p>
              </w:tc>
              <w:tc>
                <w:tcPr>
                  <w:tcW w:w="1016" w:type="dxa"/>
                  <w:tcBorders>
                    <w:top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CO</w:t>
                  </w:r>
                </w:p>
              </w:tc>
              <w:tc>
                <w:tcPr>
                  <w:tcW w:w="1014" w:type="dxa"/>
                  <w:tcBorders>
                    <w:top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PM</w:t>
                  </w:r>
                  <w:r>
                    <w:rPr>
                      <w:rFonts w:hint="default" w:ascii="Times New Roman" w:hAnsi="Times New Roman" w:eastAsia="宋体" w:cs="Times New Roman"/>
                      <w:b/>
                      <w:bCs/>
                      <w:color w:val="000000"/>
                      <w:sz w:val="21"/>
                      <w:szCs w:val="21"/>
                      <w:vertAlign w:val="subscript"/>
                    </w:rPr>
                    <w:t>10</w:t>
                  </w:r>
                </w:p>
              </w:tc>
              <w:tc>
                <w:tcPr>
                  <w:tcW w:w="1012" w:type="dxa"/>
                  <w:tcBorders>
                    <w:top w:val="single" w:color="auto" w:sz="4" w:space="0"/>
                    <w:righ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PM</w:t>
                  </w:r>
                  <w:r>
                    <w:rPr>
                      <w:rFonts w:hint="default" w:ascii="Times New Roman" w:hAnsi="Times New Roman" w:eastAsia="宋体" w:cs="Times New Roman"/>
                      <w:b/>
                      <w:bCs/>
                      <w:color w:val="000000"/>
                      <w:sz w:val="21"/>
                      <w:szCs w:val="21"/>
                      <w:vertAlign w:val="subscript"/>
                    </w:rPr>
                    <w:t>2.5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镜湖区</w:t>
                  </w:r>
                </w:p>
              </w:tc>
              <w:tc>
                <w:tcPr>
                  <w:tcW w:w="157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监测站</w:t>
                  </w:r>
                </w:p>
              </w:tc>
              <w:tc>
                <w:tcPr>
                  <w:tcW w:w="823"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w:t>
                  </w:r>
                </w:p>
              </w:tc>
              <w:tc>
                <w:tcPr>
                  <w:tcW w:w="102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40</w:t>
                  </w:r>
                </w:p>
              </w:tc>
              <w:tc>
                <w:tcPr>
                  <w:tcW w:w="109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173</w:t>
                  </w:r>
                </w:p>
              </w:tc>
              <w:tc>
                <w:tcPr>
                  <w:tcW w:w="1016"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1.4</w:t>
                  </w:r>
                </w:p>
              </w:tc>
              <w:tc>
                <w:tcPr>
                  <w:tcW w:w="101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61</w:t>
                  </w:r>
                </w:p>
              </w:tc>
              <w:tc>
                <w:tcPr>
                  <w:tcW w:w="1012" w:type="dxa"/>
                  <w:tcBorders>
                    <w:righ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弋江区</w:t>
                  </w:r>
                </w:p>
              </w:tc>
              <w:tc>
                <w:tcPr>
                  <w:tcW w:w="157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四水厂</w:t>
                  </w:r>
                </w:p>
              </w:tc>
              <w:tc>
                <w:tcPr>
                  <w:tcW w:w="823"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8</w:t>
                  </w:r>
                </w:p>
              </w:tc>
              <w:tc>
                <w:tcPr>
                  <w:tcW w:w="102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44</w:t>
                  </w:r>
                </w:p>
              </w:tc>
              <w:tc>
                <w:tcPr>
                  <w:tcW w:w="109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170</w:t>
                  </w:r>
                </w:p>
              </w:tc>
              <w:tc>
                <w:tcPr>
                  <w:tcW w:w="1016"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1.3</w:t>
                  </w:r>
                </w:p>
              </w:tc>
              <w:tc>
                <w:tcPr>
                  <w:tcW w:w="101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62</w:t>
                  </w:r>
                </w:p>
              </w:tc>
              <w:tc>
                <w:tcPr>
                  <w:tcW w:w="1012" w:type="dxa"/>
                  <w:tcBorders>
                    <w:righ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42</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经开区</w:t>
                  </w:r>
                </w:p>
              </w:tc>
              <w:tc>
                <w:tcPr>
                  <w:tcW w:w="157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科创中心</w:t>
                  </w:r>
                </w:p>
              </w:tc>
              <w:tc>
                <w:tcPr>
                  <w:tcW w:w="823"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w:t>
                  </w:r>
                </w:p>
              </w:tc>
              <w:tc>
                <w:tcPr>
                  <w:tcW w:w="102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39</w:t>
                  </w:r>
                </w:p>
              </w:tc>
              <w:tc>
                <w:tcPr>
                  <w:tcW w:w="109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180</w:t>
                  </w:r>
                </w:p>
              </w:tc>
              <w:tc>
                <w:tcPr>
                  <w:tcW w:w="1016"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1.3</w:t>
                  </w:r>
                </w:p>
              </w:tc>
              <w:tc>
                <w:tcPr>
                  <w:tcW w:w="101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65</w:t>
                  </w:r>
                </w:p>
              </w:tc>
              <w:tc>
                <w:tcPr>
                  <w:tcW w:w="1012" w:type="dxa"/>
                  <w:tcBorders>
                    <w:righ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46</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鸠江区</w:t>
                  </w:r>
                </w:p>
              </w:tc>
              <w:tc>
                <w:tcPr>
                  <w:tcW w:w="157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济民医院</w:t>
                  </w:r>
                </w:p>
              </w:tc>
              <w:tc>
                <w:tcPr>
                  <w:tcW w:w="823"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w:t>
                  </w:r>
                </w:p>
              </w:tc>
              <w:tc>
                <w:tcPr>
                  <w:tcW w:w="102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36</w:t>
                  </w:r>
                </w:p>
              </w:tc>
              <w:tc>
                <w:tcPr>
                  <w:tcW w:w="109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172</w:t>
                  </w:r>
                </w:p>
              </w:tc>
              <w:tc>
                <w:tcPr>
                  <w:tcW w:w="1016"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1.4</w:t>
                  </w:r>
                </w:p>
              </w:tc>
              <w:tc>
                <w:tcPr>
                  <w:tcW w:w="101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60</w:t>
                  </w:r>
                </w:p>
              </w:tc>
              <w:tc>
                <w:tcPr>
                  <w:tcW w:w="1012" w:type="dxa"/>
                  <w:tcBorders>
                    <w:righ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三山区</w:t>
                  </w:r>
                </w:p>
              </w:tc>
              <w:tc>
                <w:tcPr>
                  <w:tcW w:w="157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扬子学院</w:t>
                  </w:r>
                </w:p>
              </w:tc>
              <w:tc>
                <w:tcPr>
                  <w:tcW w:w="823"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w:t>
                  </w:r>
                </w:p>
              </w:tc>
              <w:tc>
                <w:tcPr>
                  <w:tcW w:w="102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28</w:t>
                  </w:r>
                </w:p>
              </w:tc>
              <w:tc>
                <w:tcPr>
                  <w:tcW w:w="109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186</w:t>
                  </w:r>
                </w:p>
              </w:tc>
              <w:tc>
                <w:tcPr>
                  <w:tcW w:w="1016"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1.4</w:t>
                  </w:r>
                </w:p>
              </w:tc>
              <w:tc>
                <w:tcPr>
                  <w:tcW w:w="101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76</w:t>
                  </w:r>
                </w:p>
              </w:tc>
              <w:tc>
                <w:tcPr>
                  <w:tcW w:w="1012" w:type="dxa"/>
                  <w:tcBorders>
                    <w:righ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47</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无为县</w:t>
                  </w:r>
                </w:p>
              </w:tc>
              <w:tc>
                <w:tcPr>
                  <w:tcW w:w="157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无为县环保局</w:t>
                  </w:r>
                </w:p>
              </w:tc>
              <w:tc>
                <w:tcPr>
                  <w:tcW w:w="823"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w:t>
                  </w:r>
                </w:p>
              </w:tc>
              <w:tc>
                <w:tcPr>
                  <w:tcW w:w="102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38</w:t>
                  </w:r>
                </w:p>
              </w:tc>
              <w:tc>
                <w:tcPr>
                  <w:tcW w:w="109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184</w:t>
                  </w:r>
                </w:p>
              </w:tc>
              <w:tc>
                <w:tcPr>
                  <w:tcW w:w="1016"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1.4</w:t>
                  </w:r>
                </w:p>
              </w:tc>
              <w:tc>
                <w:tcPr>
                  <w:tcW w:w="101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90</w:t>
                  </w:r>
                </w:p>
              </w:tc>
              <w:tc>
                <w:tcPr>
                  <w:tcW w:w="1012" w:type="dxa"/>
                  <w:tcBorders>
                    <w:righ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芜湖县</w:t>
                  </w:r>
                </w:p>
              </w:tc>
              <w:tc>
                <w:tcPr>
                  <w:tcW w:w="157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芜湖县城南站</w:t>
                  </w:r>
                </w:p>
              </w:tc>
              <w:tc>
                <w:tcPr>
                  <w:tcW w:w="823"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11</w:t>
                  </w:r>
                </w:p>
              </w:tc>
              <w:tc>
                <w:tcPr>
                  <w:tcW w:w="102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26</w:t>
                  </w:r>
                </w:p>
              </w:tc>
              <w:tc>
                <w:tcPr>
                  <w:tcW w:w="109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196</w:t>
                  </w:r>
                </w:p>
              </w:tc>
              <w:tc>
                <w:tcPr>
                  <w:tcW w:w="1016"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1.2</w:t>
                  </w:r>
                </w:p>
              </w:tc>
              <w:tc>
                <w:tcPr>
                  <w:tcW w:w="101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62</w:t>
                  </w:r>
                </w:p>
              </w:tc>
              <w:tc>
                <w:tcPr>
                  <w:tcW w:w="1012" w:type="dxa"/>
                  <w:tcBorders>
                    <w:righ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39</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繁昌县</w:t>
                  </w:r>
                </w:p>
              </w:tc>
              <w:tc>
                <w:tcPr>
                  <w:tcW w:w="157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繁昌县老年大学</w:t>
                  </w:r>
                </w:p>
              </w:tc>
              <w:tc>
                <w:tcPr>
                  <w:tcW w:w="823"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w:t>
                  </w:r>
                </w:p>
              </w:tc>
              <w:tc>
                <w:tcPr>
                  <w:tcW w:w="102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23</w:t>
                  </w:r>
                </w:p>
              </w:tc>
              <w:tc>
                <w:tcPr>
                  <w:tcW w:w="109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185</w:t>
                  </w:r>
                </w:p>
              </w:tc>
              <w:tc>
                <w:tcPr>
                  <w:tcW w:w="1016"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1.3</w:t>
                  </w:r>
                </w:p>
              </w:tc>
              <w:tc>
                <w:tcPr>
                  <w:tcW w:w="101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67</w:t>
                  </w:r>
                </w:p>
              </w:tc>
              <w:tc>
                <w:tcPr>
                  <w:tcW w:w="1012" w:type="dxa"/>
                  <w:tcBorders>
                    <w:righ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795" w:type="dxa"/>
                  <w:tcBorders>
                    <w:lef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南陵县</w:t>
                  </w:r>
                </w:p>
              </w:tc>
              <w:tc>
                <w:tcPr>
                  <w:tcW w:w="157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南陵县交通局</w:t>
                  </w:r>
                </w:p>
              </w:tc>
              <w:tc>
                <w:tcPr>
                  <w:tcW w:w="823"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11</w:t>
                  </w:r>
                </w:p>
              </w:tc>
              <w:tc>
                <w:tcPr>
                  <w:tcW w:w="102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30</w:t>
                  </w:r>
                </w:p>
              </w:tc>
              <w:tc>
                <w:tcPr>
                  <w:tcW w:w="109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173</w:t>
                  </w:r>
                </w:p>
              </w:tc>
              <w:tc>
                <w:tcPr>
                  <w:tcW w:w="1016"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1.1</w:t>
                  </w:r>
                </w:p>
              </w:tc>
              <w:tc>
                <w:tcPr>
                  <w:tcW w:w="101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69</w:t>
                  </w:r>
                </w:p>
              </w:tc>
              <w:tc>
                <w:tcPr>
                  <w:tcW w:w="1012" w:type="dxa"/>
                  <w:tcBorders>
                    <w:righ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2369" w:type="dxa"/>
                  <w:gridSpan w:val="2"/>
                  <w:tcBorders>
                    <w:lef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标准值</w:t>
                  </w:r>
                </w:p>
              </w:tc>
              <w:tc>
                <w:tcPr>
                  <w:tcW w:w="823"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60</w:t>
                  </w:r>
                </w:p>
              </w:tc>
              <w:tc>
                <w:tcPr>
                  <w:tcW w:w="102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40</w:t>
                  </w:r>
                </w:p>
              </w:tc>
              <w:tc>
                <w:tcPr>
                  <w:tcW w:w="1090"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160</w:t>
                  </w:r>
                </w:p>
              </w:tc>
              <w:tc>
                <w:tcPr>
                  <w:tcW w:w="1016"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1014" w:type="dxa"/>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70</w:t>
                  </w:r>
                </w:p>
              </w:tc>
              <w:tc>
                <w:tcPr>
                  <w:tcW w:w="1012" w:type="dxa"/>
                  <w:tcBorders>
                    <w:righ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2369" w:type="dxa"/>
                  <w:gridSpan w:val="2"/>
                  <w:tcBorders>
                    <w:left w:val="single" w:color="auto" w:sz="4" w:space="0"/>
                    <w:bottom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达标情况</w:t>
                  </w:r>
                </w:p>
              </w:tc>
              <w:tc>
                <w:tcPr>
                  <w:tcW w:w="823" w:type="dxa"/>
                  <w:tcBorders>
                    <w:bottom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达标</w:t>
                  </w:r>
                </w:p>
              </w:tc>
              <w:tc>
                <w:tcPr>
                  <w:tcW w:w="1020" w:type="dxa"/>
                  <w:tcBorders>
                    <w:bottom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不达标</w:t>
                  </w:r>
                </w:p>
              </w:tc>
              <w:tc>
                <w:tcPr>
                  <w:tcW w:w="1090" w:type="dxa"/>
                  <w:tcBorders>
                    <w:bottom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不达标</w:t>
                  </w:r>
                </w:p>
              </w:tc>
              <w:tc>
                <w:tcPr>
                  <w:tcW w:w="1016" w:type="dxa"/>
                  <w:tcBorders>
                    <w:bottom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达标</w:t>
                  </w:r>
                </w:p>
              </w:tc>
              <w:tc>
                <w:tcPr>
                  <w:tcW w:w="1014" w:type="dxa"/>
                  <w:tcBorders>
                    <w:bottom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不达标</w:t>
                  </w:r>
                </w:p>
              </w:tc>
              <w:tc>
                <w:tcPr>
                  <w:tcW w:w="1012" w:type="dxa"/>
                  <w:tcBorders>
                    <w:bottom w:val="single" w:color="auto" w:sz="4" w:space="0"/>
                    <w:right w:val="single" w:color="auto" w:sz="4" w:space="0"/>
                  </w:tcBorders>
                  <w:noWrap w:val="0"/>
                  <w:tcMar>
                    <w:top w:w="15" w:type="dxa"/>
                    <w:left w:w="15" w:type="dxa"/>
                    <w:bottom w:w="0" w:type="dxa"/>
                    <w:right w:w="15" w:type="dxa"/>
                  </w:tcMar>
                  <w:vAlign w:val="center"/>
                </w:tcPr>
                <w:p>
                  <w:pPr>
                    <w:keepNext/>
                    <w:keepLines/>
                    <w:adjustRightInd/>
                    <w:snapToGrid/>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不达标</w:t>
                  </w:r>
                </w:p>
              </w:tc>
            </w:tr>
          </w:tbl>
          <w:p>
            <w:pPr>
              <w:adjustRightInd/>
              <w:snapToGrid/>
              <w:spacing w:line="360" w:lineRule="auto"/>
              <w:ind w:firstLine="480" w:firstLineChars="200"/>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由上表监测数据判定，芜湖市区域环境空气执行</w:t>
            </w:r>
            <w:r>
              <w:rPr>
                <w:rFonts w:hint="default" w:ascii="Times New Roman" w:hAnsi="Times New Roman" w:eastAsia="宋体" w:cs="Times New Roman"/>
                <w:sz w:val="24"/>
              </w:rPr>
              <w:t>《环境空气质量标准》（GB3095－2012）中二类区标准，</w:t>
            </w:r>
            <w:r>
              <w:rPr>
                <w:rFonts w:hint="default" w:ascii="Times New Roman" w:hAnsi="Times New Roman" w:eastAsia="宋体" w:cs="Times New Roman"/>
                <w:kern w:val="0"/>
                <w:sz w:val="24"/>
                <w:szCs w:val="20"/>
              </w:rPr>
              <w:t>芜湖市为环境空气为“不达标区”，超标因子为NO</w:t>
            </w:r>
            <w:r>
              <w:rPr>
                <w:rFonts w:hint="default" w:ascii="Times New Roman" w:hAnsi="Times New Roman" w:eastAsia="宋体" w:cs="Times New Roman"/>
                <w:kern w:val="0"/>
                <w:sz w:val="24"/>
                <w:szCs w:val="20"/>
                <w:vertAlign w:val="subscript"/>
              </w:rPr>
              <w:t>2</w:t>
            </w:r>
            <w:r>
              <w:rPr>
                <w:rFonts w:hint="default" w:ascii="Times New Roman" w:hAnsi="Times New Roman" w:eastAsia="宋体" w:cs="Times New Roman"/>
                <w:kern w:val="0"/>
                <w:sz w:val="24"/>
                <w:szCs w:val="20"/>
              </w:rPr>
              <w:t>、PM</w:t>
            </w:r>
            <w:r>
              <w:rPr>
                <w:rFonts w:hint="default" w:ascii="Times New Roman" w:hAnsi="Times New Roman" w:eastAsia="宋体" w:cs="Times New Roman"/>
                <w:kern w:val="0"/>
                <w:sz w:val="24"/>
                <w:szCs w:val="20"/>
                <w:vertAlign w:val="subscript"/>
              </w:rPr>
              <w:t>10</w:t>
            </w:r>
            <w:r>
              <w:rPr>
                <w:rFonts w:hint="default" w:ascii="Times New Roman" w:hAnsi="Times New Roman" w:eastAsia="宋体" w:cs="Times New Roman"/>
                <w:kern w:val="0"/>
                <w:sz w:val="24"/>
                <w:szCs w:val="20"/>
              </w:rPr>
              <w:t>、PM</w:t>
            </w:r>
            <w:r>
              <w:rPr>
                <w:rFonts w:hint="default" w:ascii="Times New Roman" w:hAnsi="Times New Roman" w:eastAsia="宋体" w:cs="Times New Roman"/>
                <w:kern w:val="0"/>
                <w:sz w:val="24"/>
                <w:szCs w:val="20"/>
                <w:vertAlign w:val="subscript"/>
              </w:rPr>
              <w:t>2.5</w:t>
            </w:r>
            <w:r>
              <w:rPr>
                <w:rFonts w:hint="default" w:ascii="Times New Roman" w:hAnsi="Times New Roman" w:eastAsia="宋体" w:cs="Times New Roman"/>
                <w:kern w:val="0"/>
                <w:sz w:val="24"/>
                <w:szCs w:val="20"/>
              </w:rPr>
              <w:t>和O</w:t>
            </w:r>
            <w:r>
              <w:rPr>
                <w:rFonts w:hint="default" w:ascii="Times New Roman" w:hAnsi="Times New Roman" w:eastAsia="宋体" w:cs="Times New Roman"/>
                <w:kern w:val="0"/>
                <w:sz w:val="24"/>
                <w:szCs w:val="20"/>
                <w:vertAlign w:val="subscript"/>
              </w:rPr>
              <w:t>3</w:t>
            </w:r>
            <w:r>
              <w:rPr>
                <w:rFonts w:hint="default" w:ascii="Times New Roman" w:hAnsi="Times New Roman" w:eastAsia="宋体" w:cs="Times New Roman"/>
                <w:kern w:val="0"/>
                <w:sz w:val="24"/>
                <w:szCs w:val="20"/>
              </w:rPr>
              <w:t>。超标原因可能为：市区受区域扬尘、道路工程施工、工业污染源排放量偏高，以及外源污染传输叠加影响。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2"/>
              </w:rPr>
            </w:pPr>
            <w:r>
              <w:rPr>
                <w:rFonts w:hint="default" w:ascii="Times New Roman" w:hAnsi="Times New Roman" w:eastAsia="宋体" w:cs="Times New Roman"/>
                <w:sz w:val="24"/>
              </w:rPr>
              <w:t>2019年，芜湖市坚持以改善空气质量为核心，控煤、控气、控车、控尘、控烧“五控”措施协同实施。水泥行业提标治理和钢铁行业超低排放改造同步进行，重点企业挥发性有机物</w:t>
            </w:r>
            <w:r>
              <w:rPr>
                <w:rFonts w:hint="default" w:ascii="Times New Roman" w:hAnsi="Times New Roman" w:eastAsia="宋体" w:cs="Times New Roman"/>
                <w:sz w:val="24"/>
                <w:szCs w:val="22"/>
              </w:rPr>
              <w:t>VOCs“一厂一策”治理基本完成，柴油货车攻坚战全面打响。全年二氧化硫排放量同比减少1542.7吨，较2015年下降20.1%；氮氧化物排放量同比减少3528.7吨，较2015年下降17.9%；</w:t>
            </w:r>
          </w:p>
          <w:p>
            <w:pPr>
              <w:spacing w:line="360" w:lineRule="auto"/>
              <w:ind w:firstLine="480" w:firstLineChars="200"/>
              <w:jc w:val="left"/>
              <w:rPr>
                <w:rFonts w:ascii="Times New Roman" w:hAnsi="Times New Roman"/>
                <w:sz w:val="24"/>
              </w:rPr>
            </w:pPr>
            <w:r>
              <w:rPr>
                <w:rFonts w:ascii="Times New Roman" w:hAnsi="Times New Roman"/>
                <w:sz w:val="24"/>
              </w:rPr>
              <w:t>2、地表水环境</w:t>
            </w:r>
          </w:p>
          <w:p>
            <w:pPr>
              <w:spacing w:line="360" w:lineRule="auto"/>
              <w:ind w:firstLine="480" w:firstLineChars="200"/>
              <w:jc w:val="left"/>
              <w:rPr>
                <w:rFonts w:ascii="Times New Roman" w:hAnsi="Times New Roman"/>
                <w:sz w:val="24"/>
              </w:rPr>
            </w:pPr>
            <w:r>
              <w:rPr>
                <w:rFonts w:ascii="Times New Roman" w:hAnsi="Times New Roman"/>
                <w:sz w:val="24"/>
              </w:rPr>
              <w:t>本次环境地表水质量现状评价引用《明基材料（芜湖）有限公司年产7000万平方米锂电池隔膜生产线项目环境影响报告表》，地表水现状监测时间为201</w:t>
            </w:r>
            <w:r>
              <w:rPr>
                <w:rFonts w:hint="eastAsia" w:ascii="Times New Roman" w:hAnsi="Times New Roman"/>
                <w:sz w:val="24"/>
              </w:rPr>
              <w:t>7</w:t>
            </w:r>
            <w:r>
              <w:rPr>
                <w:rFonts w:ascii="Times New Roman" w:hAnsi="Times New Roman"/>
                <w:sz w:val="24"/>
              </w:rPr>
              <w:t xml:space="preserve">年7月。现状监测的时效符合建设项目环境影响评价技术导则的要求。地表水环境质量现状监测断面布点情况及监测结果见下表。  </w:t>
            </w:r>
          </w:p>
          <w:p>
            <w:pPr>
              <w:spacing w:line="360" w:lineRule="auto"/>
              <w:jc w:val="center"/>
              <w:rPr>
                <w:rFonts w:ascii="Times New Roman" w:hAnsi="Times New Roman"/>
                <w:b/>
                <w:bCs/>
                <w:sz w:val="24"/>
              </w:rPr>
            </w:pPr>
            <w:r>
              <w:rPr>
                <w:rFonts w:ascii="Times New Roman" w:hAnsi="Times New Roman"/>
                <w:b/>
                <w:bCs/>
                <w:sz w:val="24"/>
              </w:rPr>
              <w:t>表</w:t>
            </w:r>
            <w:r>
              <w:rPr>
                <w:rFonts w:hint="eastAsia" w:ascii="Times New Roman" w:hAnsi="Times New Roman"/>
                <w:b/>
                <w:bCs/>
                <w:sz w:val="24"/>
              </w:rPr>
              <w:t>3-3</w:t>
            </w:r>
            <w:r>
              <w:rPr>
                <w:rFonts w:ascii="Times New Roman" w:hAnsi="Times New Roman"/>
                <w:b/>
                <w:bCs/>
                <w:sz w:val="24"/>
              </w:rPr>
              <w:t xml:space="preserve"> 水质监测结果统计表   单位：mg/L（pH无量纲）</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11"/>
              <w:gridCol w:w="2211"/>
              <w:gridCol w:w="2210"/>
              <w:gridCol w:w="22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11" w:type="dxa"/>
                  <w:vMerge w:val="restart"/>
                  <w:tcBorders>
                    <w:top w:val="single" w:color="auto" w:sz="4" w:space="0"/>
                    <w:left w:val="single" w:color="auto" w:sz="0" w:space="0"/>
                  </w:tcBorders>
                  <w:noWrap w:val="0"/>
                  <w:vAlign w:val="center"/>
                </w:tcPr>
                <w:p>
                  <w:pPr>
                    <w:spacing w:line="240" w:lineRule="atLeast"/>
                    <w:jc w:val="center"/>
                    <w:rPr>
                      <w:rFonts w:ascii="Times New Roman" w:hAnsi="Times New Roman"/>
                      <w:szCs w:val="21"/>
                    </w:rPr>
                  </w:pPr>
                  <w:r>
                    <w:rPr>
                      <w:rFonts w:ascii="Times New Roman" w:hAnsi="Times New Roman"/>
                      <w:szCs w:val="21"/>
                    </w:rPr>
                    <w:t>监测项目</w:t>
                  </w:r>
                </w:p>
              </w:tc>
              <w:tc>
                <w:tcPr>
                  <w:tcW w:w="6633" w:type="dxa"/>
                  <w:gridSpan w:val="3"/>
                  <w:tcBorders>
                    <w:top w:val="single" w:color="auto" w:sz="4" w:space="0"/>
                    <w:right w:val="single" w:color="auto" w:sz="4" w:space="0"/>
                  </w:tcBorders>
                  <w:noWrap w:val="0"/>
                  <w:vAlign w:val="center"/>
                </w:tcPr>
                <w:p>
                  <w:pPr>
                    <w:spacing w:line="240" w:lineRule="atLeast"/>
                    <w:jc w:val="center"/>
                    <w:rPr>
                      <w:rFonts w:ascii="Times New Roman" w:hAnsi="Times New Roman"/>
                      <w:szCs w:val="21"/>
                    </w:rPr>
                  </w:pPr>
                  <w:r>
                    <w:rPr>
                      <w:rFonts w:ascii="Times New Roman" w:hAnsi="Times New Roman"/>
                      <w:szCs w:val="21"/>
                    </w:rPr>
                    <w:t>监测统计结果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11" w:type="dxa"/>
                  <w:vMerge w:val="continue"/>
                  <w:tcBorders>
                    <w:left w:val="single" w:color="auto" w:sz="4" w:space="0"/>
                  </w:tcBorders>
                  <w:noWrap w:val="0"/>
                  <w:vAlign w:val="center"/>
                </w:tcPr>
                <w:p>
                  <w:pPr>
                    <w:spacing w:line="240" w:lineRule="atLeast"/>
                    <w:jc w:val="center"/>
                    <w:rPr>
                      <w:rFonts w:ascii="Times New Roman" w:hAnsi="Times New Roman"/>
                      <w:szCs w:val="21"/>
                    </w:rPr>
                  </w:pPr>
                </w:p>
              </w:tc>
              <w:tc>
                <w:tcPr>
                  <w:tcW w:w="2211" w:type="dxa"/>
                  <w:noWrap w:val="0"/>
                  <w:vAlign w:val="center"/>
                </w:tcPr>
                <w:p>
                  <w:pPr>
                    <w:spacing w:line="240" w:lineRule="atLeast"/>
                    <w:jc w:val="center"/>
                    <w:rPr>
                      <w:rFonts w:ascii="Times New Roman" w:hAnsi="Times New Roman"/>
                      <w:szCs w:val="21"/>
                    </w:rPr>
                  </w:pPr>
                  <w:r>
                    <w:rPr>
                      <w:rFonts w:hint="eastAsia" w:ascii="Times New Roman" w:hAnsi="Times New Roman"/>
                      <w:szCs w:val="21"/>
                      <w:lang w:eastAsia="zh-CN"/>
                    </w:rPr>
                    <w:t>朱家桥污水处理厂</w:t>
                  </w:r>
                  <w:r>
                    <w:rPr>
                      <w:rFonts w:ascii="Times New Roman" w:hAnsi="Times New Roman"/>
                      <w:szCs w:val="21"/>
                    </w:rPr>
                    <w:t>总排污口上游500m</w:t>
                  </w:r>
                </w:p>
              </w:tc>
              <w:tc>
                <w:tcPr>
                  <w:tcW w:w="2210" w:type="dxa"/>
                  <w:noWrap w:val="0"/>
                  <w:vAlign w:val="center"/>
                </w:tcPr>
                <w:p>
                  <w:pPr>
                    <w:spacing w:line="240" w:lineRule="atLeast"/>
                    <w:jc w:val="center"/>
                    <w:rPr>
                      <w:rFonts w:ascii="Times New Roman" w:hAnsi="Times New Roman"/>
                      <w:szCs w:val="21"/>
                    </w:rPr>
                  </w:pPr>
                  <w:r>
                    <w:rPr>
                      <w:rFonts w:hint="eastAsia" w:ascii="Times New Roman" w:hAnsi="Times New Roman"/>
                      <w:szCs w:val="21"/>
                      <w:lang w:eastAsia="zh-CN"/>
                    </w:rPr>
                    <w:t>朱家桥污水处理厂</w:t>
                  </w:r>
                  <w:r>
                    <w:rPr>
                      <w:rFonts w:ascii="Times New Roman" w:hAnsi="Times New Roman"/>
                      <w:szCs w:val="21"/>
                    </w:rPr>
                    <w:t>总排污口</w:t>
                  </w:r>
                  <w:r>
                    <w:rPr>
                      <w:rFonts w:hint="eastAsia" w:ascii="Times New Roman" w:hAnsi="Times New Roman"/>
                      <w:szCs w:val="21"/>
                    </w:rPr>
                    <w:t>下</w:t>
                  </w:r>
                  <w:r>
                    <w:rPr>
                      <w:rFonts w:ascii="Times New Roman" w:hAnsi="Times New Roman"/>
                      <w:szCs w:val="21"/>
                    </w:rPr>
                    <w:t>游500m</w:t>
                  </w:r>
                </w:p>
              </w:tc>
              <w:tc>
                <w:tcPr>
                  <w:tcW w:w="2212" w:type="dxa"/>
                  <w:tcBorders>
                    <w:right w:val="single" w:color="auto" w:sz="4" w:space="0"/>
                  </w:tcBorders>
                  <w:noWrap w:val="0"/>
                  <w:vAlign w:val="center"/>
                </w:tcPr>
                <w:p>
                  <w:pPr>
                    <w:spacing w:line="240" w:lineRule="atLeast"/>
                    <w:jc w:val="center"/>
                    <w:rPr>
                      <w:rFonts w:ascii="Times New Roman" w:hAnsi="Times New Roman"/>
                      <w:szCs w:val="21"/>
                    </w:rPr>
                  </w:pPr>
                  <w:r>
                    <w:rPr>
                      <w:rFonts w:hint="eastAsia" w:ascii="Times New Roman" w:hAnsi="Times New Roman"/>
                      <w:szCs w:val="21"/>
                      <w:lang w:eastAsia="zh-CN"/>
                    </w:rPr>
                    <w:t>朱家桥污水处理厂</w:t>
                  </w:r>
                  <w:r>
                    <w:rPr>
                      <w:rFonts w:ascii="Times New Roman" w:hAnsi="Times New Roman"/>
                      <w:szCs w:val="21"/>
                    </w:rPr>
                    <w:t>总排污口</w:t>
                  </w:r>
                  <w:r>
                    <w:rPr>
                      <w:rFonts w:hint="eastAsia" w:ascii="Times New Roman" w:hAnsi="Times New Roman"/>
                      <w:szCs w:val="21"/>
                    </w:rPr>
                    <w:t>下</w:t>
                  </w:r>
                  <w:r>
                    <w:rPr>
                      <w:rFonts w:ascii="Times New Roman" w:hAnsi="Times New Roman"/>
                      <w:szCs w:val="21"/>
                    </w:rPr>
                    <w:t>游</w:t>
                  </w:r>
                  <w:r>
                    <w:rPr>
                      <w:rFonts w:hint="eastAsia" w:ascii="Times New Roman" w:hAnsi="Times New Roman"/>
                      <w:szCs w:val="21"/>
                    </w:rPr>
                    <w:t>100</w:t>
                  </w:r>
                  <w:r>
                    <w:rPr>
                      <w:rFonts w:ascii="Times New Roman" w:hAnsi="Times New Roman"/>
                      <w:szCs w:val="21"/>
                    </w:rPr>
                    <w:t>0m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11" w:type="dxa"/>
                  <w:tcBorders>
                    <w:left w:val="single" w:color="auto" w:sz="4" w:space="0"/>
                  </w:tcBorders>
                  <w:noWrap w:val="0"/>
                  <w:vAlign w:val="center"/>
                </w:tcPr>
                <w:p>
                  <w:pPr>
                    <w:spacing w:line="240" w:lineRule="atLeast"/>
                    <w:jc w:val="center"/>
                    <w:rPr>
                      <w:rFonts w:ascii="Times New Roman" w:hAnsi="Times New Roman"/>
                      <w:szCs w:val="21"/>
                    </w:rPr>
                  </w:pPr>
                  <w:r>
                    <w:rPr>
                      <w:rFonts w:ascii="Times New Roman" w:hAnsi="Times New Roman"/>
                      <w:szCs w:val="21"/>
                    </w:rPr>
                    <w:t>pH</w:t>
                  </w:r>
                </w:p>
              </w:tc>
              <w:tc>
                <w:tcPr>
                  <w:tcW w:w="2211" w:type="dxa"/>
                  <w:noWrap w:val="0"/>
                  <w:vAlign w:val="center"/>
                </w:tcPr>
                <w:p>
                  <w:pPr>
                    <w:spacing w:line="240" w:lineRule="atLeast"/>
                    <w:jc w:val="center"/>
                    <w:rPr>
                      <w:rFonts w:ascii="Times New Roman" w:hAnsi="Times New Roman"/>
                      <w:szCs w:val="21"/>
                    </w:rPr>
                  </w:pPr>
                  <w:r>
                    <w:rPr>
                      <w:rFonts w:ascii="Times New Roman" w:hAnsi="Times New Roman"/>
                      <w:szCs w:val="21"/>
                    </w:rPr>
                    <w:t>7.08-7.16</w:t>
                  </w:r>
                </w:p>
              </w:tc>
              <w:tc>
                <w:tcPr>
                  <w:tcW w:w="2210" w:type="dxa"/>
                  <w:noWrap w:val="0"/>
                  <w:vAlign w:val="center"/>
                </w:tcPr>
                <w:p>
                  <w:pPr>
                    <w:spacing w:line="240" w:lineRule="atLeast"/>
                    <w:jc w:val="center"/>
                    <w:rPr>
                      <w:rFonts w:ascii="Times New Roman" w:hAnsi="Times New Roman"/>
                      <w:szCs w:val="21"/>
                    </w:rPr>
                  </w:pPr>
                  <w:r>
                    <w:rPr>
                      <w:rFonts w:ascii="Times New Roman" w:hAnsi="Times New Roman"/>
                      <w:szCs w:val="21"/>
                    </w:rPr>
                    <w:t>6.96-7.24</w:t>
                  </w:r>
                </w:p>
              </w:tc>
              <w:tc>
                <w:tcPr>
                  <w:tcW w:w="2212" w:type="dxa"/>
                  <w:tcBorders>
                    <w:right w:val="single" w:color="auto" w:sz="4" w:space="0"/>
                  </w:tcBorders>
                  <w:noWrap w:val="0"/>
                  <w:vAlign w:val="center"/>
                </w:tcPr>
                <w:p>
                  <w:pPr>
                    <w:spacing w:line="240" w:lineRule="atLeast"/>
                    <w:jc w:val="center"/>
                    <w:rPr>
                      <w:rFonts w:ascii="Times New Roman" w:hAnsi="Times New Roman"/>
                      <w:szCs w:val="21"/>
                    </w:rPr>
                  </w:pPr>
                  <w:r>
                    <w:rPr>
                      <w:rFonts w:ascii="Times New Roman" w:hAnsi="Times New Roman"/>
                      <w:szCs w:val="21"/>
                    </w:rPr>
                    <w:t>7.12-7.21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11" w:type="dxa"/>
                  <w:tcBorders>
                    <w:left w:val="single" w:color="auto" w:sz="4" w:space="0"/>
                  </w:tcBorders>
                  <w:noWrap w:val="0"/>
                  <w:vAlign w:val="center"/>
                </w:tcPr>
                <w:p>
                  <w:pPr>
                    <w:spacing w:line="240" w:lineRule="atLeast"/>
                    <w:jc w:val="center"/>
                    <w:rPr>
                      <w:rFonts w:ascii="Times New Roman" w:hAnsi="Times New Roman"/>
                      <w:szCs w:val="21"/>
                    </w:rPr>
                  </w:pPr>
                  <w:r>
                    <w:rPr>
                      <w:rFonts w:ascii="Times New Roman" w:hAnsi="Times New Roman"/>
                      <w:szCs w:val="21"/>
                    </w:rPr>
                    <w:t>COD</w:t>
                  </w:r>
                </w:p>
              </w:tc>
              <w:tc>
                <w:tcPr>
                  <w:tcW w:w="2211" w:type="dxa"/>
                  <w:noWrap w:val="0"/>
                  <w:vAlign w:val="center"/>
                </w:tcPr>
                <w:p>
                  <w:pPr>
                    <w:spacing w:line="240" w:lineRule="atLeast"/>
                    <w:jc w:val="center"/>
                    <w:rPr>
                      <w:rFonts w:ascii="Times New Roman" w:hAnsi="Times New Roman"/>
                      <w:szCs w:val="21"/>
                    </w:rPr>
                  </w:pPr>
                  <w:r>
                    <w:rPr>
                      <w:rFonts w:ascii="Times New Roman" w:hAnsi="Times New Roman"/>
                      <w:szCs w:val="21"/>
                    </w:rPr>
                    <w:t>10.6-11.6</w:t>
                  </w:r>
                </w:p>
              </w:tc>
              <w:tc>
                <w:tcPr>
                  <w:tcW w:w="2210" w:type="dxa"/>
                  <w:noWrap w:val="0"/>
                  <w:vAlign w:val="center"/>
                </w:tcPr>
                <w:p>
                  <w:pPr>
                    <w:spacing w:line="240" w:lineRule="atLeast"/>
                    <w:jc w:val="center"/>
                    <w:rPr>
                      <w:rFonts w:ascii="Times New Roman" w:hAnsi="Times New Roman"/>
                      <w:szCs w:val="21"/>
                    </w:rPr>
                  </w:pPr>
                  <w:r>
                    <w:rPr>
                      <w:rFonts w:ascii="Times New Roman" w:hAnsi="Times New Roman"/>
                      <w:szCs w:val="21"/>
                    </w:rPr>
                    <w:t>10.5-11.5</w:t>
                  </w:r>
                </w:p>
              </w:tc>
              <w:tc>
                <w:tcPr>
                  <w:tcW w:w="2212" w:type="dxa"/>
                  <w:tcBorders>
                    <w:right w:val="single" w:color="auto" w:sz="4" w:space="0"/>
                  </w:tcBorders>
                  <w:noWrap w:val="0"/>
                  <w:vAlign w:val="center"/>
                </w:tcPr>
                <w:p>
                  <w:pPr>
                    <w:spacing w:line="240" w:lineRule="atLeast"/>
                    <w:jc w:val="center"/>
                    <w:rPr>
                      <w:rFonts w:ascii="Times New Roman" w:hAnsi="Times New Roman"/>
                      <w:szCs w:val="21"/>
                    </w:rPr>
                  </w:pPr>
                  <w:r>
                    <w:rPr>
                      <w:rFonts w:ascii="Times New Roman" w:hAnsi="Times New Roman"/>
                      <w:szCs w:val="21"/>
                    </w:rPr>
                    <w:t>10.3-11.3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11" w:type="dxa"/>
                  <w:tcBorders>
                    <w:left w:val="single" w:color="auto" w:sz="4" w:space="0"/>
                  </w:tcBorders>
                  <w:noWrap w:val="0"/>
                  <w:vAlign w:val="center"/>
                </w:tcPr>
                <w:p>
                  <w:pPr>
                    <w:spacing w:line="240" w:lineRule="atLeast"/>
                    <w:jc w:val="center"/>
                    <w:rPr>
                      <w:rFonts w:ascii="Times New Roman" w:hAnsi="Times New Roman"/>
                      <w:szCs w:val="21"/>
                    </w:rPr>
                  </w:pPr>
                  <w:r>
                    <w:rPr>
                      <w:rFonts w:ascii="Times New Roman" w:hAnsi="Times New Roman"/>
                      <w:szCs w:val="21"/>
                    </w:rPr>
                    <w:t>BOD</w:t>
                  </w:r>
                  <w:r>
                    <w:rPr>
                      <w:rFonts w:ascii="Times New Roman" w:hAnsi="Times New Roman"/>
                      <w:szCs w:val="21"/>
                      <w:vertAlign w:val="subscript"/>
                    </w:rPr>
                    <w:t>5</w:t>
                  </w:r>
                </w:p>
              </w:tc>
              <w:tc>
                <w:tcPr>
                  <w:tcW w:w="2211" w:type="dxa"/>
                  <w:noWrap w:val="0"/>
                  <w:vAlign w:val="center"/>
                </w:tcPr>
                <w:p>
                  <w:pPr>
                    <w:spacing w:line="240" w:lineRule="atLeast"/>
                    <w:jc w:val="center"/>
                    <w:rPr>
                      <w:rFonts w:ascii="Times New Roman" w:hAnsi="Times New Roman"/>
                      <w:szCs w:val="21"/>
                    </w:rPr>
                  </w:pPr>
                  <w:r>
                    <w:rPr>
                      <w:rFonts w:ascii="Times New Roman" w:hAnsi="Times New Roman"/>
                      <w:szCs w:val="21"/>
                    </w:rPr>
                    <w:t>2.0-2.1</w:t>
                  </w:r>
                </w:p>
              </w:tc>
              <w:tc>
                <w:tcPr>
                  <w:tcW w:w="2210" w:type="dxa"/>
                  <w:noWrap w:val="0"/>
                  <w:vAlign w:val="center"/>
                </w:tcPr>
                <w:p>
                  <w:pPr>
                    <w:spacing w:line="240" w:lineRule="atLeast"/>
                    <w:jc w:val="center"/>
                    <w:rPr>
                      <w:rFonts w:ascii="Times New Roman" w:hAnsi="Times New Roman"/>
                      <w:szCs w:val="21"/>
                    </w:rPr>
                  </w:pPr>
                  <w:r>
                    <w:rPr>
                      <w:rFonts w:ascii="Times New Roman" w:hAnsi="Times New Roman"/>
                      <w:szCs w:val="21"/>
                    </w:rPr>
                    <w:t>1.9-2.3</w:t>
                  </w:r>
                </w:p>
              </w:tc>
              <w:tc>
                <w:tcPr>
                  <w:tcW w:w="2212" w:type="dxa"/>
                  <w:tcBorders>
                    <w:right w:val="single" w:color="auto" w:sz="4" w:space="0"/>
                  </w:tcBorders>
                  <w:noWrap w:val="0"/>
                  <w:vAlign w:val="center"/>
                </w:tcPr>
                <w:p>
                  <w:pPr>
                    <w:spacing w:line="240" w:lineRule="atLeast"/>
                    <w:jc w:val="center"/>
                    <w:rPr>
                      <w:rFonts w:ascii="Times New Roman" w:hAnsi="Times New Roman"/>
                      <w:szCs w:val="21"/>
                    </w:rPr>
                  </w:pPr>
                  <w:r>
                    <w:rPr>
                      <w:rFonts w:ascii="Times New Roman" w:hAnsi="Times New Roman"/>
                      <w:szCs w:val="21"/>
                    </w:rPr>
                    <w:t>1.8-2.0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11" w:type="dxa"/>
                  <w:tcBorders>
                    <w:left w:val="single" w:color="auto" w:sz="4" w:space="0"/>
                    <w:bottom w:val="single" w:color="auto" w:sz="4" w:space="0"/>
                  </w:tcBorders>
                  <w:noWrap w:val="0"/>
                  <w:vAlign w:val="center"/>
                </w:tcPr>
                <w:p>
                  <w:pPr>
                    <w:spacing w:line="240" w:lineRule="atLeast"/>
                    <w:jc w:val="center"/>
                    <w:rPr>
                      <w:rFonts w:ascii="Times New Roman" w:hAnsi="Times New Roman"/>
                      <w:szCs w:val="21"/>
                    </w:rPr>
                  </w:pPr>
                  <w:r>
                    <w:rPr>
                      <w:rFonts w:ascii="Times New Roman" w:hAnsi="Times New Roman"/>
                      <w:szCs w:val="21"/>
                    </w:rPr>
                    <w:t>氨氮</w:t>
                  </w:r>
                </w:p>
              </w:tc>
              <w:tc>
                <w:tcPr>
                  <w:tcW w:w="2211" w:type="dxa"/>
                  <w:tcBorders>
                    <w:bottom w:val="single" w:color="auto" w:sz="4" w:space="0"/>
                  </w:tcBorders>
                  <w:noWrap w:val="0"/>
                  <w:vAlign w:val="center"/>
                </w:tcPr>
                <w:p>
                  <w:pPr>
                    <w:spacing w:line="240" w:lineRule="atLeast"/>
                    <w:jc w:val="center"/>
                    <w:rPr>
                      <w:rFonts w:ascii="Times New Roman" w:hAnsi="Times New Roman"/>
                      <w:szCs w:val="21"/>
                    </w:rPr>
                  </w:pPr>
                  <w:r>
                    <w:rPr>
                      <w:rFonts w:ascii="Times New Roman" w:hAnsi="Times New Roman"/>
                      <w:szCs w:val="21"/>
                    </w:rPr>
                    <w:t>0.317-0.341</w:t>
                  </w:r>
                </w:p>
              </w:tc>
              <w:tc>
                <w:tcPr>
                  <w:tcW w:w="2210" w:type="dxa"/>
                  <w:tcBorders>
                    <w:bottom w:val="single" w:color="auto" w:sz="4" w:space="0"/>
                  </w:tcBorders>
                  <w:noWrap w:val="0"/>
                  <w:vAlign w:val="center"/>
                </w:tcPr>
                <w:p>
                  <w:pPr>
                    <w:spacing w:line="240" w:lineRule="atLeast"/>
                    <w:jc w:val="center"/>
                    <w:rPr>
                      <w:rFonts w:ascii="Times New Roman" w:hAnsi="Times New Roman"/>
                      <w:szCs w:val="21"/>
                    </w:rPr>
                  </w:pPr>
                  <w:r>
                    <w:rPr>
                      <w:rFonts w:ascii="Times New Roman" w:hAnsi="Times New Roman"/>
                      <w:szCs w:val="21"/>
                    </w:rPr>
                    <w:t>0.320-0.333</w:t>
                  </w:r>
                </w:p>
              </w:tc>
              <w:tc>
                <w:tcPr>
                  <w:tcW w:w="2212" w:type="dxa"/>
                  <w:tcBorders>
                    <w:bottom w:val="single" w:color="auto" w:sz="4" w:space="0"/>
                    <w:right w:val="single" w:color="auto" w:sz="4" w:space="0"/>
                  </w:tcBorders>
                  <w:noWrap w:val="0"/>
                  <w:vAlign w:val="center"/>
                </w:tcPr>
                <w:p>
                  <w:pPr>
                    <w:spacing w:line="240" w:lineRule="atLeast"/>
                    <w:jc w:val="center"/>
                    <w:rPr>
                      <w:rFonts w:ascii="Times New Roman" w:hAnsi="Times New Roman"/>
                      <w:szCs w:val="21"/>
                    </w:rPr>
                  </w:pPr>
                  <w:r>
                    <w:rPr>
                      <w:rFonts w:ascii="Times New Roman" w:hAnsi="Times New Roman"/>
                      <w:szCs w:val="21"/>
                    </w:rPr>
                    <w:t>0.313-0.322</w:t>
                  </w:r>
                </w:p>
              </w:tc>
            </w:tr>
          </w:tbl>
          <w:p>
            <w:pPr>
              <w:spacing w:line="240" w:lineRule="atLeast"/>
              <w:ind w:firstLine="422" w:firstLineChars="200"/>
              <w:jc w:val="left"/>
              <w:rPr>
                <w:rFonts w:ascii="Times New Roman" w:hAnsi="Times New Roman"/>
                <w:sz w:val="24"/>
              </w:rPr>
            </w:pPr>
            <w:r>
              <w:rPr>
                <w:rFonts w:ascii="Times New Roman" w:hAnsi="Times New Roman"/>
                <w:b/>
                <w:bCs/>
                <w:szCs w:val="21"/>
              </w:rPr>
              <w:t>注：区域地表水环境质量现状数据引用2017年</w:t>
            </w:r>
            <w:r>
              <w:rPr>
                <w:rFonts w:hint="eastAsia" w:ascii="Times New Roman" w:hAnsi="Times New Roman"/>
                <w:b/>
                <w:bCs/>
                <w:szCs w:val="21"/>
              </w:rPr>
              <w:t>7</w:t>
            </w:r>
            <w:r>
              <w:rPr>
                <w:rFonts w:ascii="Times New Roman" w:hAnsi="Times New Roman"/>
                <w:b/>
                <w:bCs/>
                <w:szCs w:val="21"/>
              </w:rPr>
              <w:t>月安徽众诚环境检测有限公司为《明基材料（芜湖）有限公司年产7000万平方米锂电池隔膜生产线项目环境影响报告表》中监测数据</w:t>
            </w:r>
          </w:p>
          <w:p>
            <w:pPr>
              <w:pStyle w:val="13"/>
              <w:spacing w:line="440" w:lineRule="exact"/>
              <w:ind w:firstLine="480"/>
              <w:rPr>
                <w:rFonts w:hint="eastAsia"/>
              </w:rPr>
            </w:pPr>
            <w:r>
              <w:rPr>
                <w:rFonts w:ascii="Times New Roman" w:hAnsi="Times New Roman"/>
                <w:sz w:val="24"/>
              </w:rPr>
              <w:t>由以上结果分析表明，长江各监测断面水质中可以达到《地表水环境质量标准》（GB3838-2002）中的Ⅲ类水质标准，地表水质量较好。</w:t>
            </w:r>
          </w:p>
          <w:p>
            <w:pPr>
              <w:spacing w:line="480" w:lineRule="exact"/>
              <w:ind w:firstLine="472" w:firstLineChars="196"/>
              <w:rPr>
                <w:rFonts w:ascii="Times New Roman" w:hAnsi="Times New Roman"/>
                <w:b/>
                <w:color w:val="auto"/>
                <w:sz w:val="24"/>
              </w:rPr>
            </w:pPr>
            <w:r>
              <w:rPr>
                <w:rFonts w:ascii="Times New Roman" w:hAnsi="Times New Roman"/>
                <w:b/>
                <w:color w:val="auto"/>
                <w:sz w:val="24"/>
              </w:rPr>
              <w:t>3、声环境质量状况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kern w:val="2"/>
                <w:sz w:val="24"/>
                <w:szCs w:val="22"/>
                <w:lang w:val="en-US" w:eastAsia="zh-CN" w:bidi="ar-SA"/>
              </w:rPr>
            </w:pPr>
            <w:r>
              <w:rPr>
                <w:rFonts w:hint="default" w:ascii="Times New Roman" w:hAnsi="Times New Roman" w:eastAsia="宋体" w:cs="Times New Roman"/>
                <w:kern w:val="2"/>
                <w:sz w:val="24"/>
                <w:szCs w:val="22"/>
                <w:lang w:val="en-US" w:eastAsia="zh-CN" w:bidi="ar-SA"/>
              </w:rPr>
              <w:t>根据“201</w:t>
            </w:r>
            <w:r>
              <w:rPr>
                <w:rFonts w:hint="eastAsia" w:ascii="Times New Roman" w:hAnsi="Times New Roman" w:eastAsia="宋体" w:cs="Times New Roman"/>
                <w:kern w:val="2"/>
                <w:sz w:val="24"/>
                <w:szCs w:val="22"/>
                <w:lang w:val="en-US" w:eastAsia="zh-CN" w:bidi="ar-SA"/>
              </w:rPr>
              <w:t>9</w:t>
            </w:r>
            <w:r>
              <w:rPr>
                <w:rFonts w:hint="default" w:ascii="Times New Roman" w:hAnsi="Times New Roman" w:eastAsia="宋体" w:cs="Times New Roman"/>
                <w:kern w:val="2"/>
                <w:sz w:val="24"/>
                <w:szCs w:val="22"/>
                <w:lang w:val="en-US" w:eastAsia="zh-CN" w:bidi="ar-SA"/>
              </w:rPr>
              <w:t>年芜湖市生态环境质量公报”，201</w:t>
            </w:r>
            <w:r>
              <w:rPr>
                <w:rFonts w:hint="eastAsia" w:ascii="Times New Roman" w:hAnsi="Times New Roman" w:eastAsia="宋体" w:cs="Times New Roman"/>
                <w:kern w:val="2"/>
                <w:sz w:val="24"/>
                <w:szCs w:val="22"/>
                <w:lang w:val="en-US" w:eastAsia="zh-CN" w:bidi="ar-SA"/>
              </w:rPr>
              <w:t>9</w:t>
            </w:r>
            <w:r>
              <w:rPr>
                <w:rFonts w:hint="default" w:ascii="Times New Roman" w:hAnsi="Times New Roman" w:eastAsia="宋体" w:cs="Times New Roman"/>
                <w:kern w:val="2"/>
                <w:sz w:val="24"/>
                <w:szCs w:val="22"/>
                <w:lang w:val="en-US" w:eastAsia="zh-CN" w:bidi="ar-SA"/>
              </w:rPr>
              <w:t>年，声功能区共设监测点10个，其中：1类标准适用区设监测点1个，2类标准适用区设监测点5个，3类标准适用区设监测点2个，4类标准适用区设监测点2个，各监测点每季度监测一次，全年监测四次，功能区噪声等效声级达标率93.90%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kern w:val="2"/>
                <w:sz w:val="24"/>
                <w:szCs w:val="22"/>
                <w:lang w:val="en-US" w:eastAsia="zh-CN" w:bidi="ar-SA"/>
              </w:rPr>
            </w:pPr>
            <w:r>
              <w:rPr>
                <w:rFonts w:hint="default" w:ascii="Times New Roman" w:hAnsi="Times New Roman" w:eastAsia="宋体" w:cs="Times New Roman"/>
                <w:kern w:val="2"/>
                <w:sz w:val="24"/>
                <w:szCs w:val="22"/>
                <w:lang w:val="en-US" w:eastAsia="zh-CN" w:bidi="ar-SA"/>
              </w:rPr>
              <w:t>噪声监测结果显示：全市四类功能区昼、夜噪声等效声级年均值完全符合功能区标准要求，各功能区噪声声级随着1类区到4类区依次递增，与功能区的区域功能划分完全一致。</w:t>
            </w:r>
          </w:p>
          <w:bookmarkEnd w:id="0"/>
          <w:p>
            <w:pPr>
              <w:spacing w:line="360" w:lineRule="auto"/>
              <w:rPr>
                <w:rFonts w:ascii="Times New Roman" w:hAnsi="Times New Roman"/>
                <w:b/>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56" w:hRule="atLeast"/>
          <w:jc w:val="center"/>
        </w:trPr>
        <w:tc>
          <w:tcPr>
            <w:tcW w:w="928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Times New Roman" w:hAnsi="Times New Roman"/>
                <w:b/>
                <w:bCs/>
                <w:color w:val="000000"/>
                <w:sz w:val="28"/>
              </w:rPr>
            </w:pPr>
            <w:r>
              <w:rPr>
                <w:rFonts w:ascii="Times New Roman" w:hAnsi="Times New Roman"/>
                <w:b/>
                <w:bCs/>
                <w:color w:val="000000"/>
                <w:sz w:val="28"/>
              </w:rPr>
              <w:t>主要环境保护目标（列出名单及保护级别）：</w:t>
            </w:r>
          </w:p>
          <w:p>
            <w:pPr>
              <w:spacing w:line="360" w:lineRule="auto"/>
              <w:ind w:firstLine="480" w:firstLineChars="200"/>
              <w:rPr>
                <w:rFonts w:ascii="Times New Roman" w:hAnsi="Times New Roman"/>
                <w:sz w:val="24"/>
                <w:szCs w:val="24"/>
              </w:rPr>
            </w:pPr>
            <w:r>
              <w:rPr>
                <w:rFonts w:ascii="Times New Roman" w:hAnsi="Times New Roman"/>
                <w:color w:val="000000"/>
                <w:sz w:val="24"/>
              </w:rPr>
              <w:t>本项目位于</w:t>
            </w:r>
            <w:r>
              <w:rPr>
                <w:rFonts w:hint="eastAsia" w:ascii="Times New Roman" w:hAnsi="Times New Roman"/>
                <w:color w:val="000000"/>
                <w:sz w:val="24"/>
                <w:szCs w:val="24"/>
                <w:lang w:eastAsia="zh-CN"/>
              </w:rPr>
              <w:t>安徽省芜湖市镜湖区长江中路49号</w:t>
            </w:r>
            <w:r>
              <w:rPr>
                <w:rFonts w:ascii="Times New Roman" w:hAnsi="Times New Roman"/>
                <w:color w:val="000000"/>
                <w:sz w:val="24"/>
              </w:rPr>
              <w:t>，根据现场踏勘结果，项目评价范围内无自然保护区、风景名胜区、饮用水源保护区和文物古迹等需要特殊保护的环境敏感对象。保护目标为总体上不因本项目的实施而改变区域环境现有功能，具体环境保护目标如下</w:t>
            </w:r>
          </w:p>
          <w:p>
            <w:pPr>
              <w:spacing w:line="360" w:lineRule="auto"/>
              <w:ind w:firstLine="480" w:firstLineChars="200"/>
              <w:rPr>
                <w:rFonts w:ascii="Times New Roman" w:hAnsi="Times New Roman"/>
                <w:sz w:val="24"/>
                <w:szCs w:val="24"/>
              </w:rPr>
            </w:pPr>
            <w:r>
              <w:rPr>
                <w:rFonts w:ascii="Times New Roman" w:hAnsi="Times New Roman"/>
                <w:sz w:val="24"/>
                <w:szCs w:val="24"/>
              </w:rPr>
              <w:t>（1）区域地表水体长江以《地表水环境质量标准》（GB3838-2002）III类保护。</w:t>
            </w:r>
          </w:p>
          <w:p>
            <w:pPr>
              <w:spacing w:line="360" w:lineRule="auto"/>
              <w:ind w:firstLine="480" w:firstLineChars="200"/>
              <w:rPr>
                <w:rFonts w:ascii="Times New Roman" w:hAnsi="Times New Roman"/>
                <w:sz w:val="24"/>
                <w:szCs w:val="24"/>
              </w:rPr>
            </w:pPr>
            <w:r>
              <w:rPr>
                <w:rFonts w:ascii="Times New Roman" w:hAnsi="Times New Roman"/>
                <w:sz w:val="24"/>
                <w:szCs w:val="24"/>
              </w:rPr>
              <w:t>（2）保护项目区域所在地环境空气质量达到《环境空气质量标准》（GB3095-2012）中的二级标准；</w:t>
            </w:r>
          </w:p>
          <w:p>
            <w:pPr>
              <w:spacing w:line="360" w:lineRule="auto"/>
              <w:ind w:firstLine="480" w:firstLineChars="200"/>
              <w:rPr>
                <w:rFonts w:ascii="Times New Roman" w:hAnsi="Times New Roman"/>
                <w:sz w:val="24"/>
                <w:szCs w:val="24"/>
              </w:rPr>
            </w:pPr>
            <w:r>
              <w:rPr>
                <w:rFonts w:ascii="Times New Roman" w:hAnsi="Times New Roman"/>
                <w:sz w:val="24"/>
                <w:szCs w:val="24"/>
              </w:rPr>
              <w:t>（3）保护项目区周围环境噪声满足《声环境质量标准》（GB3096-2008）中</w:t>
            </w:r>
            <w:r>
              <w:rPr>
                <w:rFonts w:hint="eastAsia" w:ascii="Times New Roman" w:hAnsi="Times New Roman"/>
                <w:sz w:val="24"/>
                <w:szCs w:val="24"/>
                <w:lang w:eastAsia="zh-CN"/>
              </w:rPr>
              <w:t>2类</w:t>
            </w:r>
            <w:r>
              <w:rPr>
                <w:rFonts w:ascii="Times New Roman" w:hAnsi="Times New Roman"/>
                <w:sz w:val="24"/>
                <w:szCs w:val="24"/>
              </w:rPr>
              <w:t>功能区标准。</w:t>
            </w:r>
          </w:p>
          <w:p>
            <w:pPr>
              <w:spacing w:line="360" w:lineRule="auto"/>
              <w:ind w:firstLine="480" w:firstLineChars="200"/>
              <w:rPr>
                <w:rFonts w:ascii="Times New Roman" w:hAnsi="Times New Roman"/>
                <w:sz w:val="24"/>
                <w:szCs w:val="24"/>
              </w:rPr>
            </w:pPr>
            <w:r>
              <w:rPr>
                <w:rFonts w:ascii="Times New Roman" w:hAnsi="Times New Roman"/>
                <w:sz w:val="24"/>
                <w:szCs w:val="24"/>
              </w:rPr>
              <w:t>其主要环境保护目标详见下表。</w:t>
            </w: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spacing w:line="360" w:lineRule="auto"/>
              <w:jc w:val="center"/>
              <w:rPr>
                <w:rFonts w:ascii="Times New Roman" w:hAnsi="Times New Roman"/>
                <w:b/>
                <w:color w:val="000000"/>
                <w:sz w:val="24"/>
              </w:rPr>
            </w:pPr>
          </w:p>
          <w:p>
            <w:pPr>
              <w:pStyle w:val="21"/>
              <w:ind w:left="902" w:hanging="482"/>
              <w:rPr>
                <w:rFonts w:ascii="Times New Roman" w:hAnsi="Times New Roman"/>
                <w:b/>
                <w:color w:val="000000"/>
                <w:sz w:val="24"/>
              </w:rPr>
            </w:pPr>
          </w:p>
          <w:p>
            <w:pPr>
              <w:rPr>
                <w:rFonts w:ascii="Times New Roman" w:hAnsi="Times New Roman"/>
                <w:b/>
                <w:color w:val="000000"/>
                <w:sz w:val="24"/>
              </w:rPr>
            </w:pPr>
          </w:p>
          <w:p>
            <w:pPr>
              <w:pStyle w:val="21"/>
              <w:ind w:left="902" w:hanging="482"/>
              <w:rPr>
                <w:rFonts w:ascii="Times New Roman" w:hAnsi="Times New Roman"/>
                <w:b/>
                <w:color w:val="000000"/>
                <w:sz w:val="24"/>
              </w:rPr>
            </w:pPr>
          </w:p>
          <w:p>
            <w:pPr>
              <w:rPr>
                <w:rFonts w:ascii="Times New Roman" w:hAnsi="Times New Roman"/>
                <w:b/>
                <w:color w:val="000000"/>
                <w:sz w:val="24"/>
              </w:rPr>
            </w:pPr>
          </w:p>
          <w:p>
            <w:pPr>
              <w:pStyle w:val="21"/>
              <w:ind w:left="840" w:hanging="420"/>
              <w:rPr>
                <w:rFonts w:ascii="Times New Roman" w:hAnsi="Times New Roman"/>
              </w:rPr>
            </w:pPr>
          </w:p>
          <w:p>
            <w:pPr>
              <w:rPr>
                <w:rFonts w:ascii="Times New Roman" w:hAnsi="Times New Roman"/>
              </w:rPr>
            </w:pPr>
          </w:p>
          <w:p>
            <w:pPr>
              <w:spacing w:line="360" w:lineRule="auto"/>
              <w:jc w:val="center"/>
              <w:rPr>
                <w:rFonts w:ascii="Times New Roman" w:hAnsi="Times New Roman"/>
                <w:b/>
                <w:color w:val="000000"/>
                <w:szCs w:val="21"/>
              </w:rPr>
            </w:pPr>
            <w:r>
              <w:rPr>
                <w:rFonts w:ascii="Times New Roman" w:hAnsi="Times New Roman"/>
                <w:b/>
                <w:color w:val="000000"/>
                <w:sz w:val="24"/>
                <w:szCs w:val="24"/>
                <w:lang w:bidi="en-US"/>
              </w:rPr>
              <w:t>表3-</w:t>
            </w:r>
            <w:r>
              <w:rPr>
                <w:rFonts w:hint="eastAsia" w:ascii="Times New Roman" w:hAnsi="Times New Roman"/>
                <w:b/>
                <w:color w:val="000000"/>
                <w:sz w:val="24"/>
                <w:szCs w:val="24"/>
                <w:lang w:val="en-US" w:eastAsia="zh-CN" w:bidi="en-US"/>
              </w:rPr>
              <w:t>4</w:t>
            </w:r>
            <w:r>
              <w:rPr>
                <w:rFonts w:ascii="Times New Roman" w:hAnsi="Times New Roman"/>
                <w:b/>
                <w:color w:val="000000"/>
                <w:sz w:val="24"/>
                <w:szCs w:val="24"/>
                <w:lang w:bidi="en-US"/>
              </w:rPr>
              <w:t xml:space="preserve">  环境空气保护目标一览表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986"/>
              <w:gridCol w:w="1000"/>
              <w:gridCol w:w="950"/>
              <w:gridCol w:w="1517"/>
              <w:gridCol w:w="1350"/>
              <w:gridCol w:w="933"/>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44" w:type="dxa"/>
                  <w:vMerge w:val="restart"/>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名称</w:t>
                  </w:r>
                </w:p>
              </w:tc>
              <w:tc>
                <w:tcPr>
                  <w:tcW w:w="1986" w:type="dxa"/>
                  <w:gridSpan w:val="2"/>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坐标/m</w:t>
                  </w:r>
                </w:p>
              </w:tc>
              <w:tc>
                <w:tcPr>
                  <w:tcW w:w="950" w:type="dxa"/>
                  <w:vMerge w:val="restart"/>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保护对象</w:t>
                  </w:r>
                </w:p>
              </w:tc>
              <w:tc>
                <w:tcPr>
                  <w:tcW w:w="1517" w:type="dxa"/>
                  <w:vMerge w:val="restart"/>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保护内容</w:t>
                  </w:r>
                </w:p>
              </w:tc>
              <w:tc>
                <w:tcPr>
                  <w:tcW w:w="1350" w:type="dxa"/>
                  <w:vMerge w:val="restart"/>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环境功能区</w:t>
                  </w:r>
                </w:p>
              </w:tc>
              <w:tc>
                <w:tcPr>
                  <w:tcW w:w="933" w:type="dxa"/>
                  <w:vMerge w:val="restart"/>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相对厂址位置</w:t>
                  </w:r>
                </w:p>
              </w:tc>
              <w:tc>
                <w:tcPr>
                  <w:tcW w:w="1064" w:type="dxa"/>
                  <w:vMerge w:val="restart"/>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044" w:type="dxa"/>
                  <w:vMerge w:val="continue"/>
                  <w:noWrap w:val="0"/>
                  <w:vAlign w:val="center"/>
                </w:tcPr>
                <w:p>
                  <w:pPr>
                    <w:spacing w:line="240" w:lineRule="atLeast"/>
                    <w:jc w:val="center"/>
                    <w:rPr>
                      <w:rFonts w:ascii="Times New Roman" w:hAnsi="Times New Roman"/>
                      <w:color w:val="000000"/>
                      <w:szCs w:val="21"/>
                    </w:rPr>
                  </w:pPr>
                </w:p>
              </w:tc>
              <w:tc>
                <w:tcPr>
                  <w:tcW w:w="986" w:type="dxa"/>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X</w:t>
                  </w:r>
                </w:p>
              </w:tc>
              <w:tc>
                <w:tcPr>
                  <w:tcW w:w="1000" w:type="dxa"/>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Y</w:t>
                  </w:r>
                </w:p>
              </w:tc>
              <w:tc>
                <w:tcPr>
                  <w:tcW w:w="950" w:type="dxa"/>
                  <w:vMerge w:val="continue"/>
                  <w:noWrap w:val="0"/>
                  <w:vAlign w:val="center"/>
                </w:tcPr>
                <w:p>
                  <w:pPr>
                    <w:spacing w:line="240" w:lineRule="atLeast"/>
                    <w:jc w:val="center"/>
                    <w:rPr>
                      <w:rFonts w:ascii="Times New Roman" w:hAnsi="Times New Roman"/>
                      <w:color w:val="000000"/>
                      <w:szCs w:val="21"/>
                    </w:rPr>
                  </w:pPr>
                </w:p>
              </w:tc>
              <w:tc>
                <w:tcPr>
                  <w:tcW w:w="1517" w:type="dxa"/>
                  <w:vMerge w:val="continue"/>
                  <w:noWrap w:val="0"/>
                  <w:vAlign w:val="center"/>
                </w:tcPr>
                <w:p>
                  <w:pPr>
                    <w:spacing w:line="240" w:lineRule="atLeast"/>
                    <w:jc w:val="center"/>
                    <w:rPr>
                      <w:rFonts w:ascii="Times New Roman" w:hAnsi="Times New Roman"/>
                      <w:color w:val="000000"/>
                      <w:szCs w:val="21"/>
                    </w:rPr>
                  </w:pP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vMerge w:val="continue"/>
                  <w:noWrap w:val="0"/>
                  <w:vAlign w:val="center"/>
                </w:tcPr>
                <w:p>
                  <w:pPr>
                    <w:spacing w:line="240" w:lineRule="atLeast"/>
                    <w:jc w:val="center"/>
                    <w:rPr>
                      <w:rFonts w:ascii="Times New Roman" w:hAnsi="Times New Roman"/>
                      <w:color w:val="000000"/>
                      <w:szCs w:val="21"/>
                    </w:rPr>
                  </w:pPr>
                </w:p>
              </w:tc>
              <w:tc>
                <w:tcPr>
                  <w:tcW w:w="1064" w:type="dxa"/>
                  <w:vMerge w:val="continue"/>
                  <w:noWrap w:val="0"/>
                  <w:vAlign w:val="center"/>
                </w:tcPr>
                <w:p>
                  <w:pPr>
                    <w:spacing w:line="240" w:lineRule="atLeast"/>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eastAsia="zh-CN"/>
                    </w:rPr>
                  </w:pPr>
                  <w:r>
                    <w:rPr>
                      <w:rFonts w:hint="eastAsia" w:ascii="Times New Roman" w:hAnsi="Times New Roman" w:cs="Times New Roman"/>
                      <w:color w:val="000000"/>
                      <w:szCs w:val="21"/>
                      <w:lang w:eastAsia="zh-CN"/>
                    </w:rPr>
                    <w:t>世贸滨江花园</w:t>
                  </w:r>
                </w:p>
              </w:tc>
              <w:tc>
                <w:tcPr>
                  <w:tcW w:w="986" w:type="dxa"/>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-33</w:t>
                  </w:r>
                </w:p>
              </w:tc>
              <w:tc>
                <w:tcPr>
                  <w:tcW w:w="1000" w:type="dxa"/>
                  <w:noWrap w:val="0"/>
                  <w:vAlign w:val="center"/>
                </w:tcPr>
                <w:p>
                  <w:pPr>
                    <w:spacing w:line="240" w:lineRule="atLeast"/>
                    <w:jc w:val="center"/>
                    <w:rPr>
                      <w:rFonts w:hint="eastAsia" w:ascii="Times New Roman" w:hAnsi="Times New Roman" w:eastAsia="宋体"/>
                      <w:color w:val="000000"/>
                      <w:szCs w:val="21"/>
                      <w:lang w:eastAsia="zh-CN"/>
                    </w:rPr>
                  </w:pPr>
                  <w:r>
                    <w:rPr>
                      <w:rFonts w:hint="eastAsia" w:ascii="Times New Roman" w:hAnsi="Times New Roman"/>
                      <w:color w:val="000000"/>
                      <w:szCs w:val="21"/>
                      <w:lang w:val="en-US" w:eastAsia="zh-CN"/>
                    </w:rPr>
                    <w:t>0</w:t>
                  </w:r>
                </w:p>
              </w:tc>
              <w:tc>
                <w:tcPr>
                  <w:tcW w:w="950" w:type="dxa"/>
                  <w:noWrap w:val="0"/>
                  <w:vAlign w:val="center"/>
                </w:tcPr>
                <w:p>
                  <w:pPr>
                    <w:spacing w:line="360" w:lineRule="exact"/>
                    <w:jc w:val="center"/>
                    <w:rPr>
                      <w:rFonts w:hint="eastAsia"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pStyle w:val="94"/>
                    <w:autoSpaceDE w:val="0"/>
                    <w:autoSpaceDN w:val="0"/>
                    <w:spacing w:line="240" w:lineRule="atLeast"/>
                    <w:jc w:val="center"/>
                    <w:rPr>
                      <w:rFonts w:ascii="Times New Roman" w:hAnsi="Times New Roman"/>
                      <w:color w:val="000000"/>
                      <w:kern w:val="2"/>
                      <w:szCs w:val="21"/>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2</w:t>
                  </w:r>
                  <w:r>
                    <w:rPr>
                      <w:rFonts w:ascii="Times New Roman" w:hAnsi="Times New Roman"/>
                      <w:color w:val="000000"/>
                      <w:kern w:val="2"/>
                      <w:sz w:val="21"/>
                      <w:szCs w:val="21"/>
                      <w:lang w:eastAsia="zh-CN"/>
                    </w:rPr>
                    <w:t>600户，</w:t>
                  </w:r>
                  <w:r>
                    <w:rPr>
                      <w:rFonts w:hint="eastAsia" w:ascii="Times New Roman" w:hAnsi="Times New Roman"/>
                      <w:color w:val="000000"/>
                      <w:kern w:val="2"/>
                      <w:sz w:val="21"/>
                      <w:szCs w:val="21"/>
                      <w:lang w:eastAsia="zh-CN"/>
                    </w:rPr>
                    <w:t>78</w:t>
                  </w:r>
                  <w:r>
                    <w:rPr>
                      <w:rFonts w:ascii="Times New Roman" w:hAnsi="Times New Roman"/>
                      <w:color w:val="000000"/>
                      <w:kern w:val="2"/>
                      <w:sz w:val="21"/>
                      <w:szCs w:val="21"/>
                      <w:lang w:eastAsia="zh-CN"/>
                    </w:rPr>
                    <w:t>00人</w:t>
                  </w:r>
                </w:p>
              </w:tc>
              <w:tc>
                <w:tcPr>
                  <w:tcW w:w="1350" w:type="dxa"/>
                  <w:vMerge w:val="restart"/>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《环境空气质量标准》（GB3095－2012）中二级标准要求</w:t>
                  </w:r>
                </w:p>
              </w:tc>
              <w:tc>
                <w:tcPr>
                  <w:tcW w:w="933" w:type="dxa"/>
                  <w:noWrap w:val="0"/>
                  <w:vAlign w:val="center"/>
                </w:tcPr>
                <w:p>
                  <w:pPr>
                    <w:pStyle w:val="94"/>
                    <w:autoSpaceDE w:val="0"/>
                    <w:autoSpaceDN w:val="0"/>
                    <w:spacing w:line="240" w:lineRule="atLeast"/>
                    <w:jc w:val="center"/>
                    <w:rPr>
                      <w:rFonts w:hint="eastAsia" w:ascii="Times New Roman" w:hAnsi="Times New Roman" w:eastAsia="宋体"/>
                      <w:color w:val="000000"/>
                      <w:kern w:val="2"/>
                      <w:sz w:val="21"/>
                      <w:szCs w:val="21"/>
                      <w:lang w:val="en-US" w:eastAsia="zh-CN"/>
                    </w:rPr>
                  </w:pPr>
                  <w:r>
                    <w:rPr>
                      <w:rFonts w:hint="eastAsia" w:ascii="Times New Roman" w:hAnsi="Times New Roman"/>
                      <w:color w:val="000000"/>
                      <w:kern w:val="2"/>
                      <w:sz w:val="21"/>
                      <w:szCs w:val="21"/>
                      <w:lang w:val="en-US" w:eastAsia="zh-CN"/>
                    </w:rPr>
                    <w:t>W</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rPr>
                  </w:pPr>
                  <w:r>
                    <w:rPr>
                      <w:rFonts w:hint="eastAsia" w:ascii="Times New Roman" w:hAnsi="Times New Roman"/>
                      <w:color w:val="000000"/>
                      <w:kern w:val="2"/>
                      <w:sz w:val="21"/>
                      <w:szCs w:val="21"/>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eastAsia="zh-CN"/>
                    </w:rPr>
                  </w:pPr>
                  <w:r>
                    <w:rPr>
                      <w:rFonts w:hint="eastAsia" w:ascii="Times New Roman" w:hAnsi="Times New Roman" w:cs="Times New Roman"/>
                      <w:color w:val="000000"/>
                      <w:szCs w:val="21"/>
                      <w:lang w:eastAsia="zh-CN"/>
                    </w:rPr>
                    <w:t>江南新村</w:t>
                  </w:r>
                </w:p>
              </w:tc>
              <w:tc>
                <w:tcPr>
                  <w:tcW w:w="986" w:type="dxa"/>
                  <w:noWrap w:val="0"/>
                  <w:vAlign w:val="center"/>
                </w:tcPr>
                <w:p>
                  <w:pPr>
                    <w:spacing w:line="240" w:lineRule="atLeast"/>
                    <w:jc w:val="center"/>
                    <w:rPr>
                      <w:rFonts w:hint="eastAsia" w:ascii="Times New Roman" w:hAnsi="Times New Roman" w:eastAsia="宋体"/>
                      <w:color w:val="000000"/>
                      <w:szCs w:val="21"/>
                      <w:lang w:eastAsia="zh-CN"/>
                    </w:rPr>
                  </w:pPr>
                  <w:r>
                    <w:rPr>
                      <w:rFonts w:hint="eastAsia" w:ascii="Times New Roman" w:hAnsi="Times New Roman"/>
                      <w:color w:val="000000"/>
                      <w:szCs w:val="21"/>
                      <w:lang w:val="en-US" w:eastAsia="zh-CN"/>
                    </w:rPr>
                    <w:t>0</w:t>
                  </w:r>
                </w:p>
              </w:tc>
              <w:tc>
                <w:tcPr>
                  <w:tcW w:w="1000" w:type="dxa"/>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150</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pStyle w:val="94"/>
                    <w:autoSpaceDE w:val="0"/>
                    <w:autoSpaceDN w:val="0"/>
                    <w:spacing w:line="240" w:lineRule="atLeast"/>
                    <w:jc w:val="center"/>
                    <w:rPr>
                      <w:rFonts w:ascii="Times New Roman" w:hAnsi="Times New Roman"/>
                      <w:color w:val="000000"/>
                      <w:kern w:val="2"/>
                      <w:szCs w:val="21"/>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2</w:t>
                  </w:r>
                  <w:r>
                    <w:rPr>
                      <w:rFonts w:hint="eastAsia" w:ascii="Times New Roman" w:hAnsi="Times New Roman"/>
                      <w:color w:val="000000"/>
                      <w:kern w:val="2"/>
                      <w:sz w:val="21"/>
                      <w:szCs w:val="21"/>
                      <w:lang w:val="en-US" w:eastAsia="zh-CN"/>
                    </w:rPr>
                    <w:t>14</w:t>
                  </w:r>
                  <w:r>
                    <w:rPr>
                      <w:rFonts w:ascii="Times New Roman" w:hAnsi="Times New Roman"/>
                      <w:color w:val="000000"/>
                      <w:kern w:val="2"/>
                      <w:sz w:val="21"/>
                      <w:szCs w:val="21"/>
                      <w:lang w:eastAsia="zh-CN"/>
                    </w:rPr>
                    <w:t>0户，</w:t>
                  </w:r>
                  <w:r>
                    <w:rPr>
                      <w:rFonts w:hint="eastAsia" w:ascii="Times New Roman" w:hAnsi="Times New Roman"/>
                      <w:color w:val="000000"/>
                      <w:kern w:val="2"/>
                      <w:sz w:val="21"/>
                      <w:szCs w:val="21"/>
                      <w:lang w:val="en-US" w:eastAsia="zh-CN"/>
                    </w:rPr>
                    <w:t>6420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pStyle w:val="94"/>
                    <w:autoSpaceDE w:val="0"/>
                    <w:autoSpaceDN w:val="0"/>
                    <w:spacing w:line="240" w:lineRule="atLeast"/>
                    <w:jc w:val="center"/>
                    <w:rPr>
                      <w:rFonts w:ascii="Times New Roman" w:hAnsi="Times New Roman"/>
                      <w:color w:val="000000"/>
                      <w:kern w:val="2"/>
                      <w:sz w:val="21"/>
                      <w:szCs w:val="21"/>
                    </w:rPr>
                  </w:pPr>
                  <w:r>
                    <w:rPr>
                      <w:rFonts w:hint="eastAsia" w:ascii="Times New Roman" w:hAnsi="Times New Roman"/>
                      <w:color w:val="000000"/>
                      <w:kern w:val="2"/>
                      <w:sz w:val="21"/>
                      <w:szCs w:val="21"/>
                      <w:lang w:val="en-US" w:eastAsia="zh-CN"/>
                    </w:rPr>
                    <w:t>S</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东方花园</w:t>
                  </w:r>
                </w:p>
              </w:tc>
              <w:tc>
                <w:tcPr>
                  <w:tcW w:w="986"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0</w:t>
                  </w:r>
                </w:p>
              </w:tc>
              <w:tc>
                <w:tcPr>
                  <w:tcW w:w="1000"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511</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pStyle w:val="94"/>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189</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5670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S</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rPr>
                  </w:pPr>
                  <w:r>
                    <w:rPr>
                      <w:rFonts w:hint="eastAsia" w:ascii="Times New Roman" w:hAnsi="Times New Roman" w:cs="Times New Roman"/>
                      <w:color w:val="000000"/>
                      <w:szCs w:val="21"/>
                    </w:rPr>
                    <w:t>长江湾1号</w:t>
                  </w:r>
                </w:p>
              </w:tc>
              <w:tc>
                <w:tcPr>
                  <w:tcW w:w="986"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136</w:t>
                  </w:r>
                </w:p>
              </w:tc>
              <w:tc>
                <w:tcPr>
                  <w:tcW w:w="1000"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1656</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pStyle w:val="94"/>
                    <w:autoSpaceDE w:val="0"/>
                    <w:autoSpaceDN w:val="0"/>
                    <w:spacing w:line="240" w:lineRule="atLeast"/>
                    <w:jc w:val="center"/>
                    <w:rPr>
                      <w:rFonts w:ascii="Times New Roman" w:hAnsi="Times New Roman"/>
                      <w:color w:val="000000"/>
                      <w:kern w:val="2"/>
                      <w:szCs w:val="21"/>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1660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4980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rPr>
                  </w:pPr>
                  <w:r>
                    <w:rPr>
                      <w:rFonts w:ascii="Times New Roman" w:hAnsi="Times New Roman"/>
                      <w:color w:val="000000"/>
                      <w:kern w:val="2"/>
                      <w:sz w:val="21"/>
                      <w:szCs w:val="21"/>
                      <w:lang w:eastAsia="zh-CN"/>
                    </w:rPr>
                    <w:t>N</w:t>
                  </w:r>
                  <w:r>
                    <w:rPr>
                      <w:rFonts w:hint="eastAsia" w:ascii="Times New Roman" w:hAnsi="Times New Roman"/>
                      <w:color w:val="000000"/>
                      <w:kern w:val="2"/>
                      <w:sz w:val="21"/>
                      <w:szCs w:val="21"/>
                      <w:lang w:val="en-US" w:eastAsia="zh-CN"/>
                    </w:rPr>
                    <w:t>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1712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rPr>
                  </w:pPr>
                  <w:r>
                    <w:rPr>
                      <w:rFonts w:hint="eastAsia" w:ascii="Times New Roman" w:hAnsi="Times New Roman" w:cs="Times New Roman"/>
                      <w:color w:val="000000"/>
                      <w:szCs w:val="21"/>
                    </w:rPr>
                    <w:t>花园二村</w:t>
                  </w:r>
                </w:p>
              </w:tc>
              <w:tc>
                <w:tcPr>
                  <w:tcW w:w="986"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984</w:t>
                  </w:r>
                </w:p>
              </w:tc>
              <w:tc>
                <w:tcPr>
                  <w:tcW w:w="1000"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1689</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pStyle w:val="94"/>
                    <w:autoSpaceDE w:val="0"/>
                    <w:autoSpaceDN w:val="0"/>
                    <w:spacing w:line="240" w:lineRule="atLeast"/>
                    <w:jc w:val="center"/>
                    <w:rPr>
                      <w:rFonts w:ascii="Times New Roman" w:hAnsi="Times New Roman"/>
                      <w:color w:val="000000"/>
                      <w:kern w:val="2"/>
                      <w:szCs w:val="21"/>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224</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672</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autoSpaceDE w:val="0"/>
                    <w:autoSpaceDN w:val="0"/>
                    <w:spacing w:line="240" w:lineRule="atLeast"/>
                    <w:jc w:val="center"/>
                    <w:rPr>
                      <w:rFonts w:hint="eastAsia" w:ascii="Times New Roman" w:hAnsi="Times New Roman" w:eastAsia="宋体"/>
                      <w:color w:val="000000"/>
                      <w:sz w:val="21"/>
                      <w:szCs w:val="21"/>
                      <w:lang w:val="en-US" w:eastAsia="zh-CN"/>
                    </w:rPr>
                  </w:pPr>
                  <w:r>
                    <w:rPr>
                      <w:rFonts w:ascii="Times New Roman" w:hAnsi="Times New Roman"/>
                      <w:color w:val="000000"/>
                      <w:sz w:val="21"/>
                      <w:szCs w:val="21"/>
                    </w:rPr>
                    <w:t>N</w:t>
                  </w:r>
                  <w:r>
                    <w:rPr>
                      <w:rFonts w:hint="eastAsia" w:ascii="Times New Roman" w:hAnsi="Times New Roman"/>
                      <w:color w:val="000000"/>
                      <w:sz w:val="21"/>
                      <w:szCs w:val="21"/>
                      <w:lang w:val="en-US" w:eastAsia="zh-CN"/>
                    </w:rPr>
                    <w:t>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rPr>
                  </w:pPr>
                  <w:r>
                    <w:rPr>
                      <w:rFonts w:hint="eastAsia" w:ascii="Times New Roman" w:hAnsi="Times New Roman"/>
                      <w:color w:val="000000"/>
                      <w:kern w:val="2"/>
                      <w:sz w:val="21"/>
                      <w:szCs w:val="21"/>
                      <w:lang w:val="en-US" w:eastAsia="zh-CN"/>
                    </w:rPr>
                    <w:t>1908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eastAsia="zh-CN"/>
                    </w:rPr>
                  </w:pPr>
                  <w:r>
                    <w:rPr>
                      <w:rFonts w:hint="eastAsia" w:ascii="Times New Roman" w:hAnsi="Times New Roman" w:cs="Times New Roman"/>
                      <w:color w:val="000000"/>
                      <w:szCs w:val="21"/>
                      <w:lang w:eastAsia="zh-CN"/>
                    </w:rPr>
                    <w:t>杏苑</w:t>
                  </w:r>
                </w:p>
              </w:tc>
              <w:tc>
                <w:tcPr>
                  <w:tcW w:w="986"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1156</w:t>
                  </w:r>
                </w:p>
              </w:tc>
              <w:tc>
                <w:tcPr>
                  <w:tcW w:w="1000"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2108</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156</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4680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autoSpaceDE w:val="0"/>
                    <w:autoSpaceDN w:val="0"/>
                    <w:spacing w:line="240" w:lineRule="atLeast"/>
                    <w:jc w:val="center"/>
                    <w:rPr>
                      <w:rFonts w:hint="eastAsia" w:ascii="Times New Roman" w:hAnsi="Times New Roman" w:eastAsia="宋体"/>
                      <w:color w:val="000000"/>
                      <w:sz w:val="21"/>
                      <w:szCs w:val="21"/>
                      <w:lang w:val="en-US" w:eastAsia="zh-CN"/>
                    </w:rPr>
                  </w:pPr>
                  <w:r>
                    <w:rPr>
                      <w:rFonts w:ascii="Times New Roman" w:hAnsi="Times New Roman"/>
                      <w:color w:val="000000"/>
                      <w:sz w:val="21"/>
                      <w:szCs w:val="21"/>
                    </w:rPr>
                    <w:t>N</w:t>
                  </w:r>
                  <w:r>
                    <w:rPr>
                      <w:rFonts w:hint="eastAsia" w:ascii="Times New Roman" w:hAnsi="Times New Roman"/>
                      <w:color w:val="000000"/>
                      <w:sz w:val="21"/>
                      <w:szCs w:val="21"/>
                      <w:lang w:val="en-US" w:eastAsia="zh-CN"/>
                    </w:rPr>
                    <w:t>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2221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eastAsia="zh-CN"/>
                    </w:rPr>
                  </w:pPr>
                  <w:r>
                    <w:rPr>
                      <w:rFonts w:hint="eastAsia" w:ascii="Times New Roman" w:hAnsi="Times New Roman" w:cs="Times New Roman"/>
                      <w:color w:val="000000"/>
                      <w:szCs w:val="21"/>
                      <w:lang w:eastAsia="zh-CN"/>
                    </w:rPr>
                    <w:t>望江苑</w:t>
                  </w:r>
                </w:p>
              </w:tc>
              <w:tc>
                <w:tcPr>
                  <w:tcW w:w="986"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928</w:t>
                  </w:r>
                </w:p>
              </w:tc>
              <w:tc>
                <w:tcPr>
                  <w:tcW w:w="1000"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2493</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112</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336</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pStyle w:val="94"/>
                    <w:autoSpaceDE w:val="0"/>
                    <w:autoSpaceDN w:val="0"/>
                    <w:spacing w:line="240" w:lineRule="atLeast"/>
                    <w:jc w:val="center"/>
                    <w:rPr>
                      <w:rFonts w:ascii="Times New Roman" w:hAnsi="Times New Roman"/>
                      <w:color w:val="000000"/>
                      <w:kern w:val="2"/>
                      <w:sz w:val="21"/>
                      <w:szCs w:val="21"/>
                      <w:lang w:eastAsia="zh-CN"/>
                    </w:rPr>
                  </w:pPr>
                  <w:r>
                    <w:rPr>
                      <w:rFonts w:hint="eastAsia" w:ascii="Times New Roman" w:hAnsi="Times New Roman"/>
                      <w:color w:val="000000"/>
                      <w:kern w:val="2"/>
                      <w:sz w:val="21"/>
                      <w:szCs w:val="21"/>
                      <w:lang w:eastAsia="zh-CN"/>
                    </w:rPr>
                    <w:t>NE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2631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中安花园</w:t>
                  </w:r>
                </w:p>
              </w:tc>
              <w:tc>
                <w:tcPr>
                  <w:tcW w:w="986"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579</w:t>
                  </w:r>
                </w:p>
              </w:tc>
              <w:tc>
                <w:tcPr>
                  <w:tcW w:w="1000"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2275</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98</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294</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NE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2336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蓝天小区</w:t>
                  </w:r>
                </w:p>
              </w:tc>
              <w:tc>
                <w:tcPr>
                  <w:tcW w:w="986"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1747</w:t>
                  </w:r>
                </w:p>
              </w:tc>
              <w:tc>
                <w:tcPr>
                  <w:tcW w:w="1000"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1940</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1488</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4464</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autoSpaceDE w:val="0"/>
                    <w:autoSpaceDN w:val="0"/>
                    <w:spacing w:line="240" w:lineRule="atLeast"/>
                    <w:jc w:val="center"/>
                    <w:rPr>
                      <w:rFonts w:hint="eastAsia" w:ascii="Times New Roman" w:hAnsi="Times New Roman"/>
                      <w:color w:val="000000"/>
                      <w:kern w:val="2"/>
                      <w:sz w:val="21"/>
                      <w:szCs w:val="21"/>
                      <w:lang w:eastAsia="zh-CN"/>
                    </w:rPr>
                  </w:pPr>
                  <w:r>
                    <w:rPr>
                      <w:rFonts w:hint="eastAsia" w:ascii="Times New Roman" w:hAnsi="Times New Roman"/>
                      <w:color w:val="000000"/>
                      <w:kern w:val="2"/>
                      <w:sz w:val="21"/>
                      <w:szCs w:val="21"/>
                      <w:lang w:val="en-US" w:eastAsia="zh-CN"/>
                    </w:rPr>
                    <w:t>NE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2539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信达蓝湖郡</w:t>
                  </w:r>
                </w:p>
              </w:tc>
              <w:tc>
                <w:tcPr>
                  <w:tcW w:w="986"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2092</w:t>
                  </w:r>
                </w:p>
              </w:tc>
              <w:tc>
                <w:tcPr>
                  <w:tcW w:w="1000"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2236</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311</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9330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autoSpaceDE w:val="0"/>
                    <w:autoSpaceDN w:val="0"/>
                    <w:spacing w:line="240" w:lineRule="atLeast"/>
                    <w:jc w:val="center"/>
                    <w:rPr>
                      <w:rFonts w:hint="eastAsia" w:ascii="Times New Roman" w:hAnsi="Times New Roman"/>
                      <w:color w:val="000000"/>
                      <w:kern w:val="2"/>
                      <w:sz w:val="21"/>
                      <w:szCs w:val="21"/>
                      <w:lang w:eastAsia="zh-CN"/>
                    </w:rPr>
                  </w:pPr>
                  <w:r>
                    <w:rPr>
                      <w:rFonts w:hint="eastAsia" w:ascii="Times New Roman" w:hAnsi="Times New Roman"/>
                      <w:color w:val="000000"/>
                      <w:kern w:val="2"/>
                      <w:sz w:val="21"/>
                      <w:szCs w:val="21"/>
                      <w:lang w:val="en-US" w:eastAsia="zh-CN"/>
                    </w:rPr>
                    <w:t>NE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2993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香樟城市花园</w:t>
                  </w:r>
                </w:p>
              </w:tc>
              <w:tc>
                <w:tcPr>
                  <w:tcW w:w="986"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2124</w:t>
                  </w:r>
                </w:p>
              </w:tc>
              <w:tc>
                <w:tcPr>
                  <w:tcW w:w="1000" w:type="dxa"/>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1047</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155</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465</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autoSpaceDE w:val="0"/>
                    <w:autoSpaceDN w:val="0"/>
                    <w:spacing w:line="240" w:lineRule="atLeast"/>
                    <w:jc w:val="center"/>
                    <w:rPr>
                      <w:rFonts w:hint="eastAsia" w:ascii="Times New Roman" w:hAnsi="Times New Roman"/>
                      <w:color w:val="000000"/>
                      <w:kern w:val="2"/>
                      <w:sz w:val="21"/>
                      <w:szCs w:val="21"/>
                      <w:lang w:eastAsia="zh-CN"/>
                    </w:rPr>
                  </w:pPr>
                  <w:r>
                    <w:rPr>
                      <w:rFonts w:hint="eastAsia" w:ascii="Times New Roman" w:hAnsi="Times New Roman"/>
                      <w:color w:val="000000"/>
                      <w:kern w:val="2"/>
                      <w:sz w:val="21"/>
                      <w:szCs w:val="21"/>
                      <w:lang w:val="en-US" w:eastAsia="zh-CN"/>
                    </w:rPr>
                    <w:t>NE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2372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天置山庄</w:t>
                  </w:r>
                </w:p>
              </w:tc>
              <w:tc>
                <w:tcPr>
                  <w:tcW w:w="986" w:type="dxa"/>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1070</w:t>
                  </w:r>
                </w:p>
              </w:tc>
              <w:tc>
                <w:tcPr>
                  <w:tcW w:w="1000" w:type="dxa"/>
                  <w:noWrap w:val="0"/>
                  <w:vAlign w:val="center"/>
                </w:tcPr>
                <w:p>
                  <w:pPr>
                    <w:spacing w:line="240" w:lineRule="atLeast"/>
                    <w:jc w:val="center"/>
                    <w:rPr>
                      <w:rFonts w:hint="default" w:ascii="Times New Roman" w:hAnsi="Times New Roman" w:eastAsia="宋体"/>
                      <w:color w:val="000000"/>
                      <w:lang w:val="en-US" w:eastAsia="zh-CN"/>
                    </w:rPr>
                  </w:pPr>
                  <w:r>
                    <w:rPr>
                      <w:rFonts w:hint="eastAsia" w:ascii="Times New Roman" w:hAnsi="Times New Roman"/>
                      <w:color w:val="000000"/>
                      <w:lang w:val="en-US" w:eastAsia="zh-CN"/>
                    </w:rPr>
                    <w:t>475</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860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258</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autoSpaceDE w:val="0"/>
                    <w:autoSpaceDN w:val="0"/>
                    <w:spacing w:line="240" w:lineRule="atLeast"/>
                    <w:jc w:val="center"/>
                    <w:rPr>
                      <w:rFonts w:hint="eastAsia" w:ascii="Times New Roman" w:hAnsi="Times New Roman"/>
                      <w:color w:val="000000"/>
                      <w:kern w:val="2"/>
                      <w:sz w:val="21"/>
                      <w:szCs w:val="21"/>
                      <w:lang w:eastAsia="zh-CN"/>
                    </w:rPr>
                  </w:pPr>
                  <w:r>
                    <w:rPr>
                      <w:rFonts w:hint="eastAsia" w:ascii="Times New Roman" w:hAnsi="Times New Roman"/>
                      <w:color w:val="000000"/>
                      <w:kern w:val="2"/>
                      <w:sz w:val="21"/>
                      <w:szCs w:val="21"/>
                      <w:lang w:val="en-US" w:eastAsia="zh-CN"/>
                    </w:rPr>
                    <w:t>NE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1108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团结新村</w:t>
                  </w:r>
                </w:p>
              </w:tc>
              <w:tc>
                <w:tcPr>
                  <w:tcW w:w="986" w:type="dxa"/>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1159</w:t>
                  </w:r>
                </w:p>
              </w:tc>
              <w:tc>
                <w:tcPr>
                  <w:tcW w:w="1000" w:type="dxa"/>
                  <w:noWrap w:val="0"/>
                  <w:vAlign w:val="center"/>
                </w:tcPr>
                <w:p>
                  <w:pPr>
                    <w:spacing w:line="240" w:lineRule="atLeast"/>
                    <w:jc w:val="center"/>
                    <w:rPr>
                      <w:rFonts w:hint="default" w:ascii="Times New Roman" w:hAnsi="Times New Roman" w:eastAsia="宋体"/>
                      <w:color w:val="000000"/>
                      <w:lang w:val="en-US" w:eastAsia="zh-CN"/>
                    </w:rPr>
                  </w:pPr>
                  <w:r>
                    <w:rPr>
                      <w:rFonts w:hint="eastAsia" w:ascii="Times New Roman" w:hAnsi="Times New Roman"/>
                      <w:color w:val="000000"/>
                      <w:lang w:val="en-US" w:eastAsia="zh-CN"/>
                    </w:rPr>
                    <w:t>924</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108</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324</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autoSpaceDE w:val="0"/>
                    <w:autoSpaceDN w:val="0"/>
                    <w:spacing w:line="240" w:lineRule="atLeast"/>
                    <w:jc w:val="center"/>
                    <w:rPr>
                      <w:rFonts w:hint="eastAsia" w:ascii="Times New Roman" w:hAnsi="Times New Roman"/>
                      <w:color w:val="000000"/>
                      <w:kern w:val="2"/>
                      <w:sz w:val="21"/>
                      <w:szCs w:val="21"/>
                      <w:lang w:eastAsia="zh-CN"/>
                    </w:rPr>
                  </w:pPr>
                  <w:r>
                    <w:rPr>
                      <w:rFonts w:hint="eastAsia" w:ascii="Times New Roman" w:hAnsi="Times New Roman"/>
                      <w:color w:val="000000"/>
                      <w:kern w:val="2"/>
                      <w:sz w:val="21"/>
                      <w:szCs w:val="21"/>
                      <w:lang w:val="en-US" w:eastAsia="zh-CN"/>
                    </w:rPr>
                    <w:t>NE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1370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申元街小区</w:t>
                  </w:r>
                </w:p>
              </w:tc>
              <w:tc>
                <w:tcPr>
                  <w:tcW w:w="986" w:type="dxa"/>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874</w:t>
                  </w:r>
                </w:p>
              </w:tc>
              <w:tc>
                <w:tcPr>
                  <w:tcW w:w="1000" w:type="dxa"/>
                  <w:noWrap w:val="0"/>
                  <w:vAlign w:val="center"/>
                </w:tcPr>
                <w:p>
                  <w:pPr>
                    <w:spacing w:line="240" w:lineRule="atLeast"/>
                    <w:jc w:val="center"/>
                    <w:rPr>
                      <w:rFonts w:hint="default" w:ascii="Times New Roman" w:hAnsi="Times New Roman" w:eastAsia="宋体"/>
                      <w:color w:val="000000"/>
                      <w:lang w:val="en-US" w:eastAsia="zh-CN"/>
                    </w:rPr>
                  </w:pPr>
                  <w:r>
                    <w:rPr>
                      <w:rFonts w:hint="eastAsia" w:ascii="Times New Roman" w:hAnsi="Times New Roman"/>
                      <w:color w:val="000000"/>
                      <w:lang w:val="en-US" w:eastAsia="zh-CN"/>
                    </w:rPr>
                    <w:t>-885</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199</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597</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autoSpaceDE w:val="0"/>
                    <w:autoSpaceDN w:val="0"/>
                    <w:spacing w:line="240" w:lineRule="atLeast"/>
                    <w:jc w:val="center"/>
                    <w:rPr>
                      <w:rFonts w:hint="eastAsia" w:ascii="Times New Roman" w:hAnsi="Times New Roman"/>
                      <w:color w:val="000000"/>
                      <w:kern w:val="2"/>
                      <w:sz w:val="21"/>
                      <w:szCs w:val="21"/>
                      <w:lang w:eastAsia="zh-CN"/>
                    </w:rPr>
                  </w:pPr>
                  <w:r>
                    <w:rPr>
                      <w:rFonts w:hint="eastAsia" w:ascii="Times New Roman" w:hAnsi="Times New Roman"/>
                      <w:color w:val="000000"/>
                      <w:kern w:val="2"/>
                      <w:sz w:val="21"/>
                      <w:szCs w:val="21"/>
                      <w:lang w:val="en-US" w:eastAsia="zh-CN"/>
                    </w:rPr>
                    <w:t>SE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1259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阳光绿苑</w:t>
                  </w:r>
                </w:p>
              </w:tc>
              <w:tc>
                <w:tcPr>
                  <w:tcW w:w="986" w:type="dxa"/>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865</w:t>
                  </w:r>
                </w:p>
              </w:tc>
              <w:tc>
                <w:tcPr>
                  <w:tcW w:w="1000" w:type="dxa"/>
                  <w:noWrap w:val="0"/>
                  <w:vAlign w:val="center"/>
                </w:tcPr>
                <w:p>
                  <w:pPr>
                    <w:spacing w:line="240" w:lineRule="atLeast"/>
                    <w:jc w:val="center"/>
                    <w:rPr>
                      <w:rFonts w:hint="default" w:ascii="Times New Roman" w:hAnsi="Times New Roman" w:eastAsia="宋体"/>
                      <w:color w:val="000000"/>
                      <w:lang w:val="en-US" w:eastAsia="zh-CN"/>
                    </w:rPr>
                  </w:pPr>
                  <w:r>
                    <w:rPr>
                      <w:rFonts w:hint="eastAsia" w:ascii="Times New Roman" w:hAnsi="Times New Roman"/>
                      <w:color w:val="000000"/>
                      <w:lang w:val="en-US" w:eastAsia="zh-CN"/>
                    </w:rPr>
                    <w:t>-1581</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1232</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3696</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autoSpaceDE w:val="0"/>
                    <w:autoSpaceDN w:val="0"/>
                    <w:spacing w:line="240" w:lineRule="atLeast"/>
                    <w:jc w:val="center"/>
                    <w:rPr>
                      <w:rFonts w:hint="eastAsia" w:ascii="Times New Roman" w:hAnsi="Times New Roman"/>
                      <w:color w:val="000000"/>
                      <w:kern w:val="2"/>
                      <w:sz w:val="21"/>
                      <w:szCs w:val="21"/>
                      <w:lang w:eastAsia="zh-CN"/>
                    </w:rPr>
                  </w:pPr>
                  <w:r>
                    <w:rPr>
                      <w:rFonts w:hint="eastAsia" w:ascii="Times New Roman" w:hAnsi="Times New Roman"/>
                      <w:color w:val="000000"/>
                      <w:kern w:val="2"/>
                      <w:sz w:val="21"/>
                      <w:szCs w:val="21"/>
                      <w:lang w:val="en-US" w:eastAsia="zh-CN"/>
                    </w:rPr>
                    <w:t>SE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1689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新安花园</w:t>
                  </w:r>
                </w:p>
              </w:tc>
              <w:tc>
                <w:tcPr>
                  <w:tcW w:w="986" w:type="dxa"/>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1151</w:t>
                  </w:r>
                </w:p>
              </w:tc>
              <w:tc>
                <w:tcPr>
                  <w:tcW w:w="1000" w:type="dxa"/>
                  <w:noWrap w:val="0"/>
                  <w:vAlign w:val="center"/>
                </w:tcPr>
                <w:p>
                  <w:pPr>
                    <w:spacing w:line="240" w:lineRule="atLeast"/>
                    <w:jc w:val="center"/>
                    <w:rPr>
                      <w:rFonts w:hint="default" w:ascii="Times New Roman" w:hAnsi="Times New Roman" w:eastAsia="宋体"/>
                      <w:color w:val="000000"/>
                      <w:lang w:val="en-US" w:eastAsia="zh-CN"/>
                    </w:rPr>
                  </w:pPr>
                  <w:r>
                    <w:rPr>
                      <w:rFonts w:hint="eastAsia" w:ascii="Times New Roman" w:hAnsi="Times New Roman"/>
                      <w:color w:val="000000"/>
                      <w:lang w:val="en-US" w:eastAsia="zh-CN"/>
                    </w:rPr>
                    <w:t>-2165</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1498</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4494</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autoSpaceDE w:val="0"/>
                    <w:autoSpaceDN w:val="0"/>
                    <w:spacing w:line="240" w:lineRule="atLeast"/>
                    <w:jc w:val="center"/>
                    <w:rPr>
                      <w:rFonts w:hint="eastAsia" w:ascii="Times New Roman" w:hAnsi="Times New Roman"/>
                      <w:color w:val="000000"/>
                      <w:kern w:val="2"/>
                      <w:sz w:val="21"/>
                      <w:szCs w:val="21"/>
                      <w:lang w:eastAsia="zh-CN"/>
                    </w:rPr>
                  </w:pPr>
                  <w:r>
                    <w:rPr>
                      <w:rFonts w:hint="eastAsia" w:ascii="Times New Roman" w:hAnsi="Times New Roman"/>
                      <w:color w:val="000000"/>
                      <w:kern w:val="2"/>
                      <w:sz w:val="21"/>
                      <w:szCs w:val="21"/>
                      <w:lang w:val="en-US" w:eastAsia="zh-CN"/>
                    </w:rPr>
                    <w:t>SE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2471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名流印象</w:t>
                  </w:r>
                </w:p>
              </w:tc>
              <w:tc>
                <w:tcPr>
                  <w:tcW w:w="986" w:type="dxa"/>
                  <w:noWrap w:val="0"/>
                  <w:vAlign w:val="center"/>
                </w:tcPr>
                <w:p>
                  <w:pPr>
                    <w:spacing w:line="240" w:lineRule="atLeast"/>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0</w:t>
                  </w:r>
                </w:p>
              </w:tc>
              <w:tc>
                <w:tcPr>
                  <w:tcW w:w="1000" w:type="dxa"/>
                  <w:noWrap w:val="0"/>
                  <w:vAlign w:val="center"/>
                </w:tcPr>
                <w:p>
                  <w:pPr>
                    <w:spacing w:line="240" w:lineRule="atLeast"/>
                    <w:jc w:val="center"/>
                    <w:rPr>
                      <w:rFonts w:hint="default" w:ascii="Times New Roman" w:hAnsi="Times New Roman" w:eastAsia="宋体"/>
                      <w:color w:val="000000"/>
                      <w:lang w:val="en-US" w:eastAsia="zh-CN"/>
                    </w:rPr>
                  </w:pPr>
                  <w:r>
                    <w:rPr>
                      <w:rFonts w:hint="eastAsia" w:ascii="Times New Roman" w:hAnsi="Times New Roman"/>
                      <w:color w:val="000000"/>
                      <w:lang w:val="en-US" w:eastAsia="zh-CN"/>
                    </w:rPr>
                    <w:t>-1337</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365</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1095</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autoSpaceDE w:val="0"/>
                    <w:autoSpaceDN w:val="0"/>
                    <w:spacing w:line="240" w:lineRule="atLeast"/>
                    <w:jc w:val="center"/>
                    <w:rPr>
                      <w:rFonts w:hint="eastAsia" w:ascii="Times New Roman" w:hAnsi="Times New Roman"/>
                      <w:color w:val="000000"/>
                      <w:kern w:val="2"/>
                      <w:sz w:val="21"/>
                      <w:szCs w:val="21"/>
                      <w:lang w:eastAsia="zh-CN"/>
                    </w:rPr>
                  </w:pPr>
                  <w:r>
                    <w:rPr>
                      <w:rFonts w:hint="eastAsia" w:ascii="Times New Roman" w:hAnsi="Times New Roman"/>
                      <w:color w:val="000000"/>
                      <w:kern w:val="2"/>
                      <w:sz w:val="21"/>
                      <w:szCs w:val="21"/>
                      <w:lang w:val="en-US" w:eastAsia="zh-CN"/>
                    </w:rPr>
                    <w:t>S</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1337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锦天花苑</w:t>
                  </w:r>
                </w:p>
              </w:tc>
              <w:tc>
                <w:tcPr>
                  <w:tcW w:w="986" w:type="dxa"/>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392</w:t>
                  </w:r>
                </w:p>
              </w:tc>
              <w:tc>
                <w:tcPr>
                  <w:tcW w:w="1000" w:type="dxa"/>
                  <w:noWrap w:val="0"/>
                  <w:vAlign w:val="center"/>
                </w:tcPr>
                <w:p>
                  <w:pPr>
                    <w:spacing w:line="240" w:lineRule="atLeast"/>
                    <w:jc w:val="center"/>
                    <w:rPr>
                      <w:rFonts w:hint="default" w:ascii="Times New Roman" w:hAnsi="Times New Roman" w:eastAsia="宋体"/>
                      <w:color w:val="000000"/>
                      <w:lang w:val="en-US" w:eastAsia="zh-CN"/>
                    </w:rPr>
                  </w:pPr>
                  <w:r>
                    <w:rPr>
                      <w:rFonts w:hint="eastAsia" w:ascii="Times New Roman" w:hAnsi="Times New Roman"/>
                      <w:color w:val="000000"/>
                      <w:lang w:val="en-US" w:eastAsia="zh-CN"/>
                    </w:rPr>
                    <w:t>-1595</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199</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597</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autoSpaceDE w:val="0"/>
                    <w:autoSpaceDN w:val="0"/>
                    <w:spacing w:line="240" w:lineRule="atLeast"/>
                    <w:jc w:val="center"/>
                    <w:rPr>
                      <w:rFonts w:hint="eastAsia" w:ascii="Times New Roman" w:hAnsi="Times New Roman"/>
                      <w:color w:val="000000"/>
                      <w:kern w:val="2"/>
                      <w:sz w:val="21"/>
                      <w:szCs w:val="21"/>
                      <w:lang w:eastAsia="zh-CN"/>
                    </w:rPr>
                  </w:pPr>
                  <w:r>
                    <w:rPr>
                      <w:rFonts w:hint="eastAsia" w:ascii="Times New Roman" w:hAnsi="Times New Roman"/>
                      <w:color w:val="000000"/>
                      <w:kern w:val="2"/>
                      <w:sz w:val="21"/>
                      <w:szCs w:val="21"/>
                      <w:lang w:val="en-US" w:eastAsia="zh-CN"/>
                    </w:rPr>
                    <w:t>SE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1578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杨家巷小区</w:t>
                  </w:r>
                </w:p>
              </w:tc>
              <w:tc>
                <w:tcPr>
                  <w:tcW w:w="986" w:type="dxa"/>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1849</w:t>
                  </w:r>
                </w:p>
              </w:tc>
              <w:tc>
                <w:tcPr>
                  <w:tcW w:w="1000" w:type="dxa"/>
                  <w:noWrap w:val="0"/>
                  <w:vAlign w:val="center"/>
                </w:tcPr>
                <w:p>
                  <w:pPr>
                    <w:spacing w:line="240" w:lineRule="atLeast"/>
                    <w:jc w:val="center"/>
                    <w:rPr>
                      <w:rFonts w:hint="default" w:ascii="Times New Roman" w:hAnsi="Times New Roman" w:eastAsia="宋体"/>
                      <w:color w:val="000000"/>
                      <w:lang w:val="en-US" w:eastAsia="zh-CN"/>
                    </w:rPr>
                  </w:pPr>
                  <w:r>
                    <w:rPr>
                      <w:rFonts w:hint="eastAsia" w:ascii="Times New Roman" w:hAnsi="Times New Roman"/>
                      <w:color w:val="000000"/>
                      <w:lang w:val="en-US" w:eastAsia="zh-CN"/>
                    </w:rPr>
                    <w:t>-2103</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199</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597</w:t>
                  </w:r>
                  <w:r>
                    <w:rPr>
                      <w:rFonts w:hint="eastAsia" w:ascii="Times New Roman" w:hAnsi="Times New Roman"/>
                      <w:color w:val="000000"/>
                      <w:kern w:val="2"/>
                      <w:sz w:val="21"/>
                      <w:szCs w:val="21"/>
                      <w:lang w:eastAsia="zh-CN"/>
                    </w:rPr>
                    <w:t>0</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autoSpaceDE w:val="0"/>
                    <w:autoSpaceDN w:val="0"/>
                    <w:spacing w:line="240" w:lineRule="atLeast"/>
                    <w:jc w:val="center"/>
                    <w:rPr>
                      <w:rFonts w:hint="eastAsia" w:ascii="Times New Roman" w:hAnsi="Times New Roman"/>
                      <w:color w:val="000000"/>
                      <w:kern w:val="2"/>
                      <w:sz w:val="21"/>
                      <w:szCs w:val="21"/>
                      <w:lang w:eastAsia="zh-CN"/>
                    </w:rPr>
                  </w:pPr>
                  <w:r>
                    <w:rPr>
                      <w:rFonts w:hint="eastAsia" w:ascii="Times New Roman" w:hAnsi="Times New Roman"/>
                      <w:color w:val="000000"/>
                      <w:kern w:val="2"/>
                      <w:sz w:val="21"/>
                      <w:szCs w:val="21"/>
                      <w:lang w:val="en-US" w:eastAsia="zh-CN"/>
                    </w:rPr>
                    <w:t>SE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2830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中兴花园</w:t>
                  </w:r>
                </w:p>
              </w:tc>
              <w:tc>
                <w:tcPr>
                  <w:tcW w:w="986" w:type="dxa"/>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2210</w:t>
                  </w:r>
                </w:p>
              </w:tc>
              <w:tc>
                <w:tcPr>
                  <w:tcW w:w="1000" w:type="dxa"/>
                  <w:noWrap w:val="0"/>
                  <w:vAlign w:val="center"/>
                </w:tcPr>
                <w:p>
                  <w:pPr>
                    <w:spacing w:line="240" w:lineRule="atLeast"/>
                    <w:jc w:val="center"/>
                    <w:rPr>
                      <w:rFonts w:hint="default" w:ascii="Times New Roman" w:hAnsi="Times New Roman" w:eastAsia="宋体"/>
                      <w:color w:val="000000"/>
                      <w:lang w:val="en-US" w:eastAsia="zh-CN"/>
                    </w:rPr>
                  </w:pPr>
                  <w:r>
                    <w:rPr>
                      <w:rFonts w:hint="eastAsia" w:ascii="Times New Roman" w:hAnsi="Times New Roman"/>
                      <w:color w:val="000000"/>
                      <w:lang w:val="en-US" w:eastAsia="zh-CN"/>
                    </w:rPr>
                    <w:t>-586</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1466</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4398</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SE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2338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黄庄</w:t>
                  </w:r>
                </w:p>
              </w:tc>
              <w:tc>
                <w:tcPr>
                  <w:tcW w:w="986" w:type="dxa"/>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-2069</w:t>
                  </w:r>
                </w:p>
              </w:tc>
              <w:tc>
                <w:tcPr>
                  <w:tcW w:w="1000" w:type="dxa"/>
                  <w:noWrap w:val="0"/>
                  <w:vAlign w:val="center"/>
                </w:tcPr>
                <w:p>
                  <w:pPr>
                    <w:spacing w:line="240" w:lineRule="atLeast"/>
                    <w:jc w:val="center"/>
                    <w:rPr>
                      <w:rFonts w:hint="default" w:ascii="Times New Roman" w:hAnsi="Times New Roman" w:eastAsia="宋体"/>
                      <w:color w:val="000000"/>
                      <w:lang w:val="en-US" w:eastAsia="zh-CN"/>
                    </w:rPr>
                  </w:pPr>
                  <w:r>
                    <w:rPr>
                      <w:rFonts w:hint="eastAsia" w:ascii="Times New Roman" w:hAnsi="Times New Roman"/>
                      <w:color w:val="000000"/>
                      <w:lang w:val="en-US" w:eastAsia="zh-CN"/>
                    </w:rPr>
                    <w:t>319</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hint="default" w:ascii="Times New Roman" w:hAnsi="Times New Roman"/>
                      <w:color w:val="000000"/>
                      <w:kern w:val="2"/>
                      <w:sz w:val="21"/>
                      <w:szCs w:val="21"/>
                      <w:lang w:val="en-US"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362</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,1086</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NW</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2175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大场</w:t>
                  </w:r>
                </w:p>
              </w:tc>
              <w:tc>
                <w:tcPr>
                  <w:tcW w:w="986" w:type="dxa"/>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-1849</w:t>
                  </w:r>
                </w:p>
              </w:tc>
              <w:tc>
                <w:tcPr>
                  <w:tcW w:w="1000" w:type="dxa"/>
                  <w:noWrap w:val="0"/>
                  <w:vAlign w:val="center"/>
                </w:tcPr>
                <w:p>
                  <w:pPr>
                    <w:spacing w:line="240" w:lineRule="atLeast"/>
                    <w:jc w:val="center"/>
                    <w:rPr>
                      <w:rFonts w:hint="default" w:ascii="Times New Roman" w:hAnsi="Times New Roman" w:eastAsia="宋体"/>
                      <w:color w:val="000000"/>
                      <w:lang w:val="en-US" w:eastAsia="zh-CN"/>
                    </w:rPr>
                  </w:pPr>
                  <w:r>
                    <w:rPr>
                      <w:rFonts w:hint="eastAsia" w:ascii="Times New Roman" w:hAnsi="Times New Roman"/>
                      <w:color w:val="000000"/>
                      <w:lang w:val="en-US" w:eastAsia="zh-CN"/>
                    </w:rPr>
                    <w:t>-1153</w:t>
                  </w:r>
                </w:p>
              </w:tc>
              <w:tc>
                <w:tcPr>
                  <w:tcW w:w="950" w:type="dxa"/>
                  <w:noWrap w:val="0"/>
                  <w:vAlign w:val="center"/>
                </w:tcPr>
                <w:p>
                  <w:pPr>
                    <w:spacing w:line="360" w:lineRule="exact"/>
                    <w:jc w:val="center"/>
                    <w:rPr>
                      <w:rFonts w:ascii="Times New Roman" w:hAnsi="Times New Roman"/>
                      <w:color w:val="000000"/>
                      <w:szCs w:val="21"/>
                    </w:rPr>
                  </w:pPr>
                  <w:r>
                    <w:rPr>
                      <w:rFonts w:ascii="Times New Roman" w:hAnsi="Times New Roman"/>
                      <w:color w:val="000000"/>
                      <w:szCs w:val="21"/>
                    </w:rPr>
                    <w:t>居民</w:t>
                  </w:r>
                </w:p>
              </w:tc>
              <w:tc>
                <w:tcPr>
                  <w:tcW w:w="1517" w:type="dxa"/>
                  <w:noWrap w:val="0"/>
                  <w:vAlign w:val="center"/>
                </w:tcPr>
                <w:p>
                  <w:pPr>
                    <w:autoSpaceDE w:val="0"/>
                    <w:autoSpaceDN w:val="0"/>
                    <w:spacing w:line="240" w:lineRule="atLeast"/>
                    <w:jc w:val="center"/>
                    <w:rPr>
                      <w:rFonts w:ascii="Times New Roman" w:hAnsi="Times New Roman"/>
                      <w:color w:val="000000"/>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val="en-US" w:eastAsia="zh-CN"/>
                    </w:rPr>
                    <w:t>106</w:t>
                  </w:r>
                  <w:r>
                    <w:rPr>
                      <w:rFonts w:ascii="Times New Roman" w:hAnsi="Times New Roman"/>
                      <w:color w:val="000000"/>
                      <w:kern w:val="2"/>
                      <w:sz w:val="21"/>
                      <w:szCs w:val="21"/>
                      <w:lang w:eastAsia="zh-CN"/>
                    </w:rPr>
                    <w:t>户，</w:t>
                  </w:r>
                  <w:r>
                    <w:rPr>
                      <w:rFonts w:hint="eastAsia" w:ascii="Times New Roman" w:hAnsi="Times New Roman"/>
                      <w:color w:val="000000"/>
                      <w:kern w:val="2"/>
                      <w:sz w:val="21"/>
                      <w:szCs w:val="21"/>
                      <w:lang w:val="en-US" w:eastAsia="zh-CN"/>
                    </w:rPr>
                    <w:t>318</w:t>
                  </w:r>
                  <w:r>
                    <w:rPr>
                      <w:rFonts w:ascii="Times New Roman" w:hAnsi="Times New Roman"/>
                      <w:color w:val="000000"/>
                      <w:kern w:val="2"/>
                      <w:sz w:val="21"/>
                      <w:szCs w:val="21"/>
                      <w:lang w:eastAsia="zh-CN"/>
                    </w:rPr>
                    <w:t>人</w:t>
                  </w:r>
                </w:p>
              </w:tc>
              <w:tc>
                <w:tcPr>
                  <w:tcW w:w="1350" w:type="dxa"/>
                  <w:vMerge w:val="continue"/>
                  <w:noWrap w:val="0"/>
                  <w:vAlign w:val="center"/>
                </w:tcPr>
                <w:p>
                  <w:pPr>
                    <w:spacing w:line="240" w:lineRule="atLeast"/>
                    <w:jc w:val="center"/>
                    <w:rPr>
                      <w:rFonts w:ascii="Times New Roman" w:hAnsi="Times New Roman"/>
                      <w:color w:val="000000"/>
                      <w:szCs w:val="21"/>
                    </w:rPr>
                  </w:pPr>
                </w:p>
              </w:tc>
              <w:tc>
                <w:tcPr>
                  <w:tcW w:w="933"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SE</w:t>
                  </w:r>
                </w:p>
              </w:tc>
              <w:tc>
                <w:tcPr>
                  <w:tcW w:w="1064" w:type="dxa"/>
                  <w:noWrap w:val="0"/>
                  <w:vAlign w:val="center"/>
                </w:tcPr>
                <w:p>
                  <w:pPr>
                    <w:pStyle w:val="94"/>
                    <w:autoSpaceDE w:val="0"/>
                    <w:autoSpaceDN w:val="0"/>
                    <w:spacing w:line="240" w:lineRule="atLeast"/>
                    <w:jc w:val="center"/>
                    <w:rPr>
                      <w:rFonts w:hint="default" w:ascii="Times New Roman" w:hAnsi="Times New Roman"/>
                      <w:color w:val="000000"/>
                      <w:kern w:val="2"/>
                      <w:sz w:val="21"/>
                      <w:szCs w:val="21"/>
                      <w:lang w:val="en-US" w:eastAsia="zh-CN"/>
                    </w:rPr>
                  </w:pPr>
                  <w:r>
                    <w:rPr>
                      <w:rFonts w:hint="eastAsia" w:ascii="Times New Roman" w:hAnsi="Times New Roman"/>
                      <w:color w:val="000000"/>
                      <w:kern w:val="2"/>
                      <w:sz w:val="21"/>
                      <w:szCs w:val="21"/>
                      <w:lang w:val="en-US" w:eastAsia="zh-CN"/>
                    </w:rPr>
                    <w:t>1874</w:t>
                  </w:r>
                </w:p>
              </w:tc>
            </w:tr>
          </w:tbl>
          <w:p>
            <w:pPr>
              <w:spacing w:line="360" w:lineRule="auto"/>
              <w:jc w:val="center"/>
              <w:rPr>
                <w:rFonts w:ascii="Times New Roman" w:hAnsi="Times New Roman"/>
                <w:b/>
                <w:color w:val="000000"/>
                <w:szCs w:val="21"/>
              </w:rPr>
            </w:pPr>
          </w:p>
          <w:p>
            <w:pPr>
              <w:spacing w:line="360" w:lineRule="auto"/>
              <w:jc w:val="center"/>
              <w:rPr>
                <w:rFonts w:ascii="Times New Roman" w:hAnsi="Times New Roman"/>
                <w:b/>
                <w:color w:val="000000"/>
                <w:szCs w:val="21"/>
              </w:rPr>
            </w:pPr>
            <w:r>
              <w:rPr>
                <w:rFonts w:ascii="Times New Roman" w:hAnsi="Times New Roman"/>
                <w:b/>
                <w:color w:val="000000"/>
                <w:sz w:val="24"/>
              </w:rPr>
              <w:t>表3-</w:t>
            </w:r>
            <w:r>
              <w:rPr>
                <w:rFonts w:hint="eastAsia" w:ascii="Times New Roman" w:hAnsi="Times New Roman"/>
                <w:b/>
                <w:color w:val="000000"/>
                <w:sz w:val="24"/>
                <w:lang w:val="en-US" w:eastAsia="zh-CN"/>
              </w:rPr>
              <w:t>5</w:t>
            </w:r>
            <w:r>
              <w:rPr>
                <w:rFonts w:ascii="Times New Roman" w:hAnsi="Times New Roman"/>
                <w:b/>
                <w:color w:val="000000"/>
                <w:sz w:val="24"/>
              </w:rPr>
              <w:t xml:space="preserve"> 地表水环境和声环境保护目标一览表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475"/>
              <w:gridCol w:w="1113"/>
              <w:gridCol w:w="1570"/>
              <w:gridCol w:w="1590"/>
              <w:gridCol w:w="2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836" w:type="dxa"/>
                  <w:noWrap w:val="0"/>
                  <w:vAlign w:val="center"/>
                </w:tcPr>
                <w:p>
                  <w:pPr>
                    <w:spacing w:line="240" w:lineRule="atLeast"/>
                    <w:jc w:val="center"/>
                    <w:rPr>
                      <w:rFonts w:ascii="Times New Roman" w:hAnsi="Times New Roman"/>
                      <w:szCs w:val="21"/>
                    </w:rPr>
                  </w:pPr>
                  <w:r>
                    <w:rPr>
                      <w:rFonts w:ascii="Times New Roman" w:hAnsi="Times New Roman"/>
                      <w:szCs w:val="21"/>
                    </w:rPr>
                    <w:t>环境</w:t>
                  </w:r>
                </w:p>
                <w:p>
                  <w:pPr>
                    <w:spacing w:line="240" w:lineRule="atLeast"/>
                    <w:jc w:val="center"/>
                    <w:rPr>
                      <w:rFonts w:ascii="Times New Roman" w:hAnsi="Times New Roman"/>
                      <w:szCs w:val="21"/>
                    </w:rPr>
                  </w:pPr>
                  <w:r>
                    <w:rPr>
                      <w:rFonts w:ascii="Times New Roman" w:hAnsi="Times New Roman"/>
                      <w:szCs w:val="21"/>
                    </w:rPr>
                    <w:t>要素</w:t>
                  </w:r>
                </w:p>
              </w:tc>
              <w:tc>
                <w:tcPr>
                  <w:tcW w:w="1475" w:type="dxa"/>
                  <w:noWrap w:val="0"/>
                  <w:vAlign w:val="center"/>
                </w:tcPr>
                <w:p>
                  <w:pPr>
                    <w:spacing w:line="240" w:lineRule="atLeast"/>
                    <w:jc w:val="center"/>
                    <w:rPr>
                      <w:rFonts w:ascii="Times New Roman" w:hAnsi="Times New Roman"/>
                      <w:szCs w:val="21"/>
                    </w:rPr>
                  </w:pPr>
                  <w:r>
                    <w:rPr>
                      <w:rFonts w:ascii="Times New Roman" w:hAnsi="Times New Roman"/>
                      <w:szCs w:val="21"/>
                    </w:rPr>
                    <w:t>名称</w:t>
                  </w:r>
                </w:p>
              </w:tc>
              <w:tc>
                <w:tcPr>
                  <w:tcW w:w="1113" w:type="dxa"/>
                  <w:noWrap w:val="0"/>
                  <w:vAlign w:val="center"/>
                </w:tcPr>
                <w:p>
                  <w:pPr>
                    <w:spacing w:line="240" w:lineRule="atLeast"/>
                    <w:jc w:val="center"/>
                    <w:rPr>
                      <w:rFonts w:ascii="Times New Roman" w:hAnsi="Times New Roman"/>
                      <w:szCs w:val="21"/>
                    </w:rPr>
                  </w:pPr>
                  <w:r>
                    <w:rPr>
                      <w:rFonts w:ascii="Times New Roman" w:hAnsi="Times New Roman"/>
                      <w:szCs w:val="21"/>
                    </w:rPr>
                    <w:t>相对项</w:t>
                  </w:r>
                </w:p>
                <w:p>
                  <w:pPr>
                    <w:spacing w:line="240" w:lineRule="atLeast"/>
                    <w:jc w:val="center"/>
                    <w:rPr>
                      <w:rFonts w:ascii="Times New Roman" w:hAnsi="Times New Roman"/>
                      <w:szCs w:val="21"/>
                    </w:rPr>
                  </w:pPr>
                  <w:r>
                    <w:rPr>
                      <w:rFonts w:ascii="Times New Roman" w:hAnsi="Times New Roman"/>
                      <w:szCs w:val="21"/>
                    </w:rPr>
                    <w:t>目方位</w:t>
                  </w:r>
                </w:p>
              </w:tc>
              <w:tc>
                <w:tcPr>
                  <w:tcW w:w="1570" w:type="dxa"/>
                  <w:noWrap w:val="0"/>
                  <w:vAlign w:val="center"/>
                </w:tcPr>
                <w:p>
                  <w:pPr>
                    <w:spacing w:line="240" w:lineRule="atLeast"/>
                    <w:jc w:val="center"/>
                    <w:rPr>
                      <w:rFonts w:ascii="Times New Roman" w:hAnsi="Times New Roman"/>
                      <w:szCs w:val="21"/>
                    </w:rPr>
                  </w:pPr>
                  <w:r>
                    <w:rPr>
                      <w:rFonts w:ascii="Times New Roman" w:hAnsi="Times New Roman"/>
                      <w:szCs w:val="21"/>
                    </w:rPr>
                    <w:t>与项目厂界最近距离m</w:t>
                  </w:r>
                </w:p>
              </w:tc>
              <w:tc>
                <w:tcPr>
                  <w:tcW w:w="1590" w:type="dxa"/>
                  <w:noWrap w:val="0"/>
                  <w:vAlign w:val="center"/>
                </w:tcPr>
                <w:p>
                  <w:pPr>
                    <w:spacing w:line="240" w:lineRule="atLeast"/>
                    <w:jc w:val="center"/>
                    <w:rPr>
                      <w:rFonts w:ascii="Times New Roman" w:hAnsi="Times New Roman"/>
                      <w:szCs w:val="21"/>
                    </w:rPr>
                  </w:pPr>
                  <w:r>
                    <w:rPr>
                      <w:rFonts w:ascii="Times New Roman" w:hAnsi="Times New Roman"/>
                      <w:szCs w:val="21"/>
                    </w:rPr>
                    <w:t>规模</w:t>
                  </w:r>
                </w:p>
              </w:tc>
              <w:tc>
                <w:tcPr>
                  <w:tcW w:w="2260" w:type="dxa"/>
                  <w:noWrap w:val="0"/>
                  <w:vAlign w:val="center"/>
                </w:tcPr>
                <w:p>
                  <w:pPr>
                    <w:spacing w:line="240" w:lineRule="atLeast"/>
                    <w:jc w:val="center"/>
                    <w:rPr>
                      <w:rFonts w:ascii="Times New Roman" w:hAnsi="Times New Roman"/>
                      <w:szCs w:val="21"/>
                    </w:rPr>
                  </w:pPr>
                  <w:r>
                    <w:rPr>
                      <w:rFonts w:ascii="Times New Roman" w:hAnsi="Times New Roman"/>
                      <w:szCs w:val="21"/>
                    </w:rPr>
                    <w:t>环境保护级别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836" w:type="dxa"/>
                  <w:noWrap w:val="0"/>
                  <w:vAlign w:val="center"/>
                </w:tcPr>
                <w:p>
                  <w:pPr>
                    <w:spacing w:line="240" w:lineRule="atLeast"/>
                    <w:jc w:val="center"/>
                    <w:rPr>
                      <w:rFonts w:ascii="Times New Roman" w:hAnsi="Times New Roman"/>
                      <w:szCs w:val="21"/>
                    </w:rPr>
                  </w:pPr>
                  <w:r>
                    <w:rPr>
                      <w:rFonts w:ascii="Times New Roman" w:hAnsi="Times New Roman"/>
                      <w:szCs w:val="21"/>
                    </w:rPr>
                    <w:t>水环境</w:t>
                  </w:r>
                </w:p>
              </w:tc>
              <w:tc>
                <w:tcPr>
                  <w:tcW w:w="1475" w:type="dxa"/>
                  <w:noWrap w:val="0"/>
                  <w:vAlign w:val="center"/>
                </w:tcPr>
                <w:p>
                  <w:pPr>
                    <w:pStyle w:val="94"/>
                    <w:autoSpaceDE w:val="0"/>
                    <w:autoSpaceDN w:val="0"/>
                    <w:spacing w:line="240" w:lineRule="atLeast"/>
                    <w:jc w:val="center"/>
                    <w:rPr>
                      <w:rFonts w:ascii="Times New Roman" w:hAnsi="Times New Roman"/>
                      <w:kern w:val="2"/>
                      <w:szCs w:val="21"/>
                    </w:rPr>
                  </w:pPr>
                  <w:r>
                    <w:rPr>
                      <w:rFonts w:ascii="Times New Roman" w:hAnsi="Times New Roman"/>
                      <w:kern w:val="2"/>
                      <w:sz w:val="21"/>
                      <w:szCs w:val="21"/>
                      <w:lang w:eastAsia="zh-CN"/>
                    </w:rPr>
                    <w:t>长江（评价河段）</w:t>
                  </w:r>
                </w:p>
              </w:tc>
              <w:tc>
                <w:tcPr>
                  <w:tcW w:w="1113" w:type="dxa"/>
                  <w:noWrap w:val="0"/>
                  <w:vAlign w:val="center"/>
                </w:tcPr>
                <w:p>
                  <w:pPr>
                    <w:pStyle w:val="94"/>
                    <w:autoSpaceDE w:val="0"/>
                    <w:autoSpaceDN w:val="0"/>
                    <w:spacing w:line="240" w:lineRule="atLeast"/>
                    <w:jc w:val="center"/>
                    <w:rPr>
                      <w:rFonts w:ascii="Times New Roman" w:hAnsi="Times New Roman"/>
                      <w:kern w:val="2"/>
                      <w:szCs w:val="21"/>
                    </w:rPr>
                  </w:pPr>
                  <w:r>
                    <w:rPr>
                      <w:rFonts w:ascii="Times New Roman" w:hAnsi="Times New Roman"/>
                      <w:kern w:val="2"/>
                      <w:sz w:val="21"/>
                      <w:szCs w:val="21"/>
                      <w:lang w:eastAsia="zh-CN"/>
                    </w:rPr>
                    <w:t>W</w:t>
                  </w:r>
                </w:p>
              </w:tc>
              <w:tc>
                <w:tcPr>
                  <w:tcW w:w="1570" w:type="dxa"/>
                  <w:noWrap w:val="0"/>
                  <w:vAlign w:val="center"/>
                </w:tcPr>
                <w:p>
                  <w:pPr>
                    <w:pStyle w:val="94"/>
                    <w:autoSpaceDE w:val="0"/>
                    <w:autoSpaceDN w:val="0"/>
                    <w:spacing w:line="240" w:lineRule="atLeast"/>
                    <w:jc w:val="center"/>
                    <w:rPr>
                      <w:rFonts w:ascii="Times New Roman" w:hAnsi="Times New Roman"/>
                      <w:kern w:val="2"/>
                      <w:szCs w:val="21"/>
                    </w:rPr>
                  </w:pPr>
                  <w:r>
                    <w:rPr>
                      <w:rFonts w:hint="eastAsia" w:ascii="Times New Roman" w:hAnsi="Times New Roman"/>
                      <w:kern w:val="2"/>
                      <w:sz w:val="21"/>
                      <w:szCs w:val="21"/>
                      <w:lang w:eastAsia="zh-CN"/>
                    </w:rPr>
                    <w:t>310</w:t>
                  </w:r>
                </w:p>
              </w:tc>
              <w:tc>
                <w:tcPr>
                  <w:tcW w:w="1590" w:type="dxa"/>
                  <w:noWrap w:val="0"/>
                  <w:vAlign w:val="center"/>
                </w:tcPr>
                <w:p>
                  <w:pPr>
                    <w:pStyle w:val="94"/>
                    <w:autoSpaceDE w:val="0"/>
                    <w:autoSpaceDN w:val="0"/>
                    <w:spacing w:line="240" w:lineRule="atLeast"/>
                    <w:jc w:val="center"/>
                    <w:rPr>
                      <w:rFonts w:ascii="Times New Roman" w:hAnsi="Times New Roman"/>
                      <w:kern w:val="2"/>
                    </w:rPr>
                  </w:pPr>
                  <w:r>
                    <w:rPr>
                      <w:rFonts w:ascii="Times New Roman" w:hAnsi="Times New Roman"/>
                      <w:kern w:val="2"/>
                      <w:sz w:val="21"/>
                      <w:szCs w:val="21"/>
                      <w:lang w:eastAsia="zh-CN"/>
                    </w:rPr>
                    <w:t>大型河流</w:t>
                  </w:r>
                </w:p>
              </w:tc>
              <w:tc>
                <w:tcPr>
                  <w:tcW w:w="2260" w:type="dxa"/>
                  <w:noWrap w:val="0"/>
                  <w:vAlign w:val="center"/>
                </w:tcPr>
                <w:p>
                  <w:pPr>
                    <w:spacing w:line="240" w:lineRule="atLeast"/>
                    <w:jc w:val="center"/>
                    <w:rPr>
                      <w:rFonts w:ascii="Times New Roman" w:hAnsi="Times New Roman"/>
                      <w:szCs w:val="21"/>
                    </w:rPr>
                  </w:pPr>
                  <w:r>
                    <w:rPr>
                      <w:rFonts w:ascii="Times New Roman" w:hAnsi="Times New Roman"/>
                      <w:szCs w:val="21"/>
                    </w:rPr>
                    <w:t>《地表水环境质量标准》（GB3838-2002）中Ⅲ类标准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36" w:type="dxa"/>
                  <w:vMerge w:val="restart"/>
                  <w:noWrap w:val="0"/>
                  <w:vAlign w:val="center"/>
                </w:tcPr>
                <w:p>
                  <w:pPr>
                    <w:spacing w:line="240" w:lineRule="atLeast"/>
                    <w:jc w:val="center"/>
                    <w:rPr>
                      <w:rFonts w:ascii="Times New Roman" w:hAnsi="Times New Roman"/>
                      <w:szCs w:val="21"/>
                    </w:rPr>
                  </w:pPr>
                  <w:r>
                    <w:rPr>
                      <w:rFonts w:ascii="Times New Roman" w:hAnsi="Times New Roman"/>
                      <w:szCs w:val="21"/>
                    </w:rPr>
                    <w:t>声环境</w:t>
                  </w:r>
                </w:p>
              </w:tc>
              <w:tc>
                <w:tcPr>
                  <w:tcW w:w="1475" w:type="dxa"/>
                  <w:noWrap w:val="0"/>
                  <w:vAlign w:val="center"/>
                </w:tcPr>
                <w:p>
                  <w:pPr>
                    <w:pStyle w:val="94"/>
                    <w:autoSpaceDE w:val="0"/>
                    <w:autoSpaceDN w:val="0"/>
                    <w:spacing w:line="240" w:lineRule="atLeast"/>
                    <w:jc w:val="center"/>
                    <w:rPr>
                      <w:rFonts w:ascii="Times New Roman" w:hAnsi="Times New Roman"/>
                      <w:kern w:val="2"/>
                      <w:szCs w:val="21"/>
                    </w:rPr>
                  </w:pPr>
                  <w:r>
                    <w:rPr>
                      <w:rFonts w:ascii="Times New Roman" w:hAnsi="Times New Roman"/>
                      <w:kern w:val="2"/>
                      <w:sz w:val="21"/>
                      <w:szCs w:val="21"/>
                      <w:lang w:eastAsia="zh-CN"/>
                    </w:rPr>
                    <w:t>厂界四周</w:t>
                  </w:r>
                </w:p>
              </w:tc>
              <w:tc>
                <w:tcPr>
                  <w:tcW w:w="1113" w:type="dxa"/>
                  <w:noWrap w:val="0"/>
                  <w:vAlign w:val="center"/>
                </w:tcPr>
                <w:p>
                  <w:pPr>
                    <w:pStyle w:val="94"/>
                    <w:autoSpaceDE w:val="0"/>
                    <w:autoSpaceDN w:val="0"/>
                    <w:spacing w:line="240" w:lineRule="atLeast"/>
                    <w:jc w:val="center"/>
                    <w:rPr>
                      <w:rFonts w:ascii="Times New Roman" w:hAnsi="Times New Roman"/>
                      <w:kern w:val="2"/>
                      <w:szCs w:val="21"/>
                    </w:rPr>
                  </w:pPr>
                  <w:r>
                    <w:rPr>
                      <w:rFonts w:ascii="Times New Roman" w:hAnsi="Times New Roman"/>
                      <w:kern w:val="2"/>
                      <w:sz w:val="21"/>
                      <w:szCs w:val="21"/>
                      <w:lang w:eastAsia="zh-CN"/>
                    </w:rPr>
                    <w:t>/</w:t>
                  </w:r>
                </w:p>
              </w:tc>
              <w:tc>
                <w:tcPr>
                  <w:tcW w:w="1570" w:type="dxa"/>
                  <w:noWrap w:val="0"/>
                  <w:vAlign w:val="center"/>
                </w:tcPr>
                <w:p>
                  <w:pPr>
                    <w:pStyle w:val="94"/>
                    <w:autoSpaceDE w:val="0"/>
                    <w:autoSpaceDN w:val="0"/>
                    <w:spacing w:line="240" w:lineRule="atLeast"/>
                    <w:jc w:val="center"/>
                    <w:rPr>
                      <w:rFonts w:ascii="Times New Roman" w:hAnsi="Times New Roman"/>
                      <w:kern w:val="2"/>
                      <w:szCs w:val="21"/>
                    </w:rPr>
                  </w:pPr>
                  <w:r>
                    <w:rPr>
                      <w:rFonts w:ascii="Times New Roman" w:hAnsi="Times New Roman"/>
                      <w:kern w:val="2"/>
                      <w:sz w:val="21"/>
                      <w:szCs w:val="21"/>
                      <w:lang w:eastAsia="zh-CN"/>
                    </w:rPr>
                    <w:t>/</w:t>
                  </w:r>
                </w:p>
              </w:tc>
              <w:tc>
                <w:tcPr>
                  <w:tcW w:w="1590" w:type="dxa"/>
                  <w:noWrap w:val="0"/>
                  <w:vAlign w:val="center"/>
                </w:tcPr>
                <w:p>
                  <w:pPr>
                    <w:pStyle w:val="94"/>
                    <w:autoSpaceDE w:val="0"/>
                    <w:autoSpaceDN w:val="0"/>
                    <w:spacing w:line="240" w:lineRule="atLeast"/>
                    <w:jc w:val="center"/>
                    <w:rPr>
                      <w:rFonts w:ascii="Times New Roman" w:hAnsi="Times New Roman"/>
                      <w:kern w:val="2"/>
                      <w:szCs w:val="21"/>
                    </w:rPr>
                  </w:pPr>
                  <w:r>
                    <w:rPr>
                      <w:rFonts w:ascii="Times New Roman" w:hAnsi="Times New Roman"/>
                      <w:kern w:val="2"/>
                      <w:sz w:val="21"/>
                      <w:szCs w:val="21"/>
                      <w:lang w:eastAsia="zh-CN"/>
                    </w:rPr>
                    <w:t>/</w:t>
                  </w:r>
                </w:p>
              </w:tc>
              <w:tc>
                <w:tcPr>
                  <w:tcW w:w="2260" w:type="dxa"/>
                  <w:vMerge w:val="restart"/>
                  <w:noWrap w:val="0"/>
                  <w:vAlign w:val="center"/>
                </w:tcPr>
                <w:p>
                  <w:pPr>
                    <w:spacing w:line="240" w:lineRule="atLeast"/>
                    <w:jc w:val="center"/>
                    <w:rPr>
                      <w:rFonts w:ascii="Times New Roman" w:hAnsi="Times New Roman"/>
                      <w:szCs w:val="21"/>
                    </w:rPr>
                  </w:pPr>
                  <w:r>
                    <w:rPr>
                      <w:rFonts w:ascii="Times New Roman" w:hAnsi="Times New Roman"/>
                      <w:szCs w:val="21"/>
                    </w:rPr>
                    <w:t>《声环境质量标准》（3096-2008）中</w:t>
                  </w:r>
                  <w:r>
                    <w:rPr>
                      <w:rFonts w:hint="eastAsia" w:ascii="Times New Roman" w:hAnsi="Times New Roman"/>
                      <w:szCs w:val="21"/>
                      <w:lang w:val="en-US" w:eastAsia="zh-CN"/>
                    </w:rPr>
                    <w:t>2</w:t>
                  </w:r>
                  <w:r>
                    <w:rPr>
                      <w:rFonts w:ascii="Times New Roman" w:hAnsi="Times New Roman"/>
                      <w:szCs w:val="21"/>
                    </w:rPr>
                    <w:t>类区标准要求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36" w:type="dxa"/>
                  <w:vMerge w:val="continue"/>
                  <w:noWrap w:val="0"/>
                  <w:vAlign w:val="center"/>
                </w:tcPr>
                <w:p>
                  <w:pPr>
                    <w:spacing w:line="240" w:lineRule="atLeast"/>
                    <w:jc w:val="center"/>
                    <w:rPr>
                      <w:rFonts w:ascii="Times New Roman" w:hAnsi="Times New Roman"/>
                      <w:szCs w:val="21"/>
                    </w:rPr>
                  </w:pPr>
                </w:p>
              </w:tc>
              <w:tc>
                <w:tcPr>
                  <w:tcW w:w="14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imes New Roman" w:hAnsi="Times New Roman"/>
                      <w:kern w:val="2"/>
                      <w:sz w:val="21"/>
                      <w:szCs w:val="21"/>
                      <w:lang w:eastAsia="zh-CN"/>
                    </w:rPr>
                  </w:pPr>
                  <w:r>
                    <w:rPr>
                      <w:rFonts w:hint="eastAsia" w:ascii="Times New Roman" w:hAnsi="Times New Roman" w:cs="Times New Roman"/>
                      <w:color w:val="000000"/>
                      <w:szCs w:val="21"/>
                      <w:lang w:eastAsia="zh-CN"/>
                    </w:rPr>
                    <w:t>世贸滨江花园</w:t>
                  </w:r>
                </w:p>
              </w:tc>
              <w:tc>
                <w:tcPr>
                  <w:tcW w:w="1113" w:type="dxa"/>
                  <w:noWrap w:val="0"/>
                  <w:vAlign w:val="center"/>
                </w:tcPr>
                <w:p>
                  <w:pPr>
                    <w:pStyle w:val="94"/>
                    <w:autoSpaceDE w:val="0"/>
                    <w:autoSpaceDN w:val="0"/>
                    <w:spacing w:line="240" w:lineRule="atLeast"/>
                    <w:jc w:val="center"/>
                    <w:rPr>
                      <w:rFonts w:ascii="Times New Roman" w:hAnsi="Times New Roman"/>
                      <w:kern w:val="2"/>
                      <w:sz w:val="21"/>
                      <w:szCs w:val="21"/>
                      <w:lang w:eastAsia="zh-CN"/>
                    </w:rPr>
                  </w:pPr>
                  <w:r>
                    <w:rPr>
                      <w:rFonts w:hint="eastAsia" w:ascii="Times New Roman" w:hAnsi="Times New Roman"/>
                      <w:color w:val="000000"/>
                      <w:kern w:val="2"/>
                      <w:sz w:val="21"/>
                      <w:szCs w:val="21"/>
                      <w:lang w:val="en-US" w:eastAsia="zh-CN"/>
                    </w:rPr>
                    <w:t>W</w:t>
                  </w:r>
                </w:p>
              </w:tc>
              <w:tc>
                <w:tcPr>
                  <w:tcW w:w="1570" w:type="dxa"/>
                  <w:noWrap w:val="0"/>
                  <w:vAlign w:val="center"/>
                </w:tcPr>
                <w:p>
                  <w:pPr>
                    <w:pStyle w:val="94"/>
                    <w:autoSpaceDE w:val="0"/>
                    <w:autoSpaceDN w:val="0"/>
                    <w:spacing w:line="240" w:lineRule="atLeast"/>
                    <w:jc w:val="center"/>
                    <w:rPr>
                      <w:rFonts w:hint="default" w:ascii="Times New Roman" w:hAnsi="Times New Roman"/>
                      <w:kern w:val="2"/>
                      <w:sz w:val="21"/>
                      <w:szCs w:val="21"/>
                      <w:lang w:val="en-US" w:eastAsia="zh-CN"/>
                    </w:rPr>
                  </w:pPr>
                  <w:r>
                    <w:rPr>
                      <w:rFonts w:hint="eastAsia" w:ascii="Times New Roman" w:hAnsi="Times New Roman"/>
                      <w:kern w:val="2"/>
                      <w:sz w:val="21"/>
                      <w:szCs w:val="21"/>
                      <w:lang w:val="en-US" w:eastAsia="zh-CN"/>
                    </w:rPr>
                    <w:t>33</w:t>
                  </w:r>
                </w:p>
              </w:tc>
              <w:tc>
                <w:tcPr>
                  <w:tcW w:w="1590" w:type="dxa"/>
                  <w:noWrap w:val="0"/>
                  <w:vAlign w:val="center"/>
                </w:tcPr>
                <w:p>
                  <w:pPr>
                    <w:pStyle w:val="94"/>
                    <w:autoSpaceDE w:val="0"/>
                    <w:autoSpaceDN w:val="0"/>
                    <w:spacing w:line="240" w:lineRule="atLeast"/>
                    <w:jc w:val="center"/>
                    <w:rPr>
                      <w:rFonts w:ascii="Times New Roman" w:hAnsi="Times New Roman"/>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2</w:t>
                  </w:r>
                  <w:r>
                    <w:rPr>
                      <w:rFonts w:ascii="Times New Roman" w:hAnsi="Times New Roman"/>
                      <w:color w:val="000000"/>
                      <w:kern w:val="2"/>
                      <w:sz w:val="21"/>
                      <w:szCs w:val="21"/>
                      <w:lang w:eastAsia="zh-CN"/>
                    </w:rPr>
                    <w:t>600户，</w:t>
                  </w:r>
                  <w:r>
                    <w:rPr>
                      <w:rFonts w:hint="eastAsia" w:ascii="Times New Roman" w:hAnsi="Times New Roman"/>
                      <w:color w:val="000000"/>
                      <w:kern w:val="2"/>
                      <w:sz w:val="21"/>
                      <w:szCs w:val="21"/>
                      <w:lang w:eastAsia="zh-CN"/>
                    </w:rPr>
                    <w:t>78</w:t>
                  </w:r>
                  <w:r>
                    <w:rPr>
                      <w:rFonts w:ascii="Times New Roman" w:hAnsi="Times New Roman"/>
                      <w:color w:val="000000"/>
                      <w:kern w:val="2"/>
                      <w:sz w:val="21"/>
                      <w:szCs w:val="21"/>
                      <w:lang w:eastAsia="zh-CN"/>
                    </w:rPr>
                    <w:t>00人</w:t>
                  </w:r>
                </w:p>
              </w:tc>
              <w:tc>
                <w:tcPr>
                  <w:tcW w:w="2260" w:type="dxa"/>
                  <w:vMerge w:val="continue"/>
                  <w:noWrap w:val="0"/>
                  <w:vAlign w:val="center"/>
                </w:tcPr>
                <w:p>
                  <w:pPr>
                    <w:spacing w:line="240"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36" w:type="dxa"/>
                  <w:vMerge w:val="continue"/>
                  <w:noWrap w:val="0"/>
                  <w:vAlign w:val="center"/>
                </w:tcPr>
                <w:p>
                  <w:pPr>
                    <w:spacing w:line="240" w:lineRule="atLeast"/>
                    <w:jc w:val="center"/>
                    <w:rPr>
                      <w:rFonts w:ascii="Times New Roman" w:hAnsi="Times New Roman"/>
                      <w:szCs w:val="21"/>
                    </w:rPr>
                  </w:pPr>
                </w:p>
              </w:tc>
              <w:tc>
                <w:tcPr>
                  <w:tcW w:w="14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imes New Roman" w:hAnsi="Times New Roman"/>
                      <w:kern w:val="2"/>
                      <w:sz w:val="21"/>
                      <w:szCs w:val="21"/>
                      <w:lang w:eastAsia="zh-CN"/>
                    </w:rPr>
                  </w:pPr>
                  <w:r>
                    <w:rPr>
                      <w:rFonts w:hint="eastAsia" w:ascii="Times New Roman" w:hAnsi="Times New Roman" w:cs="Times New Roman"/>
                      <w:color w:val="000000"/>
                      <w:szCs w:val="21"/>
                      <w:lang w:eastAsia="zh-CN"/>
                    </w:rPr>
                    <w:t>江南新村</w:t>
                  </w:r>
                </w:p>
              </w:tc>
              <w:tc>
                <w:tcPr>
                  <w:tcW w:w="1113" w:type="dxa"/>
                  <w:noWrap w:val="0"/>
                  <w:vAlign w:val="center"/>
                </w:tcPr>
                <w:p>
                  <w:pPr>
                    <w:pStyle w:val="94"/>
                    <w:autoSpaceDE w:val="0"/>
                    <w:autoSpaceDN w:val="0"/>
                    <w:spacing w:line="240" w:lineRule="atLeast"/>
                    <w:jc w:val="center"/>
                    <w:rPr>
                      <w:rFonts w:ascii="Times New Roman" w:hAnsi="Times New Roman"/>
                      <w:kern w:val="2"/>
                      <w:sz w:val="21"/>
                      <w:szCs w:val="21"/>
                      <w:lang w:eastAsia="zh-CN"/>
                    </w:rPr>
                  </w:pPr>
                  <w:r>
                    <w:rPr>
                      <w:rFonts w:hint="eastAsia" w:ascii="Times New Roman" w:hAnsi="Times New Roman"/>
                      <w:color w:val="000000"/>
                      <w:kern w:val="2"/>
                      <w:sz w:val="21"/>
                      <w:szCs w:val="21"/>
                      <w:lang w:val="en-US" w:eastAsia="zh-CN"/>
                    </w:rPr>
                    <w:t>S</w:t>
                  </w:r>
                </w:p>
              </w:tc>
              <w:tc>
                <w:tcPr>
                  <w:tcW w:w="1570" w:type="dxa"/>
                  <w:noWrap w:val="0"/>
                  <w:vAlign w:val="center"/>
                </w:tcPr>
                <w:p>
                  <w:pPr>
                    <w:pStyle w:val="94"/>
                    <w:autoSpaceDE w:val="0"/>
                    <w:autoSpaceDN w:val="0"/>
                    <w:spacing w:line="240" w:lineRule="atLeast"/>
                    <w:jc w:val="center"/>
                    <w:rPr>
                      <w:rFonts w:hint="default" w:ascii="Times New Roman" w:hAnsi="Times New Roman"/>
                      <w:kern w:val="2"/>
                      <w:sz w:val="21"/>
                      <w:szCs w:val="21"/>
                      <w:lang w:val="en-US" w:eastAsia="zh-CN"/>
                    </w:rPr>
                  </w:pPr>
                  <w:r>
                    <w:rPr>
                      <w:rFonts w:hint="eastAsia" w:ascii="Times New Roman" w:hAnsi="Times New Roman"/>
                      <w:kern w:val="2"/>
                      <w:sz w:val="21"/>
                      <w:szCs w:val="21"/>
                      <w:lang w:val="en-US" w:eastAsia="zh-CN"/>
                    </w:rPr>
                    <w:t>150</w:t>
                  </w:r>
                </w:p>
              </w:tc>
              <w:tc>
                <w:tcPr>
                  <w:tcW w:w="1590" w:type="dxa"/>
                  <w:noWrap w:val="0"/>
                  <w:vAlign w:val="center"/>
                </w:tcPr>
                <w:p>
                  <w:pPr>
                    <w:pStyle w:val="94"/>
                    <w:autoSpaceDE w:val="0"/>
                    <w:autoSpaceDN w:val="0"/>
                    <w:spacing w:line="240" w:lineRule="atLeast"/>
                    <w:jc w:val="center"/>
                    <w:rPr>
                      <w:rFonts w:ascii="Times New Roman" w:hAnsi="Times New Roman"/>
                      <w:kern w:val="2"/>
                      <w:sz w:val="21"/>
                      <w:szCs w:val="21"/>
                      <w:lang w:eastAsia="zh-CN"/>
                    </w:rPr>
                  </w:pPr>
                  <w:r>
                    <w:rPr>
                      <w:rFonts w:ascii="Times New Roman" w:hAnsi="Times New Roman"/>
                      <w:color w:val="000000"/>
                      <w:kern w:val="2"/>
                      <w:sz w:val="21"/>
                      <w:szCs w:val="21"/>
                      <w:lang w:eastAsia="zh-CN"/>
                    </w:rPr>
                    <w:t>约</w:t>
                  </w:r>
                  <w:r>
                    <w:rPr>
                      <w:rFonts w:hint="eastAsia" w:ascii="Times New Roman" w:hAnsi="Times New Roman"/>
                      <w:color w:val="000000"/>
                      <w:kern w:val="2"/>
                      <w:sz w:val="21"/>
                      <w:szCs w:val="21"/>
                      <w:lang w:eastAsia="zh-CN"/>
                    </w:rPr>
                    <w:t>2</w:t>
                  </w:r>
                  <w:r>
                    <w:rPr>
                      <w:rFonts w:hint="eastAsia" w:ascii="Times New Roman" w:hAnsi="Times New Roman"/>
                      <w:color w:val="000000"/>
                      <w:kern w:val="2"/>
                      <w:sz w:val="21"/>
                      <w:szCs w:val="21"/>
                      <w:lang w:val="en-US" w:eastAsia="zh-CN"/>
                    </w:rPr>
                    <w:t>14</w:t>
                  </w:r>
                  <w:r>
                    <w:rPr>
                      <w:rFonts w:ascii="Times New Roman" w:hAnsi="Times New Roman"/>
                      <w:color w:val="000000"/>
                      <w:kern w:val="2"/>
                      <w:sz w:val="21"/>
                      <w:szCs w:val="21"/>
                      <w:lang w:eastAsia="zh-CN"/>
                    </w:rPr>
                    <w:t>0户，</w:t>
                  </w:r>
                  <w:r>
                    <w:rPr>
                      <w:rFonts w:hint="eastAsia" w:ascii="Times New Roman" w:hAnsi="Times New Roman"/>
                      <w:color w:val="000000"/>
                      <w:kern w:val="2"/>
                      <w:sz w:val="21"/>
                      <w:szCs w:val="21"/>
                      <w:lang w:val="en-US" w:eastAsia="zh-CN"/>
                    </w:rPr>
                    <w:t>6420</w:t>
                  </w:r>
                  <w:r>
                    <w:rPr>
                      <w:rFonts w:ascii="Times New Roman" w:hAnsi="Times New Roman"/>
                      <w:color w:val="000000"/>
                      <w:kern w:val="2"/>
                      <w:sz w:val="21"/>
                      <w:szCs w:val="21"/>
                      <w:lang w:eastAsia="zh-CN"/>
                    </w:rPr>
                    <w:t>人</w:t>
                  </w:r>
                </w:p>
              </w:tc>
              <w:tc>
                <w:tcPr>
                  <w:tcW w:w="2260" w:type="dxa"/>
                  <w:vMerge w:val="continue"/>
                  <w:noWrap w:val="0"/>
                  <w:vAlign w:val="center"/>
                </w:tcPr>
                <w:p>
                  <w:pPr>
                    <w:spacing w:line="240" w:lineRule="atLeast"/>
                    <w:jc w:val="center"/>
                    <w:rPr>
                      <w:rFonts w:ascii="Times New Roman" w:hAnsi="Times New Roman"/>
                      <w:szCs w:val="21"/>
                    </w:rPr>
                  </w:pPr>
                </w:p>
              </w:tc>
            </w:tr>
          </w:tbl>
          <w:p>
            <w:pPr>
              <w:rPr>
                <w:rFonts w:ascii="Times New Roman" w:hAnsi="Times New Roman"/>
              </w:rPr>
            </w:pP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ascii="Times New Roman" w:hAnsi="Times New Roman"/>
              </w:rPr>
            </w:pPr>
          </w:p>
          <w:p>
            <w:pPr>
              <w:pStyle w:val="15"/>
              <w:keepNext w:val="0"/>
              <w:keepLines w:val="0"/>
              <w:pageBreakBefore w:val="0"/>
              <w:widowControl w:val="0"/>
              <w:kinsoku/>
              <w:wordWrap/>
              <w:overflowPunct/>
              <w:topLinePunct w:val="0"/>
              <w:autoSpaceDE/>
              <w:autoSpaceDN/>
              <w:bidi w:val="0"/>
              <w:adjustRightInd/>
              <w:snapToGrid/>
              <w:spacing w:after="0" w:afterLines="0"/>
              <w:ind w:left="0" w:leftChars="0" w:firstLine="0" w:firstLineChars="0"/>
              <w:textAlignment w:val="auto"/>
              <w:rPr>
                <w:rFonts w:ascii="Times New Roman" w:hAnsi="Times New Roman"/>
              </w:rPr>
            </w:pP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ascii="Times New Roman" w:hAnsi="Times New Roman"/>
              </w:rPr>
            </w:pPr>
          </w:p>
          <w:p>
            <w:pPr>
              <w:pStyle w:val="15"/>
              <w:keepNext w:val="0"/>
              <w:keepLines w:val="0"/>
              <w:pageBreakBefore w:val="0"/>
              <w:widowControl w:val="0"/>
              <w:kinsoku/>
              <w:wordWrap/>
              <w:overflowPunct/>
              <w:topLinePunct w:val="0"/>
              <w:autoSpaceDE/>
              <w:autoSpaceDN/>
              <w:bidi w:val="0"/>
              <w:adjustRightInd/>
              <w:snapToGrid/>
              <w:spacing w:after="0" w:afterLines="0"/>
              <w:ind w:left="0" w:leftChars="0" w:firstLine="0" w:firstLineChars="0"/>
              <w:textAlignment w:val="auto"/>
              <w:rPr>
                <w:rFonts w:ascii="Times New Roman" w:hAnsi="Times New Roman"/>
              </w:rPr>
            </w:pPr>
          </w:p>
          <w:p>
            <w:pPr>
              <w:rPr>
                <w:rFonts w:ascii="Times New Roman" w:hAnsi="Times New Roman"/>
              </w:rPr>
            </w:pPr>
          </w:p>
          <w:p>
            <w:pPr>
              <w:pStyle w:val="36"/>
              <w:rPr>
                <w:rFonts w:ascii="Times New Roman" w:hAnsi="Times New Roman"/>
              </w:rPr>
            </w:pPr>
          </w:p>
          <w:p>
            <w:pPr>
              <w:pStyle w:val="15"/>
              <w:rPr>
                <w:rFonts w:ascii="Times New Roman" w:hAnsi="Times New Roman"/>
              </w:rPr>
            </w:pPr>
          </w:p>
          <w:p>
            <w:pPr>
              <w:rPr>
                <w:rFonts w:ascii="Times New Roman" w:hAnsi="Times New Roman"/>
              </w:rPr>
            </w:pPr>
          </w:p>
          <w:p>
            <w:pPr>
              <w:pStyle w:val="36"/>
              <w:rPr>
                <w:rFonts w:ascii="Times New Roman" w:hAnsi="Times New Roman"/>
              </w:rPr>
            </w:pPr>
          </w:p>
          <w:p>
            <w:pPr>
              <w:pStyle w:val="15"/>
              <w:rPr>
                <w:rFonts w:ascii="Times New Roman" w:hAnsi="Times New Roman"/>
              </w:rPr>
            </w:pPr>
          </w:p>
          <w:p>
            <w:pPr>
              <w:rPr>
                <w:rFonts w:ascii="Times New Roman" w:hAnsi="Times New Roman"/>
              </w:rPr>
            </w:pPr>
          </w:p>
          <w:p>
            <w:pPr>
              <w:pStyle w:val="2"/>
              <w:rPr>
                <w:rFonts w:ascii="Times New Roman" w:hAnsi="Times New Roman"/>
              </w:rPr>
            </w:pPr>
          </w:p>
          <w:p>
            <w:pPr>
              <w:pStyle w:val="3"/>
              <w:rPr>
                <w:rFonts w:ascii="Times New Roman" w:hAnsi="Times New Roman"/>
              </w:rPr>
            </w:pPr>
          </w:p>
          <w:p>
            <w:pPr>
              <w:rPr>
                <w:rFonts w:ascii="Times New Roman" w:hAnsi="Times New Roman"/>
              </w:rPr>
            </w:pPr>
          </w:p>
          <w:p>
            <w:pPr>
              <w:pStyle w:val="2"/>
              <w:rPr>
                <w:rFonts w:ascii="Times New Roman" w:hAnsi="Times New Roman"/>
              </w:rPr>
            </w:pPr>
          </w:p>
          <w:p>
            <w:pPr>
              <w:pStyle w:val="3"/>
            </w:pPr>
          </w:p>
          <w:p>
            <w:pPr>
              <w:pStyle w:val="36"/>
            </w:pP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ascii="Times New Roman" w:hAnsi="Times New Roman"/>
              </w:rPr>
            </w:pPr>
          </w:p>
          <w:p>
            <w:pPr>
              <w:pStyle w:val="15"/>
              <w:keepNext w:val="0"/>
              <w:keepLines w:val="0"/>
              <w:pageBreakBefore w:val="0"/>
              <w:widowControl w:val="0"/>
              <w:kinsoku/>
              <w:wordWrap/>
              <w:overflowPunct/>
              <w:topLinePunct w:val="0"/>
              <w:autoSpaceDE/>
              <w:autoSpaceDN/>
              <w:bidi w:val="0"/>
              <w:adjustRightInd/>
              <w:snapToGrid/>
              <w:spacing w:after="0" w:afterLines="0"/>
              <w:ind w:left="0" w:leftChars="0" w:firstLine="0" w:firstLineChars="0"/>
              <w:textAlignment w:val="auto"/>
              <w:rPr>
                <w:rFonts w:ascii="Times New Roman" w:hAnsi="Times New Roman"/>
              </w:rPr>
            </w:pP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pPr>
          </w:p>
          <w:p>
            <w:pPr>
              <w:spacing w:line="360" w:lineRule="auto"/>
              <w:rPr>
                <w:rFonts w:ascii="Times New Roman" w:hAnsi="Times New Roman"/>
                <w:b/>
                <w:bCs/>
                <w:color w:val="000000"/>
                <w:sz w:val="24"/>
                <w:szCs w:val="24"/>
              </w:rPr>
            </w:pPr>
          </w:p>
        </w:tc>
      </w:tr>
    </w:tbl>
    <w:p>
      <w:pPr>
        <w:pStyle w:val="4"/>
        <w:rPr>
          <w:rFonts w:ascii="Times New Roman" w:hAnsi="Times New Roman"/>
        </w:rPr>
      </w:pPr>
      <w:r>
        <w:rPr>
          <w:rFonts w:ascii="Times New Roman" w:hAnsi="Times New Roman"/>
        </w:rPr>
        <w:t>评价适用标准</w:t>
      </w:r>
    </w:p>
    <w:tbl>
      <w:tblPr>
        <w:tblStyle w:val="27"/>
        <w:tblW w:w="0" w:type="auto"/>
        <w:jc w:val="center"/>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04"/>
        <w:gridCol w:w="8499"/>
      </w:tblGrid>
      <w:tr>
        <w:tblPrEx>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15" w:hRule="atLeast"/>
          <w:jc w:val="center"/>
        </w:trPr>
        <w:tc>
          <w:tcPr>
            <w:tcW w:w="504" w:type="dxa"/>
            <w:noWrap w:val="0"/>
            <w:vAlign w:val="center"/>
          </w:tcPr>
          <w:p>
            <w:pPr>
              <w:spacing w:line="360" w:lineRule="auto"/>
              <w:jc w:val="center"/>
              <w:rPr>
                <w:rFonts w:ascii="Times New Roman" w:hAnsi="Times New Roman"/>
                <w:color w:val="000000"/>
                <w:sz w:val="24"/>
                <w:szCs w:val="24"/>
              </w:rPr>
            </w:pPr>
            <w:r>
              <w:rPr>
                <w:rFonts w:ascii="Times New Roman" w:hAnsi="Times New Roman"/>
                <w:color w:val="000000"/>
                <w:sz w:val="24"/>
                <w:szCs w:val="24"/>
              </w:rPr>
              <w:t>环</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境</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质</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量</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标</w:t>
            </w:r>
          </w:p>
          <w:p>
            <w:pPr>
              <w:spacing w:line="360" w:lineRule="auto"/>
              <w:jc w:val="center"/>
              <w:rPr>
                <w:rFonts w:ascii="Times New Roman" w:hAnsi="Times New Roman"/>
                <w:color w:val="000000"/>
                <w:sz w:val="28"/>
                <w:highlight w:val="yellow"/>
              </w:rPr>
            </w:pPr>
            <w:r>
              <w:rPr>
                <w:rFonts w:ascii="Times New Roman" w:hAnsi="Times New Roman"/>
                <w:color w:val="000000"/>
                <w:sz w:val="24"/>
                <w:szCs w:val="24"/>
              </w:rPr>
              <w:t>准</w:t>
            </w:r>
          </w:p>
        </w:tc>
        <w:tc>
          <w:tcPr>
            <w:tcW w:w="8499" w:type="dxa"/>
            <w:noWrap w:val="0"/>
            <w:vAlign w:val="top"/>
          </w:tcPr>
          <w:p>
            <w:pPr>
              <w:spacing w:line="480" w:lineRule="exact"/>
              <w:ind w:firstLine="480" w:firstLineChars="200"/>
              <w:rPr>
                <w:rFonts w:ascii="Times New Roman" w:hAnsi="Times New Roman"/>
                <w:sz w:val="24"/>
                <w:szCs w:val="24"/>
              </w:rPr>
            </w:pPr>
            <w:r>
              <w:rPr>
                <w:rFonts w:ascii="Times New Roman" w:hAnsi="Times New Roman"/>
                <w:sz w:val="24"/>
                <w:szCs w:val="24"/>
              </w:rPr>
              <w:t>1、环境空气</w:t>
            </w:r>
          </w:p>
          <w:p>
            <w:pPr>
              <w:spacing w:line="480" w:lineRule="exact"/>
              <w:ind w:firstLine="480" w:firstLineChars="200"/>
              <w:rPr>
                <w:rFonts w:ascii="Times New Roman" w:hAnsi="Times New Roman"/>
                <w:sz w:val="24"/>
                <w:szCs w:val="24"/>
              </w:rPr>
            </w:pPr>
            <w:r>
              <w:rPr>
                <w:rFonts w:ascii="Times New Roman" w:hAnsi="Times New Roman"/>
                <w:sz w:val="24"/>
                <w:szCs w:val="24"/>
              </w:rPr>
              <w:t>项目所在地环境空气功能区划类别为二类区，拟建项目周围环境空气常规因子执行《环境空气质量标准》（GB3095-2012）中的二级标准。其标准值详见下表。</w:t>
            </w:r>
          </w:p>
          <w:p>
            <w:pPr>
              <w:adjustRightInd w:val="0"/>
              <w:snapToGrid w:val="0"/>
              <w:spacing w:line="360" w:lineRule="auto"/>
              <w:jc w:val="center"/>
              <w:rPr>
                <w:rFonts w:ascii="Times New Roman" w:hAnsi="Times New Roman"/>
                <w:b/>
                <w:sz w:val="24"/>
                <w:szCs w:val="24"/>
              </w:rPr>
            </w:pPr>
            <w:r>
              <w:rPr>
                <w:rFonts w:ascii="Times New Roman" w:hAnsi="Times New Roman"/>
                <w:b/>
                <w:sz w:val="24"/>
                <w:szCs w:val="24"/>
              </w:rPr>
              <w:t>表4-1  环境空气质量标准</w:t>
            </w:r>
          </w:p>
          <w:tbl>
            <w:tblPr>
              <w:tblStyle w:val="27"/>
              <w:tblW w:w="8277" w:type="dxa"/>
              <w:jc w:val="center"/>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7"/>
              <w:gridCol w:w="2042"/>
              <w:gridCol w:w="1905"/>
              <w:gridCol w:w="3003"/>
            </w:tblGrid>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noWrap w:val="0"/>
                  <w:vAlign w:val="center"/>
                </w:tcPr>
                <w:p>
                  <w:pPr>
                    <w:jc w:val="center"/>
                    <w:rPr>
                      <w:rFonts w:ascii="Times New Roman" w:hAnsi="Times New Roman"/>
                      <w:b/>
                      <w:bCs/>
                      <w:kern w:val="0"/>
                      <w:szCs w:val="21"/>
                    </w:rPr>
                  </w:pPr>
                  <w:r>
                    <w:rPr>
                      <w:rFonts w:ascii="Times New Roman" w:hAnsi="Times New Roman"/>
                      <w:b/>
                      <w:bCs/>
                      <w:kern w:val="0"/>
                      <w:szCs w:val="21"/>
                    </w:rPr>
                    <w:t>评价因子</w:t>
                  </w:r>
                </w:p>
              </w:tc>
              <w:tc>
                <w:tcPr>
                  <w:tcW w:w="2042" w:type="dxa"/>
                  <w:noWrap w:val="0"/>
                  <w:vAlign w:val="center"/>
                </w:tcPr>
                <w:p>
                  <w:pPr>
                    <w:jc w:val="center"/>
                    <w:rPr>
                      <w:rFonts w:ascii="Times New Roman" w:hAnsi="Times New Roman"/>
                      <w:b/>
                      <w:bCs/>
                      <w:kern w:val="0"/>
                      <w:szCs w:val="21"/>
                    </w:rPr>
                  </w:pPr>
                  <w:r>
                    <w:rPr>
                      <w:rFonts w:ascii="Times New Roman" w:hAnsi="Times New Roman"/>
                      <w:b/>
                      <w:bCs/>
                      <w:kern w:val="0"/>
                      <w:szCs w:val="21"/>
                    </w:rPr>
                    <w:t>平均时段</w:t>
                  </w:r>
                </w:p>
              </w:tc>
              <w:tc>
                <w:tcPr>
                  <w:tcW w:w="1905" w:type="dxa"/>
                  <w:noWrap w:val="0"/>
                  <w:vAlign w:val="center"/>
                </w:tcPr>
                <w:p>
                  <w:pPr>
                    <w:jc w:val="center"/>
                    <w:rPr>
                      <w:rFonts w:ascii="Times New Roman" w:hAnsi="Times New Roman"/>
                      <w:b/>
                      <w:bCs/>
                      <w:kern w:val="0"/>
                      <w:szCs w:val="21"/>
                    </w:rPr>
                  </w:pPr>
                  <w:r>
                    <w:rPr>
                      <w:rFonts w:ascii="Times New Roman" w:hAnsi="Times New Roman"/>
                      <w:b/>
                      <w:bCs/>
                      <w:kern w:val="0"/>
                      <w:szCs w:val="21"/>
                    </w:rPr>
                    <w:t>标准值（</w:t>
                  </w:r>
                  <w:r>
                    <w:rPr>
                      <w:rFonts w:ascii="Times New Roman" w:hAnsi="Times New Roman"/>
                      <w:b/>
                      <w:kern w:val="0"/>
                      <w:szCs w:val="21"/>
                    </w:rPr>
                    <w:t>ug/m</w:t>
                  </w:r>
                  <w:r>
                    <w:rPr>
                      <w:rFonts w:ascii="Times New Roman" w:hAnsi="Times New Roman"/>
                      <w:b/>
                      <w:kern w:val="0"/>
                      <w:szCs w:val="21"/>
                      <w:vertAlign w:val="superscript"/>
                    </w:rPr>
                    <w:t>3</w:t>
                  </w:r>
                  <w:r>
                    <w:rPr>
                      <w:rFonts w:ascii="Times New Roman" w:hAnsi="Times New Roman"/>
                      <w:b/>
                      <w:bCs/>
                      <w:kern w:val="0"/>
                      <w:szCs w:val="21"/>
                    </w:rPr>
                    <w:t>）</w:t>
                  </w:r>
                </w:p>
              </w:tc>
              <w:tc>
                <w:tcPr>
                  <w:tcW w:w="3003" w:type="dxa"/>
                  <w:noWrap w:val="0"/>
                  <w:vAlign w:val="center"/>
                </w:tcPr>
                <w:p>
                  <w:pPr>
                    <w:jc w:val="center"/>
                    <w:rPr>
                      <w:rFonts w:ascii="Times New Roman" w:hAnsi="Times New Roman"/>
                      <w:b/>
                      <w:bCs/>
                      <w:kern w:val="0"/>
                      <w:szCs w:val="21"/>
                    </w:rPr>
                  </w:pPr>
                  <w:r>
                    <w:rPr>
                      <w:rFonts w:ascii="Times New Roman" w:hAnsi="Times New Roman"/>
                      <w:b/>
                      <w:bCs/>
                      <w:kern w:val="0"/>
                      <w:szCs w:val="21"/>
                    </w:rPr>
                    <w:t>标准来源</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restart"/>
                  <w:noWrap w:val="0"/>
                  <w:vAlign w:val="center"/>
                </w:tcPr>
                <w:p>
                  <w:pPr>
                    <w:jc w:val="center"/>
                    <w:rPr>
                      <w:rFonts w:ascii="Times New Roman" w:hAnsi="Times New Roman"/>
                      <w:bCs/>
                      <w:kern w:val="0"/>
                      <w:szCs w:val="21"/>
                    </w:rPr>
                  </w:pPr>
                  <w:r>
                    <w:rPr>
                      <w:rFonts w:ascii="Times New Roman" w:hAnsi="Times New Roman"/>
                      <w:bCs/>
                      <w:kern w:val="0"/>
                      <w:szCs w:val="21"/>
                    </w:rPr>
                    <w:t>SO</w:t>
                  </w:r>
                  <w:r>
                    <w:rPr>
                      <w:rFonts w:ascii="Times New Roman" w:hAnsi="Times New Roman"/>
                      <w:bCs/>
                      <w:kern w:val="0"/>
                      <w:szCs w:val="21"/>
                      <w:vertAlign w:val="subscript"/>
                    </w:rPr>
                    <w:t>2</w:t>
                  </w:r>
                </w:p>
              </w:tc>
              <w:tc>
                <w:tcPr>
                  <w:tcW w:w="2042" w:type="dxa"/>
                  <w:noWrap w:val="0"/>
                  <w:vAlign w:val="center"/>
                </w:tcPr>
                <w:p>
                  <w:pPr>
                    <w:jc w:val="center"/>
                    <w:rPr>
                      <w:rFonts w:ascii="Times New Roman" w:hAnsi="Times New Roman"/>
                      <w:bCs/>
                      <w:kern w:val="0"/>
                      <w:szCs w:val="21"/>
                    </w:rPr>
                  </w:pPr>
                  <w:r>
                    <w:rPr>
                      <w:rFonts w:ascii="Times New Roman" w:hAnsi="Times New Roman"/>
                      <w:bCs/>
                      <w:kern w:val="0"/>
                      <w:szCs w:val="21"/>
                    </w:rPr>
                    <w:t>年平均</w:t>
                  </w:r>
                </w:p>
              </w:tc>
              <w:tc>
                <w:tcPr>
                  <w:tcW w:w="1905" w:type="dxa"/>
                  <w:noWrap w:val="0"/>
                  <w:vAlign w:val="center"/>
                </w:tcPr>
                <w:p>
                  <w:pPr>
                    <w:jc w:val="center"/>
                    <w:rPr>
                      <w:rFonts w:ascii="Times New Roman" w:hAnsi="Times New Roman"/>
                      <w:bCs/>
                      <w:kern w:val="0"/>
                      <w:szCs w:val="21"/>
                    </w:rPr>
                  </w:pPr>
                  <w:r>
                    <w:rPr>
                      <w:rFonts w:ascii="Times New Roman" w:hAnsi="Times New Roman"/>
                      <w:bCs/>
                      <w:kern w:val="0"/>
                      <w:szCs w:val="21"/>
                    </w:rPr>
                    <w:t>60</w:t>
                  </w:r>
                </w:p>
              </w:tc>
              <w:tc>
                <w:tcPr>
                  <w:tcW w:w="3003" w:type="dxa"/>
                  <w:vMerge w:val="restart"/>
                  <w:noWrap w:val="0"/>
                  <w:vAlign w:val="center"/>
                </w:tcPr>
                <w:p>
                  <w:pPr>
                    <w:jc w:val="center"/>
                    <w:rPr>
                      <w:rFonts w:ascii="Times New Roman" w:hAnsi="Times New Roman"/>
                      <w:bCs/>
                      <w:kern w:val="0"/>
                      <w:szCs w:val="21"/>
                    </w:rPr>
                  </w:pPr>
                  <w:r>
                    <w:rPr>
                      <w:rFonts w:ascii="Times New Roman" w:hAnsi="Times New Roman"/>
                      <w:bCs/>
                      <w:kern w:val="0"/>
                      <w:szCs w:val="21"/>
                    </w:rPr>
                    <w:t>《环境空气质量标准》（GB3095-2012）中二级标准</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noWrap w:val="0"/>
                  <w:vAlign w:val="center"/>
                </w:tcPr>
                <w:p>
                  <w:pPr>
                    <w:jc w:val="center"/>
                    <w:rPr>
                      <w:rFonts w:ascii="Times New Roman" w:hAnsi="Times New Roman"/>
                      <w:bCs/>
                      <w:kern w:val="0"/>
                      <w:szCs w:val="21"/>
                    </w:rPr>
                  </w:pPr>
                </w:p>
              </w:tc>
              <w:tc>
                <w:tcPr>
                  <w:tcW w:w="2042" w:type="dxa"/>
                  <w:noWrap w:val="0"/>
                  <w:vAlign w:val="center"/>
                </w:tcPr>
                <w:p>
                  <w:pPr>
                    <w:jc w:val="center"/>
                    <w:rPr>
                      <w:rFonts w:ascii="Times New Roman" w:hAnsi="Times New Roman"/>
                      <w:bCs/>
                      <w:kern w:val="0"/>
                      <w:szCs w:val="21"/>
                    </w:rPr>
                  </w:pPr>
                  <w:r>
                    <w:rPr>
                      <w:rFonts w:ascii="Times New Roman" w:hAnsi="Times New Roman"/>
                      <w:bCs/>
                      <w:kern w:val="0"/>
                      <w:szCs w:val="21"/>
                    </w:rPr>
                    <w:t>24小时平均</w:t>
                  </w:r>
                </w:p>
              </w:tc>
              <w:tc>
                <w:tcPr>
                  <w:tcW w:w="1905" w:type="dxa"/>
                  <w:noWrap w:val="0"/>
                  <w:vAlign w:val="center"/>
                </w:tcPr>
                <w:p>
                  <w:pPr>
                    <w:jc w:val="center"/>
                    <w:rPr>
                      <w:rFonts w:ascii="Times New Roman" w:hAnsi="Times New Roman"/>
                      <w:bCs/>
                      <w:kern w:val="0"/>
                      <w:szCs w:val="21"/>
                    </w:rPr>
                  </w:pPr>
                  <w:r>
                    <w:rPr>
                      <w:rFonts w:ascii="Times New Roman" w:hAnsi="Times New Roman"/>
                      <w:bCs/>
                      <w:kern w:val="0"/>
                      <w:szCs w:val="21"/>
                    </w:rPr>
                    <w:t>150</w:t>
                  </w:r>
                </w:p>
              </w:tc>
              <w:tc>
                <w:tcPr>
                  <w:tcW w:w="3003" w:type="dxa"/>
                  <w:vMerge w:val="continue"/>
                  <w:noWrap w:val="0"/>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noWrap w:val="0"/>
                  <w:vAlign w:val="center"/>
                </w:tcPr>
                <w:p>
                  <w:pPr>
                    <w:jc w:val="center"/>
                    <w:rPr>
                      <w:rFonts w:ascii="Times New Roman" w:hAnsi="Times New Roman"/>
                      <w:bCs/>
                      <w:kern w:val="0"/>
                      <w:szCs w:val="21"/>
                    </w:rPr>
                  </w:pPr>
                </w:p>
              </w:tc>
              <w:tc>
                <w:tcPr>
                  <w:tcW w:w="2042" w:type="dxa"/>
                  <w:noWrap w:val="0"/>
                  <w:vAlign w:val="center"/>
                </w:tcPr>
                <w:p>
                  <w:pPr>
                    <w:jc w:val="center"/>
                    <w:rPr>
                      <w:rFonts w:ascii="Times New Roman" w:hAnsi="Times New Roman"/>
                      <w:bCs/>
                      <w:kern w:val="0"/>
                      <w:szCs w:val="21"/>
                    </w:rPr>
                  </w:pPr>
                  <w:r>
                    <w:rPr>
                      <w:rFonts w:ascii="Times New Roman" w:hAnsi="Times New Roman"/>
                      <w:bCs/>
                      <w:kern w:val="0"/>
                      <w:szCs w:val="21"/>
                    </w:rPr>
                    <w:t>1小时平均</w:t>
                  </w:r>
                </w:p>
              </w:tc>
              <w:tc>
                <w:tcPr>
                  <w:tcW w:w="1905" w:type="dxa"/>
                  <w:noWrap w:val="0"/>
                  <w:vAlign w:val="center"/>
                </w:tcPr>
                <w:p>
                  <w:pPr>
                    <w:jc w:val="center"/>
                    <w:rPr>
                      <w:rFonts w:ascii="Times New Roman" w:hAnsi="Times New Roman"/>
                      <w:bCs/>
                      <w:kern w:val="0"/>
                      <w:szCs w:val="21"/>
                    </w:rPr>
                  </w:pPr>
                  <w:r>
                    <w:rPr>
                      <w:rFonts w:ascii="Times New Roman" w:hAnsi="Times New Roman"/>
                      <w:bCs/>
                      <w:kern w:val="0"/>
                      <w:szCs w:val="21"/>
                    </w:rPr>
                    <w:t>500</w:t>
                  </w:r>
                </w:p>
              </w:tc>
              <w:tc>
                <w:tcPr>
                  <w:tcW w:w="3003" w:type="dxa"/>
                  <w:vMerge w:val="continue"/>
                  <w:noWrap w:val="0"/>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restart"/>
                  <w:noWrap w:val="0"/>
                  <w:vAlign w:val="center"/>
                </w:tcPr>
                <w:p>
                  <w:pPr>
                    <w:jc w:val="center"/>
                    <w:rPr>
                      <w:rFonts w:ascii="Times New Roman" w:hAnsi="Times New Roman"/>
                      <w:bCs/>
                      <w:kern w:val="0"/>
                      <w:szCs w:val="21"/>
                    </w:rPr>
                  </w:pPr>
                  <w:r>
                    <w:rPr>
                      <w:rFonts w:ascii="Times New Roman" w:hAnsi="Times New Roman"/>
                      <w:bCs/>
                      <w:kern w:val="0"/>
                      <w:szCs w:val="21"/>
                    </w:rPr>
                    <w:t>NO</w:t>
                  </w:r>
                  <w:r>
                    <w:rPr>
                      <w:rFonts w:ascii="Times New Roman" w:hAnsi="Times New Roman"/>
                      <w:bCs/>
                      <w:kern w:val="0"/>
                      <w:szCs w:val="21"/>
                      <w:vertAlign w:val="subscript"/>
                    </w:rPr>
                    <w:t>2</w:t>
                  </w:r>
                </w:p>
              </w:tc>
              <w:tc>
                <w:tcPr>
                  <w:tcW w:w="2042" w:type="dxa"/>
                  <w:noWrap w:val="0"/>
                  <w:vAlign w:val="center"/>
                </w:tcPr>
                <w:p>
                  <w:pPr>
                    <w:jc w:val="center"/>
                    <w:rPr>
                      <w:rFonts w:ascii="Times New Roman" w:hAnsi="Times New Roman"/>
                      <w:bCs/>
                      <w:kern w:val="0"/>
                      <w:szCs w:val="21"/>
                    </w:rPr>
                  </w:pPr>
                  <w:r>
                    <w:rPr>
                      <w:rFonts w:ascii="Times New Roman" w:hAnsi="Times New Roman"/>
                      <w:bCs/>
                      <w:kern w:val="0"/>
                      <w:szCs w:val="21"/>
                    </w:rPr>
                    <w:t>年平均</w:t>
                  </w:r>
                </w:p>
              </w:tc>
              <w:tc>
                <w:tcPr>
                  <w:tcW w:w="1905" w:type="dxa"/>
                  <w:noWrap w:val="0"/>
                  <w:vAlign w:val="center"/>
                </w:tcPr>
                <w:p>
                  <w:pPr>
                    <w:jc w:val="center"/>
                    <w:rPr>
                      <w:rFonts w:ascii="Times New Roman" w:hAnsi="Times New Roman"/>
                      <w:bCs/>
                      <w:kern w:val="0"/>
                      <w:szCs w:val="21"/>
                    </w:rPr>
                  </w:pPr>
                  <w:r>
                    <w:rPr>
                      <w:rFonts w:ascii="Times New Roman" w:hAnsi="Times New Roman"/>
                      <w:bCs/>
                      <w:kern w:val="0"/>
                      <w:szCs w:val="21"/>
                    </w:rPr>
                    <w:t>40</w:t>
                  </w:r>
                </w:p>
              </w:tc>
              <w:tc>
                <w:tcPr>
                  <w:tcW w:w="3003" w:type="dxa"/>
                  <w:vMerge w:val="continue"/>
                  <w:noWrap w:val="0"/>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noWrap w:val="0"/>
                  <w:vAlign w:val="center"/>
                </w:tcPr>
                <w:p>
                  <w:pPr>
                    <w:jc w:val="center"/>
                    <w:rPr>
                      <w:rFonts w:ascii="Times New Roman" w:hAnsi="Times New Roman"/>
                      <w:bCs/>
                      <w:kern w:val="0"/>
                      <w:szCs w:val="21"/>
                    </w:rPr>
                  </w:pPr>
                </w:p>
              </w:tc>
              <w:tc>
                <w:tcPr>
                  <w:tcW w:w="2042" w:type="dxa"/>
                  <w:noWrap w:val="0"/>
                  <w:vAlign w:val="center"/>
                </w:tcPr>
                <w:p>
                  <w:pPr>
                    <w:jc w:val="center"/>
                    <w:rPr>
                      <w:rFonts w:ascii="Times New Roman" w:hAnsi="Times New Roman"/>
                      <w:bCs/>
                      <w:kern w:val="0"/>
                      <w:szCs w:val="21"/>
                    </w:rPr>
                  </w:pPr>
                  <w:r>
                    <w:rPr>
                      <w:rFonts w:ascii="Times New Roman" w:hAnsi="Times New Roman"/>
                      <w:bCs/>
                      <w:kern w:val="0"/>
                      <w:szCs w:val="21"/>
                    </w:rPr>
                    <w:t>24小时平均</w:t>
                  </w:r>
                </w:p>
              </w:tc>
              <w:tc>
                <w:tcPr>
                  <w:tcW w:w="1905" w:type="dxa"/>
                  <w:noWrap w:val="0"/>
                  <w:vAlign w:val="center"/>
                </w:tcPr>
                <w:p>
                  <w:pPr>
                    <w:jc w:val="center"/>
                    <w:rPr>
                      <w:rFonts w:ascii="Times New Roman" w:hAnsi="Times New Roman"/>
                      <w:bCs/>
                      <w:kern w:val="0"/>
                      <w:szCs w:val="21"/>
                    </w:rPr>
                  </w:pPr>
                  <w:r>
                    <w:rPr>
                      <w:rFonts w:ascii="Times New Roman" w:hAnsi="Times New Roman"/>
                      <w:bCs/>
                      <w:kern w:val="0"/>
                      <w:szCs w:val="21"/>
                    </w:rPr>
                    <w:t>80</w:t>
                  </w:r>
                </w:p>
              </w:tc>
              <w:tc>
                <w:tcPr>
                  <w:tcW w:w="3003" w:type="dxa"/>
                  <w:vMerge w:val="continue"/>
                  <w:noWrap w:val="0"/>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noWrap w:val="0"/>
                  <w:vAlign w:val="center"/>
                </w:tcPr>
                <w:p>
                  <w:pPr>
                    <w:jc w:val="center"/>
                    <w:rPr>
                      <w:rFonts w:ascii="Times New Roman" w:hAnsi="Times New Roman"/>
                      <w:bCs/>
                      <w:kern w:val="0"/>
                      <w:szCs w:val="21"/>
                    </w:rPr>
                  </w:pPr>
                </w:p>
              </w:tc>
              <w:tc>
                <w:tcPr>
                  <w:tcW w:w="2042" w:type="dxa"/>
                  <w:noWrap w:val="0"/>
                  <w:vAlign w:val="center"/>
                </w:tcPr>
                <w:p>
                  <w:pPr>
                    <w:jc w:val="center"/>
                    <w:rPr>
                      <w:rFonts w:ascii="Times New Roman" w:hAnsi="Times New Roman"/>
                      <w:bCs/>
                      <w:kern w:val="0"/>
                      <w:szCs w:val="21"/>
                    </w:rPr>
                  </w:pPr>
                  <w:r>
                    <w:rPr>
                      <w:rFonts w:ascii="Times New Roman" w:hAnsi="Times New Roman"/>
                      <w:bCs/>
                      <w:kern w:val="0"/>
                      <w:szCs w:val="21"/>
                    </w:rPr>
                    <w:t>1小时平均</w:t>
                  </w:r>
                </w:p>
              </w:tc>
              <w:tc>
                <w:tcPr>
                  <w:tcW w:w="1905" w:type="dxa"/>
                  <w:noWrap w:val="0"/>
                  <w:vAlign w:val="center"/>
                </w:tcPr>
                <w:p>
                  <w:pPr>
                    <w:jc w:val="center"/>
                    <w:rPr>
                      <w:rFonts w:ascii="Times New Roman" w:hAnsi="Times New Roman"/>
                      <w:bCs/>
                      <w:kern w:val="0"/>
                      <w:szCs w:val="21"/>
                    </w:rPr>
                  </w:pPr>
                  <w:r>
                    <w:rPr>
                      <w:rFonts w:ascii="Times New Roman" w:hAnsi="Times New Roman"/>
                      <w:bCs/>
                      <w:kern w:val="0"/>
                      <w:szCs w:val="21"/>
                    </w:rPr>
                    <w:t>200</w:t>
                  </w:r>
                </w:p>
              </w:tc>
              <w:tc>
                <w:tcPr>
                  <w:tcW w:w="3003" w:type="dxa"/>
                  <w:vMerge w:val="continue"/>
                  <w:noWrap w:val="0"/>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restart"/>
                  <w:noWrap w:val="0"/>
                  <w:vAlign w:val="center"/>
                </w:tcPr>
                <w:p>
                  <w:pPr>
                    <w:jc w:val="center"/>
                    <w:rPr>
                      <w:rFonts w:ascii="Times New Roman" w:hAnsi="Times New Roman"/>
                      <w:bCs/>
                      <w:kern w:val="0"/>
                      <w:szCs w:val="21"/>
                    </w:rPr>
                  </w:pPr>
                  <w:r>
                    <w:rPr>
                      <w:rFonts w:ascii="Times New Roman" w:hAnsi="Times New Roman"/>
                      <w:bCs/>
                      <w:kern w:val="0"/>
                      <w:szCs w:val="21"/>
                    </w:rPr>
                    <w:t>CO</w:t>
                  </w:r>
                </w:p>
              </w:tc>
              <w:tc>
                <w:tcPr>
                  <w:tcW w:w="2042" w:type="dxa"/>
                  <w:noWrap w:val="0"/>
                  <w:vAlign w:val="center"/>
                </w:tcPr>
                <w:p>
                  <w:pPr>
                    <w:jc w:val="center"/>
                    <w:rPr>
                      <w:rFonts w:ascii="Times New Roman" w:hAnsi="Times New Roman"/>
                      <w:bCs/>
                      <w:kern w:val="0"/>
                      <w:szCs w:val="21"/>
                    </w:rPr>
                  </w:pPr>
                  <w:r>
                    <w:rPr>
                      <w:rFonts w:ascii="Times New Roman" w:hAnsi="Times New Roman"/>
                      <w:bCs/>
                      <w:kern w:val="0"/>
                      <w:szCs w:val="21"/>
                    </w:rPr>
                    <w:t>24小时平均</w:t>
                  </w:r>
                </w:p>
              </w:tc>
              <w:tc>
                <w:tcPr>
                  <w:tcW w:w="1905" w:type="dxa"/>
                  <w:noWrap w:val="0"/>
                  <w:vAlign w:val="center"/>
                </w:tcPr>
                <w:p>
                  <w:pPr>
                    <w:jc w:val="center"/>
                    <w:rPr>
                      <w:rFonts w:ascii="Times New Roman" w:hAnsi="Times New Roman"/>
                      <w:bCs/>
                      <w:kern w:val="0"/>
                      <w:szCs w:val="21"/>
                    </w:rPr>
                  </w:pPr>
                  <w:r>
                    <w:rPr>
                      <w:rFonts w:ascii="Times New Roman" w:hAnsi="Times New Roman"/>
                      <w:bCs/>
                      <w:kern w:val="0"/>
                      <w:szCs w:val="21"/>
                    </w:rPr>
                    <w:t>4000</w:t>
                  </w:r>
                </w:p>
              </w:tc>
              <w:tc>
                <w:tcPr>
                  <w:tcW w:w="3003" w:type="dxa"/>
                  <w:vMerge w:val="continue"/>
                  <w:noWrap w:val="0"/>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noWrap w:val="0"/>
                  <w:vAlign w:val="center"/>
                </w:tcPr>
                <w:p>
                  <w:pPr>
                    <w:jc w:val="center"/>
                    <w:rPr>
                      <w:rFonts w:ascii="Times New Roman" w:hAnsi="Times New Roman"/>
                      <w:bCs/>
                      <w:kern w:val="0"/>
                      <w:szCs w:val="21"/>
                    </w:rPr>
                  </w:pPr>
                </w:p>
              </w:tc>
              <w:tc>
                <w:tcPr>
                  <w:tcW w:w="2042" w:type="dxa"/>
                  <w:noWrap w:val="0"/>
                  <w:vAlign w:val="center"/>
                </w:tcPr>
                <w:p>
                  <w:pPr>
                    <w:jc w:val="center"/>
                    <w:rPr>
                      <w:rFonts w:ascii="Times New Roman" w:hAnsi="Times New Roman"/>
                      <w:bCs/>
                      <w:kern w:val="0"/>
                      <w:szCs w:val="21"/>
                    </w:rPr>
                  </w:pPr>
                  <w:r>
                    <w:rPr>
                      <w:rFonts w:ascii="Times New Roman" w:hAnsi="Times New Roman"/>
                      <w:bCs/>
                      <w:kern w:val="0"/>
                      <w:szCs w:val="21"/>
                    </w:rPr>
                    <w:t>1小时平均</w:t>
                  </w:r>
                </w:p>
              </w:tc>
              <w:tc>
                <w:tcPr>
                  <w:tcW w:w="1905" w:type="dxa"/>
                  <w:noWrap w:val="0"/>
                  <w:vAlign w:val="center"/>
                </w:tcPr>
                <w:p>
                  <w:pPr>
                    <w:jc w:val="center"/>
                    <w:rPr>
                      <w:rFonts w:ascii="Times New Roman" w:hAnsi="Times New Roman"/>
                      <w:bCs/>
                      <w:kern w:val="0"/>
                      <w:szCs w:val="21"/>
                    </w:rPr>
                  </w:pPr>
                  <w:r>
                    <w:rPr>
                      <w:rFonts w:ascii="Times New Roman" w:hAnsi="Times New Roman"/>
                      <w:bCs/>
                      <w:kern w:val="0"/>
                      <w:szCs w:val="21"/>
                    </w:rPr>
                    <w:t>2000</w:t>
                  </w:r>
                </w:p>
              </w:tc>
              <w:tc>
                <w:tcPr>
                  <w:tcW w:w="3003" w:type="dxa"/>
                  <w:vMerge w:val="continue"/>
                  <w:noWrap w:val="0"/>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restart"/>
                  <w:noWrap w:val="0"/>
                  <w:vAlign w:val="center"/>
                </w:tcPr>
                <w:p>
                  <w:pPr>
                    <w:jc w:val="center"/>
                    <w:rPr>
                      <w:rFonts w:ascii="Times New Roman" w:hAnsi="Times New Roman"/>
                      <w:bCs/>
                      <w:kern w:val="0"/>
                      <w:szCs w:val="21"/>
                    </w:rPr>
                  </w:pPr>
                  <w:r>
                    <w:rPr>
                      <w:rFonts w:ascii="Times New Roman" w:hAnsi="Times New Roman"/>
                      <w:bCs/>
                      <w:kern w:val="0"/>
                      <w:szCs w:val="21"/>
                    </w:rPr>
                    <w:t>O</w:t>
                  </w:r>
                  <w:r>
                    <w:rPr>
                      <w:rFonts w:ascii="Times New Roman" w:hAnsi="Times New Roman"/>
                      <w:bCs/>
                      <w:kern w:val="0"/>
                      <w:szCs w:val="21"/>
                      <w:vertAlign w:val="subscript"/>
                    </w:rPr>
                    <w:t>3</w:t>
                  </w:r>
                </w:p>
              </w:tc>
              <w:tc>
                <w:tcPr>
                  <w:tcW w:w="2042" w:type="dxa"/>
                  <w:noWrap w:val="0"/>
                  <w:vAlign w:val="center"/>
                </w:tcPr>
                <w:p>
                  <w:pPr>
                    <w:jc w:val="center"/>
                    <w:rPr>
                      <w:rFonts w:ascii="Times New Roman" w:hAnsi="Times New Roman"/>
                      <w:bCs/>
                      <w:kern w:val="0"/>
                      <w:szCs w:val="21"/>
                    </w:rPr>
                  </w:pPr>
                  <w:r>
                    <w:rPr>
                      <w:rFonts w:ascii="Times New Roman" w:hAnsi="Times New Roman"/>
                      <w:bCs/>
                      <w:kern w:val="0"/>
                      <w:szCs w:val="21"/>
                    </w:rPr>
                    <w:t>日最大8小时平均</w:t>
                  </w:r>
                </w:p>
              </w:tc>
              <w:tc>
                <w:tcPr>
                  <w:tcW w:w="1905" w:type="dxa"/>
                  <w:noWrap w:val="0"/>
                  <w:vAlign w:val="center"/>
                </w:tcPr>
                <w:p>
                  <w:pPr>
                    <w:jc w:val="center"/>
                    <w:rPr>
                      <w:rFonts w:ascii="Times New Roman" w:hAnsi="Times New Roman"/>
                      <w:bCs/>
                      <w:kern w:val="0"/>
                      <w:szCs w:val="21"/>
                    </w:rPr>
                  </w:pPr>
                  <w:r>
                    <w:rPr>
                      <w:rFonts w:ascii="Times New Roman" w:hAnsi="Times New Roman"/>
                      <w:bCs/>
                      <w:kern w:val="0"/>
                      <w:szCs w:val="21"/>
                    </w:rPr>
                    <w:t>160</w:t>
                  </w:r>
                </w:p>
              </w:tc>
              <w:tc>
                <w:tcPr>
                  <w:tcW w:w="3003" w:type="dxa"/>
                  <w:vMerge w:val="continue"/>
                  <w:noWrap w:val="0"/>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noWrap w:val="0"/>
                  <w:vAlign w:val="center"/>
                </w:tcPr>
                <w:p>
                  <w:pPr>
                    <w:jc w:val="center"/>
                    <w:rPr>
                      <w:rFonts w:ascii="Times New Roman" w:hAnsi="Times New Roman"/>
                      <w:bCs/>
                      <w:kern w:val="0"/>
                      <w:szCs w:val="21"/>
                    </w:rPr>
                  </w:pPr>
                </w:p>
              </w:tc>
              <w:tc>
                <w:tcPr>
                  <w:tcW w:w="2042" w:type="dxa"/>
                  <w:noWrap w:val="0"/>
                  <w:vAlign w:val="center"/>
                </w:tcPr>
                <w:p>
                  <w:pPr>
                    <w:jc w:val="center"/>
                    <w:rPr>
                      <w:rFonts w:ascii="Times New Roman" w:hAnsi="Times New Roman"/>
                      <w:bCs/>
                      <w:kern w:val="0"/>
                      <w:szCs w:val="21"/>
                    </w:rPr>
                  </w:pPr>
                  <w:r>
                    <w:rPr>
                      <w:rFonts w:ascii="Times New Roman" w:hAnsi="Times New Roman"/>
                      <w:bCs/>
                      <w:kern w:val="0"/>
                      <w:szCs w:val="21"/>
                    </w:rPr>
                    <w:t>1小时平均</w:t>
                  </w:r>
                </w:p>
              </w:tc>
              <w:tc>
                <w:tcPr>
                  <w:tcW w:w="1905" w:type="dxa"/>
                  <w:noWrap w:val="0"/>
                  <w:vAlign w:val="center"/>
                </w:tcPr>
                <w:p>
                  <w:pPr>
                    <w:jc w:val="center"/>
                    <w:rPr>
                      <w:rFonts w:ascii="Times New Roman" w:hAnsi="Times New Roman"/>
                      <w:bCs/>
                      <w:kern w:val="0"/>
                      <w:szCs w:val="21"/>
                    </w:rPr>
                  </w:pPr>
                  <w:r>
                    <w:rPr>
                      <w:rFonts w:ascii="Times New Roman" w:hAnsi="Times New Roman"/>
                      <w:bCs/>
                      <w:kern w:val="0"/>
                      <w:szCs w:val="21"/>
                    </w:rPr>
                    <w:t>200</w:t>
                  </w:r>
                </w:p>
              </w:tc>
              <w:tc>
                <w:tcPr>
                  <w:tcW w:w="3003" w:type="dxa"/>
                  <w:vMerge w:val="continue"/>
                  <w:noWrap w:val="0"/>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restart"/>
                  <w:noWrap w:val="0"/>
                  <w:vAlign w:val="center"/>
                </w:tcPr>
                <w:p>
                  <w:pPr>
                    <w:jc w:val="center"/>
                    <w:rPr>
                      <w:rFonts w:ascii="Times New Roman" w:hAnsi="Times New Roman"/>
                      <w:bCs/>
                      <w:kern w:val="0"/>
                      <w:szCs w:val="21"/>
                    </w:rPr>
                  </w:pPr>
                  <w:r>
                    <w:rPr>
                      <w:rFonts w:ascii="Times New Roman" w:hAnsi="Times New Roman"/>
                      <w:bCs/>
                      <w:kern w:val="0"/>
                      <w:szCs w:val="21"/>
                    </w:rPr>
                    <w:t>PM</w:t>
                  </w:r>
                  <w:r>
                    <w:rPr>
                      <w:rFonts w:ascii="Times New Roman" w:hAnsi="Times New Roman"/>
                      <w:bCs/>
                      <w:kern w:val="0"/>
                      <w:szCs w:val="21"/>
                      <w:vertAlign w:val="subscript"/>
                    </w:rPr>
                    <w:t>10</w:t>
                  </w:r>
                </w:p>
              </w:tc>
              <w:tc>
                <w:tcPr>
                  <w:tcW w:w="2042" w:type="dxa"/>
                  <w:noWrap w:val="0"/>
                  <w:vAlign w:val="center"/>
                </w:tcPr>
                <w:p>
                  <w:pPr>
                    <w:jc w:val="center"/>
                    <w:rPr>
                      <w:rFonts w:ascii="Times New Roman" w:hAnsi="Times New Roman"/>
                      <w:bCs/>
                      <w:kern w:val="0"/>
                      <w:szCs w:val="21"/>
                    </w:rPr>
                  </w:pPr>
                  <w:r>
                    <w:rPr>
                      <w:rFonts w:ascii="Times New Roman" w:hAnsi="Times New Roman"/>
                      <w:bCs/>
                      <w:kern w:val="0"/>
                      <w:szCs w:val="21"/>
                    </w:rPr>
                    <w:t>年平均</w:t>
                  </w:r>
                </w:p>
              </w:tc>
              <w:tc>
                <w:tcPr>
                  <w:tcW w:w="1905" w:type="dxa"/>
                  <w:noWrap w:val="0"/>
                  <w:vAlign w:val="center"/>
                </w:tcPr>
                <w:p>
                  <w:pPr>
                    <w:jc w:val="center"/>
                    <w:rPr>
                      <w:rFonts w:ascii="Times New Roman" w:hAnsi="Times New Roman"/>
                      <w:bCs/>
                      <w:kern w:val="0"/>
                      <w:szCs w:val="21"/>
                    </w:rPr>
                  </w:pPr>
                  <w:r>
                    <w:rPr>
                      <w:rFonts w:ascii="Times New Roman" w:hAnsi="Times New Roman"/>
                      <w:bCs/>
                      <w:kern w:val="0"/>
                      <w:szCs w:val="21"/>
                    </w:rPr>
                    <w:t>70</w:t>
                  </w:r>
                </w:p>
              </w:tc>
              <w:tc>
                <w:tcPr>
                  <w:tcW w:w="3003" w:type="dxa"/>
                  <w:vMerge w:val="continue"/>
                  <w:noWrap w:val="0"/>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noWrap w:val="0"/>
                  <w:vAlign w:val="center"/>
                </w:tcPr>
                <w:p>
                  <w:pPr>
                    <w:jc w:val="center"/>
                    <w:rPr>
                      <w:rFonts w:ascii="Times New Roman" w:hAnsi="Times New Roman"/>
                      <w:bCs/>
                      <w:kern w:val="0"/>
                      <w:szCs w:val="21"/>
                    </w:rPr>
                  </w:pPr>
                </w:p>
              </w:tc>
              <w:tc>
                <w:tcPr>
                  <w:tcW w:w="2042" w:type="dxa"/>
                  <w:noWrap w:val="0"/>
                  <w:vAlign w:val="center"/>
                </w:tcPr>
                <w:p>
                  <w:pPr>
                    <w:jc w:val="center"/>
                    <w:rPr>
                      <w:rFonts w:ascii="Times New Roman" w:hAnsi="Times New Roman"/>
                      <w:bCs/>
                      <w:kern w:val="0"/>
                      <w:szCs w:val="21"/>
                    </w:rPr>
                  </w:pPr>
                  <w:r>
                    <w:rPr>
                      <w:rFonts w:ascii="Times New Roman" w:hAnsi="Times New Roman"/>
                      <w:bCs/>
                      <w:kern w:val="0"/>
                      <w:szCs w:val="21"/>
                    </w:rPr>
                    <w:t>24小时平均</w:t>
                  </w:r>
                </w:p>
              </w:tc>
              <w:tc>
                <w:tcPr>
                  <w:tcW w:w="1905" w:type="dxa"/>
                  <w:noWrap w:val="0"/>
                  <w:vAlign w:val="center"/>
                </w:tcPr>
                <w:p>
                  <w:pPr>
                    <w:jc w:val="center"/>
                    <w:rPr>
                      <w:rFonts w:ascii="Times New Roman" w:hAnsi="Times New Roman"/>
                      <w:bCs/>
                      <w:kern w:val="0"/>
                      <w:szCs w:val="21"/>
                    </w:rPr>
                  </w:pPr>
                  <w:r>
                    <w:rPr>
                      <w:rFonts w:ascii="Times New Roman" w:hAnsi="Times New Roman"/>
                      <w:bCs/>
                      <w:kern w:val="0"/>
                      <w:szCs w:val="21"/>
                    </w:rPr>
                    <w:t>150</w:t>
                  </w:r>
                </w:p>
              </w:tc>
              <w:tc>
                <w:tcPr>
                  <w:tcW w:w="3003" w:type="dxa"/>
                  <w:vMerge w:val="continue"/>
                  <w:noWrap w:val="0"/>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restart"/>
                  <w:noWrap w:val="0"/>
                  <w:vAlign w:val="center"/>
                </w:tcPr>
                <w:p>
                  <w:pPr>
                    <w:jc w:val="center"/>
                    <w:rPr>
                      <w:rFonts w:ascii="Times New Roman" w:hAnsi="Times New Roman"/>
                      <w:bCs/>
                      <w:kern w:val="0"/>
                      <w:szCs w:val="21"/>
                    </w:rPr>
                  </w:pPr>
                  <w:r>
                    <w:rPr>
                      <w:rFonts w:ascii="Times New Roman" w:hAnsi="Times New Roman"/>
                      <w:bCs/>
                      <w:kern w:val="0"/>
                      <w:szCs w:val="21"/>
                    </w:rPr>
                    <w:t>TSP</w:t>
                  </w:r>
                </w:p>
              </w:tc>
              <w:tc>
                <w:tcPr>
                  <w:tcW w:w="2042" w:type="dxa"/>
                  <w:noWrap w:val="0"/>
                  <w:vAlign w:val="center"/>
                </w:tcPr>
                <w:p>
                  <w:pPr>
                    <w:jc w:val="center"/>
                    <w:rPr>
                      <w:rFonts w:ascii="Times New Roman" w:hAnsi="Times New Roman"/>
                      <w:bCs/>
                      <w:kern w:val="0"/>
                      <w:szCs w:val="21"/>
                    </w:rPr>
                  </w:pPr>
                  <w:r>
                    <w:rPr>
                      <w:rFonts w:ascii="Times New Roman" w:hAnsi="Times New Roman"/>
                      <w:bCs/>
                      <w:kern w:val="0"/>
                      <w:szCs w:val="21"/>
                    </w:rPr>
                    <w:t>年平均</w:t>
                  </w:r>
                </w:p>
              </w:tc>
              <w:tc>
                <w:tcPr>
                  <w:tcW w:w="1905" w:type="dxa"/>
                  <w:noWrap w:val="0"/>
                  <w:vAlign w:val="center"/>
                </w:tcPr>
                <w:p>
                  <w:pPr>
                    <w:jc w:val="center"/>
                    <w:rPr>
                      <w:rFonts w:ascii="Times New Roman" w:hAnsi="Times New Roman"/>
                      <w:bCs/>
                      <w:kern w:val="0"/>
                      <w:szCs w:val="21"/>
                    </w:rPr>
                  </w:pPr>
                  <w:r>
                    <w:rPr>
                      <w:rFonts w:ascii="Times New Roman" w:hAnsi="Times New Roman"/>
                      <w:bCs/>
                      <w:kern w:val="0"/>
                      <w:szCs w:val="21"/>
                    </w:rPr>
                    <w:t>200</w:t>
                  </w:r>
                </w:p>
              </w:tc>
              <w:tc>
                <w:tcPr>
                  <w:tcW w:w="3003" w:type="dxa"/>
                  <w:vMerge w:val="continue"/>
                  <w:noWrap w:val="0"/>
                  <w:vAlign w:val="center"/>
                </w:tcPr>
                <w:p>
                  <w:pPr>
                    <w:jc w:val="center"/>
                    <w:rPr>
                      <w:rFonts w:ascii="Times New Roman" w:hAnsi="Times New Roman"/>
                      <w:bCs/>
                      <w:kern w:val="0"/>
                      <w:szCs w:val="21"/>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7" w:type="dxa"/>
                  <w:vMerge w:val="continue"/>
                  <w:noWrap w:val="0"/>
                  <w:vAlign w:val="center"/>
                </w:tcPr>
                <w:p>
                  <w:pPr>
                    <w:jc w:val="center"/>
                    <w:rPr>
                      <w:rFonts w:ascii="Times New Roman" w:hAnsi="Times New Roman"/>
                      <w:bCs/>
                      <w:kern w:val="0"/>
                      <w:szCs w:val="21"/>
                    </w:rPr>
                  </w:pPr>
                </w:p>
              </w:tc>
              <w:tc>
                <w:tcPr>
                  <w:tcW w:w="2042" w:type="dxa"/>
                  <w:noWrap w:val="0"/>
                  <w:vAlign w:val="center"/>
                </w:tcPr>
                <w:p>
                  <w:pPr>
                    <w:jc w:val="center"/>
                    <w:rPr>
                      <w:rFonts w:ascii="Times New Roman" w:hAnsi="Times New Roman"/>
                      <w:bCs/>
                      <w:kern w:val="0"/>
                      <w:szCs w:val="21"/>
                    </w:rPr>
                  </w:pPr>
                  <w:r>
                    <w:rPr>
                      <w:rFonts w:ascii="Times New Roman" w:hAnsi="Times New Roman"/>
                      <w:bCs/>
                      <w:kern w:val="0"/>
                      <w:szCs w:val="21"/>
                    </w:rPr>
                    <w:t>24小时平均</w:t>
                  </w:r>
                </w:p>
              </w:tc>
              <w:tc>
                <w:tcPr>
                  <w:tcW w:w="1905" w:type="dxa"/>
                  <w:noWrap w:val="0"/>
                  <w:vAlign w:val="center"/>
                </w:tcPr>
                <w:p>
                  <w:pPr>
                    <w:jc w:val="center"/>
                    <w:rPr>
                      <w:rFonts w:ascii="Times New Roman" w:hAnsi="Times New Roman"/>
                      <w:bCs/>
                      <w:kern w:val="0"/>
                      <w:szCs w:val="21"/>
                    </w:rPr>
                  </w:pPr>
                  <w:r>
                    <w:rPr>
                      <w:rFonts w:ascii="Times New Roman" w:hAnsi="Times New Roman"/>
                      <w:bCs/>
                      <w:kern w:val="0"/>
                      <w:szCs w:val="21"/>
                    </w:rPr>
                    <w:t>300</w:t>
                  </w:r>
                </w:p>
              </w:tc>
              <w:tc>
                <w:tcPr>
                  <w:tcW w:w="3003" w:type="dxa"/>
                  <w:vMerge w:val="continue"/>
                  <w:noWrap w:val="0"/>
                  <w:vAlign w:val="center"/>
                </w:tcPr>
                <w:p>
                  <w:pPr>
                    <w:jc w:val="center"/>
                    <w:rPr>
                      <w:rFonts w:ascii="Times New Roman" w:hAnsi="Times New Roman"/>
                      <w:bCs/>
                      <w:kern w:val="0"/>
                      <w:szCs w:val="21"/>
                    </w:rPr>
                  </w:pPr>
                </w:p>
              </w:tc>
            </w:tr>
          </w:tbl>
          <w:p>
            <w:pPr>
              <w:spacing w:line="360" w:lineRule="auto"/>
              <w:ind w:firstLine="480" w:firstLineChars="200"/>
              <w:rPr>
                <w:rFonts w:ascii="Times New Roman" w:hAnsi="Times New Roman"/>
                <w:sz w:val="24"/>
                <w:szCs w:val="24"/>
              </w:rPr>
            </w:pPr>
          </w:p>
          <w:p>
            <w:pPr>
              <w:spacing w:line="360" w:lineRule="auto"/>
              <w:ind w:firstLine="480" w:firstLineChars="200"/>
              <w:rPr>
                <w:rFonts w:ascii="Times New Roman" w:hAnsi="Times New Roman"/>
                <w:sz w:val="24"/>
                <w:szCs w:val="24"/>
              </w:rPr>
            </w:pPr>
            <w:r>
              <w:rPr>
                <w:rFonts w:ascii="Times New Roman" w:hAnsi="Times New Roman"/>
                <w:sz w:val="24"/>
                <w:szCs w:val="24"/>
              </w:rPr>
              <w:t>2、地表水</w:t>
            </w:r>
          </w:p>
          <w:p>
            <w:pPr>
              <w:spacing w:line="360" w:lineRule="auto"/>
              <w:ind w:firstLine="480" w:firstLineChars="200"/>
              <w:rPr>
                <w:rFonts w:ascii="Times New Roman" w:hAnsi="Times New Roman"/>
                <w:sz w:val="24"/>
                <w:szCs w:val="24"/>
              </w:rPr>
            </w:pPr>
            <w:r>
              <w:rPr>
                <w:rFonts w:ascii="Times New Roman" w:hAnsi="Times New Roman"/>
                <w:sz w:val="24"/>
                <w:szCs w:val="24"/>
              </w:rPr>
              <w:t>根据区域地表水环境功能区划，项目所在区域地表水长江执行国家《地表水环境质量标准》（GB3838-2002）中Ⅲ类水域标准，标准值如下表：</w:t>
            </w:r>
          </w:p>
          <w:p>
            <w:pPr>
              <w:spacing w:line="360" w:lineRule="auto"/>
              <w:jc w:val="center"/>
              <w:rPr>
                <w:rFonts w:ascii="Times New Roman" w:hAnsi="Times New Roman"/>
                <w:b/>
                <w:bCs/>
                <w:sz w:val="24"/>
                <w:szCs w:val="24"/>
              </w:rPr>
            </w:pPr>
            <w:bookmarkStart w:id="1" w:name="_Hlk507534725"/>
            <w:r>
              <w:rPr>
                <w:rFonts w:ascii="Times New Roman" w:hAnsi="Times New Roman"/>
                <w:b/>
                <w:bCs/>
                <w:sz w:val="24"/>
                <w:szCs w:val="24"/>
              </w:rPr>
              <w:t>表4-2地表水环境质量标准   单位：mg/L，pH除外</w:t>
            </w:r>
          </w:p>
          <w:tbl>
            <w:tblPr>
              <w:tblStyle w:val="27"/>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33"/>
              <w:gridCol w:w="2293"/>
              <w:gridCol w:w="3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1" w:hRule="atLeast"/>
                <w:jc w:val="center"/>
              </w:trPr>
              <w:tc>
                <w:tcPr>
                  <w:tcW w:w="2433" w:type="dxa"/>
                  <w:noWrap w:val="0"/>
                  <w:vAlign w:val="center"/>
                </w:tcPr>
                <w:p>
                  <w:pPr>
                    <w:spacing w:line="240" w:lineRule="atLeast"/>
                    <w:jc w:val="center"/>
                    <w:rPr>
                      <w:rFonts w:ascii="Times New Roman" w:hAnsi="Times New Roman"/>
                    </w:rPr>
                  </w:pPr>
                  <w:r>
                    <w:rPr>
                      <w:rFonts w:ascii="Times New Roman" w:hAnsi="Times New Roman"/>
                    </w:rPr>
                    <w:t>指  标</w:t>
                  </w:r>
                </w:p>
              </w:tc>
              <w:tc>
                <w:tcPr>
                  <w:tcW w:w="2293" w:type="dxa"/>
                  <w:tcBorders>
                    <w:right w:val="single" w:color="auto" w:sz="4" w:space="0"/>
                  </w:tcBorders>
                  <w:noWrap w:val="0"/>
                  <w:vAlign w:val="center"/>
                </w:tcPr>
                <w:p>
                  <w:pPr>
                    <w:spacing w:line="240" w:lineRule="atLeast"/>
                    <w:jc w:val="center"/>
                    <w:rPr>
                      <w:rFonts w:ascii="Times New Roman" w:hAnsi="Times New Roman"/>
                    </w:rPr>
                  </w:pPr>
                  <w:r>
                    <w:rPr>
                      <w:rFonts w:ascii="Times New Roman" w:hAnsi="Times New Roman"/>
                    </w:rPr>
                    <w:t>Ⅲ类标准值</w:t>
                  </w:r>
                </w:p>
              </w:tc>
              <w:tc>
                <w:tcPr>
                  <w:tcW w:w="3551" w:type="dxa"/>
                  <w:noWrap w:val="0"/>
                  <w:vAlign w:val="center"/>
                </w:tcPr>
                <w:p>
                  <w:pPr>
                    <w:spacing w:line="360" w:lineRule="auto"/>
                    <w:jc w:val="center"/>
                    <w:rPr>
                      <w:rFonts w:ascii="Times New Roman" w:hAnsi="Times New Roman"/>
                    </w:rPr>
                  </w:pPr>
                  <w:r>
                    <w:rPr>
                      <w:rFonts w:ascii="Times New Roman" w:hAnsi="Times New Roman"/>
                    </w:rPr>
                    <w:t>依  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noWrap w:val="0"/>
                  <w:vAlign w:val="center"/>
                </w:tcPr>
                <w:p>
                  <w:pPr>
                    <w:spacing w:line="240" w:lineRule="atLeast"/>
                    <w:jc w:val="center"/>
                    <w:rPr>
                      <w:rFonts w:ascii="Times New Roman" w:hAnsi="Times New Roman"/>
                    </w:rPr>
                  </w:pPr>
                  <w:r>
                    <w:rPr>
                      <w:rFonts w:ascii="Times New Roman" w:hAnsi="Times New Roman"/>
                    </w:rPr>
                    <w:t>pH</w:t>
                  </w:r>
                </w:p>
              </w:tc>
              <w:tc>
                <w:tcPr>
                  <w:tcW w:w="2293" w:type="dxa"/>
                  <w:tcBorders>
                    <w:right w:val="single" w:color="auto" w:sz="4" w:space="0"/>
                  </w:tcBorders>
                  <w:noWrap w:val="0"/>
                  <w:vAlign w:val="center"/>
                </w:tcPr>
                <w:p>
                  <w:pPr>
                    <w:spacing w:line="240" w:lineRule="atLeast"/>
                    <w:jc w:val="center"/>
                    <w:rPr>
                      <w:rFonts w:ascii="Times New Roman" w:hAnsi="Times New Roman"/>
                    </w:rPr>
                  </w:pPr>
                  <w:r>
                    <w:rPr>
                      <w:rFonts w:ascii="Times New Roman" w:hAnsi="Times New Roman"/>
                    </w:rPr>
                    <w:t>6～9</w:t>
                  </w:r>
                </w:p>
              </w:tc>
              <w:tc>
                <w:tcPr>
                  <w:tcW w:w="3551" w:type="dxa"/>
                  <w:vMerge w:val="restart"/>
                  <w:noWrap w:val="0"/>
                  <w:vAlign w:val="center"/>
                </w:tcPr>
                <w:p>
                  <w:pPr>
                    <w:spacing w:line="240" w:lineRule="atLeast"/>
                    <w:jc w:val="center"/>
                    <w:rPr>
                      <w:rFonts w:ascii="Times New Roman" w:hAnsi="Times New Roman"/>
                    </w:rPr>
                  </w:pPr>
                  <w:r>
                    <w:rPr>
                      <w:rFonts w:ascii="Times New Roman" w:hAnsi="Times New Roman"/>
                    </w:rPr>
                    <w:t>《地表水环境质量标准》（GB3838-2002）中的Ⅲ类水域标准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noWrap w:val="0"/>
                  <w:vAlign w:val="center"/>
                </w:tcPr>
                <w:p>
                  <w:pPr>
                    <w:spacing w:line="240" w:lineRule="atLeast"/>
                    <w:jc w:val="center"/>
                    <w:rPr>
                      <w:rFonts w:ascii="Times New Roman" w:hAnsi="Times New Roman"/>
                    </w:rPr>
                  </w:pPr>
                  <w:r>
                    <w:rPr>
                      <w:rFonts w:ascii="Times New Roman" w:hAnsi="Times New Roman"/>
                    </w:rPr>
                    <w:t>CODcr</w:t>
                  </w:r>
                </w:p>
              </w:tc>
              <w:tc>
                <w:tcPr>
                  <w:tcW w:w="2293" w:type="dxa"/>
                  <w:tcBorders>
                    <w:right w:val="single" w:color="auto" w:sz="4" w:space="0"/>
                  </w:tcBorders>
                  <w:noWrap w:val="0"/>
                  <w:vAlign w:val="center"/>
                </w:tcPr>
                <w:p>
                  <w:pPr>
                    <w:spacing w:line="240" w:lineRule="atLeast"/>
                    <w:jc w:val="center"/>
                    <w:rPr>
                      <w:rFonts w:ascii="Times New Roman" w:hAnsi="Times New Roman"/>
                    </w:rPr>
                  </w:pPr>
                  <w:r>
                    <w:rPr>
                      <w:rFonts w:ascii="Times New Roman" w:hAnsi="Times New Roman"/>
                    </w:rPr>
                    <w:t>≤20</w:t>
                  </w:r>
                </w:p>
              </w:tc>
              <w:tc>
                <w:tcPr>
                  <w:tcW w:w="3551" w:type="dxa"/>
                  <w:vMerge w:val="continue"/>
                  <w:noWrap w:val="0"/>
                  <w:vAlign w:val="center"/>
                </w:tcPr>
                <w:p>
                  <w:pPr>
                    <w:spacing w:line="360" w:lineRule="auto"/>
                    <w:rPr>
                      <w:rFonts w:ascii="Times New Roman" w:hAnsi="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noWrap w:val="0"/>
                  <w:vAlign w:val="center"/>
                </w:tcPr>
                <w:p>
                  <w:pPr>
                    <w:spacing w:line="240" w:lineRule="atLeast"/>
                    <w:jc w:val="center"/>
                    <w:rPr>
                      <w:rFonts w:ascii="Times New Roman" w:hAnsi="Times New Roman"/>
                    </w:rPr>
                  </w:pPr>
                  <w:r>
                    <w:rPr>
                      <w:rFonts w:ascii="Times New Roman" w:hAnsi="Times New Roman"/>
                    </w:rPr>
                    <w:t>氨氮</w:t>
                  </w:r>
                </w:p>
              </w:tc>
              <w:tc>
                <w:tcPr>
                  <w:tcW w:w="2293" w:type="dxa"/>
                  <w:tcBorders>
                    <w:right w:val="single" w:color="auto" w:sz="4" w:space="0"/>
                  </w:tcBorders>
                  <w:noWrap w:val="0"/>
                  <w:vAlign w:val="center"/>
                </w:tcPr>
                <w:p>
                  <w:pPr>
                    <w:spacing w:line="240" w:lineRule="atLeast"/>
                    <w:jc w:val="center"/>
                    <w:rPr>
                      <w:rFonts w:ascii="Times New Roman" w:hAnsi="Times New Roman"/>
                    </w:rPr>
                  </w:pPr>
                  <w:r>
                    <w:rPr>
                      <w:rFonts w:ascii="Times New Roman" w:hAnsi="Times New Roman"/>
                    </w:rPr>
                    <w:t>≤1.0</w:t>
                  </w:r>
                </w:p>
              </w:tc>
              <w:tc>
                <w:tcPr>
                  <w:tcW w:w="3551" w:type="dxa"/>
                  <w:vMerge w:val="continue"/>
                  <w:noWrap w:val="0"/>
                  <w:vAlign w:val="center"/>
                </w:tcPr>
                <w:p>
                  <w:pPr>
                    <w:spacing w:line="360" w:lineRule="auto"/>
                    <w:rPr>
                      <w:rFonts w:ascii="Times New Roman" w:hAnsi="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noWrap w:val="0"/>
                  <w:vAlign w:val="center"/>
                </w:tcPr>
                <w:p>
                  <w:pPr>
                    <w:spacing w:line="240" w:lineRule="atLeast"/>
                    <w:jc w:val="center"/>
                    <w:rPr>
                      <w:rFonts w:ascii="Times New Roman" w:hAnsi="Times New Roman"/>
                    </w:rPr>
                  </w:pPr>
                  <w:r>
                    <w:rPr>
                      <w:rFonts w:ascii="Times New Roman" w:hAnsi="Times New Roman"/>
                    </w:rPr>
                    <w:t>BOD</w:t>
                  </w:r>
                  <w:r>
                    <w:rPr>
                      <w:rFonts w:ascii="Times New Roman" w:hAnsi="Times New Roman"/>
                      <w:vertAlign w:val="subscript"/>
                    </w:rPr>
                    <w:t>5</w:t>
                  </w:r>
                </w:p>
              </w:tc>
              <w:tc>
                <w:tcPr>
                  <w:tcW w:w="2293" w:type="dxa"/>
                  <w:tcBorders>
                    <w:right w:val="single" w:color="auto" w:sz="4" w:space="0"/>
                  </w:tcBorders>
                  <w:noWrap w:val="0"/>
                  <w:vAlign w:val="center"/>
                </w:tcPr>
                <w:p>
                  <w:pPr>
                    <w:spacing w:line="240" w:lineRule="atLeast"/>
                    <w:jc w:val="center"/>
                    <w:rPr>
                      <w:rFonts w:ascii="Times New Roman" w:hAnsi="Times New Roman"/>
                    </w:rPr>
                  </w:pPr>
                  <w:r>
                    <w:rPr>
                      <w:rFonts w:ascii="Times New Roman" w:hAnsi="Times New Roman"/>
                    </w:rPr>
                    <w:t>≤4.0</w:t>
                  </w:r>
                </w:p>
              </w:tc>
              <w:tc>
                <w:tcPr>
                  <w:tcW w:w="3551" w:type="dxa"/>
                  <w:vMerge w:val="continue"/>
                  <w:noWrap w:val="0"/>
                  <w:vAlign w:val="center"/>
                </w:tcPr>
                <w:p>
                  <w:pPr>
                    <w:spacing w:line="360" w:lineRule="auto"/>
                    <w:rPr>
                      <w:rFonts w:ascii="Times New Roman" w:hAnsi="Times New Roman"/>
                    </w:rPr>
                  </w:pPr>
                </w:p>
              </w:tc>
            </w:tr>
          </w:tbl>
          <w:p>
            <w:pPr>
              <w:spacing w:line="360" w:lineRule="auto"/>
              <w:ind w:firstLine="480" w:firstLineChars="200"/>
              <w:rPr>
                <w:rFonts w:ascii="Times New Roman" w:hAnsi="Times New Roman"/>
                <w:sz w:val="24"/>
                <w:szCs w:val="24"/>
              </w:rPr>
            </w:pPr>
          </w:p>
          <w:p>
            <w:pPr>
              <w:spacing w:line="360" w:lineRule="auto"/>
              <w:ind w:firstLine="480" w:firstLineChars="200"/>
              <w:rPr>
                <w:rFonts w:ascii="Times New Roman" w:hAnsi="Times New Roman"/>
                <w:sz w:val="24"/>
                <w:szCs w:val="24"/>
              </w:rPr>
            </w:pPr>
          </w:p>
          <w:p>
            <w:pPr>
              <w:spacing w:line="360" w:lineRule="auto"/>
              <w:ind w:firstLine="480" w:firstLineChars="200"/>
              <w:rPr>
                <w:rFonts w:ascii="Times New Roman" w:hAnsi="Times New Roman"/>
                <w:sz w:val="24"/>
                <w:szCs w:val="24"/>
              </w:rPr>
            </w:pPr>
          </w:p>
          <w:p>
            <w:pPr>
              <w:spacing w:line="360" w:lineRule="auto"/>
              <w:ind w:firstLine="480" w:firstLineChars="200"/>
              <w:rPr>
                <w:rFonts w:ascii="Times New Roman" w:hAnsi="Times New Roman"/>
                <w:sz w:val="24"/>
                <w:szCs w:val="24"/>
              </w:rPr>
            </w:pPr>
            <w:r>
              <w:rPr>
                <w:rFonts w:ascii="Times New Roman" w:hAnsi="Times New Roman"/>
                <w:sz w:val="24"/>
                <w:szCs w:val="24"/>
              </w:rPr>
              <w:t>3、声环境</w:t>
            </w:r>
          </w:p>
          <w:bookmarkEnd w:id="1"/>
          <w:p>
            <w:pPr>
              <w:spacing w:line="360" w:lineRule="auto"/>
              <w:ind w:firstLine="480" w:firstLineChars="200"/>
              <w:rPr>
                <w:rFonts w:ascii="Times New Roman" w:hAnsi="Times New Roman"/>
                <w:sz w:val="24"/>
                <w:szCs w:val="24"/>
              </w:rPr>
            </w:pPr>
            <w:r>
              <w:rPr>
                <w:rFonts w:ascii="Times New Roman" w:hAnsi="Times New Roman"/>
                <w:sz w:val="24"/>
                <w:szCs w:val="24"/>
              </w:rPr>
              <w:t>根据区域声环境功能区划，项目区所在声环境执行</w:t>
            </w:r>
            <w:bookmarkStart w:id="2" w:name="OLE_LINK3"/>
            <w:bookmarkStart w:id="3" w:name="OLE_LINK1"/>
            <w:r>
              <w:rPr>
                <w:rFonts w:ascii="Times New Roman" w:hAnsi="Times New Roman"/>
                <w:sz w:val="24"/>
                <w:szCs w:val="24"/>
              </w:rPr>
              <w:t>《声环境质量标准》（GB3096-2008）中</w:t>
            </w:r>
            <w:r>
              <w:rPr>
                <w:rFonts w:hint="eastAsia" w:ascii="Times New Roman" w:hAnsi="Times New Roman"/>
                <w:sz w:val="24"/>
                <w:szCs w:val="24"/>
                <w:lang w:eastAsia="zh-CN"/>
              </w:rPr>
              <w:t>2类</w:t>
            </w:r>
            <w:r>
              <w:rPr>
                <w:rFonts w:ascii="Times New Roman" w:hAnsi="Times New Roman"/>
                <w:sz w:val="24"/>
                <w:szCs w:val="24"/>
              </w:rPr>
              <w:t>区标准</w:t>
            </w:r>
            <w:bookmarkEnd w:id="2"/>
            <w:bookmarkEnd w:id="3"/>
            <w:r>
              <w:rPr>
                <w:rFonts w:ascii="Times New Roman" w:hAnsi="Times New Roman"/>
                <w:sz w:val="24"/>
                <w:szCs w:val="24"/>
              </w:rPr>
              <w:t>。</w:t>
            </w:r>
          </w:p>
          <w:p>
            <w:pPr>
              <w:spacing w:line="360" w:lineRule="auto"/>
              <w:jc w:val="center"/>
              <w:rPr>
                <w:rFonts w:ascii="Times New Roman" w:hAnsi="Times New Roman"/>
                <w:b/>
                <w:bCs/>
                <w:sz w:val="24"/>
                <w:szCs w:val="24"/>
              </w:rPr>
            </w:pPr>
            <w:r>
              <w:rPr>
                <w:rFonts w:ascii="Times New Roman" w:hAnsi="Times New Roman"/>
                <w:b/>
                <w:bCs/>
                <w:sz w:val="24"/>
                <w:szCs w:val="24"/>
              </w:rPr>
              <w:t>表4-3  声环境质量标准    单位：dB（A）</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5"/>
              <w:gridCol w:w="1316"/>
              <w:gridCol w:w="1452"/>
              <w:gridCol w:w="3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5" w:type="dxa"/>
                  <w:vMerge w:val="restart"/>
                  <w:noWrap w:val="0"/>
                  <w:vAlign w:val="center"/>
                </w:tcPr>
                <w:p>
                  <w:pPr>
                    <w:adjustRightInd w:val="0"/>
                    <w:snapToGrid w:val="0"/>
                    <w:jc w:val="center"/>
                    <w:rPr>
                      <w:rFonts w:ascii="Times New Roman" w:hAnsi="Times New Roman"/>
                    </w:rPr>
                  </w:pPr>
                  <w:r>
                    <w:rPr>
                      <w:rFonts w:ascii="Times New Roman" w:hAnsi="Times New Roman"/>
                    </w:rPr>
                    <w:t>标准级（类）别</w:t>
                  </w:r>
                </w:p>
              </w:tc>
              <w:tc>
                <w:tcPr>
                  <w:tcW w:w="2768" w:type="dxa"/>
                  <w:gridSpan w:val="2"/>
                  <w:noWrap w:val="0"/>
                  <w:vAlign w:val="center"/>
                </w:tcPr>
                <w:p>
                  <w:pPr>
                    <w:adjustRightInd w:val="0"/>
                    <w:snapToGrid w:val="0"/>
                    <w:ind w:firstLine="128"/>
                    <w:jc w:val="center"/>
                    <w:rPr>
                      <w:rFonts w:ascii="Times New Roman" w:hAnsi="Times New Roman"/>
                    </w:rPr>
                  </w:pPr>
                  <w:r>
                    <w:rPr>
                      <w:rFonts w:ascii="Times New Roman" w:hAnsi="Times New Roman"/>
                    </w:rPr>
                    <w:t>标准限值</w:t>
                  </w:r>
                </w:p>
              </w:tc>
              <w:tc>
                <w:tcPr>
                  <w:tcW w:w="3770" w:type="dxa"/>
                  <w:vMerge w:val="restart"/>
                  <w:noWrap w:val="0"/>
                  <w:vAlign w:val="center"/>
                </w:tcPr>
                <w:p>
                  <w:pPr>
                    <w:adjustRightInd w:val="0"/>
                    <w:snapToGrid w:val="0"/>
                    <w:jc w:val="center"/>
                    <w:rPr>
                      <w:rFonts w:ascii="Times New Roman" w:hAnsi="Times New Roman"/>
                    </w:rPr>
                  </w:pPr>
                  <w:r>
                    <w:rPr>
                      <w:rFonts w:ascii="Times New Roman" w:hAnsi="Times New Roman"/>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5" w:type="dxa"/>
                  <w:vMerge w:val="continue"/>
                  <w:noWrap w:val="0"/>
                  <w:vAlign w:val="center"/>
                </w:tcPr>
                <w:p>
                  <w:pPr>
                    <w:adjustRightInd w:val="0"/>
                    <w:snapToGrid w:val="0"/>
                    <w:jc w:val="center"/>
                    <w:rPr>
                      <w:rFonts w:ascii="Times New Roman" w:hAnsi="Times New Roman"/>
                    </w:rPr>
                  </w:pPr>
                </w:p>
              </w:tc>
              <w:tc>
                <w:tcPr>
                  <w:tcW w:w="1316" w:type="dxa"/>
                  <w:noWrap w:val="0"/>
                  <w:vAlign w:val="center"/>
                </w:tcPr>
                <w:p>
                  <w:pPr>
                    <w:adjustRightInd w:val="0"/>
                    <w:snapToGrid w:val="0"/>
                    <w:ind w:firstLine="128"/>
                    <w:jc w:val="center"/>
                    <w:rPr>
                      <w:rFonts w:ascii="Times New Roman" w:hAnsi="Times New Roman"/>
                    </w:rPr>
                  </w:pPr>
                  <w:r>
                    <w:rPr>
                      <w:rFonts w:ascii="Times New Roman" w:hAnsi="Times New Roman"/>
                    </w:rPr>
                    <w:t>昼间</w:t>
                  </w:r>
                </w:p>
              </w:tc>
              <w:tc>
                <w:tcPr>
                  <w:tcW w:w="1452" w:type="dxa"/>
                  <w:noWrap w:val="0"/>
                  <w:vAlign w:val="center"/>
                </w:tcPr>
                <w:p>
                  <w:pPr>
                    <w:adjustRightInd w:val="0"/>
                    <w:snapToGrid w:val="0"/>
                    <w:ind w:firstLine="128"/>
                    <w:jc w:val="center"/>
                    <w:rPr>
                      <w:rFonts w:ascii="Times New Roman" w:hAnsi="Times New Roman"/>
                    </w:rPr>
                  </w:pPr>
                  <w:r>
                    <w:rPr>
                      <w:rFonts w:ascii="Times New Roman" w:hAnsi="Times New Roman"/>
                    </w:rPr>
                    <w:t>夜间</w:t>
                  </w:r>
                </w:p>
              </w:tc>
              <w:tc>
                <w:tcPr>
                  <w:tcW w:w="3770" w:type="dxa"/>
                  <w:vMerge w:val="continue"/>
                  <w:noWrap w:val="0"/>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5" w:type="dxa"/>
                  <w:noWrap w:val="0"/>
                  <w:vAlign w:val="center"/>
                </w:tcPr>
                <w:p>
                  <w:pPr>
                    <w:adjustRightInd w:val="0"/>
                    <w:snapToGrid w:val="0"/>
                    <w:jc w:val="center"/>
                    <w:rPr>
                      <w:rFonts w:ascii="Times New Roman" w:hAnsi="Times New Roman"/>
                    </w:rPr>
                  </w:pPr>
                  <w:r>
                    <w:rPr>
                      <w:rFonts w:hint="eastAsia" w:ascii="Times New Roman" w:hAnsi="Times New Roman"/>
                      <w:lang w:eastAsia="zh-CN"/>
                    </w:rPr>
                    <w:t>2类</w:t>
                  </w:r>
                  <w:r>
                    <w:rPr>
                      <w:rFonts w:ascii="Times New Roman" w:hAnsi="Times New Roman"/>
                    </w:rPr>
                    <w:t>区</w:t>
                  </w:r>
                </w:p>
              </w:tc>
              <w:tc>
                <w:tcPr>
                  <w:tcW w:w="1316" w:type="dxa"/>
                  <w:noWrap w:val="0"/>
                  <w:vAlign w:val="center"/>
                </w:tcPr>
                <w:p>
                  <w:pPr>
                    <w:adjustRightInd w:val="0"/>
                    <w:snapToGrid w:val="0"/>
                    <w:jc w:val="center"/>
                    <w:rPr>
                      <w:rFonts w:hint="eastAsia" w:ascii="Times New Roman" w:hAnsi="Times New Roman" w:eastAsia="宋体"/>
                      <w:lang w:val="en-US" w:eastAsia="zh-CN"/>
                    </w:rPr>
                  </w:pPr>
                  <w:r>
                    <w:rPr>
                      <w:rFonts w:ascii="Times New Roman" w:hAnsi="Times New Roman"/>
                    </w:rPr>
                    <w:t>6</w:t>
                  </w:r>
                  <w:r>
                    <w:rPr>
                      <w:rFonts w:hint="eastAsia" w:ascii="Times New Roman" w:hAnsi="Times New Roman"/>
                      <w:lang w:val="en-US" w:eastAsia="zh-CN"/>
                    </w:rPr>
                    <w:t>0</w:t>
                  </w:r>
                </w:p>
              </w:tc>
              <w:tc>
                <w:tcPr>
                  <w:tcW w:w="1452" w:type="dxa"/>
                  <w:noWrap w:val="0"/>
                  <w:vAlign w:val="center"/>
                </w:tcPr>
                <w:p>
                  <w:pPr>
                    <w:adjustRightInd w:val="0"/>
                    <w:snapToGrid w:val="0"/>
                    <w:jc w:val="center"/>
                    <w:rPr>
                      <w:rFonts w:hint="eastAsia" w:ascii="Times New Roman" w:hAnsi="Times New Roman" w:eastAsia="宋体"/>
                      <w:lang w:val="en-US" w:eastAsia="zh-CN"/>
                    </w:rPr>
                  </w:pPr>
                  <w:r>
                    <w:rPr>
                      <w:rFonts w:ascii="Times New Roman" w:hAnsi="Times New Roman"/>
                    </w:rPr>
                    <w:t>5</w:t>
                  </w:r>
                  <w:r>
                    <w:rPr>
                      <w:rFonts w:hint="eastAsia" w:ascii="Times New Roman" w:hAnsi="Times New Roman"/>
                      <w:lang w:val="en-US" w:eastAsia="zh-CN"/>
                    </w:rPr>
                    <w:t>0</w:t>
                  </w:r>
                </w:p>
              </w:tc>
              <w:tc>
                <w:tcPr>
                  <w:tcW w:w="3770" w:type="dxa"/>
                  <w:noWrap w:val="0"/>
                  <w:vAlign w:val="center"/>
                </w:tcPr>
                <w:p>
                  <w:pPr>
                    <w:adjustRightInd w:val="0"/>
                    <w:snapToGrid w:val="0"/>
                    <w:jc w:val="center"/>
                    <w:rPr>
                      <w:rFonts w:ascii="Times New Roman" w:hAnsi="Times New Roman"/>
                    </w:rPr>
                  </w:pPr>
                  <w:r>
                    <w:rPr>
                      <w:rFonts w:ascii="Times New Roman" w:hAnsi="Times New Roman"/>
                    </w:rPr>
                    <w:t>《声环境质量标准》（GB3096-2008）</w:t>
                  </w:r>
                </w:p>
              </w:tc>
            </w:tr>
          </w:tbl>
          <w:p>
            <w:pPr>
              <w:rPr>
                <w:rFonts w:ascii="Times New Roman" w:hAnsi="Times New Roman"/>
              </w:rPr>
            </w:pPr>
          </w:p>
          <w:p>
            <w:pPr>
              <w:numPr>
                <w:ilvl w:val="0"/>
                <w:numId w:val="5"/>
              </w:numPr>
              <w:spacing w:line="360" w:lineRule="auto"/>
              <w:ind w:firstLine="480" w:firstLineChars="200"/>
              <w:rPr>
                <w:rFonts w:hint="eastAsia" w:ascii="Times New Roman" w:hAnsi="Times New Roman" w:cs="Times New Roman"/>
                <w:sz w:val="24"/>
                <w:szCs w:val="24"/>
              </w:rPr>
            </w:pPr>
            <w:r>
              <w:rPr>
                <w:rFonts w:hint="eastAsia" w:ascii="Times New Roman" w:hAnsi="Times New Roman" w:cs="Times New Roman"/>
                <w:sz w:val="24"/>
                <w:szCs w:val="24"/>
              </w:rPr>
              <w:t>地下水</w:t>
            </w:r>
          </w:p>
          <w:p>
            <w:pPr>
              <w:spacing w:beforeLines="0" w:afterLines="0" w:line="400" w:lineRule="exact"/>
              <w:ind w:firstLine="480"/>
              <w:rPr>
                <w:rFonts w:hint="eastAsia" w:ascii="Times New Roman" w:hAnsi="Times New Roman" w:cs="Times New Roman"/>
                <w:sz w:val="24"/>
                <w:szCs w:val="24"/>
                <w:lang w:eastAsia="zh-CN"/>
              </w:rPr>
            </w:pPr>
            <w:r>
              <w:rPr>
                <w:rFonts w:hint="eastAsia" w:ascii="Times New Roman" w:hAnsi="Times New Roman" w:cs="Times New Roman"/>
                <w:sz w:val="24"/>
                <w:szCs w:val="24"/>
              </w:rPr>
              <w:t>地下水环境质量标准值《地下</w:t>
            </w:r>
            <w:r>
              <w:rPr>
                <w:rFonts w:hint="default" w:ascii="Times New Roman" w:hAnsi="Times New Roman" w:cs="Times New Roman"/>
                <w:sz w:val="24"/>
                <w:szCs w:val="24"/>
              </w:rPr>
              <w:t>水环境质量标准》（GB/T14848-2017）</w:t>
            </w:r>
            <w:r>
              <w:rPr>
                <w:rFonts w:hint="default" w:ascii="Times New Roman" w:hAnsi="Times New Roman" w:cs="Times New Roman"/>
                <w:sz w:val="24"/>
                <w:szCs w:val="24"/>
                <w:lang w:val="en-US" w:eastAsia="zh-CN"/>
              </w:rPr>
              <w:t>中Ⅲ</w:t>
            </w:r>
            <w:r>
              <w:rPr>
                <w:rFonts w:hint="default" w:ascii="Times New Roman" w:hAnsi="Times New Roman" w:cs="Times New Roman"/>
                <w:sz w:val="24"/>
                <w:szCs w:val="24"/>
              </w:rPr>
              <w:t>类标准</w:t>
            </w:r>
            <w:r>
              <w:rPr>
                <w:rFonts w:hint="default" w:ascii="Times New Roman" w:hAnsi="Times New Roman" w:cs="Times New Roman"/>
                <w:sz w:val="24"/>
                <w:szCs w:val="24"/>
                <w:lang w:eastAsia="zh-CN"/>
              </w:rPr>
              <w:t>，TPH参考荷兰标准，即600</w:t>
            </w:r>
            <w:r>
              <w:rPr>
                <w:rFonts w:hint="default" w:ascii="Times New Roman" w:hAnsi="Times New Roman" w:cs="Times New Roman"/>
                <w:sz w:val="24"/>
                <w:szCs w:val="24"/>
                <w:lang w:val="en-US" w:eastAsia="zh-CN"/>
              </w:rPr>
              <w:t>μg</w:t>
            </w:r>
            <w:r>
              <w:rPr>
                <w:rFonts w:hint="default" w:ascii="Times New Roman" w:hAnsi="Times New Roman" w:cs="Times New Roman"/>
                <w:sz w:val="24"/>
                <w:szCs w:val="24"/>
                <w:lang w:eastAsia="zh-CN"/>
              </w:rPr>
              <w:t>/L</w:t>
            </w:r>
            <w:r>
              <w:rPr>
                <w:rFonts w:hint="eastAsia" w:ascii="Times New Roman" w:hAnsi="Times New Roman" w:cs="Times New Roman"/>
                <w:sz w:val="24"/>
                <w:szCs w:val="24"/>
                <w:lang w:eastAsia="zh-CN"/>
              </w:rPr>
              <w:t>。</w:t>
            </w:r>
          </w:p>
          <w:p>
            <w:pPr>
              <w:spacing w:line="360" w:lineRule="auto"/>
              <w:jc w:val="center"/>
              <w:rPr>
                <w:rFonts w:hint="eastAsia" w:ascii="Times New Roman" w:hAnsi="Times New Roman" w:cs="Times New Roman"/>
                <w:b/>
                <w:bCs/>
                <w:sz w:val="24"/>
                <w:szCs w:val="24"/>
                <w:lang w:eastAsia="zh-CN"/>
              </w:rPr>
            </w:pPr>
            <w:r>
              <w:rPr>
                <w:rFonts w:hint="default" w:ascii="Times New Roman" w:hAnsi="Times New Roman" w:cs="Times New Roman"/>
                <w:b/>
                <w:bCs/>
                <w:sz w:val="24"/>
                <w:szCs w:val="24"/>
                <w:lang w:val="zh-CN"/>
              </w:rPr>
              <w:t>表4-4地下水质量标准表单位：mg/L</w:t>
            </w:r>
          </w:p>
          <w:tbl>
            <w:tblPr>
              <w:tblStyle w:val="27"/>
              <w:tblW w:w="8277" w:type="dxa"/>
              <w:tblInd w:w="-20" w:type="dxa"/>
              <w:shd w:val="clear" w:color="auto" w:fill="auto"/>
              <w:tblLayout w:type="fixed"/>
              <w:tblCellMar>
                <w:top w:w="0" w:type="dxa"/>
                <w:left w:w="0" w:type="dxa"/>
                <w:bottom w:w="0" w:type="dxa"/>
                <w:right w:w="0" w:type="dxa"/>
              </w:tblCellMar>
            </w:tblPr>
            <w:tblGrid>
              <w:gridCol w:w="497"/>
              <w:gridCol w:w="497"/>
              <w:gridCol w:w="497"/>
              <w:gridCol w:w="617"/>
              <w:gridCol w:w="617"/>
              <w:gridCol w:w="617"/>
              <w:gridCol w:w="617"/>
              <w:gridCol w:w="617"/>
              <w:gridCol w:w="617"/>
              <w:gridCol w:w="618"/>
              <w:gridCol w:w="618"/>
              <w:gridCol w:w="618"/>
              <w:gridCol w:w="618"/>
              <w:gridCol w:w="618"/>
            </w:tblGrid>
            <w:tr>
              <w:tblPrEx>
                <w:shd w:val="clear" w:color="auto" w:fill="auto"/>
                <w:tblCellMar>
                  <w:top w:w="0" w:type="dxa"/>
                  <w:left w:w="0" w:type="dxa"/>
                  <w:bottom w:w="0" w:type="dxa"/>
                  <w:right w:w="0" w:type="dxa"/>
                </w:tblCellMar>
              </w:tblPrEx>
              <w:trPr>
                <w:trHeight w:val="329"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因子</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pH</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硫酸盐</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氯化物</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总硬度</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铜</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铅</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锌</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锰</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铁</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铬（六价）</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镍</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镉</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氨氮</w:t>
                  </w:r>
                </w:p>
              </w:tc>
            </w:tr>
            <w:tr>
              <w:tblPrEx>
                <w:shd w:val="clear" w:color="auto" w:fill="auto"/>
                <w:tblCellMar>
                  <w:top w:w="0" w:type="dxa"/>
                  <w:left w:w="0" w:type="dxa"/>
                  <w:bottom w:w="0" w:type="dxa"/>
                  <w:right w:w="0" w:type="dxa"/>
                </w:tblCellMar>
              </w:tblPrEx>
              <w:trPr>
                <w:trHeight w:val="329"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无量纲</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r>
            <w:tr>
              <w:tblPrEx>
                <w:shd w:val="clear" w:color="auto" w:fill="auto"/>
                <w:tblCellMar>
                  <w:top w:w="0" w:type="dxa"/>
                  <w:left w:w="0" w:type="dxa"/>
                  <w:bottom w:w="0" w:type="dxa"/>
                  <w:right w:w="0" w:type="dxa"/>
                </w:tblCellMar>
              </w:tblPrEx>
              <w:trPr>
                <w:trHeight w:val="329"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标准值</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6.5~8.5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0.05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0.05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0.05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0.01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0.2</w:t>
                  </w:r>
                </w:p>
              </w:tc>
            </w:tr>
            <w:tr>
              <w:tblPrEx>
                <w:shd w:val="clear" w:color="auto" w:fill="auto"/>
                <w:tblCellMar>
                  <w:top w:w="0" w:type="dxa"/>
                  <w:left w:w="0" w:type="dxa"/>
                  <w:bottom w:w="0" w:type="dxa"/>
                  <w:right w:w="0" w:type="dxa"/>
                </w:tblCellMar>
              </w:tblPrEx>
              <w:trPr>
                <w:trHeight w:val="329"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因子</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汞</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砷</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高锰酸钾指数</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溶解性总固体</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石油类</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苯系类</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氰化物</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氟化物</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挥发酚</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硫化物</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硝酸盐氮</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亚硝酸盐氮</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总大肠菌数</w:t>
                  </w:r>
                </w:p>
              </w:tc>
            </w:tr>
            <w:tr>
              <w:tblPrEx>
                <w:tblCellMar>
                  <w:top w:w="0" w:type="dxa"/>
                  <w:left w:w="0" w:type="dxa"/>
                  <w:bottom w:w="0" w:type="dxa"/>
                  <w:right w:w="0" w:type="dxa"/>
                </w:tblCellMar>
              </w:tblPrEx>
              <w:trPr>
                <w:trHeight w:val="329"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mg/L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个/L</w:t>
                  </w:r>
                </w:p>
              </w:tc>
            </w:tr>
            <w:tr>
              <w:tblPrEx>
                <w:shd w:val="clear" w:color="auto" w:fill="auto"/>
                <w:tblCellMar>
                  <w:top w:w="0" w:type="dxa"/>
                  <w:left w:w="0" w:type="dxa"/>
                  <w:bottom w:w="0" w:type="dxa"/>
                  <w:right w:w="0" w:type="dxa"/>
                </w:tblCellMar>
              </w:tblPrEx>
              <w:trPr>
                <w:trHeight w:val="329"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标准值</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0.001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0.05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0.005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0.05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0.002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r>
          </w:tbl>
          <w:p>
            <w:pPr>
              <w:spacing w:line="360" w:lineRule="auto"/>
              <w:rPr>
                <w:rFonts w:ascii="Times New Roman" w:hAnsi="Times New Roman"/>
              </w:rPr>
            </w:pPr>
          </w:p>
          <w:p>
            <w:pPr>
              <w:pStyle w:val="21"/>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5、土壤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lang w:val="en-US"/>
              </w:rPr>
            </w:pPr>
            <w:r>
              <w:rPr>
                <w:rFonts w:hint="eastAsia" w:ascii="Times New Roman" w:hAnsi="Times New Roman" w:eastAsia="宋体" w:cs="Times New Roman"/>
                <w:kern w:val="2"/>
                <w:sz w:val="24"/>
                <w:szCs w:val="24"/>
                <w:lang w:val="en-US" w:eastAsia="zh-CN" w:bidi="ar-SA"/>
              </w:rPr>
              <w:t>本项目土壤环境质量标准执行《土壤环境质量建设用地土壤污染风险管控准（试行）</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（GB36600-2018）第一类用地筛选</w:t>
            </w:r>
            <w:r>
              <w:rPr>
                <w:rFonts w:hint="eastAsia" w:ascii="Times New Roman" w:hAnsi="Times New Roman" w:cs="Times New Roman"/>
                <w:kern w:val="2"/>
                <w:sz w:val="24"/>
                <w:szCs w:val="24"/>
                <w:lang w:val="en-US" w:eastAsia="zh-CN" w:bidi="ar-SA"/>
              </w:rPr>
              <w:t>值。</w:t>
            </w:r>
          </w:p>
          <w:p>
            <w:pPr>
              <w:spacing w:line="360" w:lineRule="auto"/>
              <w:jc w:val="center"/>
              <w:rPr>
                <w:rFonts w:hint="default" w:ascii="Times New Roman" w:hAnsi="Times New Roman" w:cs="Times New Roman"/>
                <w:b/>
                <w:bCs/>
                <w:sz w:val="24"/>
                <w:szCs w:val="24"/>
                <w:lang w:val="zh-CN"/>
              </w:rPr>
            </w:pPr>
            <w:r>
              <w:rPr>
                <w:rFonts w:hint="eastAsia" w:ascii="Times New Roman" w:hAnsi="Times New Roman" w:cs="Times New Roman"/>
                <w:b/>
                <w:bCs/>
                <w:sz w:val="24"/>
                <w:szCs w:val="24"/>
                <w:lang w:val="zh-CN"/>
              </w:rPr>
              <w:t>表4-</w:t>
            </w:r>
            <w:r>
              <w:rPr>
                <w:rFonts w:hint="eastAsia" w:ascii="Times New Roman" w:hAnsi="Times New Roman" w:cs="Times New Roman"/>
                <w:b/>
                <w:bCs/>
                <w:sz w:val="24"/>
                <w:szCs w:val="24"/>
                <w:lang w:val="en-US" w:eastAsia="zh-CN"/>
              </w:rPr>
              <w:t>5</w:t>
            </w:r>
            <w:r>
              <w:rPr>
                <w:rFonts w:hint="eastAsia" w:ascii="Times New Roman" w:hAnsi="Times New Roman" w:cs="Times New Roman"/>
                <w:b/>
                <w:bCs/>
                <w:sz w:val="24"/>
                <w:szCs w:val="24"/>
                <w:lang w:val="zh-CN"/>
              </w:rPr>
              <w:t xml:space="preserve"> 本项目土壤环境质量标准</w:t>
            </w:r>
            <w:r>
              <w:rPr>
                <w:rFonts w:hint="eastAsia" w:ascii="Times New Roman" w:hAnsi="Times New Roman" w:cs="Times New Roman"/>
                <w:b/>
                <w:bCs/>
                <w:sz w:val="24"/>
                <w:szCs w:val="24"/>
                <w:lang w:val="en-US" w:eastAsia="zh-CN"/>
              </w:rPr>
              <w:t xml:space="preserve">   </w:t>
            </w:r>
            <w:r>
              <w:rPr>
                <w:rFonts w:hint="eastAsia" w:ascii="Times New Roman" w:hAnsi="Times New Roman" w:cs="Times New Roman"/>
                <w:b/>
                <w:bCs/>
                <w:sz w:val="24"/>
                <w:szCs w:val="24"/>
                <w:lang w:val="zh-CN"/>
              </w:rPr>
              <w:t>（单位：mg/kg）</w:t>
            </w:r>
          </w:p>
          <w:tbl>
            <w:tblPr>
              <w:tblStyle w:val="27"/>
              <w:tblW w:w="8277" w:type="dxa"/>
              <w:jc w:val="center"/>
              <w:shd w:val="clear" w:color="auto" w:fill="auto"/>
              <w:tblLayout w:type="fixed"/>
              <w:tblCellMar>
                <w:top w:w="0" w:type="dxa"/>
                <w:left w:w="0" w:type="dxa"/>
                <w:bottom w:w="0" w:type="dxa"/>
                <w:right w:w="0" w:type="dxa"/>
              </w:tblCellMar>
            </w:tblPr>
            <w:tblGrid>
              <w:gridCol w:w="994"/>
              <w:gridCol w:w="2855"/>
              <w:gridCol w:w="2118"/>
              <w:gridCol w:w="2310"/>
            </w:tblGrid>
            <w:tr>
              <w:tblPrEx>
                <w:tblCellMar>
                  <w:top w:w="0" w:type="dxa"/>
                  <w:left w:w="0" w:type="dxa"/>
                  <w:bottom w:w="0" w:type="dxa"/>
                  <w:right w:w="0" w:type="dxa"/>
                </w:tblCellMar>
              </w:tblPrEx>
              <w:trPr>
                <w:trHeight w:val="329" w:hRule="atLeast"/>
                <w:jc w:val="center"/>
              </w:trPr>
              <w:tc>
                <w:tcPr>
                  <w:tcW w:w="64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序号</w:t>
                  </w:r>
                </w:p>
              </w:tc>
              <w:tc>
                <w:tcPr>
                  <w:tcW w:w="186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污染物种类</w:t>
                  </w:r>
                </w:p>
              </w:tc>
              <w:tc>
                <w:tcPr>
                  <w:tcW w:w="288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筛选值</w:t>
                  </w:r>
                </w:p>
              </w:tc>
            </w:tr>
            <w:tr>
              <w:tblPrEx>
                <w:shd w:val="clear" w:color="auto" w:fill="auto"/>
                <w:tblCellMar>
                  <w:top w:w="0" w:type="dxa"/>
                  <w:left w:w="0" w:type="dxa"/>
                  <w:bottom w:w="0" w:type="dxa"/>
                  <w:right w:w="0" w:type="dxa"/>
                </w:tblCellMar>
              </w:tblPrEx>
              <w:trPr>
                <w:trHeight w:val="329" w:hRule="atLeast"/>
                <w:jc w:val="center"/>
              </w:trPr>
              <w:tc>
                <w:tcPr>
                  <w:tcW w:w="64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default" w:ascii="Times New Roman" w:hAnsi="Times New Roman" w:eastAsia="宋体" w:cs="Times New Roman"/>
                      <w:i w:val="0"/>
                      <w:color w:val="000000"/>
                      <w:sz w:val="21"/>
                      <w:szCs w:val="21"/>
                      <w:u w:val="none"/>
                    </w:rPr>
                  </w:pPr>
                </w:p>
              </w:tc>
              <w:tc>
                <w:tcPr>
                  <w:tcW w:w="186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default" w:ascii="Times New Roman" w:hAnsi="Times New Roman" w:eastAsia="宋体" w:cs="Times New Roman"/>
                      <w:i w:val="0"/>
                      <w:color w:val="000000"/>
                      <w:sz w:val="21"/>
                      <w:szCs w:val="21"/>
                      <w:u w:val="none"/>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第一类用地</w:t>
                  </w:r>
                </w:p>
              </w:tc>
              <w:tc>
                <w:tcPr>
                  <w:tcW w:w="1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第二类用地</w:t>
                  </w:r>
                </w:p>
              </w:tc>
            </w:tr>
            <w:tr>
              <w:tblPrEx>
                <w:tblCellMar>
                  <w:top w:w="0" w:type="dxa"/>
                  <w:left w:w="0" w:type="dxa"/>
                  <w:bottom w:w="0" w:type="dxa"/>
                  <w:right w:w="0" w:type="dxa"/>
                </w:tblCellMar>
              </w:tblPrEx>
              <w:trPr>
                <w:trHeight w:val="329" w:hRule="atLeast"/>
                <w:jc w:val="center"/>
              </w:trPr>
              <w:tc>
                <w:tcPr>
                  <w:tcW w:w="6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石油烃</w:t>
                  </w:r>
                </w:p>
              </w:tc>
              <w:tc>
                <w:tcPr>
                  <w:tcW w:w="13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826</w:t>
                  </w:r>
                </w:p>
              </w:tc>
              <w:tc>
                <w:tcPr>
                  <w:tcW w:w="1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4500</w:t>
                  </w:r>
                </w:p>
              </w:tc>
            </w:tr>
            <w:tr>
              <w:tblPrEx>
                <w:shd w:val="clear" w:color="auto" w:fill="auto"/>
                <w:tblCellMar>
                  <w:top w:w="0" w:type="dxa"/>
                  <w:left w:w="0" w:type="dxa"/>
                  <w:bottom w:w="0" w:type="dxa"/>
                  <w:right w:w="0" w:type="dxa"/>
                </w:tblCellMar>
              </w:tblPrEx>
              <w:trPr>
                <w:trHeight w:val="329" w:hRule="atLeast"/>
                <w:jc w:val="center"/>
              </w:trPr>
              <w:tc>
                <w:tcPr>
                  <w:tcW w:w="6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六价铬</w:t>
                  </w:r>
                </w:p>
              </w:tc>
              <w:tc>
                <w:tcPr>
                  <w:tcW w:w="13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Times New Roman" w:hAnsi="Times New Roman" w:eastAsia="宋体" w:cs="Times New Roman"/>
                      <w:i w:val="0"/>
                      <w:color w:val="000000"/>
                      <w:sz w:val="21"/>
                      <w:szCs w:val="21"/>
                      <w:u w:val="none"/>
                      <w:lang w:val="en-US"/>
                    </w:rPr>
                  </w:pPr>
                  <w:r>
                    <w:rPr>
                      <w:rFonts w:hint="eastAsia" w:ascii="Times New Roman" w:hAnsi="Times New Roman" w:eastAsia="宋体" w:cs="Times New Roman"/>
                      <w:i w:val="0"/>
                      <w:color w:val="000000"/>
                      <w:kern w:val="0"/>
                      <w:sz w:val="21"/>
                      <w:szCs w:val="21"/>
                      <w:u w:val="none"/>
                      <w:lang w:val="en-US" w:eastAsia="zh-CN" w:bidi="ar"/>
                    </w:rPr>
                    <w:t>3.0</w:t>
                  </w:r>
                </w:p>
              </w:tc>
              <w:tc>
                <w:tcPr>
                  <w:tcW w:w="1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ascii="Times New Roman" w:hAnsi="Times New Roman" w:eastAsia="宋体" w:cs="Times New Roman"/>
                      <w:i w:val="0"/>
                      <w:color w:val="000000"/>
                      <w:sz w:val="21"/>
                      <w:szCs w:val="21"/>
                      <w:u w:val="none"/>
                      <w:lang w:val="en-US" w:eastAsia="zh-CN"/>
                    </w:rPr>
                    <w:t>5.7</w:t>
                  </w:r>
                </w:p>
              </w:tc>
            </w:tr>
          </w:tbl>
          <w:p>
            <w:pPr>
              <w:pStyle w:val="21"/>
              <w:spacing w:line="360" w:lineRule="auto"/>
              <w:ind w:leftChars="0" w:firstLine="0" w:firstLineChars="0"/>
              <w:rPr>
                <w:rFonts w:ascii="Times New Roman" w:hAnsi="Times New Roman"/>
              </w:rPr>
            </w:pPr>
          </w:p>
          <w:p>
            <w:pPr>
              <w:pStyle w:val="26"/>
              <w:ind w:firstLine="0" w:firstLineChars="0"/>
              <w:rPr>
                <w:rFonts w:ascii="Times New Roman" w:hAnsi="Times New Roman"/>
                <w:color w:val="000000"/>
                <w:sz w:val="18"/>
                <w:szCs w:val="18"/>
                <w:highlight w:val="yellow"/>
              </w:rPr>
            </w:pPr>
          </w:p>
        </w:tc>
      </w:tr>
      <w:tr>
        <w:tblPrEx>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3" w:hRule="atLeast"/>
          <w:jc w:val="center"/>
        </w:trPr>
        <w:tc>
          <w:tcPr>
            <w:tcW w:w="504" w:type="dxa"/>
            <w:noWrap w:val="0"/>
            <w:vAlign w:val="center"/>
          </w:tcPr>
          <w:p>
            <w:pPr>
              <w:spacing w:line="360" w:lineRule="auto"/>
              <w:jc w:val="center"/>
              <w:rPr>
                <w:rFonts w:ascii="Times New Roman" w:hAnsi="Times New Roman"/>
                <w:color w:val="000000"/>
                <w:sz w:val="24"/>
                <w:szCs w:val="24"/>
              </w:rPr>
            </w:pPr>
            <w:r>
              <w:rPr>
                <w:rFonts w:ascii="Times New Roman" w:hAnsi="Times New Roman"/>
                <w:color w:val="000000"/>
                <w:sz w:val="24"/>
                <w:szCs w:val="24"/>
              </w:rPr>
              <w:t>污</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染</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物</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排</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放</w:t>
            </w:r>
          </w:p>
          <w:p>
            <w:pPr>
              <w:spacing w:line="360" w:lineRule="auto"/>
              <w:jc w:val="center"/>
              <w:rPr>
                <w:rFonts w:ascii="Times New Roman" w:hAnsi="Times New Roman"/>
                <w:color w:val="000000"/>
                <w:sz w:val="24"/>
                <w:szCs w:val="24"/>
              </w:rPr>
            </w:pPr>
            <w:r>
              <w:rPr>
                <w:rFonts w:ascii="Times New Roman" w:hAnsi="Times New Roman"/>
                <w:color w:val="000000"/>
                <w:sz w:val="24"/>
                <w:szCs w:val="24"/>
              </w:rPr>
              <w:t>标</w:t>
            </w:r>
          </w:p>
          <w:p>
            <w:pPr>
              <w:spacing w:line="360" w:lineRule="auto"/>
              <w:jc w:val="center"/>
              <w:rPr>
                <w:rFonts w:ascii="Times New Roman" w:hAnsi="Times New Roman"/>
                <w:color w:val="000000"/>
                <w:sz w:val="28"/>
                <w:highlight w:val="yellow"/>
              </w:rPr>
            </w:pPr>
            <w:r>
              <w:rPr>
                <w:rFonts w:ascii="Times New Roman" w:hAnsi="Times New Roman"/>
                <w:color w:val="000000"/>
                <w:sz w:val="24"/>
                <w:szCs w:val="24"/>
              </w:rPr>
              <w:t>准</w:t>
            </w:r>
          </w:p>
        </w:tc>
        <w:tc>
          <w:tcPr>
            <w:tcW w:w="8499" w:type="dxa"/>
            <w:noWrap w:val="0"/>
            <w:vAlign w:val="top"/>
          </w:tcPr>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1、废气</w:t>
            </w:r>
          </w:p>
          <w:p>
            <w:pPr>
              <w:spacing w:line="360" w:lineRule="auto"/>
              <w:ind w:firstLine="480" w:firstLineChars="200"/>
              <w:rPr>
                <w:rFonts w:ascii="Times New Roman" w:hAnsi="Times New Roman"/>
                <w:color w:val="000000"/>
                <w:sz w:val="24"/>
                <w:szCs w:val="24"/>
              </w:rPr>
            </w:pPr>
            <w:r>
              <w:rPr>
                <w:rFonts w:hint="eastAsia" w:ascii="Times New Roman" w:hAnsi="Times New Roman"/>
                <w:color w:val="000000"/>
                <w:sz w:val="24"/>
                <w:szCs w:val="24"/>
                <w:lang w:val="en-US" w:eastAsia="zh-CN"/>
              </w:rPr>
              <w:t>施工期扬尘执行</w:t>
            </w:r>
            <w:r>
              <w:rPr>
                <w:rFonts w:hint="eastAsia" w:ascii="Times New Roman" w:hAnsi="Times New Roman" w:eastAsia="宋体" w:cs="Times New Roman"/>
                <w:sz w:val="24"/>
                <w:szCs w:val="24"/>
                <w:lang w:val="en-US" w:eastAsia="zh-CN"/>
              </w:rPr>
              <w:t>颗粒物排放执行《大气污染物综合排放标准》（GB16297-1996）无组织排放监控浓度限值</w:t>
            </w:r>
            <w:r>
              <w:rPr>
                <w:rFonts w:ascii="Times New Roman" w:hAnsi="Times New Roman"/>
                <w:color w:val="000000"/>
                <w:sz w:val="24"/>
                <w:szCs w:val="24"/>
              </w:rPr>
              <w:t>。</w:t>
            </w:r>
          </w:p>
          <w:p>
            <w:pPr>
              <w:autoSpaceDE w:val="0"/>
              <w:autoSpaceDN w:val="0"/>
              <w:adjustRightInd w:val="0"/>
              <w:spacing w:line="360" w:lineRule="auto"/>
              <w:jc w:val="center"/>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表4-</w:t>
            </w:r>
            <w:r>
              <w:rPr>
                <w:rFonts w:hint="eastAsia" w:ascii="Times New Roman" w:hAnsi="Times New Roman" w:cs="Times New Roman"/>
                <w:b/>
                <w:bCs/>
                <w:kern w:val="0"/>
                <w:sz w:val="24"/>
                <w:szCs w:val="24"/>
                <w:lang w:val="en-US" w:eastAsia="zh-CN"/>
              </w:rPr>
              <w:t>6</w:t>
            </w:r>
            <w:r>
              <w:rPr>
                <w:rFonts w:hint="default" w:ascii="Times New Roman" w:hAnsi="Times New Roman" w:cs="Times New Roman"/>
                <w:b/>
                <w:bCs/>
                <w:kern w:val="0"/>
                <w:sz w:val="24"/>
                <w:szCs w:val="24"/>
                <w:lang w:val="en-US" w:eastAsia="zh-CN"/>
              </w:rPr>
              <w:t xml:space="preserve">  </w:t>
            </w:r>
            <w:r>
              <w:rPr>
                <w:rFonts w:hint="default" w:ascii="Times New Roman" w:hAnsi="Times New Roman" w:cs="Times New Roman"/>
                <w:b/>
                <w:bCs/>
                <w:kern w:val="0"/>
                <w:sz w:val="24"/>
                <w:szCs w:val="24"/>
              </w:rPr>
              <w:t>《大气污染物综合排放标准》（GB16297－1996）</w:t>
            </w:r>
          </w:p>
          <w:tbl>
            <w:tblPr>
              <w:tblStyle w:val="27"/>
              <w:tblW w:w="8277"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928"/>
              <w:gridCol w:w="2303"/>
              <w:gridCol w:w="304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70" w:hRule="atLeast"/>
                <w:jc w:val="center"/>
              </w:trPr>
              <w:tc>
                <w:tcPr>
                  <w:tcW w:w="1611" w:type="dxa"/>
                  <w:vMerge w:val="restart"/>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指标</w:t>
                  </w:r>
                </w:p>
              </w:tc>
              <w:tc>
                <w:tcPr>
                  <w:tcW w:w="2943" w:type="dxa"/>
                  <w:gridSpan w:val="2"/>
                  <w:noWrap w:val="0"/>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无组织排放监控浓度限值</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65" w:hRule="atLeast"/>
                <w:jc w:val="center"/>
              </w:trPr>
              <w:tc>
                <w:tcPr>
                  <w:tcW w:w="1611" w:type="dxa"/>
                  <w:vMerge w:val="continue"/>
                  <w:noWrap w:val="0"/>
                  <w:vAlign w:val="center"/>
                </w:tcPr>
                <w:p>
                  <w:pPr>
                    <w:jc w:val="center"/>
                    <w:rPr>
                      <w:rFonts w:hint="default" w:ascii="Times New Roman" w:hAnsi="Times New Roman" w:cs="Times New Roman"/>
                      <w:szCs w:val="21"/>
                    </w:rPr>
                  </w:pPr>
                </w:p>
              </w:tc>
              <w:tc>
                <w:tcPr>
                  <w:tcW w:w="1267" w:type="dxa"/>
                  <w:noWrap w:val="0"/>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监控点</w:t>
                  </w:r>
                </w:p>
              </w:tc>
              <w:tc>
                <w:tcPr>
                  <w:tcW w:w="1676" w:type="dxa"/>
                  <w:noWrap w:val="0"/>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浓度（mg/m</w:t>
                  </w:r>
                  <w:r>
                    <w:rPr>
                      <w:rFonts w:hint="default" w:ascii="Times New Roman" w:hAnsi="Times New Roman" w:cs="Times New Roman"/>
                      <w:szCs w:val="21"/>
                      <w:vertAlign w:val="superscript"/>
                    </w:rPr>
                    <w:t>3</w:t>
                  </w:r>
                  <w:r>
                    <w:rPr>
                      <w:rFonts w:hint="default" w:ascii="Times New Roman" w:hAnsi="Times New Roman" w:cs="Times New Roman"/>
                      <w:szCs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319" w:hRule="atLeast"/>
                <w:jc w:val="center"/>
              </w:trPr>
              <w:tc>
                <w:tcPr>
                  <w:tcW w:w="1611"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颗粒物</w:t>
                  </w:r>
                </w:p>
              </w:tc>
              <w:tc>
                <w:tcPr>
                  <w:tcW w:w="1267" w:type="dxa"/>
                  <w:noWrap w:val="0"/>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周界外浓度最高点</w:t>
                  </w:r>
                </w:p>
              </w:tc>
              <w:tc>
                <w:tcPr>
                  <w:tcW w:w="1676" w:type="dxa"/>
                  <w:noWrap w:val="0"/>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1.0</w:t>
                  </w:r>
                </w:p>
              </w:tc>
            </w:tr>
          </w:tbl>
          <w:p>
            <w:pPr>
              <w:spacing w:line="360" w:lineRule="auto"/>
              <w:ind w:firstLine="480" w:firstLineChars="200"/>
              <w:rPr>
                <w:rFonts w:ascii="Times New Roman" w:hAnsi="Times New Roman"/>
                <w:sz w:val="24"/>
                <w:szCs w:val="24"/>
              </w:rPr>
            </w:pP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lang w:val="en-US" w:eastAsia="zh-CN"/>
              </w:rPr>
              <w:t>食堂餐饮油烟排放执行《饮食业油烟排放标准</w:t>
            </w:r>
            <w:r>
              <w:rPr>
                <w:rFonts w:hint="eastAsia" w:ascii="Times New Roman" w:hAnsi="Times New Roman" w:cs="Times New Roman"/>
                <w:sz w:val="24"/>
                <w:szCs w:val="24"/>
                <w:lang w:val="en-US" w:eastAsia="zh-CN"/>
              </w:rPr>
              <w:t>（试行）</w:t>
            </w:r>
            <w:r>
              <w:rPr>
                <w:rFonts w:hint="default" w:ascii="Times New Roman" w:hAnsi="Times New Roman" w:cs="Times New Roman"/>
                <w:sz w:val="24"/>
                <w:szCs w:val="24"/>
                <w:lang w:val="en-US" w:eastAsia="zh-CN"/>
              </w:rPr>
              <w:t>》（GB18483-2001）中</w:t>
            </w:r>
            <w:r>
              <w:rPr>
                <w:rFonts w:hint="eastAsia" w:ascii="Times New Roman" w:hAnsi="Times New Roman" w:cs="Times New Roman"/>
                <w:sz w:val="24"/>
                <w:szCs w:val="24"/>
                <w:lang w:val="en-US" w:eastAsia="zh-CN"/>
              </w:rPr>
              <w:t>小型</w:t>
            </w:r>
            <w:r>
              <w:rPr>
                <w:rFonts w:hint="default" w:ascii="Times New Roman" w:hAnsi="Times New Roman" w:cs="Times New Roman"/>
                <w:sz w:val="24"/>
                <w:szCs w:val="24"/>
                <w:lang w:val="en-US" w:eastAsia="zh-CN"/>
              </w:rPr>
              <w:t>相关标准。</w:t>
            </w:r>
            <w:r>
              <w:rPr>
                <w:rFonts w:hint="default" w:ascii="Times New Roman" w:hAnsi="Times New Roman" w:cs="Times New Roman"/>
                <w:sz w:val="24"/>
                <w:szCs w:val="24"/>
              </w:rPr>
              <w:t xml:space="preserve"> </w:t>
            </w:r>
          </w:p>
          <w:p>
            <w:pPr>
              <w:pStyle w:val="39"/>
              <w:spacing w:line="240" w:lineRule="auto"/>
              <w:ind w:right="105" w:rightChars="50" w:firstLine="0"/>
              <w:jc w:val="center"/>
              <w:rPr>
                <w:rFonts w:hint="eastAsia" w:ascii="Times New Roman" w:hAnsi="Times New Roman" w:cs="Times New Roman"/>
                <w:b/>
                <w:bCs/>
                <w:kern w:val="2"/>
                <w:sz w:val="24"/>
                <w:szCs w:val="24"/>
                <w:lang w:val="en-US" w:eastAsia="zh-CN" w:bidi="ar-SA"/>
              </w:rPr>
            </w:pPr>
            <w:r>
              <w:rPr>
                <w:rFonts w:hint="eastAsia" w:ascii="Times New Roman" w:hAnsi="Times New Roman" w:cs="Times New Roman"/>
                <w:b/>
                <w:bCs/>
                <w:kern w:val="2"/>
                <w:sz w:val="24"/>
                <w:szCs w:val="24"/>
                <w:lang w:val="en-US" w:eastAsia="zh-CN" w:bidi="ar-SA"/>
              </w:rPr>
              <w:t>表4-7</w:t>
            </w:r>
            <w:r>
              <w:rPr>
                <w:rFonts w:hint="default" w:ascii="Times New Roman" w:hAnsi="Times New Roman" w:cs="Times New Roman"/>
                <w:b/>
                <w:bCs/>
                <w:kern w:val="2"/>
                <w:sz w:val="24"/>
                <w:szCs w:val="24"/>
                <w:lang w:val="en-US" w:eastAsia="zh-CN" w:bidi="ar-SA"/>
              </w:rPr>
              <w:t xml:space="preserve">  </w:t>
            </w:r>
            <w:r>
              <w:rPr>
                <w:rFonts w:hint="eastAsia" w:ascii="Times New Roman" w:hAnsi="Times New Roman" w:cs="Times New Roman"/>
                <w:b/>
                <w:bCs/>
                <w:kern w:val="2"/>
                <w:sz w:val="24"/>
                <w:szCs w:val="24"/>
                <w:lang w:val="en-US" w:eastAsia="zh-CN" w:bidi="ar-SA"/>
              </w:rPr>
              <w:t xml:space="preserve">   </w:t>
            </w:r>
            <w:r>
              <w:rPr>
                <w:rFonts w:hint="default" w:ascii="Times New Roman" w:hAnsi="Times New Roman" w:cs="Times New Roman"/>
                <w:b/>
                <w:bCs/>
                <w:kern w:val="2"/>
                <w:sz w:val="24"/>
                <w:szCs w:val="24"/>
                <w:lang w:val="en-US" w:eastAsia="zh-CN" w:bidi="ar-SA"/>
              </w:rPr>
              <w:t>饮食业油烟排放标准</w:t>
            </w:r>
            <w:r>
              <w:rPr>
                <w:rFonts w:hint="eastAsia" w:ascii="Times New Roman" w:hAnsi="Times New Roman" w:cs="Times New Roman"/>
                <w:b/>
                <w:bCs/>
                <w:kern w:val="2"/>
                <w:sz w:val="24"/>
                <w:szCs w:val="24"/>
                <w:lang w:val="en-US" w:eastAsia="zh-CN" w:bidi="ar-SA"/>
              </w:rPr>
              <w:t>表</w:t>
            </w:r>
          </w:p>
          <w:tbl>
            <w:tblPr>
              <w:tblStyle w:val="2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846"/>
              <w:gridCol w:w="831"/>
              <w:gridCol w:w="1"/>
              <w:gridCol w:w="907"/>
              <w:gridCol w:w="791"/>
              <w:gridCol w:w="290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846"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outlineLvl w:val="9"/>
                    <w:rPr>
                      <w:rFonts w:hint="default" w:ascii="Times New Roman" w:hAnsi="Times New Roman" w:cs="Times New Roman"/>
                      <w:color w:val="000000"/>
                      <w:szCs w:val="21"/>
                    </w:rPr>
                  </w:pPr>
                  <w:r>
                    <w:rPr>
                      <w:rFonts w:hint="default" w:ascii="Times New Roman" w:hAnsi="Times New Roman" w:cs="Times New Roman"/>
                      <w:color w:val="000000"/>
                      <w:szCs w:val="21"/>
                    </w:rPr>
                    <w:t>规  模</w:t>
                  </w:r>
                </w:p>
              </w:tc>
              <w:tc>
                <w:tcPr>
                  <w:tcW w:w="832"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outlineLvl w:val="9"/>
                    <w:rPr>
                      <w:rFonts w:hint="default" w:ascii="Times New Roman" w:hAnsi="Times New Roman" w:cs="Times New Roman"/>
                      <w:color w:val="000000"/>
                      <w:szCs w:val="21"/>
                    </w:rPr>
                  </w:pPr>
                  <w:r>
                    <w:rPr>
                      <w:rFonts w:hint="default" w:ascii="Times New Roman" w:hAnsi="Times New Roman" w:cs="Times New Roman"/>
                      <w:color w:val="000000"/>
                      <w:szCs w:val="21"/>
                    </w:rPr>
                    <w:t>小型</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outlineLvl w:val="9"/>
                    <w:rPr>
                      <w:rFonts w:hint="default" w:ascii="Times New Roman" w:hAnsi="Times New Roman" w:cs="Times New Roman"/>
                      <w:color w:val="000000"/>
                      <w:szCs w:val="21"/>
                    </w:rPr>
                  </w:pPr>
                  <w:r>
                    <w:rPr>
                      <w:rFonts w:hint="default" w:ascii="Times New Roman" w:hAnsi="Times New Roman" w:cs="Times New Roman"/>
                      <w:color w:val="000000"/>
                      <w:szCs w:val="21"/>
                    </w:rPr>
                    <w:t>中型</w:t>
                  </w:r>
                </w:p>
              </w:tc>
              <w:tc>
                <w:tcPr>
                  <w:tcW w:w="7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outlineLvl w:val="9"/>
                    <w:rPr>
                      <w:rFonts w:hint="default" w:ascii="Times New Roman" w:hAnsi="Times New Roman" w:cs="Times New Roman"/>
                      <w:color w:val="000000"/>
                      <w:szCs w:val="21"/>
                    </w:rPr>
                  </w:pPr>
                  <w:r>
                    <w:rPr>
                      <w:rFonts w:hint="default" w:ascii="Times New Roman" w:hAnsi="Times New Roman" w:cs="Times New Roman"/>
                      <w:color w:val="000000"/>
                      <w:szCs w:val="21"/>
                    </w:rPr>
                    <w:t>大型</w:t>
                  </w:r>
                </w:p>
              </w:tc>
              <w:tc>
                <w:tcPr>
                  <w:tcW w:w="290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outlineLvl w:val="9"/>
                    <w:rPr>
                      <w:rFonts w:hint="default" w:ascii="Times New Roman" w:hAnsi="Times New Roman" w:cs="Times New Roman"/>
                      <w:color w:val="000000"/>
                      <w:szCs w:val="21"/>
                    </w:rPr>
                  </w:pPr>
                  <w:r>
                    <w:rPr>
                      <w:rFonts w:hint="default" w:ascii="Times New Roman" w:hAnsi="Times New Roman" w:cs="Times New Roman"/>
                      <w:color w:val="000000"/>
                      <w:szCs w:val="21"/>
                    </w:rPr>
                    <w:t>标   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846" w:type="dxa"/>
                  <w:tcBorders>
                    <w:right w:val="single" w:color="auto" w:sz="4" w:space="0"/>
                  </w:tcBorders>
                  <w:noWrap w:val="0"/>
                  <w:vAlign w:val="center"/>
                </w:tcPr>
                <w:p>
                  <w:pPr>
                    <w:pStyle w:val="12"/>
                    <w:keepNext w:val="0"/>
                    <w:keepLines w:val="0"/>
                    <w:pageBreakBefore w:val="0"/>
                    <w:widowControl w:val="0"/>
                    <w:kinsoku/>
                    <w:wordWrap/>
                    <w:overflowPunct/>
                    <w:topLinePunct w:val="0"/>
                    <w:autoSpaceDE/>
                    <w:autoSpaceDN/>
                    <w:bidi w:val="0"/>
                    <w:adjustRightInd/>
                    <w:snapToGrid/>
                    <w:spacing w:line="240" w:lineRule="atLeast"/>
                    <w:jc w:val="center"/>
                    <w:textAlignment w:val="auto"/>
                    <w:outlineLvl w:val="9"/>
                    <w:rPr>
                      <w:rFonts w:hint="default" w:ascii="Times New Roman" w:hAnsi="Times New Roman" w:cs="Times New Roman"/>
                      <w:bCs/>
                      <w:color w:val="000000"/>
                      <w:szCs w:val="21"/>
                    </w:rPr>
                  </w:pPr>
                  <w:r>
                    <w:rPr>
                      <w:rFonts w:hint="default" w:ascii="Times New Roman" w:hAnsi="Times New Roman" w:cs="Times New Roman"/>
                      <w:bCs/>
                      <w:color w:val="000000"/>
                      <w:szCs w:val="21"/>
                    </w:rPr>
                    <w:t>最高允许排放浓度(mg/m</w:t>
                  </w:r>
                  <w:r>
                    <w:rPr>
                      <w:rFonts w:hint="default" w:ascii="Times New Roman" w:hAnsi="Times New Roman" w:cs="Times New Roman"/>
                      <w:bCs/>
                      <w:color w:val="000000"/>
                      <w:szCs w:val="21"/>
                      <w:vertAlign w:val="superscript"/>
                    </w:rPr>
                    <w:t>3</w:t>
                  </w:r>
                  <w:r>
                    <w:rPr>
                      <w:rFonts w:hint="default" w:ascii="Times New Roman" w:hAnsi="Times New Roman" w:cs="Times New Roman"/>
                      <w:bCs/>
                      <w:color w:val="000000"/>
                      <w:szCs w:val="21"/>
                    </w:rPr>
                    <w:t>)</w:t>
                  </w:r>
                </w:p>
              </w:tc>
              <w:tc>
                <w:tcPr>
                  <w:tcW w:w="2530" w:type="dxa"/>
                  <w:gridSpan w:val="4"/>
                  <w:tcBorders>
                    <w:left w:val="single" w:color="auto" w:sz="4" w:space="0"/>
                    <w:right w:val="single" w:color="auto" w:sz="4" w:space="0"/>
                  </w:tcBorders>
                  <w:noWrap w:val="0"/>
                  <w:vAlign w:val="center"/>
                </w:tcPr>
                <w:p>
                  <w:pPr>
                    <w:pStyle w:val="12"/>
                    <w:keepNext w:val="0"/>
                    <w:keepLines w:val="0"/>
                    <w:pageBreakBefore w:val="0"/>
                    <w:widowControl w:val="0"/>
                    <w:kinsoku/>
                    <w:wordWrap/>
                    <w:overflowPunct/>
                    <w:topLinePunct w:val="0"/>
                    <w:autoSpaceDE/>
                    <w:autoSpaceDN/>
                    <w:bidi w:val="0"/>
                    <w:adjustRightInd/>
                    <w:snapToGrid/>
                    <w:spacing w:line="240" w:lineRule="atLeast"/>
                    <w:jc w:val="center"/>
                    <w:textAlignment w:val="auto"/>
                    <w:outlineLvl w:val="9"/>
                    <w:rPr>
                      <w:rFonts w:hint="default" w:ascii="Times New Roman" w:hAnsi="Times New Roman" w:cs="Times New Roman"/>
                      <w:bCs/>
                      <w:color w:val="000000"/>
                      <w:szCs w:val="21"/>
                    </w:rPr>
                  </w:pPr>
                  <w:r>
                    <w:rPr>
                      <w:rFonts w:hint="default" w:ascii="Times New Roman" w:hAnsi="Times New Roman" w:cs="Times New Roman"/>
                      <w:bCs/>
                      <w:color w:val="000000"/>
                      <w:szCs w:val="21"/>
                    </w:rPr>
                    <w:t>2.0</w:t>
                  </w:r>
                </w:p>
              </w:tc>
              <w:tc>
                <w:tcPr>
                  <w:tcW w:w="2901" w:type="dxa"/>
                  <w:vMerge w:val="restart"/>
                  <w:tcBorders>
                    <w:left w:val="single" w:color="auto" w:sz="4" w:space="0"/>
                  </w:tcBorders>
                  <w:noWrap w:val="0"/>
                  <w:vAlign w:val="center"/>
                </w:tcPr>
                <w:p>
                  <w:pPr>
                    <w:pStyle w:val="12"/>
                    <w:keepNext w:val="0"/>
                    <w:keepLines w:val="0"/>
                    <w:pageBreakBefore w:val="0"/>
                    <w:widowControl w:val="0"/>
                    <w:kinsoku/>
                    <w:wordWrap/>
                    <w:overflowPunct/>
                    <w:topLinePunct w:val="0"/>
                    <w:autoSpaceDE/>
                    <w:autoSpaceDN/>
                    <w:bidi w:val="0"/>
                    <w:adjustRightInd/>
                    <w:snapToGrid/>
                    <w:spacing w:line="240" w:lineRule="atLeast"/>
                    <w:jc w:val="center"/>
                    <w:textAlignment w:val="auto"/>
                    <w:outlineLvl w:val="9"/>
                    <w:rPr>
                      <w:rFonts w:hint="default" w:ascii="Times New Roman" w:hAnsi="Times New Roman" w:cs="Times New Roman"/>
                      <w:bCs/>
                      <w:color w:val="000000"/>
                      <w:szCs w:val="21"/>
                    </w:rPr>
                  </w:pPr>
                  <w:r>
                    <w:rPr>
                      <w:rFonts w:hint="default" w:ascii="Times New Roman" w:hAnsi="Times New Roman" w:cs="Times New Roman"/>
                      <w:bCs/>
                      <w:color w:val="000000"/>
                      <w:szCs w:val="21"/>
                    </w:rPr>
                    <w:t>《饮食业油烟排放标准</w:t>
                  </w:r>
                  <w:r>
                    <w:rPr>
                      <w:rFonts w:hint="eastAsia" w:ascii="Times New Roman" w:hAnsi="Times New Roman" w:cs="Times New Roman"/>
                      <w:bCs/>
                      <w:color w:val="000000"/>
                      <w:szCs w:val="21"/>
                      <w:lang w:eastAsia="zh-CN"/>
                    </w:rPr>
                    <w:t>（</w:t>
                  </w:r>
                  <w:r>
                    <w:rPr>
                      <w:rFonts w:hint="eastAsia" w:ascii="Times New Roman" w:hAnsi="Times New Roman" w:cs="Times New Roman"/>
                      <w:bCs/>
                      <w:color w:val="000000"/>
                      <w:szCs w:val="21"/>
                      <w:lang w:val="en-US" w:eastAsia="zh-CN"/>
                    </w:rPr>
                    <w:t>试行</w:t>
                  </w:r>
                  <w:r>
                    <w:rPr>
                      <w:rFonts w:hint="eastAsia" w:ascii="Times New Roman" w:hAnsi="Times New Roman" w:cs="Times New Roman"/>
                      <w:bCs/>
                      <w:color w:val="000000"/>
                      <w:szCs w:val="21"/>
                      <w:lang w:eastAsia="zh-CN"/>
                    </w:rPr>
                    <w:t>）</w:t>
                  </w:r>
                  <w:r>
                    <w:rPr>
                      <w:rFonts w:hint="default" w:ascii="Times New Roman" w:hAnsi="Times New Roman" w:cs="Times New Roman"/>
                      <w:bCs/>
                      <w:color w:val="000000"/>
                      <w:szCs w:val="21"/>
                    </w:rPr>
                    <w:t>》（GB18483—2001）中相关标准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846" w:type="dxa"/>
                  <w:tcBorders>
                    <w:bottom w:val="single" w:color="auto" w:sz="6" w:space="0"/>
                    <w:right w:val="single" w:color="auto" w:sz="4" w:space="0"/>
                  </w:tcBorders>
                  <w:noWrap w:val="0"/>
                  <w:vAlign w:val="center"/>
                </w:tcPr>
                <w:p>
                  <w:pPr>
                    <w:pStyle w:val="12"/>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outlineLvl w:val="9"/>
                    <w:rPr>
                      <w:rFonts w:hint="default" w:ascii="Times New Roman" w:hAnsi="Times New Roman" w:cs="Times New Roman"/>
                      <w:bCs/>
                      <w:color w:val="000000"/>
                      <w:szCs w:val="21"/>
                    </w:rPr>
                  </w:pPr>
                  <w:r>
                    <w:rPr>
                      <w:rFonts w:hint="default" w:ascii="Times New Roman" w:hAnsi="Times New Roman" w:cs="Times New Roman"/>
                      <w:bCs/>
                      <w:color w:val="000000"/>
                      <w:szCs w:val="21"/>
                    </w:rPr>
                    <w:t>净化设施最低去除效率（%）</w:t>
                  </w:r>
                </w:p>
              </w:tc>
              <w:tc>
                <w:tcPr>
                  <w:tcW w:w="831" w:type="dxa"/>
                  <w:tcBorders>
                    <w:left w:val="single" w:color="auto" w:sz="4" w:space="0"/>
                    <w:bottom w:val="single" w:color="auto" w:sz="6" w:space="0"/>
                    <w:right w:val="single" w:color="auto" w:sz="4" w:space="0"/>
                  </w:tcBorders>
                  <w:noWrap w:val="0"/>
                  <w:vAlign w:val="center"/>
                </w:tcPr>
                <w:p>
                  <w:pPr>
                    <w:pStyle w:val="12"/>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outlineLvl w:val="9"/>
                    <w:rPr>
                      <w:rFonts w:hint="default" w:ascii="Times New Roman" w:hAnsi="Times New Roman" w:cs="Times New Roman"/>
                      <w:bCs/>
                      <w:color w:val="000000"/>
                      <w:szCs w:val="21"/>
                    </w:rPr>
                  </w:pPr>
                  <w:r>
                    <w:rPr>
                      <w:rFonts w:hint="default" w:ascii="Times New Roman" w:hAnsi="Times New Roman" w:cs="Times New Roman"/>
                      <w:bCs/>
                      <w:color w:val="000000"/>
                      <w:szCs w:val="21"/>
                    </w:rPr>
                    <w:t>60</w:t>
                  </w:r>
                </w:p>
              </w:tc>
              <w:tc>
                <w:tcPr>
                  <w:tcW w:w="908" w:type="dxa"/>
                  <w:gridSpan w:val="2"/>
                  <w:tcBorders>
                    <w:left w:val="single" w:color="auto" w:sz="4" w:space="0"/>
                    <w:bottom w:val="single" w:color="auto" w:sz="6" w:space="0"/>
                    <w:right w:val="single" w:color="auto" w:sz="4" w:space="0"/>
                  </w:tcBorders>
                  <w:noWrap w:val="0"/>
                  <w:vAlign w:val="center"/>
                </w:tcPr>
                <w:p>
                  <w:pPr>
                    <w:pStyle w:val="12"/>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outlineLvl w:val="9"/>
                    <w:rPr>
                      <w:rFonts w:hint="default" w:ascii="Times New Roman" w:hAnsi="Times New Roman" w:cs="Times New Roman"/>
                      <w:bCs/>
                      <w:color w:val="000000"/>
                      <w:szCs w:val="21"/>
                    </w:rPr>
                  </w:pPr>
                  <w:r>
                    <w:rPr>
                      <w:rFonts w:hint="default" w:ascii="Times New Roman" w:hAnsi="Times New Roman" w:cs="Times New Roman"/>
                      <w:bCs/>
                      <w:color w:val="000000"/>
                      <w:szCs w:val="21"/>
                    </w:rPr>
                    <w:t>75</w:t>
                  </w:r>
                </w:p>
              </w:tc>
              <w:tc>
                <w:tcPr>
                  <w:tcW w:w="791" w:type="dxa"/>
                  <w:tcBorders>
                    <w:left w:val="single" w:color="auto" w:sz="4" w:space="0"/>
                    <w:bottom w:val="single" w:color="auto" w:sz="6" w:space="0"/>
                    <w:right w:val="single" w:color="auto" w:sz="4" w:space="0"/>
                  </w:tcBorders>
                  <w:noWrap w:val="0"/>
                  <w:vAlign w:val="center"/>
                </w:tcPr>
                <w:p>
                  <w:pPr>
                    <w:pStyle w:val="12"/>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outlineLvl w:val="9"/>
                    <w:rPr>
                      <w:rFonts w:hint="default" w:ascii="Times New Roman" w:hAnsi="Times New Roman" w:cs="Times New Roman"/>
                      <w:bCs/>
                      <w:color w:val="000000"/>
                      <w:szCs w:val="21"/>
                    </w:rPr>
                  </w:pPr>
                  <w:r>
                    <w:rPr>
                      <w:rFonts w:hint="default" w:ascii="Times New Roman" w:hAnsi="Times New Roman" w:cs="Times New Roman"/>
                      <w:bCs/>
                      <w:color w:val="000000"/>
                      <w:szCs w:val="21"/>
                    </w:rPr>
                    <w:t>85</w:t>
                  </w:r>
                </w:p>
              </w:tc>
              <w:tc>
                <w:tcPr>
                  <w:tcW w:w="2901" w:type="dxa"/>
                  <w:vMerge w:val="continue"/>
                  <w:tcBorders>
                    <w:left w:val="single" w:color="auto" w:sz="4" w:space="0"/>
                    <w:bottom w:val="single" w:color="auto" w:sz="6" w:space="0"/>
                  </w:tcBorders>
                  <w:noWrap w:val="0"/>
                  <w:vAlign w:val="center"/>
                </w:tcPr>
                <w:p>
                  <w:pPr>
                    <w:pStyle w:val="12"/>
                    <w:jc w:val="center"/>
                    <w:rPr>
                      <w:rFonts w:ascii="宋体" w:hAnsi="宋体"/>
                      <w:bCs/>
                      <w:color w:val="000000"/>
                      <w:szCs w:val="21"/>
                    </w:rPr>
                  </w:pPr>
                </w:p>
              </w:tc>
            </w:tr>
          </w:tbl>
          <w:p>
            <w:pPr>
              <w:spacing w:line="360" w:lineRule="auto"/>
              <w:ind w:firstLine="480" w:firstLineChars="200"/>
              <w:rPr>
                <w:rFonts w:hint="default" w:ascii="Times New Roman" w:hAnsi="Times New Roman" w:cs="Times New Roman"/>
                <w:sz w:val="24"/>
                <w:szCs w:val="24"/>
              </w:rPr>
            </w:pPr>
          </w:p>
          <w:p>
            <w:pPr>
              <w:spacing w:line="360" w:lineRule="auto"/>
              <w:ind w:firstLine="480" w:firstLineChars="200"/>
              <w:rPr>
                <w:rFonts w:ascii="Times New Roman" w:hAnsi="Times New Roman"/>
                <w:sz w:val="24"/>
                <w:szCs w:val="24"/>
              </w:rPr>
            </w:pPr>
            <w:r>
              <w:rPr>
                <w:rFonts w:ascii="Times New Roman" w:hAnsi="Times New Roman"/>
                <w:sz w:val="24"/>
                <w:szCs w:val="24"/>
              </w:rPr>
              <w:t>2、废水</w:t>
            </w:r>
          </w:p>
          <w:p>
            <w:pPr>
              <w:spacing w:line="360" w:lineRule="auto"/>
              <w:ind w:firstLine="480" w:firstLineChars="200"/>
              <w:rPr>
                <w:rFonts w:ascii="Times New Roman" w:hAnsi="Times New Roman"/>
                <w:sz w:val="24"/>
                <w:szCs w:val="24"/>
              </w:rPr>
            </w:pPr>
            <w:r>
              <w:rPr>
                <w:rFonts w:ascii="Times New Roman" w:hAnsi="Times New Roman"/>
                <w:sz w:val="24"/>
                <w:szCs w:val="24"/>
              </w:rPr>
              <w:t>项目产生的生活</w:t>
            </w:r>
            <w:r>
              <w:rPr>
                <w:rFonts w:hint="eastAsia" w:ascii="Times New Roman" w:hAnsi="Times New Roman"/>
                <w:sz w:val="24"/>
                <w:szCs w:val="24"/>
                <w:lang w:eastAsia="zh-CN"/>
              </w:rPr>
              <w:t>、</w:t>
            </w:r>
            <w:r>
              <w:rPr>
                <w:rFonts w:hint="eastAsia" w:ascii="Times New Roman" w:hAnsi="Times New Roman"/>
                <w:sz w:val="24"/>
                <w:szCs w:val="24"/>
                <w:lang w:val="en-US" w:eastAsia="zh-CN"/>
              </w:rPr>
              <w:t>施工</w:t>
            </w:r>
            <w:r>
              <w:rPr>
                <w:rFonts w:ascii="Times New Roman" w:hAnsi="Times New Roman"/>
                <w:sz w:val="24"/>
                <w:szCs w:val="24"/>
              </w:rPr>
              <w:t>污水经</w:t>
            </w:r>
            <w:r>
              <w:rPr>
                <w:rFonts w:hint="eastAsia" w:ascii="Times New Roman" w:hAnsi="Times New Roman"/>
                <w:sz w:val="24"/>
                <w:szCs w:val="24"/>
                <w:lang w:val="en-US" w:eastAsia="zh-CN"/>
              </w:rPr>
              <w:t>各自处理设施</w:t>
            </w:r>
            <w:r>
              <w:rPr>
                <w:rFonts w:ascii="Times New Roman" w:hAnsi="Times New Roman"/>
                <w:sz w:val="24"/>
                <w:szCs w:val="24"/>
              </w:rPr>
              <w:t>处理满足</w:t>
            </w:r>
            <w:r>
              <w:rPr>
                <w:rFonts w:ascii="Times New Roman" w:hAnsi="Times New Roman"/>
                <w:sz w:val="24"/>
                <w:szCs w:val="24"/>
                <w:highlight w:val="none"/>
              </w:rPr>
              <w:t>《污水综合排放标准》（GB8978-1996）</w:t>
            </w:r>
            <w:r>
              <w:rPr>
                <w:rFonts w:hint="eastAsia" w:ascii="Times New Roman" w:hAnsi="Times New Roman"/>
                <w:sz w:val="24"/>
                <w:szCs w:val="24"/>
                <w:highlight w:val="none"/>
                <w:lang w:val="en-US" w:eastAsia="zh-CN"/>
              </w:rPr>
              <w:t>表4</w:t>
            </w:r>
            <w:r>
              <w:rPr>
                <w:rFonts w:ascii="Times New Roman" w:hAnsi="Times New Roman"/>
                <w:sz w:val="24"/>
                <w:szCs w:val="24"/>
                <w:highlight w:val="none"/>
              </w:rPr>
              <w:t>中的三级标准</w:t>
            </w:r>
            <w:r>
              <w:rPr>
                <w:rFonts w:hint="eastAsia" w:ascii="Times New Roman" w:hAnsi="Times New Roman"/>
                <w:sz w:val="24"/>
                <w:szCs w:val="24"/>
                <w:highlight w:val="none"/>
                <w:lang w:eastAsia="zh-CN"/>
              </w:rPr>
              <w:t>，</w:t>
            </w:r>
            <w:r>
              <w:rPr>
                <w:rFonts w:hint="eastAsia" w:ascii="Times New Roman" w:hAnsi="Times New Roman"/>
                <w:sz w:val="24"/>
                <w:szCs w:val="24"/>
                <w:highlight w:val="none"/>
                <w:lang w:val="en-US" w:eastAsia="zh-CN"/>
              </w:rPr>
              <w:t>其中</w:t>
            </w:r>
            <w:r>
              <w:rPr>
                <w:rFonts w:ascii="Times New Roman" w:hAnsi="Times New Roman"/>
                <w:sz w:val="24"/>
                <w:szCs w:val="24"/>
                <w:highlight w:val="none"/>
              </w:rPr>
              <w:t>氨氮参照《污水排入城镇下水道水质标准》（GB/T31962-2015中的标准</w:t>
            </w:r>
            <w:r>
              <w:rPr>
                <w:rFonts w:hint="eastAsia" w:ascii="Times New Roman" w:hAnsi="Times New Roman"/>
                <w:sz w:val="24"/>
                <w:szCs w:val="24"/>
                <w:highlight w:val="none"/>
                <w:lang w:eastAsia="zh-CN"/>
              </w:rPr>
              <w:t>，</w:t>
            </w:r>
            <w:r>
              <w:rPr>
                <w:rFonts w:hint="eastAsia" w:ascii="Times New Roman" w:hAnsi="Times New Roman"/>
                <w:sz w:val="24"/>
                <w:szCs w:val="24"/>
                <w:highlight w:val="none"/>
                <w:lang w:val="en-US" w:eastAsia="zh-CN"/>
              </w:rPr>
              <w:t>六价铬执行</w:t>
            </w:r>
            <w:r>
              <w:rPr>
                <w:rFonts w:ascii="Times New Roman" w:hAnsi="Times New Roman"/>
                <w:sz w:val="24"/>
                <w:szCs w:val="24"/>
                <w:highlight w:val="none"/>
              </w:rPr>
              <w:t>《污水综合排放标准》（GB8978-1996）</w:t>
            </w:r>
            <w:r>
              <w:rPr>
                <w:rFonts w:hint="eastAsia" w:ascii="Times New Roman" w:hAnsi="Times New Roman"/>
                <w:sz w:val="24"/>
                <w:szCs w:val="24"/>
                <w:highlight w:val="none"/>
                <w:lang w:val="en-US" w:eastAsia="zh-CN"/>
              </w:rPr>
              <w:t>表1中的标准，总石油烃参考荷兰标准（</w:t>
            </w:r>
            <w:r>
              <w:rPr>
                <w:rFonts w:hint="default" w:ascii="Times New Roman" w:hAnsi="Times New Roman" w:cs="Times New Roman"/>
                <w:sz w:val="24"/>
                <w:szCs w:val="24"/>
                <w:lang w:eastAsia="zh-CN"/>
              </w:rPr>
              <w:t>600</w:t>
            </w:r>
            <w:r>
              <w:rPr>
                <w:rFonts w:hint="default" w:ascii="Times New Roman" w:hAnsi="Times New Roman" w:cs="Times New Roman"/>
                <w:sz w:val="24"/>
                <w:szCs w:val="24"/>
                <w:lang w:val="en-US" w:eastAsia="zh-CN"/>
              </w:rPr>
              <w:t>μg</w:t>
            </w:r>
            <w:r>
              <w:rPr>
                <w:rFonts w:hint="default" w:ascii="Times New Roman" w:hAnsi="Times New Roman" w:cs="Times New Roman"/>
                <w:sz w:val="24"/>
                <w:szCs w:val="24"/>
                <w:lang w:eastAsia="zh-CN"/>
              </w:rPr>
              <w:t>/L</w:t>
            </w:r>
            <w:r>
              <w:rPr>
                <w:rFonts w:hint="eastAsia" w:ascii="Times New Roman" w:hAnsi="Times New Roman"/>
                <w:sz w:val="24"/>
                <w:szCs w:val="24"/>
                <w:highlight w:val="none"/>
                <w:lang w:val="en-US" w:eastAsia="zh-CN"/>
              </w:rPr>
              <w:t>）</w:t>
            </w:r>
            <w:r>
              <w:rPr>
                <w:rFonts w:ascii="Times New Roman" w:hAnsi="Times New Roman"/>
                <w:sz w:val="24"/>
                <w:szCs w:val="24"/>
              </w:rPr>
              <w:t>后，</w:t>
            </w:r>
            <w:r>
              <w:rPr>
                <w:rFonts w:hint="eastAsia" w:ascii="Times New Roman" w:hAnsi="Times New Roman"/>
                <w:sz w:val="24"/>
                <w:szCs w:val="24"/>
                <w:lang w:val="en-US" w:eastAsia="zh-CN"/>
              </w:rPr>
              <w:t>排放至朱家桥污水处理厂</w:t>
            </w:r>
            <w:r>
              <w:rPr>
                <w:rFonts w:ascii="Times New Roman" w:hAnsi="Times New Roman"/>
                <w:sz w:val="24"/>
                <w:szCs w:val="24"/>
              </w:rPr>
              <w:t>处置，尾水排放满足</w:t>
            </w:r>
            <w:r>
              <w:rPr>
                <w:rFonts w:ascii="Times New Roman" w:hAnsi="Times New Roman"/>
                <w:sz w:val="24"/>
              </w:rPr>
              <w:t>《城镇污水处理厂污染物排放标准》（GB18918-2002）一级标准中 A 类标准</w:t>
            </w:r>
            <w:r>
              <w:rPr>
                <w:rFonts w:hint="eastAsia" w:ascii="Times New Roman" w:hAnsi="Times New Roman"/>
                <w:sz w:val="24"/>
                <w:highlight w:val="none"/>
                <w:lang w:eastAsia="zh-CN"/>
              </w:rPr>
              <w:t>，</w:t>
            </w:r>
            <w:r>
              <w:rPr>
                <w:rFonts w:hint="eastAsia" w:ascii="Times New Roman" w:hAnsi="Times New Roman"/>
                <w:sz w:val="24"/>
                <w:highlight w:val="none"/>
                <w:lang w:val="en-US" w:eastAsia="zh-CN"/>
              </w:rPr>
              <w:t>其中六价铬满足</w:t>
            </w:r>
            <w:r>
              <w:rPr>
                <w:rFonts w:ascii="Times New Roman" w:hAnsi="Times New Roman"/>
                <w:sz w:val="24"/>
                <w:highlight w:val="none"/>
              </w:rPr>
              <w:t>《城镇污水处理厂污染物排放标准》（GB18918-2002）</w:t>
            </w:r>
            <w:r>
              <w:rPr>
                <w:rFonts w:hint="eastAsia" w:ascii="Times New Roman" w:hAnsi="Times New Roman"/>
                <w:sz w:val="24"/>
                <w:highlight w:val="none"/>
                <w:lang w:val="en-US" w:eastAsia="zh-CN"/>
              </w:rPr>
              <w:t>表2中最高允许排放浓度。</w:t>
            </w:r>
          </w:p>
          <w:p>
            <w:pPr>
              <w:widowControl/>
              <w:spacing w:line="360" w:lineRule="auto"/>
              <w:jc w:val="center"/>
              <w:rPr>
                <w:rFonts w:ascii="Times New Roman" w:hAnsi="Times New Roman"/>
                <w:b/>
                <w:bCs/>
                <w:sz w:val="24"/>
                <w:szCs w:val="24"/>
              </w:rPr>
            </w:pPr>
          </w:p>
          <w:p>
            <w:pPr>
              <w:widowControl/>
              <w:spacing w:line="360" w:lineRule="auto"/>
              <w:jc w:val="center"/>
              <w:rPr>
                <w:rFonts w:ascii="Times New Roman" w:hAnsi="Times New Roman"/>
                <w:b/>
                <w:bCs/>
                <w:sz w:val="24"/>
                <w:szCs w:val="24"/>
              </w:rPr>
            </w:pPr>
          </w:p>
          <w:p>
            <w:pPr>
              <w:widowControl/>
              <w:spacing w:line="360" w:lineRule="auto"/>
              <w:jc w:val="center"/>
              <w:rPr>
                <w:rFonts w:ascii="Times New Roman" w:hAnsi="Times New Roman"/>
                <w:b/>
                <w:bCs/>
                <w:sz w:val="24"/>
                <w:szCs w:val="24"/>
              </w:rPr>
            </w:pPr>
          </w:p>
          <w:p>
            <w:pPr>
              <w:widowControl/>
              <w:spacing w:line="360" w:lineRule="auto"/>
              <w:jc w:val="center"/>
              <w:rPr>
                <w:rFonts w:ascii="Times New Roman" w:hAnsi="Times New Roman"/>
                <w:b/>
                <w:bCs/>
                <w:sz w:val="24"/>
                <w:szCs w:val="24"/>
              </w:rPr>
            </w:pPr>
          </w:p>
          <w:p>
            <w:pPr>
              <w:widowControl/>
              <w:spacing w:line="360" w:lineRule="auto"/>
              <w:jc w:val="center"/>
              <w:rPr>
                <w:rFonts w:ascii="Times New Roman" w:hAnsi="Times New Roman"/>
                <w:b/>
                <w:bCs/>
                <w:sz w:val="24"/>
                <w:szCs w:val="24"/>
              </w:rPr>
            </w:pPr>
          </w:p>
          <w:p>
            <w:pPr>
              <w:widowControl/>
              <w:spacing w:line="360" w:lineRule="auto"/>
              <w:jc w:val="center"/>
              <w:rPr>
                <w:rFonts w:ascii="Times New Roman" w:hAnsi="Times New Roman"/>
                <w:b/>
                <w:bCs/>
                <w:sz w:val="24"/>
                <w:szCs w:val="24"/>
              </w:rPr>
            </w:pPr>
          </w:p>
          <w:p>
            <w:pPr>
              <w:widowControl/>
              <w:spacing w:line="360" w:lineRule="auto"/>
              <w:jc w:val="center"/>
              <w:rPr>
                <w:rFonts w:ascii="Times New Roman" w:hAnsi="Times New Roman"/>
                <w:b/>
                <w:bCs/>
                <w:sz w:val="24"/>
                <w:szCs w:val="24"/>
              </w:rPr>
            </w:pPr>
          </w:p>
          <w:p>
            <w:pPr>
              <w:widowControl/>
              <w:spacing w:line="360" w:lineRule="auto"/>
              <w:jc w:val="center"/>
              <w:rPr>
                <w:rFonts w:ascii="Times New Roman" w:hAnsi="Times New Roman"/>
                <w:b/>
                <w:kern w:val="0"/>
                <w:sz w:val="24"/>
              </w:rPr>
            </w:pPr>
            <w:r>
              <w:rPr>
                <w:rFonts w:ascii="Times New Roman" w:hAnsi="Times New Roman"/>
                <w:b/>
                <w:bCs/>
                <w:sz w:val="24"/>
                <w:szCs w:val="24"/>
              </w:rPr>
              <w:t>表4-</w:t>
            </w:r>
            <w:r>
              <w:rPr>
                <w:rFonts w:hint="eastAsia" w:ascii="Times New Roman" w:hAnsi="Times New Roman"/>
                <w:b/>
                <w:bCs/>
                <w:sz w:val="24"/>
                <w:szCs w:val="24"/>
                <w:lang w:val="en-US" w:eastAsia="zh-CN"/>
              </w:rPr>
              <w:t>8</w:t>
            </w:r>
            <w:r>
              <w:rPr>
                <w:rFonts w:ascii="Times New Roman" w:hAnsi="Times New Roman"/>
                <w:b/>
                <w:bCs/>
                <w:sz w:val="24"/>
                <w:szCs w:val="24"/>
              </w:rPr>
              <w:t xml:space="preserve">  污水排放标准</w:t>
            </w:r>
          </w:p>
          <w:tbl>
            <w:tblPr>
              <w:tblStyle w:val="27"/>
              <w:tblW w:w="0" w:type="auto"/>
              <w:jc w:val="center"/>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084"/>
              <w:gridCol w:w="1575"/>
              <w:gridCol w:w="1631"/>
              <w:gridCol w:w="1406"/>
              <w:gridCol w:w="1717"/>
            </w:tblGrid>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64" w:type="dxa"/>
                  <w:tcBorders>
                    <w:top w:val="single" w:color="auto" w:sz="4" w:space="0"/>
                    <w:left w:val="single" w:color="auto" w:sz="0" w:space="0"/>
                  </w:tcBorders>
                  <w:noWrap w:val="0"/>
                  <w:vAlign w:val="center"/>
                </w:tcPr>
                <w:p>
                  <w:pPr>
                    <w:jc w:val="center"/>
                    <w:rPr>
                      <w:rFonts w:ascii="Times New Roman" w:hAnsi="Times New Roman"/>
                      <w:szCs w:val="21"/>
                    </w:rPr>
                  </w:pPr>
                  <w:r>
                    <w:rPr>
                      <w:rFonts w:ascii="Times New Roman" w:hAnsi="Times New Roman"/>
                      <w:szCs w:val="21"/>
                    </w:rPr>
                    <w:t>序号</w:t>
                  </w:r>
                </w:p>
              </w:tc>
              <w:tc>
                <w:tcPr>
                  <w:tcW w:w="1084" w:type="dxa"/>
                  <w:tcBorders>
                    <w:top w:val="single" w:color="auto" w:sz="4" w:space="0"/>
                  </w:tcBorders>
                  <w:noWrap w:val="0"/>
                  <w:vAlign w:val="center"/>
                </w:tcPr>
                <w:p>
                  <w:pPr>
                    <w:jc w:val="center"/>
                    <w:rPr>
                      <w:rFonts w:ascii="Times New Roman" w:hAnsi="Times New Roman"/>
                      <w:szCs w:val="21"/>
                    </w:rPr>
                  </w:pPr>
                  <w:r>
                    <w:rPr>
                      <w:rFonts w:ascii="Times New Roman" w:hAnsi="Times New Roman"/>
                      <w:szCs w:val="21"/>
                    </w:rPr>
                    <w:t>污染物名称</w:t>
                  </w:r>
                </w:p>
              </w:tc>
              <w:tc>
                <w:tcPr>
                  <w:tcW w:w="1575" w:type="dxa"/>
                  <w:tcBorders>
                    <w:top w:val="single" w:color="auto" w:sz="4" w:space="0"/>
                  </w:tcBorders>
                  <w:noWrap w:val="0"/>
                  <w:vAlign w:val="center"/>
                </w:tcPr>
                <w:p>
                  <w:pPr>
                    <w:jc w:val="center"/>
                    <w:rPr>
                      <w:rFonts w:ascii="Times New Roman" w:hAnsi="Times New Roman"/>
                      <w:color w:val="000000"/>
                      <w:szCs w:val="21"/>
                    </w:rPr>
                  </w:pPr>
                  <w:r>
                    <w:rPr>
                      <w:rFonts w:ascii="Times New Roman" w:hAnsi="Times New Roman"/>
                      <w:color w:val="000000"/>
                      <w:szCs w:val="21"/>
                    </w:rPr>
                    <w:t>《污水综合排放标准》（GB8978-1996）</w:t>
                  </w:r>
                  <w:r>
                    <w:rPr>
                      <w:rFonts w:hint="eastAsia" w:ascii="Times New Roman" w:hAnsi="Times New Roman"/>
                      <w:color w:val="000000"/>
                      <w:szCs w:val="21"/>
                      <w:lang w:val="en-US" w:eastAsia="zh-CN"/>
                    </w:rPr>
                    <w:t>表4</w:t>
                  </w:r>
                  <w:r>
                    <w:rPr>
                      <w:rFonts w:ascii="Times New Roman" w:hAnsi="Times New Roman"/>
                      <w:color w:val="000000"/>
                      <w:szCs w:val="21"/>
                    </w:rPr>
                    <w:t>中的三级标准</w:t>
                  </w:r>
                </w:p>
              </w:tc>
              <w:tc>
                <w:tcPr>
                  <w:tcW w:w="1631" w:type="dxa"/>
                  <w:tcBorders>
                    <w:top w:val="single" w:color="auto" w:sz="4" w:space="0"/>
                    <w:right w:val="single" w:color="auto" w:sz="4" w:space="0"/>
                  </w:tcBorders>
                  <w:noWrap w:val="0"/>
                  <w:vAlign w:val="center"/>
                </w:tcPr>
                <w:p>
                  <w:pPr>
                    <w:widowControl/>
                    <w:jc w:val="center"/>
                    <w:rPr>
                      <w:rFonts w:hint="default" w:ascii="Times New Roman" w:hAnsi="Times New Roman" w:eastAsia="宋体"/>
                      <w:szCs w:val="21"/>
                      <w:lang w:val="en-US" w:eastAsia="zh-CN"/>
                    </w:rPr>
                  </w:pPr>
                  <w:r>
                    <w:rPr>
                      <w:rFonts w:ascii="Times New Roman" w:hAnsi="Times New Roman"/>
                      <w:color w:val="000000"/>
                      <w:szCs w:val="21"/>
                    </w:rPr>
                    <w:t>《污水综合排放标准》（GB8978-1996）</w:t>
                  </w:r>
                  <w:r>
                    <w:rPr>
                      <w:rFonts w:hint="eastAsia" w:ascii="Times New Roman" w:hAnsi="Times New Roman"/>
                      <w:color w:val="000000"/>
                      <w:szCs w:val="21"/>
                      <w:lang w:val="en-US" w:eastAsia="zh-CN"/>
                    </w:rPr>
                    <w:t>表1</w:t>
                  </w:r>
                  <w:r>
                    <w:rPr>
                      <w:rFonts w:ascii="Times New Roman" w:hAnsi="Times New Roman"/>
                      <w:color w:val="000000"/>
                      <w:szCs w:val="21"/>
                    </w:rPr>
                    <w:t>中的</w:t>
                  </w:r>
                  <w:r>
                    <w:rPr>
                      <w:rFonts w:hint="eastAsia" w:ascii="Times New Roman" w:hAnsi="Times New Roman"/>
                      <w:color w:val="000000"/>
                      <w:szCs w:val="21"/>
                      <w:lang w:val="en-US" w:eastAsia="zh-CN"/>
                    </w:rPr>
                    <w:t>最高允许排放浓度</w:t>
                  </w:r>
                </w:p>
              </w:tc>
              <w:tc>
                <w:tcPr>
                  <w:tcW w:w="1406" w:type="dxa"/>
                  <w:tcBorders>
                    <w:top w:val="single" w:color="auto" w:sz="4" w:space="0"/>
                    <w:right w:val="single" w:color="auto" w:sz="4" w:space="0"/>
                  </w:tcBorders>
                  <w:noWrap w:val="0"/>
                  <w:vAlign w:val="center"/>
                </w:tcPr>
                <w:p>
                  <w:pPr>
                    <w:widowControl/>
                    <w:jc w:val="center"/>
                    <w:rPr>
                      <w:rFonts w:ascii="Times New Roman" w:hAnsi="Times New Roman"/>
                      <w:szCs w:val="21"/>
                    </w:rPr>
                  </w:pPr>
                  <w:r>
                    <w:rPr>
                      <w:rFonts w:ascii="Times New Roman" w:hAnsi="Times New Roman"/>
                      <w:color w:val="000000"/>
                      <w:szCs w:val="21"/>
                    </w:rPr>
                    <w:t>《污水排入城镇下水道水质标准》（GB/T31962-2015）</w:t>
                  </w:r>
                </w:p>
              </w:tc>
              <w:tc>
                <w:tcPr>
                  <w:tcW w:w="1717" w:type="dxa"/>
                  <w:tcBorders>
                    <w:top w:val="single" w:color="auto" w:sz="4" w:space="0"/>
                    <w:right w:val="single" w:color="auto" w:sz="4" w:space="0"/>
                  </w:tcBorders>
                  <w:noWrap w:val="0"/>
                  <w:vAlign w:val="center"/>
                </w:tcPr>
                <w:p>
                  <w:pPr>
                    <w:widowControl/>
                    <w:jc w:val="center"/>
                    <w:rPr>
                      <w:rFonts w:ascii="Times New Roman" w:hAnsi="Times New Roman"/>
                      <w:szCs w:val="21"/>
                    </w:rPr>
                  </w:pPr>
                  <w:r>
                    <w:rPr>
                      <w:rFonts w:ascii="Times New Roman" w:hAnsi="Times New Roman"/>
                      <w:szCs w:val="21"/>
                    </w:rPr>
                    <w:t>《城镇污水处理厂污染物排放标准》（GB18918-2002）</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64" w:type="dxa"/>
                  <w:tcBorders>
                    <w:left w:val="single" w:color="auto" w:sz="4" w:space="0"/>
                  </w:tcBorders>
                  <w:noWrap w:val="0"/>
                  <w:vAlign w:val="center"/>
                </w:tcPr>
                <w:p>
                  <w:pPr>
                    <w:jc w:val="center"/>
                    <w:rPr>
                      <w:rFonts w:ascii="Times New Roman" w:hAnsi="Times New Roman"/>
                      <w:szCs w:val="21"/>
                    </w:rPr>
                  </w:pPr>
                  <w:r>
                    <w:rPr>
                      <w:rFonts w:ascii="Times New Roman" w:hAnsi="Times New Roman"/>
                      <w:szCs w:val="21"/>
                    </w:rPr>
                    <w:t>1</w:t>
                  </w:r>
                </w:p>
              </w:tc>
              <w:tc>
                <w:tcPr>
                  <w:tcW w:w="1084" w:type="dxa"/>
                  <w:noWrap w:val="0"/>
                  <w:vAlign w:val="center"/>
                </w:tcPr>
                <w:p>
                  <w:pPr>
                    <w:jc w:val="center"/>
                    <w:rPr>
                      <w:rFonts w:ascii="Times New Roman" w:hAnsi="Times New Roman"/>
                      <w:szCs w:val="21"/>
                    </w:rPr>
                  </w:pPr>
                  <w:r>
                    <w:rPr>
                      <w:rFonts w:ascii="Times New Roman" w:hAnsi="Times New Roman"/>
                      <w:szCs w:val="21"/>
                    </w:rPr>
                    <w:t>COD</w:t>
                  </w:r>
                </w:p>
              </w:tc>
              <w:tc>
                <w:tcPr>
                  <w:tcW w:w="1575" w:type="dxa"/>
                  <w:noWrap w:val="0"/>
                  <w:vAlign w:val="center"/>
                </w:tcPr>
                <w:p>
                  <w:pPr>
                    <w:jc w:val="center"/>
                    <w:rPr>
                      <w:rFonts w:ascii="Times New Roman" w:hAnsi="Times New Roman"/>
                      <w:szCs w:val="21"/>
                    </w:rPr>
                  </w:pPr>
                  <w:r>
                    <w:rPr>
                      <w:rFonts w:ascii="Times New Roman" w:hAnsi="Times New Roman"/>
                      <w:szCs w:val="21"/>
                    </w:rPr>
                    <w:t>500</w:t>
                  </w:r>
                </w:p>
              </w:tc>
              <w:tc>
                <w:tcPr>
                  <w:tcW w:w="1631" w:type="dxa"/>
                  <w:tcBorders>
                    <w:right w:val="single" w:color="auto" w:sz="4" w:space="0"/>
                  </w:tcBorders>
                  <w:noWrap w:val="0"/>
                  <w:vAlign w:val="center"/>
                </w:tcPr>
                <w:p>
                  <w:pPr>
                    <w:jc w:val="center"/>
                    <w:rPr>
                      <w:rFonts w:hint="eastAsia" w:ascii="Times New Roman" w:hAnsi="Times New Roman" w:eastAsia="宋体"/>
                      <w:szCs w:val="21"/>
                      <w:lang w:eastAsia="zh-CN"/>
                    </w:rPr>
                  </w:pPr>
                  <w:r>
                    <w:rPr>
                      <w:rFonts w:hint="eastAsia" w:ascii="Times New Roman" w:hAnsi="Times New Roman"/>
                      <w:szCs w:val="21"/>
                      <w:lang w:val="en-US" w:eastAsia="zh-CN"/>
                    </w:rPr>
                    <w:t>/</w:t>
                  </w:r>
                </w:p>
              </w:tc>
              <w:tc>
                <w:tcPr>
                  <w:tcW w:w="1406" w:type="dxa"/>
                  <w:tcBorders>
                    <w:right w:val="single" w:color="auto" w:sz="4" w:space="0"/>
                  </w:tcBorders>
                  <w:noWrap w:val="0"/>
                  <w:vAlign w:val="center"/>
                </w:tcPr>
                <w:p>
                  <w:pPr>
                    <w:jc w:val="center"/>
                    <w:rPr>
                      <w:rFonts w:ascii="Times New Roman" w:hAnsi="Times New Roman"/>
                      <w:szCs w:val="21"/>
                    </w:rPr>
                  </w:pPr>
                  <w:r>
                    <w:rPr>
                      <w:rFonts w:hint="eastAsia" w:ascii="Times New Roman" w:hAnsi="Times New Roman"/>
                      <w:szCs w:val="21"/>
                      <w:lang w:val="en-US" w:eastAsia="zh-CN"/>
                    </w:rPr>
                    <w:t>/</w:t>
                  </w:r>
                </w:p>
              </w:tc>
              <w:tc>
                <w:tcPr>
                  <w:tcW w:w="1717" w:type="dxa"/>
                  <w:tcBorders>
                    <w:right w:val="single" w:color="auto" w:sz="4" w:space="0"/>
                  </w:tcBorders>
                  <w:noWrap w:val="0"/>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50</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64" w:type="dxa"/>
                  <w:tcBorders>
                    <w:left w:val="single" w:color="auto" w:sz="4" w:space="0"/>
                  </w:tcBorders>
                  <w:noWrap w:val="0"/>
                  <w:vAlign w:val="center"/>
                </w:tcPr>
                <w:p>
                  <w:pPr>
                    <w:jc w:val="center"/>
                    <w:rPr>
                      <w:rFonts w:ascii="Times New Roman" w:hAnsi="Times New Roman"/>
                      <w:szCs w:val="21"/>
                    </w:rPr>
                  </w:pPr>
                  <w:r>
                    <w:rPr>
                      <w:rFonts w:ascii="Times New Roman" w:hAnsi="Times New Roman"/>
                      <w:szCs w:val="21"/>
                    </w:rPr>
                    <w:t>2</w:t>
                  </w:r>
                </w:p>
              </w:tc>
              <w:tc>
                <w:tcPr>
                  <w:tcW w:w="1084" w:type="dxa"/>
                  <w:noWrap w:val="0"/>
                  <w:vAlign w:val="center"/>
                </w:tcPr>
                <w:p>
                  <w:pPr>
                    <w:jc w:val="center"/>
                    <w:rPr>
                      <w:rFonts w:ascii="Times New Roman" w:hAnsi="Times New Roman"/>
                      <w:szCs w:val="21"/>
                    </w:rPr>
                  </w:pPr>
                  <w:r>
                    <w:rPr>
                      <w:rFonts w:ascii="Times New Roman" w:hAnsi="Times New Roman"/>
                      <w:szCs w:val="21"/>
                    </w:rPr>
                    <w:t>BOD</w:t>
                  </w:r>
                  <w:r>
                    <w:rPr>
                      <w:rFonts w:ascii="Times New Roman" w:hAnsi="Times New Roman"/>
                      <w:szCs w:val="21"/>
                      <w:vertAlign w:val="subscript"/>
                    </w:rPr>
                    <w:t>5</w:t>
                  </w:r>
                </w:p>
              </w:tc>
              <w:tc>
                <w:tcPr>
                  <w:tcW w:w="1575" w:type="dxa"/>
                  <w:noWrap w:val="0"/>
                  <w:vAlign w:val="center"/>
                </w:tcPr>
                <w:p>
                  <w:pPr>
                    <w:jc w:val="center"/>
                    <w:rPr>
                      <w:rFonts w:ascii="Times New Roman" w:hAnsi="Times New Roman"/>
                      <w:szCs w:val="21"/>
                    </w:rPr>
                  </w:pPr>
                  <w:r>
                    <w:rPr>
                      <w:rFonts w:ascii="Times New Roman" w:hAnsi="Times New Roman"/>
                      <w:szCs w:val="21"/>
                    </w:rPr>
                    <w:t>300</w:t>
                  </w:r>
                </w:p>
              </w:tc>
              <w:tc>
                <w:tcPr>
                  <w:tcW w:w="1631" w:type="dxa"/>
                  <w:tcBorders>
                    <w:right w:val="single" w:color="auto" w:sz="4" w:space="0"/>
                  </w:tcBorders>
                  <w:noWrap w:val="0"/>
                  <w:vAlign w:val="center"/>
                </w:tcPr>
                <w:p>
                  <w:pPr>
                    <w:jc w:val="center"/>
                    <w:rPr>
                      <w:rFonts w:ascii="Times New Roman" w:hAnsi="Times New Roman"/>
                      <w:szCs w:val="21"/>
                    </w:rPr>
                  </w:pPr>
                  <w:r>
                    <w:rPr>
                      <w:rFonts w:hint="eastAsia" w:ascii="Times New Roman" w:hAnsi="Times New Roman"/>
                      <w:szCs w:val="21"/>
                      <w:lang w:val="en-US" w:eastAsia="zh-CN"/>
                    </w:rPr>
                    <w:t>/</w:t>
                  </w:r>
                </w:p>
              </w:tc>
              <w:tc>
                <w:tcPr>
                  <w:tcW w:w="1406" w:type="dxa"/>
                  <w:tcBorders>
                    <w:right w:val="single" w:color="auto" w:sz="4" w:space="0"/>
                  </w:tcBorders>
                  <w:noWrap w:val="0"/>
                  <w:vAlign w:val="center"/>
                </w:tcPr>
                <w:p>
                  <w:pPr>
                    <w:jc w:val="center"/>
                    <w:rPr>
                      <w:rFonts w:ascii="Times New Roman" w:hAnsi="Times New Roman"/>
                      <w:szCs w:val="21"/>
                    </w:rPr>
                  </w:pPr>
                  <w:r>
                    <w:rPr>
                      <w:rFonts w:hint="eastAsia" w:ascii="Times New Roman" w:hAnsi="Times New Roman"/>
                      <w:szCs w:val="21"/>
                      <w:lang w:val="en-US" w:eastAsia="zh-CN"/>
                    </w:rPr>
                    <w:t>/</w:t>
                  </w:r>
                </w:p>
              </w:tc>
              <w:tc>
                <w:tcPr>
                  <w:tcW w:w="1717" w:type="dxa"/>
                  <w:tcBorders>
                    <w:right w:val="single" w:color="auto" w:sz="4" w:space="0"/>
                  </w:tcBorders>
                  <w:noWrap w:val="0"/>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10</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64" w:type="dxa"/>
                  <w:tcBorders>
                    <w:left w:val="single" w:color="auto" w:sz="4" w:space="0"/>
                  </w:tcBorders>
                  <w:noWrap w:val="0"/>
                  <w:vAlign w:val="center"/>
                </w:tcPr>
                <w:p>
                  <w:pPr>
                    <w:jc w:val="center"/>
                    <w:rPr>
                      <w:rFonts w:ascii="Times New Roman" w:hAnsi="Times New Roman"/>
                      <w:szCs w:val="21"/>
                    </w:rPr>
                  </w:pPr>
                  <w:r>
                    <w:rPr>
                      <w:rFonts w:ascii="Times New Roman" w:hAnsi="Times New Roman"/>
                      <w:szCs w:val="21"/>
                    </w:rPr>
                    <w:t>3</w:t>
                  </w:r>
                </w:p>
              </w:tc>
              <w:tc>
                <w:tcPr>
                  <w:tcW w:w="1084" w:type="dxa"/>
                  <w:noWrap w:val="0"/>
                  <w:vAlign w:val="center"/>
                </w:tcPr>
                <w:p>
                  <w:pPr>
                    <w:jc w:val="center"/>
                    <w:rPr>
                      <w:rFonts w:ascii="Times New Roman" w:hAnsi="Times New Roman"/>
                      <w:szCs w:val="21"/>
                    </w:rPr>
                  </w:pPr>
                  <w:r>
                    <w:rPr>
                      <w:rFonts w:ascii="Times New Roman" w:hAnsi="Times New Roman"/>
                      <w:szCs w:val="21"/>
                    </w:rPr>
                    <w:t>NH</w:t>
                  </w:r>
                  <w:r>
                    <w:rPr>
                      <w:rFonts w:ascii="Times New Roman" w:hAnsi="Times New Roman"/>
                      <w:szCs w:val="21"/>
                      <w:vertAlign w:val="subscript"/>
                    </w:rPr>
                    <w:t>3</w:t>
                  </w:r>
                  <w:r>
                    <w:rPr>
                      <w:rFonts w:ascii="Times New Roman" w:hAnsi="Times New Roman"/>
                      <w:szCs w:val="21"/>
                    </w:rPr>
                    <w:t>-N</w:t>
                  </w:r>
                </w:p>
              </w:tc>
              <w:tc>
                <w:tcPr>
                  <w:tcW w:w="1575" w:type="dxa"/>
                  <w:noWrap w:val="0"/>
                  <w:vAlign w:val="center"/>
                </w:tcPr>
                <w:p>
                  <w:pPr>
                    <w:jc w:val="center"/>
                    <w:rPr>
                      <w:rFonts w:hint="eastAsia" w:ascii="Times New Roman" w:hAnsi="Times New Roman" w:eastAsia="宋体"/>
                      <w:szCs w:val="21"/>
                      <w:lang w:eastAsia="zh-CN"/>
                    </w:rPr>
                  </w:pPr>
                  <w:r>
                    <w:rPr>
                      <w:rFonts w:hint="eastAsia" w:ascii="Times New Roman" w:hAnsi="Times New Roman"/>
                      <w:szCs w:val="21"/>
                      <w:lang w:val="en-US" w:eastAsia="zh-CN"/>
                    </w:rPr>
                    <w:t>/</w:t>
                  </w:r>
                </w:p>
              </w:tc>
              <w:tc>
                <w:tcPr>
                  <w:tcW w:w="1631" w:type="dxa"/>
                  <w:tcBorders>
                    <w:right w:val="single" w:color="auto" w:sz="4" w:space="0"/>
                  </w:tcBorders>
                  <w:noWrap w:val="0"/>
                  <w:vAlign w:val="center"/>
                </w:tcPr>
                <w:p>
                  <w:pPr>
                    <w:jc w:val="center"/>
                    <w:rPr>
                      <w:rFonts w:ascii="Times New Roman" w:hAnsi="Times New Roman"/>
                      <w:szCs w:val="21"/>
                    </w:rPr>
                  </w:pPr>
                  <w:r>
                    <w:rPr>
                      <w:rFonts w:hint="eastAsia" w:ascii="Times New Roman" w:hAnsi="Times New Roman"/>
                      <w:szCs w:val="21"/>
                      <w:lang w:val="en-US" w:eastAsia="zh-CN"/>
                    </w:rPr>
                    <w:t>/</w:t>
                  </w:r>
                </w:p>
              </w:tc>
              <w:tc>
                <w:tcPr>
                  <w:tcW w:w="1406" w:type="dxa"/>
                  <w:tcBorders>
                    <w:right w:val="single" w:color="auto" w:sz="4" w:space="0"/>
                  </w:tcBorders>
                  <w:noWrap w:val="0"/>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45</w:t>
                  </w:r>
                </w:p>
              </w:tc>
              <w:tc>
                <w:tcPr>
                  <w:tcW w:w="1717" w:type="dxa"/>
                  <w:tcBorders>
                    <w:right w:val="single" w:color="auto" w:sz="4" w:space="0"/>
                  </w:tcBorders>
                  <w:noWrap w:val="0"/>
                  <w:vAlign w:val="center"/>
                </w:tcPr>
                <w:p>
                  <w:pPr>
                    <w:jc w:val="center"/>
                    <w:rPr>
                      <w:rFonts w:hint="eastAsia" w:ascii="Times New Roman" w:hAnsi="Times New Roman" w:eastAsia="宋体"/>
                      <w:szCs w:val="21"/>
                      <w:lang w:val="en-US" w:eastAsia="zh-CN"/>
                    </w:rPr>
                  </w:pPr>
                  <w:r>
                    <w:rPr>
                      <w:rFonts w:hint="eastAsia" w:ascii="Times New Roman" w:hAnsi="Times New Roman"/>
                      <w:szCs w:val="21"/>
                      <w:lang w:val="en-US" w:eastAsia="zh-CN"/>
                    </w:rPr>
                    <w:t>5</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64" w:type="dxa"/>
                  <w:tcBorders>
                    <w:left w:val="single" w:color="auto" w:sz="4" w:space="0"/>
                  </w:tcBorders>
                  <w:noWrap w:val="0"/>
                  <w:vAlign w:val="center"/>
                </w:tcPr>
                <w:p>
                  <w:pPr>
                    <w:jc w:val="center"/>
                    <w:rPr>
                      <w:rFonts w:ascii="Times New Roman" w:hAnsi="Times New Roman"/>
                      <w:szCs w:val="21"/>
                    </w:rPr>
                  </w:pPr>
                  <w:r>
                    <w:rPr>
                      <w:rFonts w:ascii="Times New Roman" w:hAnsi="Times New Roman"/>
                      <w:szCs w:val="21"/>
                    </w:rPr>
                    <w:t>4</w:t>
                  </w:r>
                </w:p>
              </w:tc>
              <w:tc>
                <w:tcPr>
                  <w:tcW w:w="1084" w:type="dxa"/>
                  <w:noWrap w:val="0"/>
                  <w:vAlign w:val="center"/>
                </w:tcPr>
                <w:p>
                  <w:pPr>
                    <w:jc w:val="center"/>
                    <w:rPr>
                      <w:rFonts w:ascii="Times New Roman" w:hAnsi="Times New Roman"/>
                      <w:szCs w:val="21"/>
                    </w:rPr>
                  </w:pPr>
                  <w:r>
                    <w:rPr>
                      <w:rFonts w:ascii="Times New Roman" w:hAnsi="Times New Roman"/>
                      <w:szCs w:val="21"/>
                    </w:rPr>
                    <w:t>SS</w:t>
                  </w:r>
                </w:p>
              </w:tc>
              <w:tc>
                <w:tcPr>
                  <w:tcW w:w="1575" w:type="dxa"/>
                  <w:noWrap w:val="0"/>
                  <w:vAlign w:val="center"/>
                </w:tcPr>
                <w:p>
                  <w:pPr>
                    <w:jc w:val="center"/>
                    <w:rPr>
                      <w:rFonts w:ascii="Times New Roman" w:hAnsi="Times New Roman"/>
                      <w:szCs w:val="21"/>
                    </w:rPr>
                  </w:pPr>
                  <w:r>
                    <w:rPr>
                      <w:rFonts w:ascii="Times New Roman" w:hAnsi="Times New Roman"/>
                      <w:szCs w:val="21"/>
                    </w:rPr>
                    <w:t>400</w:t>
                  </w:r>
                </w:p>
              </w:tc>
              <w:tc>
                <w:tcPr>
                  <w:tcW w:w="1631" w:type="dxa"/>
                  <w:tcBorders>
                    <w:right w:val="single" w:color="auto" w:sz="4" w:space="0"/>
                  </w:tcBorders>
                  <w:noWrap w:val="0"/>
                  <w:vAlign w:val="center"/>
                </w:tcPr>
                <w:p>
                  <w:pPr>
                    <w:jc w:val="center"/>
                    <w:rPr>
                      <w:rFonts w:ascii="Times New Roman" w:hAnsi="Times New Roman"/>
                      <w:szCs w:val="21"/>
                    </w:rPr>
                  </w:pPr>
                  <w:r>
                    <w:rPr>
                      <w:rFonts w:hint="eastAsia" w:ascii="Times New Roman" w:hAnsi="Times New Roman"/>
                      <w:szCs w:val="21"/>
                      <w:lang w:val="en-US" w:eastAsia="zh-CN"/>
                    </w:rPr>
                    <w:t>/</w:t>
                  </w:r>
                </w:p>
              </w:tc>
              <w:tc>
                <w:tcPr>
                  <w:tcW w:w="1406" w:type="dxa"/>
                  <w:tcBorders>
                    <w:right w:val="single" w:color="auto" w:sz="4" w:space="0"/>
                  </w:tcBorders>
                  <w:noWrap w:val="0"/>
                  <w:vAlign w:val="center"/>
                </w:tcPr>
                <w:p>
                  <w:pPr>
                    <w:jc w:val="center"/>
                    <w:rPr>
                      <w:rFonts w:ascii="Times New Roman" w:hAnsi="Times New Roman"/>
                      <w:szCs w:val="21"/>
                    </w:rPr>
                  </w:pPr>
                </w:p>
              </w:tc>
              <w:tc>
                <w:tcPr>
                  <w:tcW w:w="1717" w:type="dxa"/>
                  <w:tcBorders>
                    <w:right w:val="single" w:color="auto" w:sz="4" w:space="0"/>
                  </w:tcBorders>
                  <w:noWrap w:val="0"/>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10</w:t>
                  </w:r>
                </w:p>
              </w:tc>
            </w:tr>
            <w:tr>
              <w:tblPrEx>
                <w:tblBorders>
                  <w:top w:val="thinThickSmallGap" w:color="auto" w:sz="12" w:space="0"/>
                  <w:left w:val="none" w:color="auto" w:sz="0" w:space="0"/>
                  <w:bottom w:val="thinThickSmallGap"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64" w:type="dxa"/>
                  <w:tcBorders>
                    <w:left w:val="single" w:color="auto" w:sz="4" w:space="0"/>
                    <w:bottom w:val="single" w:color="auto" w:sz="4" w:space="0"/>
                  </w:tcBorders>
                  <w:noWrap w:val="0"/>
                  <w:vAlign w:val="center"/>
                </w:tcPr>
                <w:p>
                  <w:pPr>
                    <w:jc w:val="center"/>
                    <w:rPr>
                      <w:rFonts w:hint="eastAsia" w:ascii="Times New Roman" w:hAnsi="Times New Roman" w:eastAsia="宋体"/>
                      <w:szCs w:val="21"/>
                      <w:lang w:val="en-US" w:eastAsia="zh-CN"/>
                    </w:rPr>
                  </w:pPr>
                  <w:r>
                    <w:rPr>
                      <w:rFonts w:hint="eastAsia" w:ascii="Times New Roman" w:hAnsi="Times New Roman"/>
                      <w:szCs w:val="21"/>
                      <w:lang w:val="en-US" w:eastAsia="zh-CN"/>
                    </w:rPr>
                    <w:t>5</w:t>
                  </w:r>
                </w:p>
              </w:tc>
              <w:tc>
                <w:tcPr>
                  <w:tcW w:w="1084" w:type="dxa"/>
                  <w:tcBorders>
                    <w:bottom w:val="single" w:color="auto" w:sz="4" w:space="0"/>
                  </w:tcBorders>
                  <w:noWrap w:val="0"/>
                  <w:vAlign w:val="center"/>
                </w:tcPr>
                <w:p>
                  <w:pPr>
                    <w:jc w:val="center"/>
                    <w:rPr>
                      <w:rFonts w:hint="eastAsia" w:ascii="Times New Roman" w:hAnsi="Times New Roman" w:eastAsia="宋体"/>
                      <w:szCs w:val="21"/>
                      <w:lang w:val="en-US" w:eastAsia="zh-CN"/>
                    </w:rPr>
                  </w:pPr>
                  <w:r>
                    <w:rPr>
                      <w:rFonts w:hint="eastAsia" w:ascii="Times New Roman" w:hAnsi="Times New Roman"/>
                      <w:szCs w:val="21"/>
                      <w:lang w:val="en-US" w:eastAsia="zh-CN"/>
                    </w:rPr>
                    <w:t>六价铬</w:t>
                  </w:r>
                </w:p>
              </w:tc>
              <w:tc>
                <w:tcPr>
                  <w:tcW w:w="1575" w:type="dxa"/>
                  <w:tcBorders>
                    <w:bottom w:val="single" w:color="auto" w:sz="4" w:space="0"/>
                  </w:tcBorders>
                  <w:noWrap w:val="0"/>
                  <w:vAlign w:val="center"/>
                </w:tcPr>
                <w:p>
                  <w:pPr>
                    <w:jc w:val="center"/>
                    <w:rPr>
                      <w:rFonts w:hint="eastAsia" w:ascii="Times New Roman" w:hAnsi="Times New Roman" w:eastAsia="宋体"/>
                      <w:szCs w:val="21"/>
                      <w:lang w:val="en-US" w:eastAsia="zh-CN"/>
                    </w:rPr>
                  </w:pPr>
                  <w:r>
                    <w:rPr>
                      <w:rFonts w:hint="eastAsia" w:ascii="Times New Roman" w:hAnsi="Times New Roman"/>
                      <w:szCs w:val="21"/>
                      <w:lang w:val="en-US" w:eastAsia="zh-CN"/>
                    </w:rPr>
                    <w:t>/</w:t>
                  </w:r>
                </w:p>
              </w:tc>
              <w:tc>
                <w:tcPr>
                  <w:tcW w:w="1631" w:type="dxa"/>
                  <w:tcBorders>
                    <w:bottom w:val="single" w:color="auto" w:sz="4" w:space="0"/>
                    <w:right w:val="single" w:color="auto" w:sz="4" w:space="0"/>
                  </w:tcBorders>
                  <w:noWrap w:val="0"/>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0.5</w:t>
                  </w:r>
                </w:p>
              </w:tc>
              <w:tc>
                <w:tcPr>
                  <w:tcW w:w="1406" w:type="dxa"/>
                  <w:tcBorders>
                    <w:bottom w:val="single" w:color="auto" w:sz="4" w:space="0"/>
                    <w:right w:val="single" w:color="auto" w:sz="4" w:space="0"/>
                  </w:tcBorders>
                  <w:noWrap w:val="0"/>
                  <w:vAlign w:val="center"/>
                </w:tcPr>
                <w:p>
                  <w:pPr>
                    <w:jc w:val="center"/>
                    <w:rPr>
                      <w:rFonts w:ascii="Times New Roman" w:hAnsi="Times New Roman"/>
                      <w:szCs w:val="21"/>
                    </w:rPr>
                  </w:pPr>
                  <w:r>
                    <w:rPr>
                      <w:rFonts w:hint="eastAsia" w:ascii="Times New Roman" w:hAnsi="Times New Roman"/>
                      <w:szCs w:val="21"/>
                      <w:lang w:val="en-US" w:eastAsia="zh-CN"/>
                    </w:rPr>
                    <w:t>/</w:t>
                  </w:r>
                </w:p>
              </w:tc>
              <w:tc>
                <w:tcPr>
                  <w:tcW w:w="1717" w:type="dxa"/>
                  <w:tcBorders>
                    <w:bottom w:val="single" w:color="auto" w:sz="4" w:space="0"/>
                    <w:right w:val="single" w:color="auto" w:sz="4" w:space="0"/>
                  </w:tcBorders>
                  <w:noWrap w:val="0"/>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0.05</w:t>
                  </w:r>
                </w:p>
              </w:tc>
            </w:tr>
          </w:tbl>
          <w:p>
            <w:pPr>
              <w:spacing w:line="360" w:lineRule="auto"/>
              <w:ind w:firstLine="480" w:firstLineChars="200"/>
              <w:rPr>
                <w:rFonts w:ascii="Times New Roman" w:hAnsi="Times New Roman"/>
                <w:sz w:val="24"/>
                <w:szCs w:val="24"/>
              </w:rPr>
            </w:pPr>
            <w:bookmarkStart w:id="4" w:name="_Hlk507534864"/>
          </w:p>
          <w:p>
            <w:pPr>
              <w:spacing w:line="360" w:lineRule="auto"/>
              <w:ind w:firstLine="480" w:firstLineChars="200"/>
              <w:rPr>
                <w:rFonts w:ascii="Times New Roman" w:hAnsi="Times New Roman"/>
                <w:sz w:val="24"/>
                <w:szCs w:val="24"/>
              </w:rPr>
            </w:pPr>
            <w:r>
              <w:rPr>
                <w:rFonts w:ascii="Times New Roman" w:hAnsi="Times New Roman"/>
                <w:sz w:val="24"/>
                <w:szCs w:val="24"/>
              </w:rPr>
              <w:t>3、噪声</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施工期场界噪声执行《建筑施工场界环境噪声排放标准》（GB12523-2011）中相关要求。</w:t>
            </w:r>
          </w:p>
          <w:p>
            <w:pPr>
              <w:keepNext/>
              <w:keepLines/>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000000"/>
                <w:sz w:val="24"/>
              </w:rPr>
              <w:t>表4-</w:t>
            </w:r>
            <w:r>
              <w:rPr>
                <w:rFonts w:hint="eastAsia" w:ascii="Times New Roman" w:hAnsi="Times New Roman" w:cs="Times New Roman"/>
                <w:b/>
                <w:bCs/>
                <w:color w:val="000000"/>
                <w:sz w:val="24"/>
                <w:lang w:val="en-US" w:eastAsia="zh-CN"/>
              </w:rPr>
              <w:t>9</w:t>
            </w:r>
            <w:r>
              <w:rPr>
                <w:rFonts w:hint="default" w:ascii="Times New Roman" w:hAnsi="Times New Roman" w:cs="Times New Roman"/>
                <w:b/>
                <w:bCs/>
                <w:color w:val="000000"/>
                <w:sz w:val="24"/>
              </w:rPr>
              <w:t xml:space="preserve">   噪声排放标准    </w:t>
            </w:r>
            <w:r>
              <w:rPr>
                <w:rFonts w:hint="default" w:ascii="Times New Roman" w:hAnsi="Times New Roman" w:cs="Times New Roman"/>
                <w:b/>
                <w:bCs/>
                <w:color w:val="auto"/>
                <w:sz w:val="24"/>
              </w:rPr>
              <w:t xml:space="preserve">    单位dB（A）</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9"/>
              <w:gridCol w:w="2368"/>
              <w:gridCol w:w="1778"/>
              <w:gridCol w:w="1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9" w:type="dxa"/>
                  <w:noWrap w:val="0"/>
                  <w:vAlign w:val="center"/>
                </w:tcPr>
                <w:p>
                  <w:pPr>
                    <w:spacing w:line="24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适合内容</w:t>
                  </w:r>
                </w:p>
              </w:tc>
              <w:tc>
                <w:tcPr>
                  <w:tcW w:w="2368" w:type="dxa"/>
                  <w:noWrap w:val="0"/>
                  <w:vAlign w:val="center"/>
                </w:tcPr>
                <w:p>
                  <w:pPr>
                    <w:spacing w:line="24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标准</w:t>
                  </w:r>
                </w:p>
              </w:tc>
              <w:tc>
                <w:tcPr>
                  <w:tcW w:w="1778" w:type="dxa"/>
                  <w:noWrap w:val="0"/>
                  <w:vAlign w:val="center"/>
                </w:tcPr>
                <w:p>
                  <w:pPr>
                    <w:spacing w:line="24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昼间</w:t>
                  </w:r>
                </w:p>
              </w:tc>
              <w:tc>
                <w:tcPr>
                  <w:tcW w:w="1974" w:type="dxa"/>
                  <w:noWrap w:val="0"/>
                  <w:vAlign w:val="center"/>
                </w:tcPr>
                <w:p>
                  <w:pPr>
                    <w:spacing w:line="24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9" w:type="dxa"/>
                  <w:noWrap w:val="0"/>
                  <w:vAlign w:val="center"/>
                </w:tcPr>
                <w:p>
                  <w:pPr>
                    <w:spacing w:line="240" w:lineRule="atLeas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施工</w:t>
                  </w:r>
                  <w:r>
                    <w:rPr>
                      <w:rFonts w:hint="default" w:ascii="Times New Roman" w:hAnsi="Times New Roman" w:cs="Times New Roman"/>
                      <w:color w:val="auto"/>
                      <w:szCs w:val="21"/>
                    </w:rPr>
                    <w:t>期</w:t>
                  </w:r>
                </w:p>
              </w:tc>
              <w:tc>
                <w:tcPr>
                  <w:tcW w:w="2368" w:type="dxa"/>
                  <w:noWrap w:val="0"/>
                  <w:vAlign w:val="center"/>
                </w:tcPr>
                <w:p>
                  <w:pPr>
                    <w:spacing w:line="24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GB12523-2011</w:t>
                  </w:r>
                </w:p>
              </w:tc>
              <w:tc>
                <w:tcPr>
                  <w:tcW w:w="1778" w:type="dxa"/>
                  <w:noWrap w:val="0"/>
                  <w:vAlign w:val="center"/>
                </w:tcPr>
                <w:p>
                  <w:pPr>
                    <w:spacing w:line="24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70</w:t>
                  </w:r>
                </w:p>
              </w:tc>
              <w:tc>
                <w:tcPr>
                  <w:tcW w:w="1974" w:type="dxa"/>
                  <w:noWrap w:val="0"/>
                  <w:vAlign w:val="center"/>
                </w:tcPr>
                <w:p>
                  <w:pPr>
                    <w:spacing w:line="24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55</w:t>
                  </w:r>
                </w:p>
              </w:tc>
            </w:tr>
            <w:bookmarkEnd w:id="4"/>
          </w:tbl>
          <w:p>
            <w:pPr>
              <w:spacing w:line="360" w:lineRule="auto"/>
              <w:ind w:firstLine="480" w:firstLineChars="200"/>
              <w:rPr>
                <w:rFonts w:ascii="Times New Roman" w:hAnsi="Times New Roman"/>
                <w:sz w:val="24"/>
                <w:szCs w:val="24"/>
              </w:rPr>
            </w:pPr>
          </w:p>
          <w:p>
            <w:pPr>
              <w:spacing w:line="360" w:lineRule="auto"/>
              <w:ind w:firstLine="480" w:firstLineChars="200"/>
              <w:rPr>
                <w:rFonts w:ascii="Times New Roman" w:hAnsi="Times New Roman"/>
                <w:sz w:val="24"/>
                <w:szCs w:val="24"/>
              </w:rPr>
            </w:pPr>
            <w:r>
              <w:rPr>
                <w:rFonts w:ascii="Times New Roman" w:hAnsi="Times New Roman"/>
                <w:sz w:val="24"/>
                <w:szCs w:val="24"/>
              </w:rPr>
              <w:t>4、固体废物</w:t>
            </w:r>
          </w:p>
          <w:p>
            <w:pPr>
              <w:spacing w:line="360" w:lineRule="auto"/>
              <w:ind w:firstLine="480" w:firstLineChars="200"/>
              <w:rPr>
                <w:rFonts w:ascii="Times New Roman" w:hAnsi="Times New Roman"/>
                <w:b/>
                <w:bCs/>
                <w:color w:val="000000"/>
                <w:sz w:val="24"/>
                <w:szCs w:val="24"/>
                <w:highlight w:val="yellow"/>
              </w:rPr>
            </w:pPr>
            <w:r>
              <w:rPr>
                <w:rFonts w:ascii="Times New Roman" w:hAnsi="Times New Roman"/>
                <w:sz w:val="24"/>
                <w:szCs w:val="24"/>
              </w:rPr>
              <w:t>一般工业固废贮存执行《一般工业固体废物贮存、处置场污染控制标准》（GB18599-2001）及2013年修改单中相关规定；危险废物临时贮存执行《危险废物贮存污染控制标准》（GB18597-2001）及2013年修改单中相关规定；同时执行《（一般工业固体废弃物贮存、处置场污染控制标准）（GB18599-2001）等三项国家污染物控制标准修改单》（环境保护部公告2013年底36号）。</w:t>
            </w:r>
          </w:p>
        </w:tc>
      </w:tr>
      <w:tr>
        <w:tblPrEx>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87" w:hRule="atLeast"/>
          <w:jc w:val="center"/>
        </w:trPr>
        <w:tc>
          <w:tcPr>
            <w:tcW w:w="504" w:type="dxa"/>
            <w:noWrap w:val="0"/>
            <w:vAlign w:val="center"/>
          </w:tcPr>
          <w:p>
            <w:pPr>
              <w:jc w:val="center"/>
              <w:rPr>
                <w:rFonts w:ascii="Times New Roman" w:hAnsi="Times New Roman"/>
                <w:color w:val="000000"/>
                <w:sz w:val="24"/>
                <w:szCs w:val="24"/>
              </w:rPr>
            </w:pPr>
            <w:r>
              <w:rPr>
                <w:rFonts w:ascii="Times New Roman" w:hAnsi="Times New Roman"/>
                <w:color w:val="000000"/>
                <w:sz w:val="24"/>
                <w:szCs w:val="24"/>
              </w:rPr>
              <w:t>总量</w:t>
            </w:r>
          </w:p>
          <w:p>
            <w:pPr>
              <w:jc w:val="center"/>
              <w:rPr>
                <w:rFonts w:ascii="Times New Roman" w:hAnsi="Times New Roman"/>
                <w:color w:val="000000"/>
                <w:sz w:val="24"/>
                <w:szCs w:val="24"/>
              </w:rPr>
            </w:pPr>
            <w:r>
              <w:rPr>
                <w:rFonts w:ascii="Times New Roman" w:hAnsi="Times New Roman"/>
                <w:color w:val="000000"/>
                <w:sz w:val="24"/>
                <w:szCs w:val="24"/>
              </w:rPr>
              <w:t>控制</w:t>
            </w:r>
          </w:p>
          <w:p>
            <w:pPr>
              <w:jc w:val="center"/>
              <w:rPr>
                <w:rFonts w:ascii="Times New Roman" w:hAnsi="Times New Roman"/>
                <w:color w:val="000000"/>
                <w:sz w:val="24"/>
                <w:szCs w:val="24"/>
                <w:highlight w:val="yellow"/>
              </w:rPr>
            </w:pPr>
            <w:r>
              <w:rPr>
                <w:rFonts w:ascii="Times New Roman" w:hAnsi="Times New Roman"/>
                <w:color w:val="000000"/>
                <w:sz w:val="24"/>
                <w:szCs w:val="24"/>
              </w:rPr>
              <w:t>指标</w:t>
            </w:r>
          </w:p>
        </w:tc>
        <w:tc>
          <w:tcPr>
            <w:tcW w:w="8499" w:type="dxa"/>
            <w:noWrap w:val="0"/>
            <w:vAlign w:val="center"/>
          </w:tcPr>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rPr>
            </w:pPr>
            <w:r>
              <w:rPr>
                <w:rFonts w:hint="eastAsia" w:ascii="Times New Roman" w:hAnsi="Times New Roman"/>
                <w:color w:val="000000"/>
                <w:sz w:val="24"/>
                <w:lang w:val="en-US" w:eastAsia="zh-CN"/>
              </w:rPr>
              <w:t>本项目为土壤、地下水修复项目，无需申请总量</w:t>
            </w:r>
            <w:r>
              <w:rPr>
                <w:rFonts w:hint="eastAsia" w:ascii="Times New Roman" w:hAnsi="Times New Roman"/>
                <w:color w:val="000000"/>
                <w:sz w:val="24"/>
              </w:rPr>
              <w:t>控制指标</w:t>
            </w:r>
            <w:r>
              <w:rPr>
                <w:rFonts w:hint="eastAsia" w:ascii="Times New Roman" w:hAnsi="Times New Roman"/>
                <w:color w:val="000000"/>
                <w:kern w:val="0"/>
                <w:sz w:val="24"/>
                <w:szCs w:val="22"/>
              </w:rPr>
              <w:t>。</w:t>
            </w:r>
          </w:p>
          <w:p>
            <w:pPr>
              <w:pStyle w:val="8"/>
              <w:rPr>
                <w:rFonts w:hint="eastAsia"/>
                <w:color w:val="auto"/>
                <w:sz w:val="24"/>
              </w:rPr>
            </w:pPr>
          </w:p>
          <w:p>
            <w:pPr>
              <w:pStyle w:val="8"/>
              <w:rPr>
                <w:rFonts w:hint="eastAsia"/>
                <w:color w:val="auto"/>
                <w:sz w:val="24"/>
              </w:rPr>
            </w:pPr>
          </w:p>
          <w:p>
            <w:pPr>
              <w:pStyle w:val="8"/>
              <w:rPr>
                <w:rFonts w:hint="eastAsia"/>
                <w:color w:val="auto"/>
                <w:sz w:val="24"/>
              </w:rPr>
            </w:pPr>
          </w:p>
          <w:p>
            <w:pPr>
              <w:pStyle w:val="8"/>
              <w:rPr>
                <w:rFonts w:hint="eastAsia"/>
                <w:color w:val="auto"/>
                <w:sz w:val="24"/>
              </w:rPr>
            </w:pPr>
          </w:p>
          <w:p>
            <w:pPr>
              <w:pStyle w:val="8"/>
              <w:rPr>
                <w:rFonts w:hint="eastAsia"/>
                <w:color w:val="auto"/>
                <w:sz w:val="24"/>
              </w:rPr>
            </w:pPr>
          </w:p>
          <w:p>
            <w:pPr>
              <w:pStyle w:val="8"/>
              <w:rPr>
                <w:rFonts w:hint="eastAsia"/>
                <w:color w:val="auto"/>
                <w:sz w:val="24"/>
              </w:rPr>
            </w:pPr>
          </w:p>
          <w:p>
            <w:pPr>
              <w:pStyle w:val="8"/>
              <w:rPr>
                <w:rFonts w:hint="eastAsia"/>
                <w:color w:val="auto"/>
                <w:sz w:val="24"/>
              </w:rPr>
            </w:pPr>
          </w:p>
          <w:p>
            <w:pPr>
              <w:pStyle w:val="8"/>
              <w:rPr>
                <w:rFonts w:hint="eastAsia"/>
                <w:color w:val="auto"/>
                <w:sz w:val="24"/>
              </w:rPr>
            </w:pPr>
          </w:p>
          <w:p>
            <w:pPr>
              <w:pStyle w:val="26"/>
              <w:ind w:firstLine="0" w:firstLineChars="0"/>
              <w:rPr>
                <w:rFonts w:ascii="Times New Roman" w:hAnsi="Times New Roman"/>
                <w:color w:val="000000"/>
                <w:sz w:val="24"/>
                <w:highlight w:val="yellow"/>
              </w:rPr>
            </w:pPr>
          </w:p>
        </w:tc>
      </w:tr>
    </w:tbl>
    <w:p>
      <w:pPr>
        <w:pStyle w:val="4"/>
        <w:rPr>
          <w:rFonts w:ascii="Times New Roman" w:hAnsi="Times New Roman"/>
        </w:rPr>
      </w:pPr>
      <w:r>
        <w:rPr>
          <w:rFonts w:ascii="Times New Roman" w:hAnsi="Times New Roman"/>
        </w:rPr>
        <w:t>建设项目工程分析</w:t>
      </w:r>
    </w:p>
    <w:tbl>
      <w:tblPr>
        <w:tblStyle w:val="2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3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782" w:hRule="atLeast"/>
          <w:jc w:val="center"/>
        </w:trPr>
        <w:tc>
          <w:tcPr>
            <w:tcW w:w="936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Times New Roman" w:hAnsi="Times New Roman"/>
                <w:sz w:val="24"/>
                <w:szCs w:val="24"/>
              </w:rPr>
            </w:pPr>
            <w:r>
              <w:rPr>
                <w:rFonts w:ascii="Times New Roman" w:hAnsi="Times New Roman"/>
              </w:rPr>
              <w:t>工</w:t>
            </w:r>
            <w:r>
              <w:rPr>
                <w:rFonts w:ascii="Times New Roman" w:hAnsi="Times New Roman"/>
                <w:sz w:val="24"/>
                <w:szCs w:val="24"/>
              </w:rPr>
              <w:t>艺流程简述（如图）：</w:t>
            </w:r>
          </w:p>
          <w:p>
            <w:pPr>
              <w:spacing w:line="360" w:lineRule="auto"/>
              <w:ind w:firstLine="480" w:firstLineChars="200"/>
              <w:rPr>
                <w:rFonts w:hint="eastAsia" w:ascii="Times New Roman" w:hAnsi="Times New Roman"/>
                <w:bCs/>
                <w:sz w:val="24"/>
              </w:rPr>
            </w:pPr>
            <w:r>
              <w:rPr>
                <w:rFonts w:hint="eastAsia" w:ascii="Times New Roman" w:hAnsi="Times New Roman"/>
                <w:bCs/>
                <w:sz w:val="24"/>
              </w:rPr>
              <w:t>本项目为土壤</w:t>
            </w:r>
            <w:r>
              <w:rPr>
                <w:rFonts w:hint="eastAsia" w:ascii="Times New Roman" w:hAnsi="Times New Roman"/>
                <w:bCs/>
                <w:sz w:val="24"/>
                <w:lang w:eastAsia="zh-CN"/>
              </w:rPr>
              <w:t>、</w:t>
            </w:r>
            <w:r>
              <w:rPr>
                <w:rFonts w:hint="eastAsia" w:ascii="Times New Roman" w:hAnsi="Times New Roman"/>
                <w:bCs/>
                <w:sz w:val="24"/>
                <w:lang w:val="en-US" w:eastAsia="zh-CN"/>
              </w:rPr>
              <w:t>地下水</w:t>
            </w:r>
            <w:r>
              <w:rPr>
                <w:rFonts w:hint="eastAsia" w:ascii="Times New Roman" w:hAnsi="Times New Roman"/>
                <w:bCs/>
                <w:sz w:val="24"/>
              </w:rPr>
              <w:t>修复工程，本次评价针对</w:t>
            </w:r>
            <w:r>
              <w:rPr>
                <w:rFonts w:hint="eastAsia" w:ascii="Times New Roman" w:hAnsi="Times New Roman"/>
                <w:bCs/>
                <w:sz w:val="24"/>
                <w:lang w:val="en-US" w:eastAsia="zh-CN"/>
              </w:rPr>
              <w:t>芜湖市老船厂</w:t>
            </w:r>
            <w:r>
              <w:rPr>
                <w:rFonts w:hint="eastAsia" w:ascii="Times New Roman" w:hAnsi="Times New Roman"/>
                <w:bCs/>
                <w:sz w:val="24"/>
              </w:rPr>
              <w:t>土壤</w:t>
            </w:r>
            <w:r>
              <w:rPr>
                <w:rFonts w:hint="eastAsia" w:ascii="Times New Roman" w:hAnsi="Times New Roman"/>
                <w:bCs/>
                <w:sz w:val="24"/>
                <w:lang w:eastAsia="zh-CN"/>
              </w:rPr>
              <w:t>、</w:t>
            </w:r>
            <w:r>
              <w:rPr>
                <w:rFonts w:hint="eastAsia" w:ascii="Times New Roman" w:hAnsi="Times New Roman"/>
                <w:bCs/>
                <w:sz w:val="24"/>
                <w:lang w:val="en-US" w:eastAsia="zh-CN"/>
              </w:rPr>
              <w:t>地下水</w:t>
            </w:r>
            <w:r>
              <w:rPr>
                <w:rFonts w:hint="eastAsia" w:ascii="Times New Roman" w:hAnsi="Times New Roman"/>
                <w:bCs/>
                <w:sz w:val="24"/>
              </w:rPr>
              <w:t>修复过程中污染物的产排情况进行分析。根据《芜湖市造船厂原厂址二期地块场地治理与修复技术方案》，本项目重金属污染的土壤采取</w:t>
            </w:r>
            <w:r>
              <w:rPr>
                <w:rFonts w:hint="eastAsia" w:ascii="Times New Roman" w:hAnsi="Times New Roman"/>
                <w:bCs/>
                <w:sz w:val="24"/>
                <w:lang w:val="en-US" w:eastAsia="zh-CN"/>
              </w:rPr>
              <w:t>异地水泥窑协同处置</w:t>
            </w:r>
            <w:r>
              <w:rPr>
                <w:rFonts w:hint="eastAsia" w:ascii="Times New Roman" w:hAnsi="Times New Roman"/>
                <w:bCs/>
                <w:sz w:val="24"/>
              </w:rPr>
              <w:t>的修复方案</w:t>
            </w:r>
            <w:r>
              <w:rPr>
                <w:rFonts w:hint="eastAsia" w:ascii="Times New Roman" w:hAnsi="Times New Roman"/>
                <w:bCs/>
                <w:sz w:val="24"/>
                <w:lang w:eastAsia="zh-CN"/>
              </w:rPr>
              <w:t>，</w:t>
            </w:r>
            <w:r>
              <w:rPr>
                <w:rFonts w:hint="eastAsia" w:ascii="Times New Roman" w:hAnsi="Times New Roman"/>
                <w:bCs/>
                <w:sz w:val="24"/>
                <w:lang w:val="en-US" w:eastAsia="zh-CN"/>
              </w:rPr>
              <w:t>污染地下水使用抽出修复方案</w:t>
            </w:r>
            <w:r>
              <w:rPr>
                <w:rFonts w:hint="eastAsia" w:ascii="Times New Roman" w:hAnsi="Times New Roman"/>
                <w:bCs/>
                <w:sz w:val="24"/>
              </w:rPr>
              <w:t>。</w:t>
            </w:r>
          </w:p>
          <w:p>
            <w:pPr>
              <w:spacing w:line="360" w:lineRule="auto"/>
              <w:ind w:firstLine="480" w:firstLineChars="200"/>
              <w:rPr>
                <w:rFonts w:hint="eastAsia" w:ascii="Times New Roman" w:hAnsi="Times New Roman" w:eastAsia="宋体"/>
                <w:bCs/>
                <w:sz w:val="24"/>
                <w:lang w:val="en-US" w:eastAsia="zh-CN"/>
              </w:rPr>
            </w:pPr>
            <w:r>
              <w:rPr>
                <w:rFonts w:hint="eastAsia" w:ascii="Times New Roman" w:hAnsi="Times New Roman"/>
                <w:bCs/>
                <w:sz w:val="24"/>
                <w:lang w:val="en-US" w:eastAsia="zh-CN"/>
              </w:rPr>
              <w:t>1、土壤水泥窑协同处置修复路线及产污节点图：</w:t>
            </w:r>
          </w:p>
          <w:p>
            <w:pPr>
              <w:spacing w:line="360" w:lineRule="auto"/>
              <w:jc w:val="center"/>
              <w:rPr>
                <w:rFonts w:ascii="Times New Roman" w:hAnsi="Times New Roman"/>
                <w:bCs/>
                <w:sz w:val="24"/>
              </w:rPr>
            </w:pPr>
            <w:r>
              <w:drawing>
                <wp:inline distT="0" distB="0" distL="114300" distR="114300">
                  <wp:extent cx="4676775" cy="5257800"/>
                  <wp:effectExtent l="0" t="0" r="9525" b="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28"/>
                          <a:stretch>
                            <a:fillRect/>
                          </a:stretch>
                        </pic:blipFill>
                        <pic:spPr>
                          <a:xfrm>
                            <a:off x="0" y="0"/>
                            <a:ext cx="4676775" cy="5257800"/>
                          </a:xfrm>
                          <a:prstGeom prst="rect">
                            <a:avLst/>
                          </a:prstGeom>
                          <a:noFill/>
                          <a:ln>
                            <a:noFill/>
                          </a:ln>
                        </pic:spPr>
                      </pic:pic>
                    </a:graphicData>
                  </a:graphic>
                </wp:inline>
              </w:drawing>
            </w:r>
          </w:p>
          <w:p>
            <w:pPr>
              <w:pStyle w:val="12"/>
              <w:kinsoku w:val="0"/>
              <w:overflowPunct w:val="0"/>
              <w:spacing w:after="0" w:line="360" w:lineRule="auto"/>
              <w:ind w:firstLine="471"/>
              <w:rPr>
                <w:rFonts w:ascii="Times New Roman" w:hAnsi="Times New Roman"/>
                <w:sz w:val="24"/>
                <w:szCs w:val="24"/>
              </w:rPr>
            </w:pPr>
          </w:p>
          <w:p>
            <w:pPr>
              <w:pStyle w:val="12"/>
              <w:kinsoku w:val="0"/>
              <w:overflowPunct w:val="0"/>
              <w:spacing w:after="0" w:line="360" w:lineRule="auto"/>
              <w:ind w:firstLine="471"/>
              <w:jc w:val="center"/>
              <w:rPr>
                <w:rFonts w:ascii="Times New Roman" w:hAnsi="Times New Roman"/>
                <w:b/>
                <w:bCs/>
                <w:sz w:val="24"/>
                <w:szCs w:val="24"/>
              </w:rPr>
            </w:pPr>
            <w:r>
              <w:rPr>
                <w:rFonts w:hint="eastAsia" w:ascii="Times New Roman" w:hAnsi="Times New Roman"/>
                <w:b/>
                <w:bCs/>
                <w:sz w:val="24"/>
                <w:szCs w:val="24"/>
              </w:rPr>
              <w:t>图</w:t>
            </w:r>
            <w:r>
              <w:rPr>
                <w:rFonts w:hint="eastAsia" w:ascii="Times New Roman" w:hAnsi="Times New Roman"/>
                <w:b/>
                <w:bCs/>
                <w:sz w:val="24"/>
                <w:szCs w:val="24"/>
                <w:lang w:val="en-US" w:eastAsia="zh-CN"/>
              </w:rPr>
              <w:t>5</w:t>
            </w:r>
            <w:r>
              <w:rPr>
                <w:rFonts w:hint="eastAsia" w:ascii="Times New Roman" w:hAnsi="Times New Roman"/>
                <w:b/>
                <w:bCs/>
                <w:sz w:val="24"/>
                <w:szCs w:val="24"/>
              </w:rPr>
              <w:t>-1土壤水泥窑协同处置修复</w:t>
            </w:r>
            <w:r>
              <w:rPr>
                <w:rFonts w:hint="eastAsia" w:ascii="Times New Roman" w:hAnsi="Times New Roman"/>
                <w:b/>
                <w:bCs/>
                <w:sz w:val="24"/>
                <w:szCs w:val="24"/>
                <w:lang w:val="en-US" w:eastAsia="zh-CN"/>
              </w:rPr>
              <w:t>路线及产污节点</w:t>
            </w:r>
            <w:r>
              <w:rPr>
                <w:rFonts w:hint="eastAsia" w:ascii="Times New Roman" w:hAnsi="Times New Roman"/>
                <w:b/>
                <w:bCs/>
                <w:sz w:val="24"/>
                <w:szCs w:val="24"/>
              </w:rPr>
              <w:t>图</w:t>
            </w:r>
          </w:p>
          <w:p>
            <w:pPr>
              <w:pStyle w:val="12"/>
              <w:kinsoku w:val="0"/>
              <w:overflowPunct w:val="0"/>
              <w:spacing w:after="0" w:line="360" w:lineRule="auto"/>
              <w:ind w:firstLine="471"/>
              <w:rPr>
                <w:rFonts w:ascii="Times New Roman" w:hAnsi="Times New Roman"/>
                <w:sz w:val="24"/>
                <w:szCs w:val="24"/>
              </w:rPr>
            </w:pPr>
          </w:p>
          <w:p>
            <w:pPr>
              <w:pStyle w:val="12"/>
              <w:kinsoku w:val="0"/>
              <w:overflowPunct w:val="0"/>
              <w:spacing w:after="0" w:line="360" w:lineRule="auto"/>
              <w:ind w:firstLine="471"/>
              <w:rPr>
                <w:rFonts w:hint="eastAsia" w:ascii="Times New Roman" w:hAnsi="Times New Roman"/>
                <w:sz w:val="24"/>
                <w:szCs w:val="24"/>
              </w:rPr>
            </w:pP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（1）清挖准备</w:t>
            </w: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本项目需要外运处置的土方量约为8221.5m</w:t>
            </w:r>
            <w:r>
              <w:rPr>
                <w:rFonts w:hint="eastAsia" w:ascii="Times New Roman" w:hAnsi="Times New Roman"/>
                <w:sz w:val="24"/>
                <w:szCs w:val="24"/>
                <w:vertAlign w:val="superscript"/>
              </w:rPr>
              <w:t>3</w:t>
            </w:r>
            <w:r>
              <w:rPr>
                <w:rFonts w:hint="eastAsia" w:ascii="Times New Roman" w:hAnsi="Times New Roman"/>
                <w:sz w:val="24"/>
                <w:szCs w:val="24"/>
              </w:rPr>
              <w:t>，由于存在重金属和有机污染物，需进行吨袋装包后装车外运，现场拟计划白天清挖、装袋，晚上统一外运，土方开挖平均日出土量取决于现场吨袋包装的量。</w:t>
            </w: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（2）清挖操作要求</w:t>
            </w: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开挖施工前需在监理单位旁站下，对现场基坑进行测量放线，放线完毕经监理验线合格之后，方可对该区基坑进行开挖施工。按照污染边界范围开挖到位之后，由施工单位对开挖基坑侧壁进行采样自检和验收。所有开挖完成的土壤现场装包，进入后续外运处置流程。</w:t>
            </w: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（3）污染土外运及计量</w:t>
            </w: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针对本项目污染土采取吨袋包装，利用平板挂车运输；污染土壤入袋、装车后，扎好雨布，防止遗撒和淋雨，进行全封闭运输。</w:t>
            </w: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（4）土壤运输</w:t>
            </w: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土壤运输管理执行联单管理制度，专人负责出、入土的交接和登记。污染土壤运输车辆由项目部指定专门人员负责管理，车辆统一编号，并发放污染土壤运输单，经监理核实后，运至指定单位的接收地点，具体实施顺序为：发放污染土壤运输单→出场核实一过程监控一卸土及核实。运输司机、土壤装载方、接收方和监督方都必须填写污染土壤运输单。车辆出发、达到接受监督方的监督和管理，土壤运输单均由监理方参与签发和签收，以严格控制土壤运输流程。每天通过过磅统计外运的污染土壤重量，以便和最终接受地一起对比，确保污染土壤运输过程中不丢失。</w:t>
            </w: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（5）土壤接收和储存</w:t>
            </w:r>
          </w:p>
          <w:p>
            <w:pPr>
              <w:pStyle w:val="12"/>
              <w:kinsoku w:val="0"/>
              <w:overflowPunct w:val="0"/>
              <w:spacing w:after="0" w:line="360" w:lineRule="auto"/>
              <w:ind w:firstLine="471"/>
              <w:rPr>
                <w:rFonts w:hint="eastAsia" w:ascii="Times New Roman" w:hAnsi="Times New Roman" w:eastAsia="宋体"/>
                <w:sz w:val="24"/>
                <w:szCs w:val="24"/>
                <w:lang w:eastAsia="zh-CN"/>
              </w:rPr>
            </w:pPr>
            <w:r>
              <w:rPr>
                <w:rFonts w:hint="eastAsia" w:ascii="Times New Roman" w:hAnsi="Times New Roman"/>
                <w:sz w:val="24"/>
                <w:szCs w:val="24"/>
              </w:rPr>
              <w:t>水泥窑厂具备全封闭预均化污染土车间，土车间防渗采用刚性防渗结构，底部选用水泥基渗透结晶型防渗材料和人工合成有机防渗材料作为主要的防渗系统材料，其防渗透系数可到达1.0×10</w:t>
            </w:r>
            <w:r>
              <w:rPr>
                <w:rFonts w:hint="eastAsia" w:ascii="Times New Roman" w:hAnsi="Times New Roman"/>
                <w:sz w:val="24"/>
                <w:szCs w:val="24"/>
                <w:vertAlign w:val="superscript"/>
                <w:lang w:val="en-US" w:eastAsia="zh-CN"/>
              </w:rPr>
              <w:t>-8</w:t>
            </w:r>
            <w:r>
              <w:rPr>
                <w:rFonts w:hint="eastAsia" w:ascii="Times New Roman" w:hAnsi="Times New Roman"/>
                <w:sz w:val="24"/>
                <w:szCs w:val="24"/>
              </w:rPr>
              <w:t>cm/s《地下防水工程质量验收规范》（GB50208-2011）</w:t>
            </w:r>
            <w:r>
              <w:rPr>
                <w:rFonts w:hint="eastAsia" w:ascii="Times New Roman" w:hAnsi="Times New Roman"/>
                <w:sz w:val="24"/>
                <w:szCs w:val="24"/>
                <w:lang w:eastAsia="zh-CN"/>
              </w:rPr>
              <w:t>。</w:t>
            </w: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（6）水泥窑协同处置</w:t>
            </w: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lang w:eastAsia="zh-CN"/>
              </w:rPr>
              <w:t>水泥窑</w:t>
            </w:r>
            <w:r>
              <w:rPr>
                <w:rFonts w:hint="eastAsia" w:ascii="Times New Roman" w:hAnsi="Times New Roman"/>
                <w:sz w:val="24"/>
                <w:szCs w:val="24"/>
              </w:rPr>
              <w:t>协同处置是指将满足或经过预处理后满足入密要求的固体废物投入</w:t>
            </w:r>
            <w:r>
              <w:rPr>
                <w:rFonts w:hint="eastAsia" w:ascii="Times New Roman" w:hAnsi="Times New Roman"/>
                <w:sz w:val="24"/>
                <w:szCs w:val="24"/>
                <w:lang w:eastAsia="zh-CN"/>
              </w:rPr>
              <w:t>水泥窑</w:t>
            </w:r>
            <w:r>
              <w:rPr>
                <w:rFonts w:hint="eastAsia" w:ascii="Times New Roman" w:hAnsi="Times New Roman"/>
                <w:sz w:val="24"/>
                <w:szCs w:val="24"/>
              </w:rPr>
              <w:t>，在进行水泥熟料生产的同时实现对固体废物的无害化处置过程。利用水泥回转窑内温度高、气体停留时间长、热容量大、热稳定性好、碱性。环境、无废渣排放等特点，在生产水泥熟料的同时，焚烧固化处理污染土壤。有机物污染土壤从密尾烟气室进入水泥回转密，密内气相温度最高可达1750℃，物料温度约为1450℃，在水泥窑的高温条件下，污染土壤中的有机污染物转化为无机化合物，高温气流与高细度、高浓度、高吸附性、高均匀性分布的碱性物料（CaO</w:t>
            </w:r>
            <w:r>
              <w:rPr>
                <w:rFonts w:hint="eastAsia" w:ascii="Times New Roman" w:hAnsi="Times New Roman"/>
                <w:sz w:val="24"/>
                <w:szCs w:val="24"/>
                <w:lang w:eastAsia="zh-CN"/>
              </w:rPr>
              <w:t>、</w:t>
            </w:r>
            <w:r>
              <w:rPr>
                <w:rFonts w:hint="eastAsia" w:ascii="Times New Roman" w:hAnsi="Times New Roman"/>
                <w:sz w:val="24"/>
                <w:szCs w:val="24"/>
              </w:rPr>
              <w:t>Ca</w:t>
            </w:r>
            <w:r>
              <w:rPr>
                <w:rFonts w:hint="eastAsia" w:ascii="Times New Roman" w:hAnsi="Times New Roman"/>
                <w:sz w:val="24"/>
                <w:szCs w:val="24"/>
                <w:lang w:val="en-US" w:eastAsia="zh-CN"/>
              </w:rPr>
              <w:t>CO</w:t>
            </w:r>
            <w:r>
              <w:rPr>
                <w:rFonts w:hint="eastAsia" w:ascii="Times New Roman" w:hAnsi="Times New Roman"/>
                <w:sz w:val="24"/>
                <w:szCs w:val="24"/>
              </w:rPr>
              <w:t>3等）充分接触，有效地抑制酸性物质的排放，使得焚烧气体等转化成无机盐类固定下来。</w:t>
            </w:r>
          </w:p>
          <w:p>
            <w:pPr>
              <w:pStyle w:val="12"/>
              <w:kinsoku w:val="0"/>
              <w:overflowPunct w:val="0"/>
              <w:spacing w:after="0" w:line="360" w:lineRule="auto"/>
              <w:ind w:firstLine="471"/>
              <w:rPr>
                <w:rFonts w:hint="default" w:ascii="Times New Roman" w:hAnsi="Times New Roman"/>
                <w:sz w:val="24"/>
                <w:szCs w:val="24"/>
                <w:lang w:val="zh-CN"/>
              </w:rPr>
            </w:pPr>
            <w:r>
              <w:rPr>
                <w:rFonts w:hint="default" w:ascii="Times New Roman" w:hAnsi="Times New Roman"/>
                <w:sz w:val="24"/>
                <w:szCs w:val="24"/>
                <w:lang w:val="zh-CN"/>
              </w:rPr>
              <w:t>工艺参数</w:t>
            </w:r>
          </w:p>
          <w:p>
            <w:pPr>
              <w:pStyle w:val="12"/>
              <w:kinsoku w:val="0"/>
              <w:overflowPunct w:val="0"/>
              <w:spacing w:after="0" w:line="360" w:lineRule="auto"/>
              <w:ind w:firstLine="471"/>
              <w:rPr>
                <w:rFonts w:hint="default" w:ascii="Times New Roman" w:hAnsi="Times New Roman"/>
                <w:sz w:val="24"/>
                <w:szCs w:val="24"/>
                <w:lang w:val="zh-CN"/>
              </w:rPr>
            </w:pPr>
            <w:r>
              <w:rPr>
                <w:rFonts w:hint="eastAsia" w:ascii="Times New Roman" w:hAnsi="Times New Roman"/>
                <w:sz w:val="24"/>
                <w:szCs w:val="24"/>
                <w:lang w:val="zh-CN"/>
              </w:rPr>
              <w:t>水泥窑</w:t>
            </w:r>
            <w:r>
              <w:rPr>
                <w:rFonts w:hint="default" w:ascii="Times New Roman" w:hAnsi="Times New Roman"/>
                <w:sz w:val="24"/>
                <w:szCs w:val="24"/>
                <w:lang w:val="zh-CN"/>
              </w:rPr>
              <w:t>焚烧的具体工艺参数如下所述：</w:t>
            </w:r>
          </w:p>
          <w:p>
            <w:pPr>
              <w:pStyle w:val="12"/>
              <w:kinsoku w:val="0"/>
              <w:overflowPunct w:val="0"/>
              <w:spacing w:after="0" w:line="360" w:lineRule="auto"/>
              <w:ind w:firstLine="471"/>
              <w:rPr>
                <w:rFonts w:hint="default" w:ascii="Times New Roman" w:hAnsi="Times New Roman"/>
                <w:sz w:val="24"/>
                <w:szCs w:val="24"/>
                <w:lang w:val="zh-CN"/>
              </w:rPr>
            </w:pPr>
            <w:r>
              <w:rPr>
                <w:rFonts w:hint="default" w:ascii="Times New Roman" w:hAnsi="Times New Roman"/>
                <w:sz w:val="24"/>
                <w:szCs w:val="24"/>
                <w:lang w:val="zh-CN"/>
              </w:rPr>
              <w:t>①由于掺合料焚烧的要求，水泥回转密内温度可达1500℃以上，气体最高温度可以达到2000℃以上，在如此高温下废弃物中主要有机物的有害成分焚毁率可达99.99%以上。</w:t>
            </w:r>
          </w:p>
          <w:p>
            <w:pPr>
              <w:pStyle w:val="12"/>
              <w:kinsoku w:val="0"/>
              <w:overflowPunct w:val="0"/>
              <w:spacing w:after="0" w:line="360" w:lineRule="auto"/>
              <w:ind w:firstLine="471"/>
              <w:rPr>
                <w:rFonts w:hint="default" w:ascii="Times New Roman" w:hAnsi="Times New Roman"/>
                <w:sz w:val="24"/>
                <w:szCs w:val="24"/>
                <w:lang w:val="zh-CN"/>
              </w:rPr>
            </w:pPr>
            <w:r>
              <w:rPr>
                <w:rFonts w:hint="default" w:ascii="Times New Roman" w:hAnsi="Times New Roman"/>
                <w:sz w:val="24"/>
                <w:szCs w:val="24"/>
                <w:lang w:val="zh-CN"/>
              </w:rPr>
              <w:t>②拟采用的</w:t>
            </w:r>
            <w:r>
              <w:rPr>
                <w:rFonts w:hint="eastAsia" w:ascii="Times New Roman" w:hAnsi="Times New Roman"/>
                <w:sz w:val="24"/>
                <w:szCs w:val="24"/>
                <w:lang w:val="zh-CN"/>
              </w:rPr>
              <w:t>水泥窑</w:t>
            </w:r>
            <w:r>
              <w:rPr>
                <w:rFonts w:hint="default" w:ascii="Times New Roman" w:hAnsi="Times New Roman"/>
                <w:sz w:val="24"/>
                <w:szCs w:val="24"/>
                <w:lang w:val="zh-CN"/>
              </w:rPr>
              <w:t>是一个旋转的简体，以每小时120-180转的速度旋转，焚烧空间很大。不仅可以接受处理大量的废料，而且可以维持均匀的、稳定的焚烧气氛。</w:t>
            </w:r>
          </w:p>
          <w:p>
            <w:pPr>
              <w:pStyle w:val="12"/>
              <w:kinsoku w:val="0"/>
              <w:overflowPunct w:val="0"/>
              <w:spacing w:after="0" w:line="360" w:lineRule="auto"/>
              <w:ind w:firstLine="471"/>
              <w:rPr>
                <w:rFonts w:hint="default" w:ascii="Times New Roman" w:hAnsi="Times New Roman"/>
                <w:sz w:val="24"/>
                <w:szCs w:val="24"/>
                <w:lang w:val="zh-CN"/>
              </w:rPr>
            </w:pPr>
            <w:r>
              <w:rPr>
                <w:rFonts w:hint="default" w:ascii="Times New Roman" w:hAnsi="Times New Roman"/>
                <w:sz w:val="24"/>
                <w:szCs w:val="24"/>
                <w:lang w:val="zh-CN"/>
              </w:rPr>
              <w:t>③由于水泥回转密简体较长，斜度小，旋转速度低，物料在炉中高温下停留时间长，物料从炉尾到炉头总停留大于45min；气体在高于1400℃温度的停留时间大于4s，焚烧停留时间长。</w:t>
            </w:r>
          </w:p>
          <w:p>
            <w:pPr>
              <w:pStyle w:val="12"/>
              <w:kinsoku w:val="0"/>
              <w:overflowPunct w:val="0"/>
              <w:spacing w:after="0" w:line="360" w:lineRule="auto"/>
              <w:ind w:firstLine="471"/>
              <w:rPr>
                <w:rFonts w:hint="default" w:ascii="Times New Roman" w:hAnsi="Times New Roman"/>
                <w:sz w:val="24"/>
                <w:szCs w:val="24"/>
                <w:lang w:val="zh-CN"/>
              </w:rPr>
            </w:pPr>
            <w:r>
              <w:rPr>
                <w:rFonts w:hint="default" w:ascii="Times New Roman" w:hAnsi="Times New Roman"/>
                <w:sz w:val="24"/>
                <w:szCs w:val="24"/>
                <w:lang w:val="zh-CN"/>
              </w:rPr>
              <w:t>④由于水泥回转窑具有处理温度高、焚烧空间大、热容量大以及焚烧停留时间长等特点，加之水泥回转密运转率高（一般年运转率大于90%），决定了水泥回转窑的废物处理规模较大。其热稳定性和抗波动能力不断加强，从而在处理废弃物的规模和采用可替代原燃料的数量也有较大的空间。</w:t>
            </w:r>
          </w:p>
          <w:p>
            <w:pPr>
              <w:pStyle w:val="12"/>
              <w:kinsoku w:val="0"/>
              <w:overflowPunct w:val="0"/>
              <w:spacing w:after="0" w:line="360" w:lineRule="auto"/>
              <w:ind w:firstLine="471"/>
              <w:rPr>
                <w:rFonts w:hint="default" w:ascii="Times New Roman" w:hAnsi="Times New Roman"/>
                <w:sz w:val="24"/>
                <w:szCs w:val="24"/>
                <w:lang w:val="zh-CN"/>
              </w:rPr>
            </w:pPr>
            <w:r>
              <w:rPr>
                <w:rFonts w:hint="default" w:ascii="Times New Roman" w:hAnsi="Times New Roman"/>
                <w:sz w:val="24"/>
                <w:szCs w:val="24"/>
                <w:lang w:val="zh-CN"/>
              </w:rPr>
              <w:t>⑤水泥回转密内呈碱性气氛，一方面能对燃烧有机污染物后产生的酸性物质（如HC</w:t>
            </w:r>
            <w:r>
              <w:rPr>
                <w:rFonts w:hint="eastAsia" w:ascii="Times New Roman" w:hAnsi="Times New Roman"/>
                <w:sz w:val="24"/>
                <w:szCs w:val="24"/>
                <w:lang w:val="en-US" w:eastAsia="zh-CN"/>
              </w:rPr>
              <w:t>L</w:t>
            </w:r>
            <w:r>
              <w:rPr>
                <w:rFonts w:hint="default" w:ascii="Times New Roman" w:hAnsi="Times New Roman"/>
                <w:sz w:val="24"/>
                <w:szCs w:val="24"/>
                <w:lang w:val="zh-CN"/>
              </w:rPr>
              <w:t>、SO</w:t>
            </w:r>
            <w:r>
              <w:rPr>
                <w:rFonts w:hint="default" w:ascii="Times New Roman" w:hAnsi="Times New Roman"/>
                <w:sz w:val="24"/>
                <w:szCs w:val="24"/>
                <w:vertAlign w:val="subscript"/>
                <w:lang w:val="zh-CN"/>
              </w:rPr>
              <w:t>2</w:t>
            </w:r>
            <w:r>
              <w:rPr>
                <w:rFonts w:hint="default" w:ascii="Times New Roman" w:hAnsi="Times New Roman"/>
                <w:sz w:val="24"/>
                <w:szCs w:val="24"/>
                <w:lang w:val="zh-CN"/>
              </w:rPr>
              <w:t>和CO</w:t>
            </w:r>
            <w:r>
              <w:rPr>
                <w:rFonts w:hint="default" w:ascii="Times New Roman" w:hAnsi="Times New Roman"/>
                <w:sz w:val="24"/>
                <w:szCs w:val="24"/>
                <w:vertAlign w:val="subscript"/>
                <w:lang w:val="zh-CN"/>
              </w:rPr>
              <w:t>2</w:t>
            </w:r>
            <w:r>
              <w:rPr>
                <w:rFonts w:hint="default" w:ascii="Times New Roman" w:hAnsi="Times New Roman"/>
                <w:sz w:val="24"/>
                <w:szCs w:val="24"/>
                <w:lang w:val="zh-CN"/>
              </w:rPr>
              <w:t>等）起中和作用，使它们变成盐类固定下来，可避免普通焚烧炉燃烧废气产生的二次污染问题。</w:t>
            </w:r>
          </w:p>
          <w:p>
            <w:pPr>
              <w:pStyle w:val="12"/>
              <w:kinsoku w:val="0"/>
              <w:overflowPunct w:val="0"/>
              <w:spacing w:after="0" w:line="360" w:lineRule="auto"/>
              <w:ind w:firstLine="471"/>
              <w:rPr>
                <w:rFonts w:hint="default" w:ascii="Times New Roman" w:hAnsi="Times New Roman" w:eastAsia="宋体"/>
                <w:b/>
                <w:bCs/>
                <w:sz w:val="24"/>
                <w:szCs w:val="24"/>
                <w:lang w:val="en-US" w:eastAsia="zh-CN"/>
              </w:rPr>
            </w:pPr>
            <w:r>
              <w:rPr>
                <w:rFonts w:hint="eastAsia" w:ascii="Times New Roman" w:hAnsi="Times New Roman"/>
                <w:b/>
                <w:bCs/>
                <w:sz w:val="24"/>
                <w:szCs w:val="24"/>
                <w:lang w:val="en-US" w:eastAsia="zh-CN"/>
              </w:rPr>
              <w:t>本项目污染土壤外运至芜湖海创环保科技有限责任公司进行处置，不在本项目地处置。</w:t>
            </w:r>
          </w:p>
          <w:p>
            <w:pPr>
              <w:pStyle w:val="12"/>
              <w:kinsoku w:val="0"/>
              <w:overflowPunct w:val="0"/>
              <w:spacing w:after="0" w:line="360" w:lineRule="auto"/>
              <w:ind w:firstLine="471"/>
              <w:rPr>
                <w:rFonts w:hint="default" w:ascii="Times New Roman" w:hAnsi="Times New Roman" w:eastAsia="宋体"/>
                <w:sz w:val="24"/>
                <w:szCs w:val="24"/>
                <w:lang w:val="en-US" w:eastAsia="zh-CN"/>
              </w:rPr>
            </w:pPr>
            <w:r>
              <w:rPr>
                <w:rFonts w:hint="eastAsia" w:ascii="Times New Roman" w:hAnsi="Times New Roman"/>
                <w:sz w:val="24"/>
                <w:szCs w:val="24"/>
                <w:lang w:val="en-US" w:eastAsia="zh-CN"/>
              </w:rPr>
              <w:t>2、地下水抽出处理技术修复技术流程图</w:t>
            </w:r>
          </w:p>
          <w:p>
            <w:pPr>
              <w:pStyle w:val="12"/>
              <w:kinsoku w:val="0"/>
              <w:overflowPunct w:val="0"/>
              <w:spacing w:after="0" w:line="360" w:lineRule="auto"/>
              <w:ind w:firstLine="471"/>
              <w:jc w:val="center"/>
              <w:rPr>
                <w:rFonts w:ascii="Times New Roman" w:hAnsi="Times New Roman"/>
                <w:sz w:val="24"/>
                <w:szCs w:val="24"/>
              </w:rPr>
            </w:pPr>
            <w:r>
              <w:drawing>
                <wp:inline distT="0" distB="0" distL="114300" distR="114300">
                  <wp:extent cx="2633980" cy="5233670"/>
                  <wp:effectExtent l="0" t="0" r="13970" b="508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29"/>
                          <a:stretch>
                            <a:fillRect/>
                          </a:stretch>
                        </pic:blipFill>
                        <pic:spPr>
                          <a:xfrm>
                            <a:off x="0" y="0"/>
                            <a:ext cx="2633980" cy="5233670"/>
                          </a:xfrm>
                          <a:prstGeom prst="rect">
                            <a:avLst/>
                          </a:prstGeom>
                          <a:noFill/>
                          <a:ln>
                            <a:noFill/>
                          </a:ln>
                        </pic:spPr>
                      </pic:pic>
                    </a:graphicData>
                  </a:graphic>
                </wp:inline>
              </w:drawing>
            </w:r>
          </w:p>
          <w:p>
            <w:pPr>
              <w:pStyle w:val="12"/>
              <w:kinsoku w:val="0"/>
              <w:overflowPunct w:val="0"/>
              <w:spacing w:after="0" w:line="360" w:lineRule="auto"/>
              <w:ind w:firstLine="471"/>
              <w:jc w:val="center"/>
              <w:rPr>
                <w:rFonts w:ascii="Times New Roman" w:hAnsi="Times New Roman"/>
                <w:b/>
                <w:bCs/>
                <w:sz w:val="24"/>
                <w:szCs w:val="24"/>
              </w:rPr>
            </w:pPr>
            <w:r>
              <w:rPr>
                <w:rFonts w:hint="eastAsia" w:ascii="Times New Roman" w:hAnsi="Times New Roman"/>
                <w:b/>
                <w:bCs/>
                <w:sz w:val="24"/>
                <w:szCs w:val="24"/>
              </w:rPr>
              <w:t>图</w:t>
            </w:r>
            <w:r>
              <w:rPr>
                <w:rFonts w:hint="eastAsia" w:ascii="Times New Roman" w:hAnsi="Times New Roman"/>
                <w:b/>
                <w:bCs/>
                <w:sz w:val="24"/>
                <w:szCs w:val="24"/>
                <w:lang w:val="en-US" w:eastAsia="zh-CN"/>
              </w:rPr>
              <w:t>5</w:t>
            </w:r>
            <w:r>
              <w:rPr>
                <w:rFonts w:hint="eastAsia" w:ascii="Times New Roman" w:hAnsi="Times New Roman"/>
                <w:b/>
                <w:bCs/>
                <w:sz w:val="24"/>
                <w:szCs w:val="24"/>
              </w:rPr>
              <w:t>-</w:t>
            </w:r>
            <w:r>
              <w:rPr>
                <w:rFonts w:hint="eastAsia" w:ascii="Times New Roman" w:hAnsi="Times New Roman"/>
                <w:b/>
                <w:bCs/>
                <w:sz w:val="24"/>
                <w:szCs w:val="24"/>
                <w:lang w:val="en-US" w:eastAsia="zh-CN"/>
              </w:rPr>
              <w:t>2地下水抽出</w:t>
            </w:r>
            <w:r>
              <w:rPr>
                <w:rFonts w:hint="eastAsia" w:ascii="Times New Roman" w:hAnsi="Times New Roman"/>
                <w:b/>
                <w:bCs/>
                <w:sz w:val="24"/>
                <w:szCs w:val="24"/>
              </w:rPr>
              <w:t>修复</w:t>
            </w:r>
            <w:r>
              <w:rPr>
                <w:rFonts w:hint="eastAsia" w:ascii="Times New Roman" w:hAnsi="Times New Roman"/>
                <w:b/>
                <w:bCs/>
                <w:sz w:val="24"/>
                <w:szCs w:val="24"/>
                <w:lang w:val="en-US" w:eastAsia="zh-CN"/>
              </w:rPr>
              <w:t>路线及产污节点</w:t>
            </w:r>
            <w:r>
              <w:rPr>
                <w:rFonts w:hint="eastAsia" w:ascii="Times New Roman" w:hAnsi="Times New Roman"/>
                <w:b/>
                <w:bCs/>
                <w:sz w:val="24"/>
                <w:szCs w:val="24"/>
              </w:rPr>
              <w:t>图</w:t>
            </w:r>
          </w:p>
          <w:p>
            <w:pPr>
              <w:pStyle w:val="12"/>
              <w:kinsoku w:val="0"/>
              <w:overflowPunct w:val="0"/>
              <w:spacing w:after="0" w:line="360" w:lineRule="auto"/>
              <w:ind w:firstLine="471"/>
              <w:rPr>
                <w:rFonts w:ascii="Times New Roman" w:hAnsi="Times New Roman"/>
                <w:sz w:val="24"/>
                <w:szCs w:val="24"/>
              </w:rPr>
            </w:pP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（1）捕获区分析和优化系统设计</w:t>
            </w: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通过数学模型来计算捕获区、分析地下水流场、计算地下水抽出时间。对于相对复杂的污染地下水含水层，通过数学模型可以模拟抽出处理方法、设计地下水监测系统和监测频率。</w:t>
            </w: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（2）建立地下水控制系统</w:t>
            </w: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①把污染源和地下水污染羽去除相结合，分阶段建立抽出井群系统，通过前期井群建立获取监测数据分析含水层抽出效果，指导后续井群选址；②安装抽水泵；③脉冲式抽取地下水，通过抽取最少量地下水达到最优的污染物去除效率。</w:t>
            </w:r>
          </w:p>
          <w:p>
            <w:pPr>
              <w:pStyle w:val="12"/>
              <w:kinsoku w:val="0"/>
              <w:overflowPunct w:val="0"/>
              <w:spacing w:after="0" w:line="360" w:lineRule="auto"/>
              <w:ind w:firstLine="471"/>
              <w:rPr>
                <w:rFonts w:hint="eastAsia" w:ascii="Times New Roman" w:hAnsi="Times New Roman"/>
                <w:sz w:val="24"/>
                <w:szCs w:val="24"/>
              </w:rPr>
            </w:pPr>
            <w:r>
              <w:rPr>
                <w:rFonts w:hint="eastAsia" w:ascii="Times New Roman" w:hAnsi="Times New Roman"/>
                <w:sz w:val="24"/>
                <w:szCs w:val="24"/>
              </w:rPr>
              <w:t>（3）处理抽出污染地下水</w:t>
            </w:r>
          </w:p>
          <w:p>
            <w:pPr>
              <w:pStyle w:val="12"/>
              <w:kinsoku w:val="0"/>
              <w:overflowPunct w:val="0"/>
              <w:spacing w:after="0" w:line="360" w:lineRule="auto"/>
              <w:ind w:firstLine="471"/>
              <w:rPr>
                <w:rFonts w:ascii="Times New Roman" w:hAnsi="Times New Roman"/>
                <w:sz w:val="24"/>
                <w:szCs w:val="24"/>
              </w:rPr>
            </w:pPr>
            <w:r>
              <w:rPr>
                <w:rFonts w:hint="eastAsia" w:ascii="Times New Roman" w:hAnsi="Times New Roman"/>
                <w:sz w:val="24"/>
                <w:szCs w:val="24"/>
              </w:rPr>
              <w:t>选择适当的处理设备和处理方法处理受污染地下水。</w:t>
            </w:r>
          </w:p>
          <w:p>
            <w:pPr>
              <w:pStyle w:val="12"/>
              <w:kinsoku w:val="0"/>
              <w:overflowPunct w:val="0"/>
              <w:spacing w:after="0" w:line="360" w:lineRule="auto"/>
              <w:ind w:firstLine="471"/>
              <w:rPr>
                <w:rFonts w:hint="default" w:ascii="Times New Roman" w:hAnsi="Times New Roman" w:eastAsia="宋体"/>
                <w:sz w:val="24"/>
                <w:szCs w:val="24"/>
                <w:lang w:val="en-US" w:eastAsia="zh-CN"/>
              </w:rPr>
            </w:pPr>
            <w:r>
              <w:rPr>
                <w:rFonts w:hint="eastAsia" w:ascii="Times New Roman" w:hAnsi="Times New Roman"/>
                <w:sz w:val="24"/>
                <w:szCs w:val="24"/>
                <w:lang w:val="en-US" w:eastAsia="zh-CN"/>
              </w:rPr>
              <w:t>3、污水处理站处理工艺流程图</w:t>
            </w:r>
          </w:p>
          <w:p>
            <w:pPr>
              <w:pStyle w:val="12"/>
              <w:kinsoku w:val="0"/>
              <w:overflowPunct w:val="0"/>
              <w:spacing w:after="0" w:line="360" w:lineRule="auto"/>
              <w:jc w:val="center"/>
            </w:pPr>
            <w:r>
              <w:drawing>
                <wp:inline distT="0" distB="0" distL="114300" distR="114300">
                  <wp:extent cx="5339715" cy="3864610"/>
                  <wp:effectExtent l="0" t="0" r="13335" b="254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30"/>
                          <a:stretch>
                            <a:fillRect/>
                          </a:stretch>
                        </pic:blipFill>
                        <pic:spPr>
                          <a:xfrm>
                            <a:off x="0" y="0"/>
                            <a:ext cx="5339715" cy="386461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lang w:val="en-US" w:eastAsia="zh-CN"/>
              </w:rPr>
            </w:pPr>
            <w:r>
              <w:rPr>
                <w:rFonts w:hint="default" w:ascii="Times New Roman" w:hAnsi="Times New Roman" w:cs="Times New Roman"/>
                <w:b/>
                <w:bCs/>
                <w:sz w:val="24"/>
                <w:szCs w:val="24"/>
                <w:lang w:val="en-US" w:eastAsia="zh-CN"/>
              </w:rPr>
              <w:t>图5-3  污水处理站处理工艺流程图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废水首先进入调节池，在调节池中起到均质均量的目的，同时将废水中的浮油收集进入浮油收集槽中，均质均量后的废水通过提升泵进入破乳槽中，对废水进行破乳处理，使其中的乳化油转化成为浮油，破乳后的废水自流进入气浮设备，将油和水进行分离，上部的浮油通过刮渣小车刮入浮渣收集槽中，清水通过水泵泵入两级活性炭过滤器中进行高效吸附，最终出水达标排放。</w:t>
            </w:r>
          </w:p>
          <w:p>
            <w:pPr>
              <w:pStyle w:val="53"/>
              <w:spacing w:line="360" w:lineRule="auto"/>
              <w:ind w:firstLine="0" w:firstLineChars="0"/>
              <w:rPr>
                <w:rFonts w:ascii="Times New Roman" w:hAnsi="Times New Roman" w:eastAsia="宋体"/>
                <w:b/>
                <w:bCs/>
                <w:szCs w:val="24"/>
              </w:rPr>
            </w:pPr>
          </w:p>
          <w:p>
            <w:pPr>
              <w:pStyle w:val="53"/>
              <w:spacing w:line="360" w:lineRule="auto"/>
              <w:ind w:firstLine="0" w:firstLineChars="0"/>
              <w:rPr>
                <w:rFonts w:ascii="Times New Roman" w:hAnsi="Times New Roman" w:eastAsia="宋体"/>
                <w:b/>
                <w:bCs/>
                <w:szCs w:val="24"/>
              </w:rPr>
            </w:pPr>
          </w:p>
          <w:p>
            <w:pPr>
              <w:pStyle w:val="53"/>
              <w:spacing w:line="360" w:lineRule="auto"/>
              <w:ind w:firstLine="0" w:firstLineChars="0"/>
              <w:rPr>
                <w:rFonts w:ascii="Times New Roman" w:hAnsi="Times New Roman" w:eastAsia="宋体"/>
                <w:b/>
                <w:bCs/>
                <w:szCs w:val="24"/>
              </w:rPr>
            </w:pPr>
          </w:p>
          <w:p>
            <w:pPr>
              <w:pStyle w:val="53"/>
              <w:spacing w:line="360" w:lineRule="auto"/>
              <w:ind w:firstLine="0" w:firstLineChars="0"/>
              <w:rPr>
                <w:rFonts w:ascii="Times New Roman" w:hAnsi="Times New Roman" w:eastAsia="宋体"/>
                <w:b/>
                <w:bCs/>
                <w:szCs w:val="24"/>
              </w:rPr>
            </w:pPr>
          </w:p>
          <w:p>
            <w:pPr>
              <w:pStyle w:val="53"/>
              <w:spacing w:line="360" w:lineRule="auto"/>
              <w:ind w:firstLine="0" w:firstLineChars="0"/>
              <w:rPr>
                <w:rFonts w:ascii="Times New Roman" w:hAnsi="Times New Roman" w:eastAsia="宋体"/>
                <w:b/>
                <w:bCs/>
                <w:szCs w:val="24"/>
              </w:rPr>
            </w:pPr>
          </w:p>
          <w:p>
            <w:pPr>
              <w:pStyle w:val="53"/>
              <w:spacing w:line="360" w:lineRule="auto"/>
              <w:ind w:firstLine="0" w:firstLineChars="0"/>
              <w:rPr>
                <w:rFonts w:ascii="Times New Roman" w:hAnsi="Times New Roman" w:eastAsia="宋体"/>
                <w:b/>
                <w:bCs/>
                <w:szCs w:val="24"/>
              </w:rPr>
            </w:pPr>
          </w:p>
          <w:p>
            <w:pPr>
              <w:pStyle w:val="53"/>
              <w:spacing w:line="360" w:lineRule="auto"/>
              <w:ind w:firstLine="0" w:firstLineChars="0"/>
              <w:rPr>
                <w:rFonts w:ascii="Times New Roman" w:hAnsi="Times New Roman" w:eastAsia="宋体"/>
                <w:b/>
                <w:bCs/>
                <w:szCs w:val="24"/>
              </w:rPr>
            </w:pPr>
          </w:p>
          <w:p>
            <w:pPr>
              <w:spacing w:line="360" w:lineRule="auto"/>
              <w:rPr>
                <w:rFonts w:ascii="Times New Roman" w:hAnsi="Times New Roma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277" w:hRule="atLeast"/>
          <w:jc w:val="center"/>
        </w:trPr>
        <w:tc>
          <w:tcPr>
            <w:tcW w:w="936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Times New Roman" w:hAnsi="Times New Roman"/>
                <w:b/>
                <w:color w:val="000000"/>
                <w:sz w:val="28"/>
                <w:highlight w:val="none"/>
              </w:rPr>
            </w:pPr>
            <w:r>
              <w:rPr>
                <w:rFonts w:hint="eastAsia" w:ascii="Times New Roman" w:hAnsi="Times New Roman"/>
                <w:b/>
                <w:color w:val="000000"/>
                <w:sz w:val="28"/>
                <w:highlight w:val="none"/>
                <w:lang w:val="en-US" w:eastAsia="zh-CN"/>
              </w:rPr>
              <w:t>污染物产生情况分析</w:t>
            </w:r>
            <w:r>
              <w:rPr>
                <w:rFonts w:ascii="Times New Roman" w:hAnsi="Times New Roman"/>
                <w:b/>
                <w:color w:val="000000"/>
                <w:sz w:val="28"/>
                <w:highlight w:val="none"/>
              </w:rPr>
              <w:t>：</w:t>
            </w:r>
          </w:p>
          <w:p>
            <w:pPr>
              <w:numPr>
                <w:ilvl w:val="0"/>
                <w:numId w:val="6"/>
              </w:numPr>
              <w:spacing w:line="360" w:lineRule="auto"/>
              <w:ind w:firstLine="482" w:firstLineChars="200"/>
              <w:rPr>
                <w:rFonts w:ascii="Times New Roman" w:hAnsi="Times New Roman"/>
                <w:b/>
                <w:bCs/>
                <w:color w:val="000000"/>
                <w:sz w:val="24"/>
                <w:szCs w:val="24"/>
                <w:highlight w:val="none"/>
              </w:rPr>
            </w:pPr>
            <w:r>
              <w:rPr>
                <w:rFonts w:ascii="Times New Roman" w:hAnsi="Times New Roman"/>
                <w:b/>
                <w:bCs/>
                <w:color w:val="000000"/>
                <w:sz w:val="24"/>
                <w:szCs w:val="24"/>
                <w:highlight w:val="none"/>
              </w:rPr>
              <w:t>废水</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本项目排放的废水主要来自：①基坑降水；②雨水；③车辆冲洗废水；④地下水抽出污水；⑤生活污水。</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（1）基坑降水</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本项目在场地开挖过程中，由于降雨或地下水上涌会产生一定量的基坑废水，基坑废水的产生量与施工期长短、雨季降雨量强度、污染土壤开挖深度和范围等均有密切关系。根据本项目的土壤修复方量，施工周期，初步判断基坑废水的产生量为30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/d，本项目土壤修复施工期约为100天，则基坑废水的产生量为3000m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，类比同类型土壤修复项目，确定主要污染物为COD≤300mg/L、SS≤300mg/L，以及少量的重金属。</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（2）初期雨水</w:t>
            </w:r>
          </w:p>
          <w:p>
            <w:pPr>
              <w:spacing w:line="360" w:lineRule="auto"/>
              <w:ind w:firstLine="480" w:firstLineChars="200"/>
              <w:rPr>
                <w:rFonts w:hint="default" w:ascii="Times New Roman" w:hAnsi="Times New Roman" w:cs="Times New Roman"/>
                <w:sz w:val="24"/>
                <w:highlight w:val="none"/>
                <w:lang w:val="en-US" w:eastAsia="zh-CN"/>
              </w:rPr>
            </w:pPr>
            <w:r>
              <w:rPr>
                <w:rFonts w:hint="default" w:ascii="Times New Roman" w:hAnsi="Times New Roman" w:cs="Times New Roman"/>
                <w:sz w:val="24"/>
                <w:highlight w:val="none"/>
                <w:lang w:val="en-US" w:eastAsia="zh-CN"/>
              </w:rPr>
              <w:t>本项目土壤及地下水施工修复时间共计为470天。在场地内施工场地、施工便道建设之前，降雨直接渗入地下，在基坑排水被抽出进入场地内自建污水处理设施进行处理。当施工场地、场地内施工便道建设之后，场地内降水进入场地内雨水收集系统，雨水经过雨水收集池收集后，进入自建的污水处理装置处理。</w:t>
            </w:r>
          </w:p>
          <w:p>
            <w:pPr>
              <w:spacing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szCs w:val="22"/>
              </w:rPr>
              <w:t>雨水暴雨公式：</w:t>
            </w:r>
          </w:p>
          <w:p>
            <w:pPr>
              <w:spacing w:line="360" w:lineRule="auto"/>
              <w:ind w:firstLine="480"/>
              <w:jc w:val="center"/>
              <w:rPr>
                <w:rFonts w:hint="default" w:ascii="Times New Roman" w:hAnsi="Times New Roman" w:cs="Times New Roman"/>
                <w:sz w:val="24"/>
                <w:szCs w:val="24"/>
              </w:rPr>
            </w:pPr>
            <w:r>
              <w:rPr>
                <w:rFonts w:hint="default" w:ascii="Times New Roman" w:hAnsi="Times New Roman" w:cs="Times New Roman"/>
                <w:sz w:val="24"/>
                <w:szCs w:val="24"/>
              </w:rPr>
              <w:t>q=3345（1+ 0.78lgP）/（t+12）</w:t>
            </w:r>
            <w:r>
              <w:rPr>
                <w:rFonts w:hint="default" w:ascii="Times New Roman" w:hAnsi="Times New Roman" w:cs="Times New Roman"/>
                <w:sz w:val="24"/>
                <w:szCs w:val="24"/>
                <w:vertAlign w:val="superscript"/>
              </w:rPr>
              <w:t>0.83</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sz w:val="24"/>
                <w:szCs w:val="24"/>
              </w:rPr>
              <w:t>式中： P 为设计重现期，取</w:t>
            </w:r>
            <w:r>
              <w:rPr>
                <w:rFonts w:hint="eastAsia" w:ascii="Times New Roman" w:hAnsi="Times New Roman" w:cs="Times New Roman"/>
                <w:sz w:val="24"/>
                <w:szCs w:val="24"/>
                <w:lang w:val="en-US" w:eastAsia="zh-CN"/>
              </w:rPr>
              <w:t>1</w:t>
            </w:r>
            <w:r>
              <w:rPr>
                <w:rFonts w:hint="default" w:ascii="Times New Roman" w:hAnsi="Times New Roman" w:cs="Times New Roman"/>
                <w:sz w:val="24"/>
                <w:szCs w:val="24"/>
              </w:rPr>
              <w:t>年；</w:t>
            </w:r>
          </w:p>
          <w:p>
            <w:pPr>
              <w:spacing w:line="360" w:lineRule="auto"/>
              <w:ind w:firstLine="1440" w:firstLineChars="600"/>
              <w:rPr>
                <w:rFonts w:hint="default" w:ascii="Times New Roman" w:hAnsi="Times New Roman" w:cs="Times New Roman"/>
                <w:sz w:val="24"/>
                <w:szCs w:val="24"/>
              </w:rPr>
            </w:pPr>
            <w:r>
              <w:rPr>
                <w:rFonts w:hint="default" w:ascii="Times New Roman" w:hAnsi="Times New Roman" w:cs="Times New Roman"/>
                <w:sz w:val="24"/>
                <w:szCs w:val="24"/>
              </w:rPr>
              <w:t>t取降雨过程的前15分钟；</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sz w:val="24"/>
                <w:szCs w:val="24"/>
              </w:rPr>
              <w:t>计算得q=282.26（L/s•ha）。</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sz w:val="24"/>
                <w:szCs w:val="24"/>
              </w:rPr>
              <w:t>雨水排水设计流量计算公式：</w:t>
            </w:r>
          </w:p>
          <w:p>
            <w:pPr>
              <w:spacing w:line="360" w:lineRule="auto"/>
              <w:ind w:firstLine="480"/>
              <w:jc w:val="center"/>
              <w:rPr>
                <w:rFonts w:hint="default" w:ascii="Times New Roman" w:hAnsi="Times New Roman" w:cs="Times New Roman"/>
                <w:sz w:val="24"/>
                <w:szCs w:val="24"/>
              </w:rPr>
            </w:pPr>
            <w:r>
              <w:rPr>
                <w:rFonts w:hint="default" w:ascii="Times New Roman" w:hAnsi="Times New Roman" w:cs="Times New Roman"/>
                <w:sz w:val="24"/>
                <w:szCs w:val="24"/>
              </w:rPr>
              <w:t>Q=ΨqF （L/s）</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sz w:val="24"/>
                <w:szCs w:val="24"/>
              </w:rPr>
              <w:t xml:space="preserve">式中：Ψ---径流系数，按地面覆盖确定，综合径流系数为0.90。 </w:t>
            </w:r>
          </w:p>
          <w:p>
            <w:pPr>
              <w:spacing w:line="360" w:lineRule="auto"/>
              <w:ind w:firstLine="1200" w:firstLineChars="500"/>
              <w:rPr>
                <w:rFonts w:hint="default" w:ascii="Times New Roman" w:hAnsi="Times New Roman" w:cs="Times New Roman"/>
                <w:sz w:val="24"/>
                <w:szCs w:val="24"/>
              </w:rPr>
            </w:pPr>
            <w:r>
              <w:rPr>
                <w:rFonts w:hint="default" w:ascii="Times New Roman" w:hAnsi="Times New Roman" w:cs="Times New Roman"/>
                <w:sz w:val="24"/>
                <w:szCs w:val="24"/>
              </w:rPr>
              <w:t>F---雨水汇水面积(ha)，</w:t>
            </w:r>
            <w:r>
              <w:rPr>
                <w:rFonts w:hint="default" w:ascii="Times New Roman" w:hAnsi="Times New Roman" w:cs="Times New Roman"/>
                <w:color w:val="000000"/>
                <w:sz w:val="24"/>
                <w:szCs w:val="24"/>
              </w:rPr>
              <w:t>（取</w:t>
            </w:r>
            <w:r>
              <w:rPr>
                <w:rFonts w:hint="eastAsia" w:ascii="Times New Roman" w:hAnsi="Times New Roman" w:cs="Times New Roman"/>
                <w:color w:val="000000"/>
                <w:sz w:val="24"/>
                <w:szCs w:val="24"/>
                <w:lang w:val="en-US" w:eastAsia="zh-CN"/>
              </w:rPr>
              <w:t>0.315</w:t>
            </w:r>
            <w:r>
              <w:rPr>
                <w:rFonts w:hint="default" w:ascii="Times New Roman" w:hAnsi="Times New Roman" w:cs="Times New Roman"/>
                <w:color w:val="000000"/>
                <w:sz w:val="24"/>
                <w:szCs w:val="24"/>
              </w:rPr>
              <w:t>ha）</w:t>
            </w:r>
            <w:r>
              <w:rPr>
                <w:rFonts w:hint="default" w:ascii="Times New Roman" w:hAnsi="Times New Roman" w:cs="Times New Roman"/>
                <w:sz w:val="24"/>
                <w:szCs w:val="24"/>
              </w:rPr>
              <w:t>；</w:t>
            </w:r>
          </w:p>
          <w:p>
            <w:pPr>
              <w:spacing w:line="360" w:lineRule="auto"/>
              <w:ind w:firstLine="1200" w:firstLineChars="500"/>
              <w:rPr>
                <w:rFonts w:hint="default" w:ascii="Times New Roman" w:hAnsi="Times New Roman" w:cs="Times New Roman"/>
                <w:sz w:val="24"/>
                <w:szCs w:val="24"/>
              </w:rPr>
            </w:pPr>
            <w:r>
              <w:rPr>
                <w:rFonts w:hint="default" w:ascii="Times New Roman" w:hAnsi="Times New Roman" w:cs="Times New Roman"/>
                <w:sz w:val="24"/>
                <w:szCs w:val="24"/>
              </w:rPr>
              <w:t>q---设计暴雨强度（L/s•ha）</w:t>
            </w:r>
          </w:p>
          <w:p>
            <w:pPr>
              <w:spacing w:line="360" w:lineRule="auto"/>
              <w:ind w:firstLine="480" w:firstLineChars="200"/>
              <w:rPr>
                <w:rFonts w:hint="default" w:ascii="Times New Roman" w:hAnsi="Times New Roman" w:cs="Times New Roman"/>
                <w:sz w:val="24"/>
                <w:highlight w:val="none"/>
                <w:lang w:val="en-US" w:eastAsia="zh-CN"/>
              </w:rPr>
            </w:pPr>
            <w:r>
              <w:rPr>
                <w:rFonts w:hint="default" w:ascii="Times New Roman" w:hAnsi="Times New Roman" w:cs="Times New Roman"/>
                <w:sz w:val="24"/>
                <w:szCs w:val="24"/>
              </w:rPr>
              <w:t>根据雨水量计算公式、汇水面积和径流系数，可知项目初期雨水量为</w:t>
            </w:r>
            <w:r>
              <w:rPr>
                <w:rFonts w:hint="eastAsia" w:ascii="Times New Roman" w:hAnsi="Times New Roman" w:cs="Times New Roman"/>
                <w:sz w:val="24"/>
                <w:szCs w:val="24"/>
                <w:lang w:val="en-US" w:eastAsia="zh-CN"/>
              </w:rPr>
              <w:t>19.32</w:t>
            </w:r>
            <w:r>
              <w:rPr>
                <w:rFonts w:hint="default" w:ascii="Times New Roman" w:hAnsi="Times New Roman" w:cs="Times New Roman"/>
                <w:sz w:val="24"/>
                <w:szCs w:val="24"/>
              </w:rPr>
              <w:t>L/s，初期雨水按前15min计算，则项目初期雨水量为</w:t>
            </w:r>
            <w:r>
              <w:rPr>
                <w:rFonts w:hint="eastAsia" w:ascii="Times New Roman" w:hAnsi="Times New Roman" w:cs="Times New Roman"/>
                <w:sz w:val="24"/>
                <w:szCs w:val="24"/>
                <w:lang w:val="en-US" w:eastAsia="zh-CN"/>
              </w:rPr>
              <w:t>17.39</w:t>
            </w:r>
            <w:r>
              <w:rPr>
                <w:rFonts w:hint="default" w:ascii="Times New Roman" w:hAnsi="Times New Roman" w:cs="Times New Roman"/>
                <w:sz w:val="24"/>
                <w:szCs w:val="24"/>
              </w:rPr>
              <w:t>m³/次，</w:t>
            </w:r>
            <w:r>
              <w:rPr>
                <w:rFonts w:hint="eastAsia" w:ascii="Times New Roman" w:hAnsi="Times New Roman" w:cs="Times New Roman"/>
                <w:sz w:val="24"/>
                <w:szCs w:val="24"/>
                <w:lang w:val="en-US" w:eastAsia="zh-CN"/>
              </w:rPr>
              <w:t>结合</w:t>
            </w:r>
            <w:r>
              <w:rPr>
                <w:rFonts w:hint="eastAsia" w:ascii="Times New Roman" w:hAnsi="Times New Roman" w:eastAsia="宋体" w:cs="Times New Roman"/>
                <w:sz w:val="24"/>
                <w:szCs w:val="24"/>
                <w:lang w:val="en-US" w:eastAsia="zh-CN"/>
              </w:rPr>
              <w:t>芜湖市年平均降雨日</w:t>
            </w:r>
            <w:r>
              <w:rPr>
                <w:rFonts w:hint="eastAsia" w:ascii="Times New Roman" w:hAnsi="Times New Roman" w:cs="Times New Roman"/>
                <w:sz w:val="24"/>
                <w:szCs w:val="24"/>
                <w:lang w:val="en-US" w:eastAsia="zh-CN"/>
              </w:rPr>
              <w:t>，施工期降雨天数以</w:t>
            </w:r>
            <w:r>
              <w:rPr>
                <w:rFonts w:hint="eastAsia" w:ascii="Times New Roman" w:hAnsi="Times New Roman" w:eastAsia="宋体" w:cs="Times New Roman"/>
                <w:sz w:val="24"/>
                <w:szCs w:val="24"/>
                <w:lang w:val="en-US" w:eastAsia="zh-CN"/>
              </w:rPr>
              <w:t>84天</w:t>
            </w:r>
            <w:r>
              <w:rPr>
                <w:rFonts w:hint="eastAsia" w:ascii="Times New Roman" w:hAnsi="Times New Roman" w:cs="Times New Roman"/>
                <w:sz w:val="24"/>
                <w:szCs w:val="24"/>
                <w:lang w:val="en-US" w:eastAsia="zh-CN"/>
              </w:rPr>
              <w:t>计</w:t>
            </w:r>
            <w:r>
              <w:rPr>
                <w:rFonts w:hint="eastAsia" w:ascii="Times New Roman" w:hAnsi="Times New Roman" w:eastAsia="宋体" w:cs="Times New Roman"/>
                <w:sz w:val="24"/>
                <w:szCs w:val="24"/>
                <w:lang w:val="en-US" w:eastAsia="zh-CN"/>
              </w:rPr>
              <w:t>，则项目</w:t>
            </w:r>
            <w:r>
              <w:rPr>
                <w:rFonts w:hint="eastAsia" w:ascii="Times New Roman" w:hAnsi="Times New Roman" w:cs="Times New Roman"/>
                <w:sz w:val="24"/>
                <w:szCs w:val="24"/>
                <w:lang w:val="en-US" w:eastAsia="zh-CN"/>
              </w:rPr>
              <w:t>施工期</w:t>
            </w:r>
            <w:r>
              <w:rPr>
                <w:rFonts w:hint="eastAsia" w:ascii="Times New Roman" w:hAnsi="Times New Roman" w:eastAsia="宋体" w:cs="Times New Roman"/>
                <w:sz w:val="24"/>
                <w:szCs w:val="24"/>
                <w:lang w:val="en-US" w:eastAsia="zh-CN"/>
              </w:rPr>
              <w:t>的初期雨水量为</w:t>
            </w:r>
            <w:r>
              <w:rPr>
                <w:rFonts w:hint="eastAsia" w:ascii="Times New Roman" w:hAnsi="Times New Roman" w:cs="Times New Roman"/>
                <w:sz w:val="24"/>
                <w:szCs w:val="24"/>
                <w:lang w:val="en-US" w:eastAsia="zh-CN"/>
              </w:rPr>
              <w:t>146</w:t>
            </w:r>
            <w:r>
              <w:rPr>
                <w:rFonts w:hint="eastAsia" w:ascii="Times New Roman" w:hAnsi="Times New Roman" w:eastAsia="宋体" w:cs="Times New Roman"/>
                <w:sz w:val="24"/>
                <w:szCs w:val="24"/>
                <w:lang w:val="en-US" w:eastAsia="zh-CN"/>
              </w:rPr>
              <w:t>0.76m</w:t>
            </w:r>
            <w:r>
              <w:rPr>
                <w:rFonts w:hint="eastAsia" w:ascii="Times New Roman" w:hAnsi="Times New Roman" w:eastAsia="宋体" w:cs="Times New Roman"/>
                <w:sz w:val="24"/>
                <w:szCs w:val="24"/>
                <w:vertAlign w:val="superscript"/>
                <w:lang w:val="en-US" w:eastAsia="zh-CN"/>
              </w:rPr>
              <w:t>3</w:t>
            </w:r>
            <w:r>
              <w:rPr>
                <w:rFonts w:hint="eastAsia" w:ascii="Times New Roman" w:hAnsi="Times New Roman" w:eastAsia="宋体" w:cs="Times New Roman"/>
                <w:sz w:val="24"/>
                <w:szCs w:val="24"/>
                <w:lang w:val="en-US" w:eastAsia="zh-CN"/>
              </w:rPr>
              <w:t>。初期雨水</w:t>
            </w:r>
            <w:r>
              <w:rPr>
                <w:rFonts w:hint="eastAsia" w:ascii="Times New Roman" w:hAnsi="Times New Roman" w:cs="Times New Roman"/>
                <w:sz w:val="24"/>
                <w:szCs w:val="24"/>
                <w:lang w:val="en-US" w:eastAsia="zh-CN"/>
              </w:rPr>
              <w:t>排放至雨水收集系统后，</w:t>
            </w:r>
            <w:r>
              <w:rPr>
                <w:rFonts w:hint="eastAsia" w:ascii="Times New Roman" w:hAnsi="Times New Roman" w:eastAsia="宋体" w:cs="Times New Roman"/>
                <w:sz w:val="24"/>
                <w:szCs w:val="24"/>
                <w:lang w:val="en-US" w:eastAsia="zh-CN"/>
              </w:rPr>
              <w:t>汇入污水处理站，后期雨水通过雨水排放阀外排。</w:t>
            </w:r>
            <w:r>
              <w:rPr>
                <w:rFonts w:hint="default" w:ascii="Times New Roman" w:hAnsi="Times New Roman" w:cs="Times New Roman"/>
                <w:sz w:val="24"/>
                <w:highlight w:val="none"/>
                <w:lang w:val="en-US" w:eastAsia="zh-CN"/>
              </w:rPr>
              <w:t>类比同类项目，雨水中污染因子为</w:t>
            </w:r>
            <w:r>
              <w:rPr>
                <w:rFonts w:hint="eastAsia" w:ascii="Times New Roman" w:hAnsi="Times New Roman" w:cs="Times New Roman"/>
                <w:sz w:val="24"/>
                <w:highlight w:val="none"/>
                <w:lang w:val="en-US" w:eastAsia="zh-CN"/>
              </w:rPr>
              <w:t>SS、</w:t>
            </w:r>
            <w:r>
              <w:rPr>
                <w:rFonts w:hint="default" w:ascii="Times New Roman" w:hAnsi="Times New Roman" w:cs="Times New Roman"/>
                <w:sz w:val="24"/>
                <w:highlight w:val="none"/>
                <w:lang w:val="en-US" w:eastAsia="zh-CN"/>
              </w:rPr>
              <w:t>COD以及少量的重金属。</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（3）车辆清洗废水</w:t>
            </w:r>
          </w:p>
          <w:p>
            <w:pPr>
              <w:spacing w:line="360" w:lineRule="auto"/>
              <w:ind w:firstLine="480" w:firstLineChars="200"/>
              <w:rPr>
                <w:rFonts w:hint="default" w:ascii="Times New Roman" w:hAnsi="Times New Roman"/>
                <w:sz w:val="24"/>
                <w:highlight w:val="none"/>
                <w:lang w:val="en-US" w:eastAsia="zh-CN"/>
              </w:rPr>
            </w:pPr>
            <w:r>
              <w:rPr>
                <w:rFonts w:hint="eastAsia" w:ascii="Times New Roman" w:hAnsi="Times New Roman"/>
                <w:sz w:val="24"/>
                <w:highlight w:val="none"/>
                <w:lang w:val="en-US" w:eastAsia="zh-CN"/>
              </w:rPr>
              <w:t>为减少运输过程中产生的扬尘无组织排放，对运输车辆出厂前进行车辆清洗。车辆清洗水暂存于沉淀池内，循环使用，达到一定使用次数后泵入场地内自建污水处理设施进行处理，处理合格后经市政污水管网，进朱家桥污水处理厂集中处理，经类比同类项目，本工程清洗废水产生量约0.8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/d，370m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/工期。</w:t>
            </w:r>
          </w:p>
          <w:p>
            <w:pPr>
              <w:numPr>
                <w:ilvl w:val="0"/>
                <w:numId w:val="3"/>
              </w:numPr>
              <w:spacing w:line="360" w:lineRule="auto"/>
              <w:ind w:left="0" w:leftChars="0"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地下水抽出污水</w:t>
            </w:r>
          </w:p>
          <w:p>
            <w:pPr>
              <w:numPr>
                <w:ilvl w:val="0"/>
                <w:numId w:val="0"/>
              </w:num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由于地下水修复区域为潜水层，受降雨、蒸发等影响较大，实际修复地下水水量会存在一定的波动。根据《芜湖市造船厂原厂址二期地块场地治理与修复技术方案》，本项目场地需要修复的污染地下水水方量约为15464.6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，单井每日抽水量为5.52m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/d，共8口抽水井，每日出水量为44.16m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/d。</w:t>
            </w:r>
          </w:p>
          <w:p>
            <w:pPr>
              <w:numPr>
                <w:ilvl w:val="0"/>
                <w:numId w:val="0"/>
              </w:num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但因场地地下水水位埋深并不均一，污染厚度不能一概而论，并且地下水位受季节、时间等因素影响，地下水修复方量并非绝对值，类比同类型土壤修复项目，确定主要污染物为COD≤400mg/L、SS≤400mg/L，根据治理方案中的检测数据，六价铬≤0.601mg/L，总石油烃≤1.31mg/L。</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由于受污染的地下水在场地中浓度分布不均匀，抽出的受污染地下水分袋暂存，因此，各批次受污染地下水中氨氮、TPH和镉等污染物在场地不同范围内变化浮动较大。</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（5）施工人员生活污水</w:t>
            </w:r>
          </w:p>
          <w:p>
            <w:pPr>
              <w:spacing w:line="360" w:lineRule="auto"/>
              <w:ind w:firstLine="480" w:firstLineChars="200"/>
              <w:rPr>
                <w:rFonts w:hint="default" w:ascii="Times New Roman" w:hAnsi="Times New Roman"/>
                <w:sz w:val="24"/>
                <w:highlight w:val="none"/>
                <w:lang w:val="en-US" w:eastAsia="zh-CN"/>
              </w:rPr>
            </w:pPr>
            <w:r>
              <w:rPr>
                <w:rFonts w:hint="eastAsia" w:ascii="Times New Roman" w:hAnsi="Times New Roman"/>
                <w:sz w:val="24"/>
                <w:highlight w:val="none"/>
                <w:lang w:val="en-US" w:eastAsia="zh-CN"/>
              </w:rPr>
              <w:t>施工人员高峰时有50人，用水量按</w:t>
            </w:r>
            <w:r>
              <w:rPr>
                <w:rFonts w:hint="default" w:ascii="Times New Roman" w:hAnsi="Times New Roman" w:cs="Times New Roman"/>
                <w:sz w:val="24"/>
                <w:highlight w:val="none"/>
                <w:lang w:val="en-US" w:eastAsia="zh-CN"/>
              </w:rPr>
              <w:t>50L/人▪d（根据《给排水设计手册》</w:t>
            </w:r>
            <w:r>
              <w:rPr>
                <w:rFonts w:hint="eastAsia" w:ascii="Times New Roman" w:hAnsi="Times New Roman"/>
                <w:sz w:val="24"/>
                <w:highlight w:val="none"/>
                <w:lang w:val="en-US" w:eastAsia="zh-CN"/>
              </w:rPr>
              <w:t>）测算，生活污水产生量按日用水量的80%计，则生活污水产生量为2m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/d，本项目修复治理施工期约为470天，则生活污水产生量为940m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/工期，生活污水中的主要污染物为COD、SS、NH</w:t>
            </w:r>
            <w:r>
              <w:rPr>
                <w:rFonts w:hint="eastAsia" w:ascii="Times New Roman" w:hAnsi="Times New Roman"/>
                <w:sz w:val="24"/>
                <w:highlight w:val="none"/>
                <w:vertAlign w:val="subscript"/>
                <w:lang w:val="en-US" w:eastAsia="zh-CN"/>
              </w:rPr>
              <w:t>3</w:t>
            </w:r>
            <w:r>
              <w:rPr>
                <w:rFonts w:hint="eastAsia" w:ascii="Times New Roman" w:hAnsi="Times New Roman"/>
                <w:sz w:val="24"/>
                <w:highlight w:val="none"/>
                <w:lang w:val="en-US" w:eastAsia="zh-CN"/>
              </w:rPr>
              <w:t>-N等，主要污染物产生情况为COD≤350mg/L，SS≤200mg/L，NH</w:t>
            </w:r>
            <w:r>
              <w:rPr>
                <w:rFonts w:hint="eastAsia" w:ascii="Times New Roman" w:hAnsi="Times New Roman"/>
                <w:sz w:val="24"/>
                <w:highlight w:val="none"/>
                <w:vertAlign w:val="subscript"/>
                <w:lang w:val="en-US" w:eastAsia="zh-CN"/>
              </w:rPr>
              <w:t>3</w:t>
            </w:r>
            <w:r>
              <w:rPr>
                <w:rFonts w:hint="eastAsia" w:ascii="Times New Roman" w:hAnsi="Times New Roman"/>
                <w:sz w:val="24"/>
                <w:highlight w:val="none"/>
                <w:lang w:val="en-US" w:eastAsia="zh-CN"/>
              </w:rPr>
              <w:t>-N≤35mg/L，动植物油≤120mg/L。</w:t>
            </w:r>
          </w:p>
          <w:p>
            <w:pPr>
              <w:spacing w:line="360" w:lineRule="auto"/>
              <w:ind w:firstLine="480" w:firstLineChars="200"/>
              <w:rPr>
                <w:rFonts w:ascii="Times New Roman" w:hAnsi="Times New Roman"/>
                <w:sz w:val="24"/>
                <w:highlight w:val="none"/>
              </w:rPr>
            </w:pPr>
            <w:r>
              <w:rPr>
                <w:rFonts w:hint="eastAsia" w:ascii="Times New Roman" w:hAnsi="Times New Roman" w:cs="Times New Roman"/>
                <w:sz w:val="24"/>
                <w:szCs w:val="24"/>
                <w:lang w:val="en-US" w:eastAsia="zh-CN"/>
              </w:rPr>
              <w:t>生活污水经隔油池、化粪池处置，</w:t>
            </w:r>
            <w:r>
              <w:rPr>
                <w:rFonts w:hint="eastAsia" w:ascii="Times New Roman" w:hAnsi="Times New Roman"/>
                <w:color w:val="000000"/>
                <w:sz w:val="24"/>
                <w:szCs w:val="22"/>
                <w:highlight w:val="none"/>
                <w:lang w:val="en-US" w:eastAsia="zh-CN"/>
              </w:rPr>
              <w:t>初期雨水汇入至雨水收集系统内，伴随基坑废水、污染地下水抽水、车辆清洗废水等一同排放至厂区西南侧新</w:t>
            </w:r>
            <w:r>
              <w:rPr>
                <w:rFonts w:hint="eastAsia" w:ascii="Times New Roman" w:hAnsi="Times New Roman"/>
                <w:color w:val="000000"/>
                <w:sz w:val="24"/>
                <w:szCs w:val="24"/>
                <w:highlight w:val="none"/>
                <w:lang w:val="en-US" w:eastAsia="zh-CN"/>
              </w:rPr>
              <w:t>建的污水处理站内处置，该污水处理站处理规模为80m</w:t>
            </w:r>
            <w:r>
              <w:rPr>
                <w:rFonts w:hint="eastAsia" w:ascii="Times New Roman" w:hAnsi="Times New Roman"/>
                <w:color w:val="000000"/>
                <w:sz w:val="24"/>
                <w:szCs w:val="24"/>
                <w:highlight w:val="none"/>
                <w:vertAlign w:val="superscript"/>
                <w:lang w:val="en-US" w:eastAsia="zh-CN"/>
              </w:rPr>
              <w:t>3</w:t>
            </w:r>
            <w:r>
              <w:rPr>
                <w:rFonts w:hint="eastAsia" w:ascii="Times New Roman" w:hAnsi="Times New Roman"/>
                <w:color w:val="000000"/>
                <w:sz w:val="24"/>
                <w:szCs w:val="24"/>
                <w:highlight w:val="none"/>
                <w:lang w:val="en-US" w:eastAsia="zh-CN"/>
              </w:rPr>
              <w:t>/d，处理工艺采用“</w:t>
            </w:r>
            <w:r>
              <w:rPr>
                <w:rFonts w:hint="eastAsia" w:ascii="Times New Roman" w:hAnsi="Times New Roman" w:cs="Times New Roman"/>
                <w:sz w:val="24"/>
                <w:szCs w:val="24"/>
                <w:lang w:val="en-US" w:eastAsia="zh-CN"/>
              </w:rPr>
              <w:t>调节+破乳池+气浮+两级滤碳”工艺，各股废水污染物</w:t>
            </w:r>
            <w:r>
              <w:rPr>
                <w:rFonts w:hint="eastAsia" w:ascii="Times New Roman" w:hAnsi="Times New Roman"/>
                <w:color w:val="000000"/>
                <w:sz w:val="24"/>
                <w:szCs w:val="22"/>
                <w:highlight w:val="none"/>
              </w:rPr>
              <w:t>处理</w:t>
            </w:r>
            <w:r>
              <w:rPr>
                <w:rFonts w:ascii="Times New Roman" w:hAnsi="Times New Roman"/>
                <w:sz w:val="24"/>
                <w:szCs w:val="24"/>
                <w:highlight w:val="none"/>
              </w:rPr>
              <w:t>满足《污水综合排放标准》（GB8978-1996）</w:t>
            </w:r>
            <w:r>
              <w:rPr>
                <w:rFonts w:hint="eastAsia" w:ascii="Times New Roman" w:hAnsi="Times New Roman"/>
                <w:sz w:val="24"/>
                <w:szCs w:val="24"/>
                <w:highlight w:val="none"/>
                <w:lang w:val="en-US" w:eastAsia="zh-CN"/>
              </w:rPr>
              <w:t>表4</w:t>
            </w:r>
            <w:r>
              <w:rPr>
                <w:rFonts w:ascii="Times New Roman" w:hAnsi="Times New Roman"/>
                <w:sz w:val="24"/>
                <w:szCs w:val="24"/>
                <w:highlight w:val="none"/>
              </w:rPr>
              <w:t>中的三级标准</w:t>
            </w:r>
            <w:r>
              <w:rPr>
                <w:rFonts w:hint="eastAsia" w:ascii="Times New Roman" w:hAnsi="Times New Roman"/>
                <w:sz w:val="24"/>
                <w:szCs w:val="24"/>
                <w:highlight w:val="none"/>
                <w:lang w:eastAsia="zh-CN"/>
              </w:rPr>
              <w:t>，</w:t>
            </w:r>
            <w:r>
              <w:rPr>
                <w:rFonts w:hint="eastAsia" w:ascii="Times New Roman" w:hAnsi="Times New Roman"/>
                <w:sz w:val="24"/>
                <w:szCs w:val="24"/>
                <w:highlight w:val="none"/>
                <w:lang w:val="en-US" w:eastAsia="zh-CN"/>
              </w:rPr>
              <w:t>其中</w:t>
            </w:r>
            <w:r>
              <w:rPr>
                <w:rFonts w:ascii="Times New Roman" w:hAnsi="Times New Roman"/>
                <w:sz w:val="24"/>
                <w:szCs w:val="24"/>
                <w:highlight w:val="none"/>
              </w:rPr>
              <w:t>氨氮参照《污水排入城镇下水道水质标准》（GB/T31962-2015中的标准</w:t>
            </w:r>
            <w:r>
              <w:rPr>
                <w:rFonts w:hint="eastAsia" w:ascii="Times New Roman" w:hAnsi="Times New Roman"/>
                <w:sz w:val="24"/>
                <w:szCs w:val="24"/>
                <w:highlight w:val="none"/>
                <w:lang w:eastAsia="zh-CN"/>
              </w:rPr>
              <w:t>，</w:t>
            </w:r>
            <w:r>
              <w:rPr>
                <w:rFonts w:hint="eastAsia" w:ascii="Times New Roman" w:hAnsi="Times New Roman"/>
                <w:sz w:val="24"/>
                <w:szCs w:val="24"/>
                <w:highlight w:val="none"/>
                <w:lang w:val="en-US" w:eastAsia="zh-CN"/>
              </w:rPr>
              <w:t>六价铬执行</w:t>
            </w:r>
            <w:r>
              <w:rPr>
                <w:rFonts w:ascii="Times New Roman" w:hAnsi="Times New Roman"/>
                <w:sz w:val="24"/>
                <w:szCs w:val="24"/>
                <w:highlight w:val="none"/>
              </w:rPr>
              <w:t>《污水综合排放标准》（GB8978-1996）</w:t>
            </w:r>
            <w:r>
              <w:rPr>
                <w:rFonts w:hint="eastAsia" w:ascii="Times New Roman" w:hAnsi="Times New Roman"/>
                <w:sz w:val="24"/>
                <w:szCs w:val="24"/>
                <w:highlight w:val="none"/>
                <w:lang w:val="en-US" w:eastAsia="zh-CN"/>
              </w:rPr>
              <w:t>表1中的标准，总石油烃参考荷兰标准后</w:t>
            </w:r>
            <w:r>
              <w:rPr>
                <w:rFonts w:ascii="Times New Roman" w:hAnsi="Times New Roman"/>
                <w:sz w:val="24"/>
                <w:szCs w:val="24"/>
                <w:highlight w:val="none"/>
              </w:rPr>
              <w:t>，</w:t>
            </w:r>
            <w:r>
              <w:rPr>
                <w:rFonts w:hint="eastAsia" w:ascii="Times New Roman" w:hAnsi="Times New Roman"/>
                <w:sz w:val="24"/>
                <w:szCs w:val="24"/>
                <w:highlight w:val="none"/>
                <w:lang w:val="en-US" w:eastAsia="zh-CN"/>
              </w:rPr>
              <w:t>一同</w:t>
            </w:r>
            <w:r>
              <w:rPr>
                <w:rFonts w:ascii="Times New Roman" w:hAnsi="Times New Roman"/>
                <w:sz w:val="24"/>
                <w:szCs w:val="24"/>
                <w:highlight w:val="none"/>
              </w:rPr>
              <w:t>排放至</w:t>
            </w:r>
            <w:r>
              <w:rPr>
                <w:rFonts w:hint="eastAsia" w:ascii="Times New Roman" w:hAnsi="Times New Roman"/>
                <w:sz w:val="24"/>
                <w:szCs w:val="24"/>
                <w:highlight w:val="none"/>
                <w:lang w:val="en-US" w:eastAsia="zh-CN"/>
              </w:rPr>
              <w:t>朱家桥污水处理厂</w:t>
            </w:r>
            <w:r>
              <w:rPr>
                <w:rFonts w:ascii="Times New Roman" w:hAnsi="Times New Roman"/>
                <w:sz w:val="24"/>
                <w:szCs w:val="24"/>
                <w:highlight w:val="none"/>
              </w:rPr>
              <w:t>处置，尾水排放满足</w:t>
            </w:r>
            <w:r>
              <w:rPr>
                <w:rFonts w:ascii="Times New Roman" w:hAnsi="Times New Roman"/>
                <w:sz w:val="24"/>
                <w:highlight w:val="none"/>
              </w:rPr>
              <w:t>《城镇污水处理厂污染物排放标准》（GB18918-2002）一级标准中 A 类标准</w:t>
            </w:r>
            <w:r>
              <w:rPr>
                <w:rFonts w:hint="eastAsia" w:ascii="Times New Roman" w:hAnsi="Times New Roman"/>
                <w:sz w:val="24"/>
                <w:highlight w:val="none"/>
                <w:lang w:eastAsia="zh-CN"/>
              </w:rPr>
              <w:t>，</w:t>
            </w:r>
            <w:r>
              <w:rPr>
                <w:rFonts w:hint="eastAsia" w:ascii="Times New Roman" w:hAnsi="Times New Roman"/>
                <w:sz w:val="24"/>
                <w:highlight w:val="none"/>
                <w:lang w:val="en-US" w:eastAsia="zh-CN"/>
              </w:rPr>
              <w:t>其中六价铬满足</w:t>
            </w:r>
            <w:r>
              <w:rPr>
                <w:rFonts w:ascii="Times New Roman" w:hAnsi="Times New Roman"/>
                <w:sz w:val="24"/>
                <w:highlight w:val="none"/>
              </w:rPr>
              <w:t>《城镇污水处理厂污染物排放标准》（GB18918-2002）</w:t>
            </w:r>
            <w:r>
              <w:rPr>
                <w:rFonts w:hint="eastAsia" w:ascii="Times New Roman" w:hAnsi="Times New Roman"/>
                <w:sz w:val="24"/>
                <w:highlight w:val="none"/>
                <w:lang w:val="en-US" w:eastAsia="zh-CN"/>
              </w:rPr>
              <w:t>表2中最高允许排放浓度</w:t>
            </w:r>
            <w:r>
              <w:rPr>
                <w:rFonts w:ascii="Times New Roman" w:hAnsi="Times New Roman"/>
                <w:sz w:val="24"/>
                <w:highlight w:val="none"/>
              </w:rPr>
              <w:t>。具体见水平衡图。</w:t>
            </w: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jc w:val="center"/>
              <w:textAlignment w:val="auto"/>
            </w:pPr>
            <w:r>
              <w:drawing>
                <wp:inline distT="0" distB="0" distL="114300" distR="114300">
                  <wp:extent cx="5803265" cy="3388995"/>
                  <wp:effectExtent l="0" t="0" r="6985" b="1905"/>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31"/>
                          <a:stretch>
                            <a:fillRect/>
                          </a:stretch>
                        </pic:blipFill>
                        <pic:spPr>
                          <a:xfrm>
                            <a:off x="0" y="0"/>
                            <a:ext cx="5803265" cy="3388995"/>
                          </a:xfrm>
                          <a:prstGeom prst="rect">
                            <a:avLst/>
                          </a:prstGeom>
                          <a:noFill/>
                          <a:ln>
                            <a:noFill/>
                          </a:ln>
                        </pic:spPr>
                      </pic:pic>
                    </a:graphicData>
                  </a:graphic>
                </wp:inline>
              </w:drawing>
            </w:r>
          </w:p>
          <w:p>
            <w:pPr>
              <w:widowControl/>
              <w:spacing w:line="360" w:lineRule="auto"/>
              <w:ind w:firstLine="474"/>
              <w:jc w:val="center"/>
              <w:rPr>
                <w:rFonts w:ascii="Times New Roman" w:hAnsi="Times New Roman"/>
                <w:b/>
                <w:sz w:val="24"/>
                <w:szCs w:val="24"/>
                <w:highlight w:val="none"/>
              </w:rPr>
            </w:pPr>
            <w:r>
              <w:rPr>
                <w:rFonts w:ascii="Times New Roman" w:hAnsi="Times New Roman"/>
                <w:b/>
                <w:sz w:val="24"/>
                <w:szCs w:val="24"/>
                <w:highlight w:val="none"/>
              </w:rPr>
              <w:t>图5-</w:t>
            </w:r>
            <w:r>
              <w:rPr>
                <w:rFonts w:hint="eastAsia" w:ascii="Times New Roman" w:hAnsi="Times New Roman"/>
                <w:b/>
                <w:sz w:val="24"/>
                <w:szCs w:val="24"/>
                <w:highlight w:val="none"/>
                <w:lang w:val="en-US" w:eastAsia="zh-CN"/>
              </w:rPr>
              <w:t>4</w:t>
            </w:r>
            <w:r>
              <w:rPr>
                <w:rFonts w:ascii="Times New Roman" w:hAnsi="Times New Roman"/>
                <w:b/>
                <w:sz w:val="24"/>
                <w:szCs w:val="24"/>
                <w:highlight w:val="none"/>
              </w:rPr>
              <w:t xml:space="preserve">   厂区水平衡图    单位：</w:t>
            </w:r>
            <w:r>
              <w:rPr>
                <w:rFonts w:hint="eastAsia" w:ascii="Times New Roman" w:hAnsi="Times New Roman"/>
                <w:b/>
                <w:sz w:val="24"/>
                <w:szCs w:val="24"/>
                <w:highlight w:val="none"/>
                <w:lang w:val="en-US" w:eastAsia="zh-CN"/>
              </w:rPr>
              <w:t>m</w:t>
            </w:r>
            <w:r>
              <w:rPr>
                <w:rFonts w:hint="eastAsia" w:ascii="Times New Roman" w:hAnsi="Times New Roman"/>
                <w:b/>
                <w:sz w:val="24"/>
                <w:szCs w:val="24"/>
                <w:highlight w:val="none"/>
                <w:vertAlign w:val="superscript"/>
                <w:lang w:val="en-US" w:eastAsia="zh-CN"/>
              </w:rPr>
              <w:t>3</w:t>
            </w:r>
            <w:r>
              <w:rPr>
                <w:rFonts w:ascii="Times New Roman" w:hAnsi="Times New Roman"/>
                <w:b/>
                <w:sz w:val="24"/>
                <w:szCs w:val="24"/>
                <w:highlight w:val="none"/>
              </w:rPr>
              <w:t>/d</w:t>
            </w:r>
          </w:p>
          <w:p>
            <w:pPr>
              <w:spacing w:line="360" w:lineRule="auto"/>
              <w:ind w:firstLine="482" w:firstLineChars="200"/>
              <w:jc w:val="center"/>
              <w:rPr>
                <w:rFonts w:ascii="Times New Roman" w:hAnsi="Times New Roman"/>
                <w:b/>
                <w:sz w:val="24"/>
                <w:highlight w:val="none"/>
              </w:rPr>
            </w:pPr>
          </w:p>
          <w:p>
            <w:pPr>
              <w:spacing w:line="360" w:lineRule="auto"/>
              <w:ind w:firstLine="482" w:firstLineChars="200"/>
              <w:jc w:val="center"/>
              <w:rPr>
                <w:rFonts w:ascii="Times New Roman" w:hAnsi="Times New Roman"/>
                <w:b/>
                <w:sz w:val="24"/>
                <w:highlight w:val="none"/>
              </w:rPr>
            </w:pPr>
            <w:r>
              <w:rPr>
                <w:rFonts w:ascii="Times New Roman" w:hAnsi="Times New Roman"/>
                <w:b/>
                <w:sz w:val="24"/>
                <w:highlight w:val="none"/>
              </w:rPr>
              <w:t>表5-</w:t>
            </w:r>
            <w:r>
              <w:rPr>
                <w:rFonts w:hint="eastAsia" w:ascii="Times New Roman" w:hAnsi="Times New Roman"/>
                <w:b/>
                <w:sz w:val="24"/>
                <w:highlight w:val="none"/>
                <w:lang w:val="en-US" w:eastAsia="zh-CN"/>
              </w:rPr>
              <w:t>1</w:t>
            </w:r>
            <w:r>
              <w:rPr>
                <w:rFonts w:ascii="Times New Roman" w:hAnsi="Times New Roman"/>
                <w:b/>
                <w:sz w:val="24"/>
                <w:highlight w:val="none"/>
              </w:rPr>
              <w:t xml:space="preserve">  项目污水污染物产生、排放情况一览表</w:t>
            </w:r>
          </w:p>
          <w:tbl>
            <w:tblPr>
              <w:tblStyle w:val="27"/>
              <w:tblW w:w="0" w:type="auto"/>
              <w:jc w:val="center"/>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38"/>
              <w:gridCol w:w="965"/>
              <w:gridCol w:w="1163"/>
              <w:gridCol w:w="1111"/>
              <w:gridCol w:w="996"/>
              <w:gridCol w:w="1595"/>
              <w:gridCol w:w="1207"/>
              <w:gridCol w:w="1169"/>
            </w:tblGrid>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638" w:type="dxa"/>
                  <w:vMerge w:val="restart"/>
                  <w:tcBorders>
                    <w:top w:val="single" w:color="auto" w:sz="4" w:space="0"/>
                    <w:left w:val="single" w:color="auto" w:sz="0"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r>
                    <w:rPr>
                      <w:rFonts w:ascii="Times New Roman" w:hAnsi="Times New Roman"/>
                      <w:szCs w:val="21"/>
                      <w:highlight w:val="none"/>
                    </w:rPr>
                    <w:t>种类</w:t>
                  </w:r>
                </w:p>
              </w:tc>
              <w:tc>
                <w:tcPr>
                  <w:tcW w:w="965" w:type="dxa"/>
                  <w:vMerge w:val="restar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r>
                    <w:rPr>
                      <w:rFonts w:ascii="Times New Roman" w:hAnsi="Times New Roman"/>
                      <w:szCs w:val="21"/>
                      <w:highlight w:val="none"/>
                    </w:rPr>
                    <w:t>废水量</w:t>
                  </w:r>
                </w:p>
                <w:p>
                  <w:pPr>
                    <w:jc w:val="center"/>
                    <w:rPr>
                      <w:rFonts w:ascii="Times New Roman" w:hAnsi="Times New Roman"/>
                      <w:szCs w:val="21"/>
                      <w:highlight w:val="none"/>
                    </w:rPr>
                  </w:pPr>
                  <w:r>
                    <w:rPr>
                      <w:rFonts w:ascii="Times New Roman" w:hAnsi="Times New Roman"/>
                      <w:szCs w:val="21"/>
                      <w:highlight w:val="none"/>
                    </w:rPr>
                    <w:t>（m³/</w:t>
                  </w:r>
                  <w:r>
                    <w:rPr>
                      <w:rFonts w:hint="eastAsia" w:ascii="Times New Roman" w:hAnsi="Times New Roman"/>
                      <w:szCs w:val="21"/>
                      <w:highlight w:val="none"/>
                      <w:lang w:val="en-US" w:eastAsia="zh-CN"/>
                    </w:rPr>
                    <w:t>工期</w:t>
                  </w:r>
                  <w:r>
                    <w:rPr>
                      <w:rFonts w:ascii="Times New Roman" w:hAnsi="Times New Roman"/>
                      <w:szCs w:val="21"/>
                      <w:highlight w:val="none"/>
                    </w:rPr>
                    <w:t>）</w:t>
                  </w:r>
                </w:p>
              </w:tc>
              <w:tc>
                <w:tcPr>
                  <w:tcW w:w="1163" w:type="dxa"/>
                  <w:vMerge w:val="restar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r>
                    <w:rPr>
                      <w:rFonts w:ascii="Times New Roman" w:hAnsi="Times New Roman"/>
                      <w:szCs w:val="21"/>
                      <w:highlight w:val="none"/>
                    </w:rPr>
                    <w:t>污染物</w:t>
                  </w:r>
                </w:p>
                <w:p>
                  <w:pPr>
                    <w:jc w:val="center"/>
                    <w:rPr>
                      <w:rFonts w:ascii="Times New Roman" w:hAnsi="Times New Roman"/>
                      <w:szCs w:val="21"/>
                      <w:highlight w:val="none"/>
                    </w:rPr>
                  </w:pPr>
                  <w:r>
                    <w:rPr>
                      <w:rFonts w:ascii="Times New Roman" w:hAnsi="Times New Roman"/>
                      <w:szCs w:val="21"/>
                      <w:highlight w:val="none"/>
                    </w:rPr>
                    <w:t>名称</w:t>
                  </w:r>
                </w:p>
              </w:tc>
              <w:tc>
                <w:tcPr>
                  <w:tcW w:w="2107"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r>
                    <w:rPr>
                      <w:rFonts w:ascii="Times New Roman" w:hAnsi="Times New Roman"/>
                      <w:szCs w:val="21"/>
                      <w:highlight w:val="none"/>
                    </w:rPr>
                    <w:t>污染物产生量</w:t>
                  </w:r>
                </w:p>
              </w:tc>
              <w:tc>
                <w:tcPr>
                  <w:tcW w:w="1595" w:type="dxa"/>
                  <w:vMerge w:val="restar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r>
                    <w:rPr>
                      <w:rFonts w:ascii="Times New Roman" w:hAnsi="Times New Roman"/>
                      <w:szCs w:val="21"/>
                      <w:highlight w:val="none"/>
                    </w:rPr>
                    <w:t>处理措施</w:t>
                  </w:r>
                </w:p>
              </w:tc>
              <w:tc>
                <w:tcPr>
                  <w:tcW w:w="2376"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r>
                    <w:rPr>
                      <w:rFonts w:ascii="Times New Roman" w:hAnsi="Times New Roman"/>
                      <w:spacing w:val="-12"/>
                      <w:szCs w:val="21"/>
                      <w:highlight w:val="none"/>
                    </w:rPr>
                    <w:t>污染物排放量</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97" w:hRule="atLeast"/>
                <w:jc w:val="center"/>
              </w:trPr>
              <w:tc>
                <w:tcPr>
                  <w:tcW w:w="638" w:type="dxa"/>
                  <w:vMerge w:val="continue"/>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965" w:type="dxa"/>
                  <w:vMerge w:val="continue"/>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163" w:type="dxa"/>
                  <w:vMerge w:val="continue"/>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r>
                    <w:rPr>
                      <w:rFonts w:ascii="Times New Roman" w:hAnsi="Times New Roman"/>
                      <w:szCs w:val="21"/>
                      <w:highlight w:val="none"/>
                    </w:rPr>
                    <w:t>浓度(mg/L)</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r>
                    <w:rPr>
                      <w:rFonts w:ascii="Times New Roman" w:hAnsi="Times New Roman"/>
                      <w:szCs w:val="21"/>
                      <w:highlight w:val="none"/>
                    </w:rPr>
                    <w:t>产生量(t/</w:t>
                  </w:r>
                  <w:r>
                    <w:rPr>
                      <w:rFonts w:hint="eastAsia" w:ascii="Times New Roman" w:hAnsi="Times New Roman"/>
                      <w:szCs w:val="21"/>
                      <w:highlight w:val="none"/>
                      <w:lang w:val="en-US" w:eastAsia="zh-CN"/>
                    </w:rPr>
                    <w:t>工期</w:t>
                  </w:r>
                  <w:r>
                    <w:rPr>
                      <w:rFonts w:ascii="Times New Roman" w:hAnsi="Times New Roman"/>
                      <w:szCs w:val="21"/>
                      <w:highlight w:val="none"/>
                    </w:rPr>
                    <w:t>)</w:t>
                  </w:r>
                </w:p>
              </w:tc>
              <w:tc>
                <w:tcPr>
                  <w:tcW w:w="1595" w:type="dxa"/>
                  <w:vMerge w:val="continue"/>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highlight w:val="none"/>
                    </w:rPr>
                  </w:pPr>
                  <w:r>
                    <w:rPr>
                      <w:rFonts w:ascii="Times New Roman" w:hAnsi="Times New Roman"/>
                      <w:szCs w:val="21"/>
                      <w:highlight w:val="none"/>
                    </w:rPr>
                    <w:t>浓度</w:t>
                  </w:r>
                </w:p>
                <w:p>
                  <w:pPr>
                    <w:jc w:val="center"/>
                    <w:rPr>
                      <w:rFonts w:ascii="Times New Roman" w:hAnsi="Times New Roman"/>
                      <w:szCs w:val="21"/>
                      <w:highlight w:val="none"/>
                    </w:rPr>
                  </w:pPr>
                  <w:r>
                    <w:rPr>
                      <w:rFonts w:ascii="Times New Roman" w:hAnsi="Times New Roman"/>
                      <w:szCs w:val="21"/>
                      <w:highlight w:val="none"/>
                    </w:rPr>
                    <w:t>(mg/L)</w:t>
                  </w:r>
                </w:p>
              </w:tc>
              <w:tc>
                <w:tcPr>
                  <w:tcW w:w="11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r>
                    <w:rPr>
                      <w:rFonts w:ascii="Times New Roman" w:hAnsi="Times New Roman"/>
                      <w:szCs w:val="21"/>
                      <w:highlight w:val="none"/>
                    </w:rPr>
                    <w:t>排放量</w:t>
                  </w:r>
                </w:p>
                <w:p>
                  <w:pPr>
                    <w:jc w:val="center"/>
                    <w:rPr>
                      <w:rFonts w:ascii="Times New Roman" w:hAnsi="Times New Roman"/>
                      <w:szCs w:val="21"/>
                      <w:highlight w:val="none"/>
                    </w:rPr>
                  </w:pPr>
                  <w:r>
                    <w:rPr>
                      <w:rFonts w:ascii="Times New Roman" w:hAnsi="Times New Roman"/>
                      <w:szCs w:val="21"/>
                      <w:highlight w:val="none"/>
                    </w:rPr>
                    <w:t>(t/</w:t>
                  </w:r>
                  <w:r>
                    <w:rPr>
                      <w:rFonts w:hint="eastAsia" w:ascii="Times New Roman" w:hAnsi="Times New Roman"/>
                      <w:szCs w:val="21"/>
                      <w:highlight w:val="none"/>
                      <w:lang w:val="en-US" w:eastAsia="zh-CN"/>
                    </w:rPr>
                    <w:t>工期</w:t>
                  </w:r>
                  <w:r>
                    <w:rPr>
                      <w:rFonts w:ascii="Times New Roman" w:hAnsi="Times New Roman"/>
                      <w:szCs w:val="21"/>
                      <w:highlight w:val="none"/>
                    </w:rPr>
                    <w:t>)</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restart"/>
                  <w:tcBorders>
                    <w:top w:val="single" w:color="auto" w:sz="4" w:space="0"/>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rPr>
                  </w:pPr>
                  <w:r>
                    <w:rPr>
                      <w:rFonts w:ascii="Times New Roman" w:hAnsi="Times New Roman" w:cs="Times New Roman"/>
                      <w:sz w:val="21"/>
                      <w:szCs w:val="21"/>
                      <w:highlight w:val="none"/>
                      <w:lang w:eastAsia="zh-CN"/>
                    </w:rPr>
                    <w:t>生活污水</w:t>
                  </w:r>
                </w:p>
              </w:tc>
              <w:tc>
                <w:tcPr>
                  <w:tcW w:w="965" w:type="dxa"/>
                  <w:vMerge w:val="restart"/>
                  <w:tcBorders>
                    <w:top w:val="single" w:color="auto" w:sz="4" w:space="0"/>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940</w:t>
                  </w: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szCs w:val="21"/>
                      <w:highlight w:val="none"/>
                    </w:rPr>
                  </w:pPr>
                  <w:r>
                    <w:rPr>
                      <w:rFonts w:ascii="Times New Roman" w:hAnsi="Times New Roman"/>
                      <w:sz w:val="21"/>
                      <w:szCs w:val="21"/>
                      <w:highlight w:val="none"/>
                    </w:rPr>
                    <w:t>COD</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350</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kern w:val="0"/>
                      <w:szCs w:val="21"/>
                      <w:highlight w:val="none"/>
                      <w:lang w:bidi="ar"/>
                    </w:rPr>
                  </w:pPr>
                  <w:r>
                    <w:rPr>
                      <w:rFonts w:hint="eastAsia" w:ascii="Times New Roman" w:hAnsi="Times New Roman"/>
                      <w:kern w:val="0"/>
                      <w:szCs w:val="21"/>
                      <w:highlight w:val="none"/>
                      <w:lang w:val="en-US" w:eastAsia="zh-CN" w:bidi="ar"/>
                    </w:rPr>
                    <w:t>0.329</w:t>
                  </w:r>
                </w:p>
              </w:tc>
              <w:tc>
                <w:tcPr>
                  <w:tcW w:w="1595" w:type="dxa"/>
                  <w:vMerge w:val="restart"/>
                  <w:tcBorders>
                    <w:top w:val="single" w:color="auto" w:sz="4" w:space="0"/>
                    <w:left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kern w:val="0"/>
                      <w:szCs w:val="21"/>
                      <w:highlight w:val="none"/>
                      <w:lang w:bidi="ar"/>
                    </w:rPr>
                  </w:pPr>
                  <w:r>
                    <w:rPr>
                      <w:rFonts w:hint="eastAsia" w:ascii="Times New Roman" w:hAnsi="Times New Roman"/>
                      <w:kern w:val="0"/>
                      <w:szCs w:val="21"/>
                      <w:highlight w:val="none"/>
                      <w:lang w:val="en-US" w:eastAsia="zh-CN" w:bidi="ar"/>
                    </w:rPr>
                    <w:t>隔油池、</w:t>
                  </w:r>
                  <w:r>
                    <w:rPr>
                      <w:rFonts w:ascii="Times New Roman" w:hAnsi="Times New Roman"/>
                      <w:kern w:val="0"/>
                      <w:szCs w:val="21"/>
                      <w:highlight w:val="none"/>
                      <w:lang w:bidi="ar"/>
                    </w:rPr>
                    <w:t>化粪池</w:t>
                  </w:r>
                </w:p>
              </w:tc>
              <w:tc>
                <w:tcPr>
                  <w:tcW w:w="120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kern w:val="0"/>
                      <w:szCs w:val="21"/>
                      <w:highlight w:val="none"/>
                      <w:lang w:bidi="ar"/>
                    </w:rPr>
                  </w:pPr>
                  <w:r>
                    <w:rPr>
                      <w:rFonts w:ascii="Times New Roman" w:hAnsi="Times New Roman"/>
                      <w:kern w:val="0"/>
                      <w:szCs w:val="21"/>
                      <w:highlight w:val="none"/>
                      <w:lang w:bidi="ar"/>
                    </w:rPr>
                    <w:t>360</w:t>
                  </w:r>
                </w:p>
              </w:tc>
              <w:tc>
                <w:tcPr>
                  <w:tcW w:w="11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kern w:val="0"/>
                      <w:szCs w:val="21"/>
                      <w:highlight w:val="none"/>
                      <w:lang w:val="en-US" w:bidi="ar"/>
                    </w:rPr>
                  </w:pPr>
                  <w:r>
                    <w:rPr>
                      <w:rFonts w:hint="eastAsia" w:ascii="Times New Roman" w:hAnsi="Times New Roman"/>
                      <w:kern w:val="0"/>
                      <w:szCs w:val="21"/>
                      <w:highlight w:val="none"/>
                      <w:lang w:val="en-US" w:eastAsia="zh-CN" w:bidi="ar"/>
                    </w:rPr>
                    <w:t>0.3008</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szCs w:val="21"/>
                      <w:highlight w:val="none"/>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szCs w:val="21"/>
                      <w:highlight w:val="none"/>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szCs w:val="21"/>
                      <w:highlight w:val="none"/>
                    </w:rPr>
                  </w:pPr>
                  <w:r>
                    <w:rPr>
                      <w:rFonts w:ascii="Times New Roman" w:hAnsi="Times New Roman"/>
                      <w:sz w:val="21"/>
                      <w:szCs w:val="21"/>
                      <w:highlight w:val="none"/>
                    </w:rPr>
                    <w:t>SS</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szCs w:val="21"/>
                      <w:highlight w:val="none"/>
                    </w:rPr>
                  </w:pPr>
                  <w:r>
                    <w:rPr>
                      <w:rFonts w:ascii="Times New Roman" w:hAnsi="Times New Roman"/>
                      <w:kern w:val="0"/>
                      <w:szCs w:val="21"/>
                      <w:highlight w:val="none"/>
                      <w:lang w:bidi="ar"/>
                    </w:rPr>
                    <w:t>200</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kern w:val="0"/>
                      <w:szCs w:val="21"/>
                      <w:highlight w:val="none"/>
                      <w:lang w:bidi="ar"/>
                    </w:rPr>
                  </w:pPr>
                  <w:r>
                    <w:rPr>
                      <w:rFonts w:hint="eastAsia" w:ascii="Times New Roman" w:hAnsi="Times New Roman"/>
                      <w:kern w:val="0"/>
                      <w:szCs w:val="21"/>
                      <w:highlight w:val="none"/>
                      <w:lang w:val="en-US" w:eastAsia="zh-CN" w:bidi="ar"/>
                    </w:rPr>
                    <w:t>0.188</w:t>
                  </w:r>
                </w:p>
              </w:tc>
              <w:tc>
                <w:tcPr>
                  <w:tcW w:w="1595"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kern w:val="0"/>
                      <w:szCs w:val="21"/>
                      <w:highlight w:val="none"/>
                      <w:lang w:bidi="ar"/>
                    </w:rPr>
                  </w:pPr>
                </w:p>
              </w:tc>
              <w:tc>
                <w:tcPr>
                  <w:tcW w:w="120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kern w:val="0"/>
                      <w:szCs w:val="21"/>
                      <w:highlight w:val="none"/>
                      <w:lang w:bidi="ar"/>
                    </w:rPr>
                  </w:pPr>
                  <w:r>
                    <w:rPr>
                      <w:rFonts w:ascii="Times New Roman" w:hAnsi="Times New Roman"/>
                      <w:kern w:val="0"/>
                      <w:szCs w:val="21"/>
                      <w:highlight w:val="none"/>
                      <w:lang w:bidi="ar"/>
                    </w:rPr>
                    <w:t>160</w:t>
                  </w:r>
                </w:p>
              </w:tc>
              <w:tc>
                <w:tcPr>
                  <w:tcW w:w="11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kern w:val="0"/>
                      <w:szCs w:val="21"/>
                      <w:highlight w:val="none"/>
                      <w:lang w:bidi="ar"/>
                    </w:rPr>
                  </w:pPr>
                  <w:r>
                    <w:rPr>
                      <w:rFonts w:hint="eastAsia" w:ascii="Times New Roman" w:hAnsi="Times New Roman"/>
                      <w:kern w:val="0"/>
                      <w:szCs w:val="21"/>
                      <w:highlight w:val="none"/>
                      <w:lang w:val="en-US" w:eastAsia="zh-CN" w:bidi="ar"/>
                    </w:rPr>
                    <w:t>0.1504</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szCs w:val="21"/>
                      <w:highlight w:val="none"/>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szCs w:val="21"/>
                      <w:highlight w:val="none"/>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szCs w:val="21"/>
                      <w:highlight w:val="none"/>
                    </w:rPr>
                  </w:pPr>
                  <w:r>
                    <w:rPr>
                      <w:rFonts w:ascii="Times New Roman" w:hAnsi="Times New Roman"/>
                      <w:sz w:val="21"/>
                      <w:szCs w:val="21"/>
                      <w:highlight w:val="none"/>
                    </w:rPr>
                    <w:t>氨氮</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35</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kern w:val="0"/>
                      <w:szCs w:val="21"/>
                      <w:highlight w:val="none"/>
                      <w:lang w:bidi="ar"/>
                    </w:rPr>
                  </w:pPr>
                  <w:r>
                    <w:rPr>
                      <w:rFonts w:hint="eastAsia" w:ascii="Times New Roman" w:hAnsi="Times New Roman"/>
                      <w:kern w:val="0"/>
                      <w:szCs w:val="21"/>
                      <w:highlight w:val="none"/>
                      <w:lang w:val="en-US" w:eastAsia="zh-CN" w:bidi="ar"/>
                    </w:rPr>
                    <w:t>0.0329</w:t>
                  </w:r>
                </w:p>
              </w:tc>
              <w:tc>
                <w:tcPr>
                  <w:tcW w:w="1595"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kern w:val="0"/>
                      <w:szCs w:val="21"/>
                      <w:highlight w:val="none"/>
                      <w:lang w:bidi="ar"/>
                    </w:rPr>
                  </w:pPr>
                </w:p>
              </w:tc>
              <w:tc>
                <w:tcPr>
                  <w:tcW w:w="120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kern w:val="0"/>
                      <w:szCs w:val="21"/>
                      <w:highlight w:val="none"/>
                      <w:lang w:bidi="ar"/>
                    </w:rPr>
                  </w:pPr>
                  <w:r>
                    <w:rPr>
                      <w:rFonts w:hint="eastAsia" w:ascii="Times New Roman" w:hAnsi="Times New Roman"/>
                      <w:kern w:val="0"/>
                      <w:szCs w:val="21"/>
                      <w:highlight w:val="none"/>
                      <w:lang w:val="en-US" w:eastAsia="zh-CN" w:bidi="ar"/>
                    </w:rPr>
                    <w:t>3</w:t>
                  </w:r>
                  <w:r>
                    <w:rPr>
                      <w:rFonts w:ascii="Times New Roman" w:hAnsi="Times New Roman"/>
                      <w:kern w:val="0"/>
                      <w:szCs w:val="21"/>
                      <w:highlight w:val="none"/>
                      <w:lang w:bidi="ar"/>
                    </w:rPr>
                    <w:t>5</w:t>
                  </w:r>
                </w:p>
              </w:tc>
              <w:tc>
                <w:tcPr>
                  <w:tcW w:w="11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kern w:val="0"/>
                      <w:szCs w:val="21"/>
                      <w:highlight w:val="none"/>
                      <w:lang w:bidi="ar"/>
                    </w:rPr>
                  </w:pPr>
                  <w:r>
                    <w:rPr>
                      <w:rFonts w:hint="eastAsia" w:ascii="Times New Roman" w:hAnsi="Times New Roman"/>
                      <w:kern w:val="0"/>
                      <w:szCs w:val="21"/>
                      <w:highlight w:val="none"/>
                      <w:lang w:val="en-US" w:eastAsia="zh-CN" w:bidi="ar"/>
                    </w:rPr>
                    <w:t>0.0329</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szCs w:val="21"/>
                      <w:highlight w:val="none"/>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szCs w:val="21"/>
                      <w:highlight w:val="none"/>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szCs w:val="21"/>
                      <w:highlight w:val="none"/>
                    </w:rPr>
                  </w:pPr>
                  <w:r>
                    <w:rPr>
                      <w:rFonts w:ascii="Times New Roman" w:hAnsi="Times New Roman"/>
                      <w:sz w:val="21"/>
                      <w:szCs w:val="21"/>
                      <w:highlight w:val="none"/>
                    </w:rPr>
                    <w:t>BOD</w:t>
                  </w:r>
                  <w:r>
                    <w:rPr>
                      <w:rFonts w:ascii="Times New Roman" w:hAnsi="Times New Roman"/>
                      <w:sz w:val="21"/>
                      <w:szCs w:val="21"/>
                      <w:highlight w:val="none"/>
                      <w:vertAlign w:val="subscript"/>
                    </w:rPr>
                    <w:t>5</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szCs w:val="21"/>
                      <w:highlight w:val="none"/>
                    </w:rPr>
                  </w:pPr>
                  <w:r>
                    <w:rPr>
                      <w:rFonts w:ascii="Times New Roman" w:hAnsi="Times New Roman"/>
                      <w:kern w:val="0"/>
                      <w:szCs w:val="21"/>
                      <w:highlight w:val="none"/>
                      <w:lang w:bidi="ar"/>
                    </w:rPr>
                    <w:t>250</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kern w:val="0"/>
                      <w:szCs w:val="21"/>
                      <w:highlight w:val="none"/>
                      <w:lang w:bidi="ar"/>
                    </w:rPr>
                  </w:pPr>
                  <w:r>
                    <w:rPr>
                      <w:rFonts w:hint="eastAsia" w:ascii="Times New Roman" w:hAnsi="Times New Roman"/>
                      <w:kern w:val="0"/>
                      <w:szCs w:val="21"/>
                      <w:highlight w:val="none"/>
                      <w:lang w:val="en-US" w:eastAsia="zh-CN" w:bidi="ar"/>
                    </w:rPr>
                    <w:t>0.235</w:t>
                  </w:r>
                </w:p>
              </w:tc>
              <w:tc>
                <w:tcPr>
                  <w:tcW w:w="1595"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kern w:val="0"/>
                      <w:szCs w:val="21"/>
                      <w:highlight w:val="none"/>
                      <w:lang w:bidi="ar"/>
                    </w:rPr>
                  </w:pPr>
                </w:p>
              </w:tc>
              <w:tc>
                <w:tcPr>
                  <w:tcW w:w="120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kern w:val="0"/>
                      <w:szCs w:val="21"/>
                      <w:highlight w:val="none"/>
                      <w:lang w:bidi="ar"/>
                    </w:rPr>
                  </w:pPr>
                  <w:r>
                    <w:rPr>
                      <w:rFonts w:ascii="Times New Roman" w:hAnsi="Times New Roman"/>
                      <w:kern w:val="0"/>
                      <w:szCs w:val="21"/>
                      <w:highlight w:val="none"/>
                      <w:lang w:bidi="ar"/>
                    </w:rPr>
                    <w:t>225</w:t>
                  </w:r>
                </w:p>
              </w:tc>
              <w:tc>
                <w:tcPr>
                  <w:tcW w:w="11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kern w:val="0"/>
                      <w:szCs w:val="21"/>
                      <w:highlight w:val="none"/>
                      <w:lang w:bidi="ar"/>
                    </w:rPr>
                  </w:pPr>
                  <w:r>
                    <w:rPr>
                      <w:rFonts w:hint="eastAsia" w:ascii="Times New Roman" w:hAnsi="Times New Roman"/>
                      <w:kern w:val="0"/>
                      <w:szCs w:val="21"/>
                      <w:highlight w:val="none"/>
                      <w:lang w:val="en-US" w:eastAsia="zh-CN" w:bidi="ar"/>
                    </w:rPr>
                    <w:t>0.2115</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szCs w:val="21"/>
                      <w:highlight w:val="none"/>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szCs w:val="21"/>
                      <w:highlight w:val="none"/>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动植物油</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eastAsia="宋体"/>
                      <w:kern w:val="0"/>
                      <w:szCs w:val="21"/>
                      <w:highlight w:val="none"/>
                      <w:lang w:val="en-US" w:eastAsia="zh-CN" w:bidi="ar"/>
                    </w:rPr>
                  </w:pPr>
                  <w:r>
                    <w:rPr>
                      <w:rFonts w:hint="eastAsia" w:ascii="Times New Roman" w:hAnsi="Times New Roman"/>
                      <w:kern w:val="0"/>
                      <w:szCs w:val="21"/>
                      <w:highlight w:val="none"/>
                      <w:lang w:val="en-US" w:eastAsia="zh-CN" w:bidi="ar"/>
                    </w:rPr>
                    <w:t>120</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0.1128</w:t>
                  </w:r>
                </w:p>
              </w:tc>
              <w:tc>
                <w:tcPr>
                  <w:tcW w:w="1595"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ascii="Times New Roman" w:hAnsi="Times New Roman"/>
                      <w:kern w:val="0"/>
                      <w:szCs w:val="21"/>
                      <w:highlight w:val="none"/>
                      <w:lang w:bidi="ar"/>
                    </w:rPr>
                  </w:pPr>
                </w:p>
              </w:tc>
              <w:tc>
                <w:tcPr>
                  <w:tcW w:w="120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100</w:t>
                  </w:r>
                </w:p>
              </w:tc>
              <w:tc>
                <w:tcPr>
                  <w:tcW w:w="11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0.094</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restart"/>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车辆清洗废水</w:t>
                  </w:r>
                </w:p>
              </w:tc>
              <w:tc>
                <w:tcPr>
                  <w:tcW w:w="965" w:type="dxa"/>
                  <w:vMerge w:val="restart"/>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370</w:t>
                  </w: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sz w:val="21"/>
                      <w:szCs w:val="21"/>
                      <w:highlight w:val="none"/>
                    </w:rPr>
                  </w:pPr>
                  <w:r>
                    <w:rPr>
                      <w:rFonts w:ascii="Times New Roman" w:hAnsi="Times New Roman"/>
                      <w:sz w:val="21"/>
                      <w:szCs w:val="21"/>
                      <w:highlight w:val="none"/>
                    </w:rPr>
                    <w:t>COD</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350</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0.1295</w:t>
                  </w:r>
                </w:p>
              </w:tc>
              <w:tc>
                <w:tcPr>
                  <w:tcW w:w="1595" w:type="dxa"/>
                  <w:vMerge w:val="restart"/>
                  <w:tcBorders>
                    <w:left w:val="single" w:color="auto" w:sz="4" w:space="0"/>
                    <w:right w:val="single" w:color="auto" w:sz="4" w:space="0"/>
                  </w:tcBorders>
                  <w:noWrap w:val="0"/>
                  <w:tcMar>
                    <w:left w:w="28" w:type="dxa"/>
                    <w:right w:w="28" w:type="dxa"/>
                  </w:tcMar>
                  <w:vAlign w:val="center"/>
                </w:tcPr>
                <w:p>
                  <w:pPr>
                    <w:jc w:val="center"/>
                    <w:rPr>
                      <w:rFonts w:hint="eastAsia"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调节+破乳池+气浮+两级滤碳</w:t>
                  </w:r>
                </w:p>
              </w:tc>
              <w:tc>
                <w:tcPr>
                  <w:tcW w:w="1207" w:type="dxa"/>
                  <w:vMerge w:val="restart"/>
                  <w:tcBorders>
                    <w:top w:val="single" w:color="auto" w:sz="4" w:space="0"/>
                    <w:left w:val="single" w:color="auto" w:sz="4" w:space="0"/>
                    <w:right w:val="single" w:color="auto" w:sz="4" w:space="0"/>
                  </w:tcBorders>
                  <w:noWrap w:val="0"/>
                  <w:vAlign w:val="center"/>
                </w:tcPr>
                <w:p>
                  <w:pPr>
                    <w:widowControl/>
                    <w:jc w:val="center"/>
                    <w:textAlignment w:val="center"/>
                    <w:rPr>
                      <w:rFonts w:hint="default" w:ascii="Times New Roman" w:hAnsi="Times New Roman" w:eastAsia="宋体"/>
                      <w:kern w:val="0"/>
                      <w:szCs w:val="21"/>
                      <w:highlight w:val="none"/>
                      <w:lang w:val="en-US" w:eastAsia="zh-CN" w:bidi="ar"/>
                    </w:rPr>
                  </w:pPr>
                  <w:r>
                    <w:rPr>
                      <w:rFonts w:hint="eastAsia" w:ascii="Times New Roman" w:hAnsi="Times New Roman"/>
                      <w:kern w:val="0"/>
                      <w:szCs w:val="21"/>
                      <w:highlight w:val="none"/>
                      <w:lang w:val="en-US" w:eastAsia="zh-CN" w:bidi="ar"/>
                    </w:rPr>
                    <w:t>/</w:t>
                  </w:r>
                </w:p>
              </w:tc>
              <w:tc>
                <w:tcPr>
                  <w:tcW w:w="1169" w:type="dxa"/>
                  <w:vMerge w:val="restart"/>
                  <w:tcBorders>
                    <w:top w:val="single" w:color="auto" w:sz="4" w:space="0"/>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r>
                    <w:rPr>
                      <w:rFonts w:hint="eastAsia" w:ascii="Times New Roman" w:hAnsi="Times New Roman" w:cs="Times New Roman"/>
                      <w:kern w:val="0"/>
                      <w:szCs w:val="21"/>
                      <w:highlight w:val="none"/>
                      <w:lang w:val="en-US" w:eastAsia="zh-CN" w:bidi="ar"/>
                    </w:rPr>
                    <w:t>/</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sz w:val="21"/>
                      <w:szCs w:val="21"/>
                      <w:highlight w:val="none"/>
                    </w:rPr>
                  </w:pPr>
                  <w:r>
                    <w:rPr>
                      <w:rFonts w:ascii="Times New Roman" w:hAnsi="Times New Roman"/>
                      <w:sz w:val="21"/>
                      <w:szCs w:val="21"/>
                      <w:highlight w:val="none"/>
                    </w:rPr>
                    <w:t>SS</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500</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0.185</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right w:val="single" w:color="auto" w:sz="4" w:space="0"/>
                  </w:tcBorders>
                  <w:noWrap w:val="0"/>
                  <w:vAlign w:val="center"/>
                </w:tcPr>
                <w:p>
                  <w:pPr>
                    <w:widowControl/>
                    <w:jc w:val="center"/>
                    <w:textAlignment w:val="center"/>
                    <w:rPr>
                      <w:rFonts w:hint="default" w:ascii="Times New Roman" w:hAnsi="Times New Roman" w:eastAsia="宋体"/>
                      <w:kern w:val="0"/>
                      <w:szCs w:val="21"/>
                      <w:highlight w:val="none"/>
                      <w:lang w:val="en-US" w:eastAsia="zh-CN" w:bidi="ar"/>
                    </w:rPr>
                  </w:pPr>
                </w:p>
              </w:tc>
              <w:tc>
                <w:tcPr>
                  <w:tcW w:w="1169"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eastAsia="宋体"/>
                      <w:sz w:val="21"/>
                      <w:szCs w:val="21"/>
                      <w:highlight w:val="none"/>
                      <w:lang w:val="en-US" w:eastAsia="zh-CN"/>
                    </w:rPr>
                  </w:pPr>
                  <w:r>
                    <w:rPr>
                      <w:rFonts w:hint="eastAsia" w:ascii="Times New Roman" w:hAnsi="Times New Roman"/>
                      <w:color w:val="000000"/>
                      <w:sz w:val="21"/>
                      <w:szCs w:val="21"/>
                      <w:lang w:val="en-US" w:eastAsia="zh-CN"/>
                    </w:rPr>
                    <w:t>总石油烃</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0.1</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0.000037</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right w:val="single" w:color="auto" w:sz="4" w:space="0"/>
                  </w:tcBorders>
                  <w:noWrap w:val="0"/>
                  <w:vAlign w:val="center"/>
                </w:tcPr>
                <w:p>
                  <w:pPr>
                    <w:widowControl/>
                    <w:jc w:val="center"/>
                    <w:textAlignment w:val="center"/>
                    <w:rPr>
                      <w:rFonts w:hint="default" w:ascii="Times New Roman" w:hAnsi="Times New Roman" w:eastAsia="宋体"/>
                      <w:kern w:val="0"/>
                      <w:szCs w:val="21"/>
                      <w:highlight w:val="none"/>
                      <w:lang w:val="en-US" w:eastAsia="zh-CN" w:bidi="ar"/>
                    </w:rPr>
                  </w:pPr>
                </w:p>
              </w:tc>
              <w:tc>
                <w:tcPr>
                  <w:tcW w:w="1169"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六价铬</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0.05</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0.000019</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right w:val="single" w:color="auto" w:sz="4" w:space="0"/>
                  </w:tcBorders>
                  <w:noWrap w:val="0"/>
                  <w:vAlign w:val="center"/>
                </w:tcPr>
                <w:p>
                  <w:pPr>
                    <w:widowControl/>
                    <w:jc w:val="center"/>
                    <w:textAlignment w:val="center"/>
                    <w:rPr>
                      <w:rFonts w:hint="eastAsia" w:ascii="Times New Roman" w:hAnsi="Times New Roman"/>
                      <w:kern w:val="0"/>
                      <w:szCs w:val="21"/>
                      <w:highlight w:val="none"/>
                      <w:lang w:val="en-US" w:eastAsia="zh-CN" w:bidi="ar"/>
                    </w:rPr>
                  </w:pPr>
                </w:p>
              </w:tc>
              <w:tc>
                <w:tcPr>
                  <w:tcW w:w="1169"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restart"/>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初期雨水</w:t>
                  </w:r>
                </w:p>
              </w:tc>
              <w:tc>
                <w:tcPr>
                  <w:tcW w:w="965" w:type="dxa"/>
                  <w:vMerge w:val="restart"/>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1460.76</w:t>
                  </w: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ascii="Times New Roman" w:hAnsi="Times New Roman"/>
                      <w:sz w:val="21"/>
                      <w:szCs w:val="21"/>
                      <w:highlight w:val="none"/>
                    </w:rPr>
                    <w:t>COD</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400</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 xml:space="preserve">0.58430 </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right w:val="single" w:color="auto" w:sz="4" w:space="0"/>
                  </w:tcBorders>
                  <w:noWrap w:val="0"/>
                  <w:vAlign w:val="center"/>
                </w:tcPr>
                <w:p>
                  <w:pPr>
                    <w:widowControl/>
                    <w:jc w:val="center"/>
                    <w:textAlignment w:val="center"/>
                    <w:rPr>
                      <w:rFonts w:hint="eastAsia" w:ascii="Times New Roman" w:hAnsi="Times New Roman"/>
                      <w:kern w:val="0"/>
                      <w:szCs w:val="21"/>
                      <w:highlight w:val="none"/>
                      <w:lang w:val="en-US" w:eastAsia="zh-CN" w:bidi="ar"/>
                    </w:rPr>
                  </w:pPr>
                </w:p>
              </w:tc>
              <w:tc>
                <w:tcPr>
                  <w:tcW w:w="1169"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ascii="Times New Roman" w:hAnsi="Times New Roman"/>
                      <w:sz w:val="21"/>
                      <w:szCs w:val="21"/>
                      <w:highlight w:val="none"/>
                    </w:rPr>
                    <w:t>SS</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550</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 xml:space="preserve">0.80342 </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right w:val="single" w:color="auto" w:sz="4" w:space="0"/>
                  </w:tcBorders>
                  <w:noWrap w:val="0"/>
                  <w:vAlign w:val="center"/>
                </w:tcPr>
                <w:p>
                  <w:pPr>
                    <w:widowControl/>
                    <w:jc w:val="center"/>
                    <w:textAlignment w:val="center"/>
                    <w:rPr>
                      <w:rFonts w:hint="eastAsia" w:ascii="Times New Roman" w:hAnsi="Times New Roman"/>
                      <w:kern w:val="0"/>
                      <w:szCs w:val="21"/>
                      <w:highlight w:val="none"/>
                      <w:lang w:val="en-US" w:eastAsia="zh-CN" w:bidi="ar"/>
                    </w:rPr>
                  </w:pPr>
                </w:p>
              </w:tc>
              <w:tc>
                <w:tcPr>
                  <w:tcW w:w="1169"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hint="eastAsia" w:ascii="Times New Roman" w:hAnsi="Times New Roman"/>
                      <w:color w:val="000000"/>
                      <w:sz w:val="21"/>
                      <w:szCs w:val="21"/>
                      <w:lang w:val="en-US" w:eastAsia="zh-CN"/>
                    </w:rPr>
                    <w:t>总石油烃</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0.1</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 xml:space="preserve">0.00015 </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right w:val="single" w:color="auto" w:sz="4" w:space="0"/>
                  </w:tcBorders>
                  <w:noWrap w:val="0"/>
                  <w:vAlign w:val="center"/>
                </w:tcPr>
                <w:p>
                  <w:pPr>
                    <w:widowControl/>
                    <w:jc w:val="center"/>
                    <w:textAlignment w:val="center"/>
                    <w:rPr>
                      <w:rFonts w:hint="eastAsia" w:ascii="Times New Roman" w:hAnsi="Times New Roman"/>
                      <w:kern w:val="0"/>
                      <w:szCs w:val="21"/>
                      <w:highlight w:val="none"/>
                      <w:lang w:val="en-US" w:eastAsia="zh-CN" w:bidi="ar"/>
                    </w:rPr>
                  </w:pPr>
                </w:p>
              </w:tc>
              <w:tc>
                <w:tcPr>
                  <w:tcW w:w="1169"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六价铬</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0.05</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0.00007</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right w:val="single" w:color="auto" w:sz="4" w:space="0"/>
                  </w:tcBorders>
                  <w:noWrap w:val="0"/>
                  <w:vAlign w:val="center"/>
                </w:tcPr>
                <w:p>
                  <w:pPr>
                    <w:widowControl/>
                    <w:jc w:val="center"/>
                    <w:textAlignment w:val="center"/>
                    <w:rPr>
                      <w:rFonts w:hint="eastAsia" w:ascii="Times New Roman" w:hAnsi="Times New Roman"/>
                      <w:kern w:val="0"/>
                      <w:szCs w:val="21"/>
                      <w:highlight w:val="none"/>
                      <w:lang w:val="en-US" w:eastAsia="zh-CN" w:bidi="ar"/>
                    </w:rPr>
                  </w:pPr>
                </w:p>
              </w:tc>
              <w:tc>
                <w:tcPr>
                  <w:tcW w:w="1169"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restart"/>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基坑污水</w:t>
                  </w:r>
                </w:p>
              </w:tc>
              <w:tc>
                <w:tcPr>
                  <w:tcW w:w="965" w:type="dxa"/>
                  <w:vMerge w:val="restart"/>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3000</w:t>
                  </w: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ascii="Times New Roman" w:hAnsi="Times New Roman"/>
                      <w:sz w:val="21"/>
                      <w:szCs w:val="21"/>
                      <w:highlight w:val="none"/>
                    </w:rPr>
                    <w:t>COD</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400</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 xml:space="preserve">1.2 </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right w:val="single" w:color="auto" w:sz="4" w:space="0"/>
                  </w:tcBorders>
                  <w:noWrap w:val="0"/>
                  <w:vAlign w:val="center"/>
                </w:tcPr>
                <w:p>
                  <w:pPr>
                    <w:widowControl/>
                    <w:jc w:val="center"/>
                    <w:textAlignment w:val="center"/>
                    <w:rPr>
                      <w:rFonts w:hint="eastAsia" w:ascii="Times New Roman" w:hAnsi="Times New Roman"/>
                      <w:kern w:val="0"/>
                      <w:szCs w:val="21"/>
                      <w:highlight w:val="none"/>
                      <w:lang w:val="en-US" w:eastAsia="zh-CN" w:bidi="ar"/>
                    </w:rPr>
                  </w:pPr>
                </w:p>
              </w:tc>
              <w:tc>
                <w:tcPr>
                  <w:tcW w:w="1169"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ascii="Times New Roman" w:hAnsi="Times New Roman"/>
                      <w:sz w:val="21"/>
                      <w:szCs w:val="21"/>
                      <w:highlight w:val="none"/>
                    </w:rPr>
                    <w:t>SS</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400</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 xml:space="preserve">1.2 </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right w:val="single" w:color="auto" w:sz="4" w:space="0"/>
                  </w:tcBorders>
                  <w:noWrap w:val="0"/>
                  <w:vAlign w:val="center"/>
                </w:tcPr>
                <w:p>
                  <w:pPr>
                    <w:widowControl/>
                    <w:jc w:val="center"/>
                    <w:textAlignment w:val="center"/>
                    <w:rPr>
                      <w:rFonts w:hint="eastAsia" w:ascii="Times New Roman" w:hAnsi="Times New Roman"/>
                      <w:kern w:val="0"/>
                      <w:szCs w:val="21"/>
                      <w:highlight w:val="none"/>
                      <w:lang w:val="en-US" w:eastAsia="zh-CN" w:bidi="ar"/>
                    </w:rPr>
                  </w:pPr>
                </w:p>
              </w:tc>
              <w:tc>
                <w:tcPr>
                  <w:tcW w:w="1169"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hint="eastAsia" w:ascii="Times New Roman" w:hAnsi="Times New Roman"/>
                      <w:color w:val="000000"/>
                      <w:sz w:val="21"/>
                      <w:szCs w:val="21"/>
                      <w:lang w:val="en-US" w:eastAsia="zh-CN"/>
                    </w:rPr>
                    <w:t>总石油烃</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0.5</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 xml:space="preserve">0.0015 </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right w:val="single" w:color="auto" w:sz="4" w:space="0"/>
                  </w:tcBorders>
                  <w:noWrap w:val="0"/>
                  <w:vAlign w:val="center"/>
                </w:tcPr>
                <w:p>
                  <w:pPr>
                    <w:widowControl/>
                    <w:jc w:val="center"/>
                    <w:textAlignment w:val="center"/>
                    <w:rPr>
                      <w:rFonts w:hint="eastAsia" w:ascii="Times New Roman" w:hAnsi="Times New Roman"/>
                      <w:kern w:val="0"/>
                      <w:szCs w:val="21"/>
                      <w:highlight w:val="none"/>
                      <w:lang w:val="en-US" w:eastAsia="zh-CN" w:bidi="ar"/>
                    </w:rPr>
                  </w:pPr>
                </w:p>
              </w:tc>
              <w:tc>
                <w:tcPr>
                  <w:tcW w:w="1169"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六价铬</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1.0</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0.003</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right w:val="single" w:color="auto" w:sz="4" w:space="0"/>
                  </w:tcBorders>
                  <w:noWrap w:val="0"/>
                  <w:vAlign w:val="center"/>
                </w:tcPr>
                <w:p>
                  <w:pPr>
                    <w:widowControl/>
                    <w:jc w:val="center"/>
                    <w:textAlignment w:val="center"/>
                    <w:rPr>
                      <w:rFonts w:hint="eastAsia" w:ascii="Times New Roman" w:hAnsi="Times New Roman"/>
                      <w:kern w:val="0"/>
                      <w:szCs w:val="21"/>
                      <w:highlight w:val="none"/>
                      <w:lang w:val="en-US" w:eastAsia="zh-CN" w:bidi="ar"/>
                    </w:rPr>
                  </w:pPr>
                </w:p>
              </w:tc>
              <w:tc>
                <w:tcPr>
                  <w:tcW w:w="1169"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restart"/>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污染地下水</w:t>
                  </w:r>
                </w:p>
              </w:tc>
              <w:tc>
                <w:tcPr>
                  <w:tcW w:w="965" w:type="dxa"/>
                  <w:vMerge w:val="restart"/>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15464.6</w:t>
                  </w: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ascii="Times New Roman" w:hAnsi="Times New Roman"/>
                      <w:sz w:val="21"/>
                      <w:szCs w:val="21"/>
                      <w:highlight w:val="none"/>
                    </w:rPr>
                    <w:t>COD</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400</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 xml:space="preserve">6.1858 </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right w:val="single" w:color="auto" w:sz="4" w:space="0"/>
                  </w:tcBorders>
                  <w:noWrap w:val="0"/>
                  <w:vAlign w:val="center"/>
                </w:tcPr>
                <w:p>
                  <w:pPr>
                    <w:widowControl/>
                    <w:jc w:val="center"/>
                    <w:textAlignment w:val="center"/>
                    <w:rPr>
                      <w:rFonts w:hint="eastAsia" w:ascii="Times New Roman" w:hAnsi="Times New Roman"/>
                      <w:kern w:val="0"/>
                      <w:szCs w:val="21"/>
                      <w:highlight w:val="none"/>
                      <w:lang w:val="en-US" w:eastAsia="zh-CN" w:bidi="ar"/>
                    </w:rPr>
                  </w:pPr>
                </w:p>
              </w:tc>
              <w:tc>
                <w:tcPr>
                  <w:tcW w:w="1169"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ascii="Times New Roman" w:hAnsi="Times New Roman"/>
                      <w:sz w:val="21"/>
                      <w:szCs w:val="21"/>
                      <w:highlight w:val="none"/>
                    </w:rPr>
                    <w:t>SS</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400</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 xml:space="preserve">6.1858 </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right w:val="single" w:color="auto" w:sz="4" w:space="0"/>
                  </w:tcBorders>
                  <w:noWrap w:val="0"/>
                  <w:vAlign w:val="center"/>
                </w:tcPr>
                <w:p>
                  <w:pPr>
                    <w:widowControl/>
                    <w:jc w:val="center"/>
                    <w:textAlignment w:val="center"/>
                    <w:rPr>
                      <w:rFonts w:hint="eastAsia" w:ascii="Times New Roman" w:hAnsi="Times New Roman"/>
                      <w:kern w:val="0"/>
                      <w:szCs w:val="21"/>
                      <w:highlight w:val="none"/>
                      <w:lang w:val="en-US" w:eastAsia="zh-CN" w:bidi="ar"/>
                    </w:rPr>
                  </w:pPr>
                </w:p>
              </w:tc>
              <w:tc>
                <w:tcPr>
                  <w:tcW w:w="1169"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hint="eastAsia" w:ascii="Times New Roman" w:hAnsi="Times New Roman"/>
                      <w:color w:val="000000"/>
                      <w:sz w:val="21"/>
                      <w:szCs w:val="21"/>
                      <w:lang w:val="en-US" w:eastAsia="zh-CN"/>
                    </w:rPr>
                    <w:t>总石油烃</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0.601</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 xml:space="preserve">0.0093 </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right w:val="single" w:color="auto" w:sz="4" w:space="0"/>
                  </w:tcBorders>
                  <w:noWrap w:val="0"/>
                  <w:vAlign w:val="center"/>
                </w:tcPr>
                <w:p>
                  <w:pPr>
                    <w:widowControl/>
                    <w:jc w:val="center"/>
                    <w:textAlignment w:val="center"/>
                    <w:rPr>
                      <w:rFonts w:hint="eastAsia" w:ascii="Times New Roman" w:hAnsi="Times New Roman"/>
                      <w:kern w:val="0"/>
                      <w:szCs w:val="21"/>
                      <w:highlight w:val="none"/>
                      <w:lang w:val="en-US" w:eastAsia="zh-CN" w:bidi="ar"/>
                    </w:rPr>
                  </w:pPr>
                </w:p>
              </w:tc>
              <w:tc>
                <w:tcPr>
                  <w:tcW w:w="1169" w:type="dxa"/>
                  <w:vMerge w:val="continue"/>
                  <w:tcBorders>
                    <w:left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六价铬</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1.31</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0.020259</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vMerge w:val="continue"/>
                  <w:tcBorders>
                    <w:left w:val="single" w:color="auto" w:sz="4" w:space="0"/>
                    <w:bottom w:val="single" w:color="auto" w:sz="4" w:space="0"/>
                    <w:right w:val="single" w:color="auto" w:sz="4" w:space="0"/>
                  </w:tcBorders>
                  <w:noWrap w:val="0"/>
                  <w:vAlign w:val="center"/>
                </w:tcPr>
                <w:p>
                  <w:pPr>
                    <w:widowControl/>
                    <w:jc w:val="center"/>
                    <w:textAlignment w:val="center"/>
                    <w:rPr>
                      <w:rFonts w:hint="eastAsia" w:ascii="Times New Roman" w:hAnsi="Times New Roman"/>
                      <w:kern w:val="0"/>
                      <w:szCs w:val="21"/>
                      <w:highlight w:val="none"/>
                      <w:lang w:val="en-US" w:eastAsia="zh-CN" w:bidi="ar"/>
                    </w:rPr>
                  </w:pPr>
                </w:p>
              </w:tc>
              <w:tc>
                <w:tcPr>
                  <w:tcW w:w="1169" w:type="dxa"/>
                  <w:vMerge w:val="continue"/>
                  <w:tcBorders>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restart"/>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小计</w:t>
                  </w:r>
                </w:p>
              </w:tc>
              <w:tc>
                <w:tcPr>
                  <w:tcW w:w="965" w:type="dxa"/>
                  <w:vMerge w:val="restart"/>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20295.36</w:t>
                  </w: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ascii="Times New Roman" w:hAnsi="Times New Roman"/>
                      <w:sz w:val="21"/>
                      <w:szCs w:val="21"/>
                      <w:highlight w:val="none"/>
                    </w:rPr>
                    <w:t>COD</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 xml:space="preserve">399.1 </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8.0996</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hint="default" w:ascii="Times New Roman" w:hAnsi="Times New Roman" w:eastAsia="宋体"/>
                      <w:szCs w:val="21"/>
                      <w:highlight w:val="none"/>
                      <w:lang w:val="en-US" w:eastAsia="zh-CN"/>
                    </w:rPr>
                  </w:pPr>
                </w:p>
              </w:tc>
              <w:tc>
                <w:tcPr>
                  <w:tcW w:w="120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350</w:t>
                  </w:r>
                </w:p>
              </w:tc>
              <w:tc>
                <w:tcPr>
                  <w:tcW w:w="11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cs="Times New Roman"/>
                      <w:kern w:val="0"/>
                      <w:szCs w:val="21"/>
                      <w:highlight w:val="none"/>
                      <w:lang w:val="en-US" w:eastAsia="zh-CN" w:bidi="ar"/>
                    </w:rPr>
                  </w:pPr>
                  <w:r>
                    <w:rPr>
                      <w:rFonts w:hint="eastAsia" w:ascii="Times New Roman" w:hAnsi="Times New Roman"/>
                      <w:color w:val="auto"/>
                      <w:szCs w:val="21"/>
                      <w:lang w:val="en-US" w:eastAsia="zh-CN"/>
                    </w:rPr>
                    <w:t>7.103</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ascii="Times New Roman" w:hAnsi="Times New Roman"/>
                      <w:sz w:val="21"/>
                      <w:szCs w:val="21"/>
                      <w:highlight w:val="none"/>
                    </w:rPr>
                    <w:t>SS</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 xml:space="preserve">412.6 </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8.37422</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260</w:t>
                  </w:r>
                </w:p>
              </w:tc>
              <w:tc>
                <w:tcPr>
                  <w:tcW w:w="11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cs="Times New Roman"/>
                      <w:kern w:val="0"/>
                      <w:szCs w:val="21"/>
                      <w:highlight w:val="none"/>
                      <w:lang w:val="en-US" w:eastAsia="zh-CN" w:bidi="ar"/>
                    </w:rPr>
                  </w:pPr>
                  <w:r>
                    <w:rPr>
                      <w:rFonts w:hint="eastAsia" w:ascii="Times New Roman" w:hAnsi="Times New Roman" w:cs="Times New Roman"/>
                      <w:kern w:val="0"/>
                      <w:szCs w:val="21"/>
                      <w:highlight w:val="none"/>
                      <w:lang w:val="en-US" w:eastAsia="zh-CN" w:bidi="ar"/>
                    </w:rPr>
                    <w:t>5.277</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hint="eastAsia" w:ascii="Times New Roman" w:hAnsi="Times New Roman"/>
                      <w:color w:val="000000"/>
                      <w:sz w:val="21"/>
                      <w:szCs w:val="21"/>
                      <w:lang w:val="en-US" w:eastAsia="zh-CN"/>
                    </w:rPr>
                    <w:t>总石油烃</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 xml:space="preserve">0.5 </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0.010987</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0.1</w:t>
                  </w:r>
                </w:p>
              </w:tc>
              <w:tc>
                <w:tcPr>
                  <w:tcW w:w="11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cs="Times New Roman"/>
                      <w:kern w:val="0"/>
                      <w:szCs w:val="21"/>
                      <w:highlight w:val="none"/>
                      <w:lang w:val="en-US" w:eastAsia="zh-CN" w:bidi="ar"/>
                    </w:rPr>
                  </w:pPr>
                  <w:r>
                    <w:rPr>
                      <w:rFonts w:hint="eastAsia" w:ascii="Times New Roman" w:hAnsi="Times New Roman" w:cs="Times New Roman"/>
                      <w:kern w:val="0"/>
                      <w:szCs w:val="21"/>
                      <w:highlight w:val="none"/>
                      <w:lang w:val="en-US" w:eastAsia="zh-CN" w:bidi="ar"/>
                    </w:rPr>
                    <w:t>0.02</w:t>
                  </w:r>
                </w:p>
              </w:tc>
            </w:tr>
            <w:tr>
              <w:tblPrEx>
                <w:tblBorders>
                  <w:top w:val="thinThickSmallGap" w:color="auto" w:sz="12"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638"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965" w:type="dxa"/>
                  <w:vMerge w:val="continue"/>
                  <w:tcBorders>
                    <w:left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ascii="Times New Roman" w:hAnsi="Times New Roman" w:cs="Times New Roman"/>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六价铬</w:t>
                  </w:r>
                </w:p>
              </w:tc>
              <w:tc>
                <w:tcPr>
                  <w:tcW w:w="111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 xml:space="preserve">1.2 </w:t>
                  </w:r>
                </w:p>
              </w:tc>
              <w:tc>
                <w:tcPr>
                  <w:tcW w:w="99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eastAsia"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0.023348</w:t>
                  </w:r>
                </w:p>
              </w:tc>
              <w:tc>
                <w:tcPr>
                  <w:tcW w:w="1595" w:type="dxa"/>
                  <w:vMerge w:val="continue"/>
                  <w:tcBorders>
                    <w:left w:val="single" w:color="auto" w:sz="4" w:space="0"/>
                    <w:right w:val="single" w:color="auto" w:sz="4" w:space="0"/>
                  </w:tcBorders>
                  <w:noWrap w:val="0"/>
                  <w:tcMar>
                    <w:left w:w="28" w:type="dxa"/>
                    <w:right w:w="28" w:type="dxa"/>
                  </w:tcMar>
                  <w:vAlign w:val="center"/>
                </w:tcPr>
                <w:p>
                  <w:pPr>
                    <w:jc w:val="center"/>
                    <w:rPr>
                      <w:rFonts w:ascii="Times New Roman" w:hAnsi="Times New Roman"/>
                      <w:szCs w:val="21"/>
                      <w:highlight w:val="none"/>
                    </w:rPr>
                  </w:pPr>
                </w:p>
              </w:tc>
              <w:tc>
                <w:tcPr>
                  <w:tcW w:w="120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kern w:val="0"/>
                      <w:szCs w:val="21"/>
                      <w:highlight w:val="none"/>
                      <w:lang w:val="en-US" w:eastAsia="zh-CN" w:bidi="ar"/>
                    </w:rPr>
                  </w:pPr>
                  <w:r>
                    <w:rPr>
                      <w:rFonts w:hint="eastAsia" w:ascii="Times New Roman" w:hAnsi="Times New Roman"/>
                      <w:kern w:val="0"/>
                      <w:szCs w:val="21"/>
                      <w:highlight w:val="none"/>
                      <w:lang w:val="en-US" w:eastAsia="zh-CN" w:bidi="ar"/>
                    </w:rPr>
                    <w:t>0.2</w:t>
                  </w:r>
                </w:p>
              </w:tc>
              <w:tc>
                <w:tcPr>
                  <w:tcW w:w="116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textAlignment w:val="center"/>
                    <w:rPr>
                      <w:rFonts w:hint="default" w:ascii="Times New Roman" w:hAnsi="Times New Roman" w:cs="Times New Roman"/>
                      <w:kern w:val="0"/>
                      <w:szCs w:val="21"/>
                      <w:highlight w:val="none"/>
                      <w:lang w:val="en-US" w:eastAsia="zh-CN" w:bidi="ar"/>
                    </w:rPr>
                  </w:pPr>
                  <w:r>
                    <w:rPr>
                      <w:rFonts w:hint="eastAsia" w:ascii="Times New Roman" w:hAnsi="Times New Roman" w:cs="Times New Roman"/>
                      <w:kern w:val="0"/>
                      <w:szCs w:val="21"/>
                      <w:highlight w:val="none"/>
                      <w:lang w:val="en-US" w:eastAsia="zh-CN" w:bidi="ar"/>
                    </w:rPr>
                    <w:t>0.04</w:t>
                  </w:r>
                </w:p>
              </w:tc>
            </w:tr>
          </w:tbl>
          <w:p>
            <w:pPr>
              <w:spacing w:line="360" w:lineRule="auto"/>
              <w:ind w:firstLine="482" w:firstLineChars="200"/>
              <w:rPr>
                <w:rFonts w:ascii="Times New Roman" w:hAnsi="Times New Roman"/>
                <w:b/>
                <w:bCs/>
                <w:color w:val="000000"/>
                <w:sz w:val="24"/>
                <w:szCs w:val="24"/>
                <w:highlight w:val="none"/>
              </w:rPr>
            </w:pPr>
          </w:p>
          <w:p>
            <w:pPr>
              <w:spacing w:line="360" w:lineRule="auto"/>
              <w:ind w:firstLine="482" w:firstLineChars="200"/>
              <w:rPr>
                <w:rFonts w:ascii="Times New Roman" w:hAnsi="Times New Roman"/>
                <w:b/>
                <w:bCs/>
                <w:color w:val="000000"/>
                <w:sz w:val="24"/>
                <w:szCs w:val="24"/>
                <w:highlight w:val="none"/>
              </w:rPr>
            </w:pPr>
            <w:r>
              <w:rPr>
                <w:rFonts w:ascii="Times New Roman" w:hAnsi="Times New Roman"/>
                <w:b/>
                <w:bCs/>
                <w:color w:val="000000"/>
                <w:sz w:val="24"/>
                <w:szCs w:val="24"/>
                <w:highlight w:val="none"/>
              </w:rPr>
              <w:t>2、废气</w:t>
            </w:r>
          </w:p>
          <w:p>
            <w:pPr>
              <w:spacing w:line="360" w:lineRule="auto"/>
              <w:ind w:firstLine="480" w:firstLineChars="200"/>
              <w:rPr>
                <w:rFonts w:hint="eastAsia" w:ascii="Times New Roman" w:hAnsi="Times New Roman"/>
                <w:sz w:val="24"/>
                <w:highlight w:val="none"/>
                <w:lang w:val="en-US" w:eastAsia="zh-CN"/>
              </w:rPr>
            </w:pPr>
            <w:bookmarkStart w:id="5" w:name="_Hlk507536064"/>
            <w:r>
              <w:rPr>
                <w:rFonts w:hint="eastAsia" w:ascii="Times New Roman" w:hAnsi="Times New Roman"/>
                <w:sz w:val="24"/>
                <w:highlight w:val="none"/>
                <w:lang w:val="en-US" w:eastAsia="zh-CN"/>
              </w:rPr>
              <w:t>本项目废气主要为来自污染土开挖过程及污染物转运过程中产生的少量粉尘和异味、施工机械、运输车辆废气、拆迁扬尘、营地油烟。</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①污染土开挖</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开挖过程产生的扬尘量与许多因素有关，如：挖坑深度、挖土机抓斗与地面的相对高度、风速、土壤粒径、土壤含水率等。根据上海市环境科学研究院相关统计数据，扬尘的产生系数为0.292kg/m</w:t>
            </w:r>
            <w:r>
              <w:rPr>
                <w:rFonts w:hint="eastAsia" w:ascii="Times New Roman" w:hAnsi="Times New Roman"/>
                <w:sz w:val="24"/>
                <w:highlight w:val="none"/>
                <w:vertAlign w:val="superscript"/>
                <w:lang w:val="en-US" w:eastAsia="zh-CN"/>
              </w:rPr>
              <w:t>2</w:t>
            </w:r>
            <w:r>
              <w:rPr>
                <w:rFonts w:hint="eastAsia" w:ascii="Times New Roman" w:hAnsi="Times New Roman"/>
                <w:sz w:val="24"/>
                <w:highlight w:val="none"/>
                <w:lang w:val="en-US" w:eastAsia="zh-CN"/>
              </w:rPr>
              <w:t>，施工过程通过洒水抑，可以减少起尘量70%根据污染物在土壤中的迁移规律，污染物进入土壤后，经过静电吸附、配位体交换、氢键作用等与土壤胶体结合，从而被土壤吸附固定，土壤对有机物的吸附能力与土壤颗粒比表面积、颗粒粒径大小等因素有关；此外，在开挖过程中，由于温度、湿度、日照等因素影响，污染物会有一定量的有机物从土壤中挥发出，污染物挥发过程产生的异味，由于本项目施工期不长，且施工结束后不再产生污染物，本环评不对其进行定量分析。</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②污染土转运</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污染土壤采用加装全封闭式顶盖的运输车运输，在运输车底部和四周铺设高密度聚乙烯膜，运输车辆装载4/5，避免装载过满，装土后喷洒气味抑制剂，通过气味抑制剂防止气味扩散，转运过程中产生的粉尘和异味可忽略不计。</w:t>
            </w:r>
          </w:p>
          <w:p>
            <w:pPr>
              <w:spacing w:line="360" w:lineRule="auto"/>
              <w:ind w:firstLine="480" w:firstLineChars="200"/>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③施工机械、运输车辆尾气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sz w:val="24"/>
                <w:szCs w:val="22"/>
                <w:highlight w:val="none"/>
                <w:lang w:val="en-US" w:eastAsia="zh-CN"/>
              </w:rPr>
            </w:pPr>
            <w:r>
              <w:rPr>
                <w:rFonts w:hint="eastAsia" w:ascii="Times New Roman" w:hAnsi="Times New Roman"/>
                <w:sz w:val="24"/>
                <w:highlight w:val="none"/>
                <w:lang w:val="en-US" w:eastAsia="zh-CN"/>
              </w:rPr>
              <w:t>施工单位施工期间使用的施工机械主要有挖掘机、运输车辆等，施工机械和运输车辆排放的尾气中的污染物主要有CO、NO</w:t>
            </w:r>
            <w:r>
              <w:rPr>
                <w:rFonts w:hint="eastAsia" w:ascii="Times New Roman" w:hAnsi="Times New Roman"/>
                <w:sz w:val="24"/>
                <w:highlight w:val="none"/>
                <w:vertAlign w:val="subscript"/>
                <w:lang w:val="en-US" w:eastAsia="zh-CN"/>
              </w:rPr>
              <w:t>2</w:t>
            </w:r>
            <w:r>
              <w:rPr>
                <w:rFonts w:hint="eastAsia" w:ascii="Times New Roman" w:hAnsi="Times New Roman"/>
                <w:sz w:val="24"/>
                <w:highlight w:val="none"/>
                <w:lang w:val="en-US" w:eastAsia="zh-CN"/>
              </w:rPr>
              <w:t>、THC，根据类似工程施工现场监测结果，在距离现场50m处，大气环境中CO、NO</w:t>
            </w:r>
            <w:r>
              <w:rPr>
                <w:rFonts w:hint="eastAsia" w:ascii="Times New Roman" w:hAnsi="Times New Roman"/>
                <w:sz w:val="24"/>
                <w:highlight w:val="none"/>
                <w:vertAlign w:val="subscript"/>
                <w:lang w:val="en-US" w:eastAsia="zh-CN"/>
              </w:rPr>
              <w:t>2</w:t>
            </w:r>
            <w:r>
              <w:rPr>
                <w:rFonts w:hint="eastAsia" w:ascii="Times New Roman" w:hAnsi="Times New Roman"/>
                <w:sz w:val="24"/>
                <w:highlight w:val="none"/>
                <w:lang w:val="en-US" w:eastAsia="zh-CN"/>
              </w:rPr>
              <w:t>小时平均浓度分别为0.2mg/m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和0.13mg/m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，日平均浓度分别为0.13mg/m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和0.062mg/m</w:t>
            </w:r>
            <w:r>
              <w:rPr>
                <w:rFonts w:hint="eastAsia" w:ascii="Times New Roman" w:hAnsi="Times New Roman"/>
                <w:sz w:val="24"/>
                <w:highlight w:val="none"/>
                <w:vertAlign w:val="superscript"/>
                <w:lang w:val="en-US" w:eastAsia="zh-CN"/>
              </w:rPr>
              <w:t>3</w:t>
            </w:r>
            <w:r>
              <w:rPr>
                <w:rFonts w:hint="eastAsia" w:ascii="Times New Roman" w:hAnsi="Times New Roman"/>
                <w:sz w:val="24"/>
                <w:highlight w:val="none"/>
                <w:lang w:val="en-US" w:eastAsia="zh-CN"/>
              </w:rPr>
              <w:t>，满足《环境空气质量标准》（GB3095-2012）中二级</w:t>
            </w:r>
            <w:r>
              <w:rPr>
                <w:rFonts w:hint="eastAsia" w:ascii="Times New Roman" w:hAnsi="Times New Roman" w:eastAsia="宋体" w:cs="Times New Roman"/>
                <w:kern w:val="2"/>
                <w:sz w:val="24"/>
                <w:szCs w:val="22"/>
                <w:highlight w:val="none"/>
                <w:lang w:val="en-US" w:eastAsia="zh-CN" w:bidi="ar-SA"/>
              </w:rPr>
              <w:t>标</w:t>
            </w:r>
            <w:r>
              <w:rPr>
                <w:rFonts w:hint="eastAsia" w:ascii="Times New Roman" w:hAnsi="Times New Roman" w:eastAsia="宋体" w:cs="Times New Roman"/>
                <w:sz w:val="24"/>
                <w:szCs w:val="22"/>
                <w:highlight w:val="none"/>
                <w:lang w:val="en-US" w:eastAsia="zh-CN"/>
              </w:rPr>
              <w:t>准要求。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2"/>
                <w:highlight w:val="none"/>
                <w:lang w:val="en-US" w:eastAsia="zh-CN"/>
              </w:rPr>
            </w:pPr>
            <w:r>
              <w:rPr>
                <w:rFonts w:hint="eastAsia" w:ascii="Times New Roman" w:hAnsi="Times New Roman" w:eastAsia="宋体" w:cs="Times New Roman"/>
                <w:sz w:val="24"/>
                <w:szCs w:val="22"/>
                <w:highlight w:val="none"/>
                <w:lang w:val="en-US" w:eastAsia="zh-CN"/>
              </w:rPr>
              <w:t>④拆迁</w:t>
            </w:r>
            <w:r>
              <w:rPr>
                <w:rFonts w:hint="default" w:ascii="Times New Roman" w:hAnsi="Times New Roman" w:eastAsia="宋体" w:cs="Times New Roman"/>
                <w:sz w:val="24"/>
                <w:szCs w:val="22"/>
                <w:highlight w:val="none"/>
                <w:lang w:val="en-US" w:eastAsia="zh-CN"/>
              </w:rPr>
              <w:t xml:space="preserve">扬尘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2"/>
                <w:highlight w:val="none"/>
                <w:lang w:val="en-US" w:eastAsia="zh-CN"/>
              </w:rPr>
            </w:pPr>
            <w:r>
              <w:rPr>
                <w:rFonts w:hint="eastAsia" w:ascii="Times New Roman" w:hAnsi="Times New Roman" w:eastAsia="宋体" w:cs="Times New Roman"/>
                <w:sz w:val="24"/>
                <w:szCs w:val="22"/>
                <w:highlight w:val="none"/>
                <w:lang w:val="en-US" w:eastAsia="zh-CN"/>
              </w:rPr>
              <w:t>拆迁</w:t>
            </w:r>
            <w:r>
              <w:rPr>
                <w:rFonts w:hint="default" w:ascii="Times New Roman" w:hAnsi="Times New Roman" w:eastAsia="宋体" w:cs="Times New Roman"/>
                <w:sz w:val="24"/>
                <w:szCs w:val="22"/>
                <w:highlight w:val="none"/>
                <w:lang w:val="en-US" w:eastAsia="zh-CN"/>
              </w:rPr>
              <w:t>扬尘是指工程</w:t>
            </w:r>
            <w:r>
              <w:rPr>
                <w:rFonts w:hint="eastAsia" w:ascii="Times New Roman" w:hAnsi="Times New Roman" w:eastAsia="宋体" w:cs="Times New Roman"/>
                <w:sz w:val="24"/>
                <w:szCs w:val="22"/>
                <w:highlight w:val="none"/>
                <w:lang w:val="en-US" w:eastAsia="zh-CN"/>
              </w:rPr>
              <w:t>拆迁</w:t>
            </w:r>
            <w:r>
              <w:rPr>
                <w:rFonts w:hint="default" w:ascii="Times New Roman" w:hAnsi="Times New Roman" w:eastAsia="宋体" w:cs="Times New Roman"/>
                <w:sz w:val="24"/>
                <w:szCs w:val="22"/>
                <w:highlight w:val="none"/>
                <w:lang w:val="en-US" w:eastAsia="zh-CN"/>
              </w:rPr>
              <w:t>过程中产生的对大气造成污染的悬浮颗粒物和可吸入颗粒物等一般性粉尘，包括：砂石、灰土、灰浆、灰膏、工程渣土等物料。 扬尘排放量核定按物料衡算方法进行，即根据建筑面积、</w:t>
            </w:r>
            <w:r>
              <w:rPr>
                <w:rFonts w:hint="eastAsia" w:ascii="Times New Roman" w:hAnsi="Times New Roman" w:eastAsia="宋体" w:cs="Times New Roman"/>
                <w:sz w:val="24"/>
                <w:szCs w:val="22"/>
                <w:highlight w:val="none"/>
                <w:lang w:val="en-US" w:eastAsia="zh-CN"/>
              </w:rPr>
              <w:t>拆迁</w:t>
            </w:r>
            <w:r>
              <w:rPr>
                <w:rFonts w:hint="default" w:ascii="Times New Roman" w:hAnsi="Times New Roman" w:eastAsia="宋体" w:cs="Times New Roman"/>
                <w:sz w:val="24"/>
                <w:szCs w:val="22"/>
                <w:highlight w:val="none"/>
                <w:lang w:val="en-US" w:eastAsia="zh-CN"/>
              </w:rPr>
              <w:t>期和采取的扬尘污染控制措施，按基本排放量和可控排放量分别计算。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2"/>
                <w:highlight w:val="none"/>
                <w:lang w:val="en-US" w:eastAsia="zh-CN"/>
              </w:rPr>
            </w:pPr>
            <w:r>
              <w:rPr>
                <w:rFonts w:hint="default" w:ascii="Times New Roman" w:hAnsi="Times New Roman" w:eastAsia="宋体" w:cs="Times New Roman"/>
                <w:sz w:val="24"/>
                <w:szCs w:val="22"/>
                <w:highlight w:val="none"/>
                <w:lang w:val="en-US" w:eastAsia="zh-CN"/>
              </w:rPr>
              <w:t>W=WB + WKWB=A×B×T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2"/>
                <w:highlight w:val="none"/>
                <w:lang w:val="en-US" w:eastAsia="zh-CN"/>
              </w:rPr>
            </w:pPr>
            <w:r>
              <w:rPr>
                <w:rFonts w:hint="default" w:ascii="Times New Roman" w:hAnsi="Times New Roman" w:eastAsia="宋体" w:cs="Times New Roman"/>
                <w:sz w:val="24"/>
                <w:szCs w:val="22"/>
                <w:highlight w:val="none"/>
                <w:lang w:val="en-US" w:eastAsia="zh-CN"/>
              </w:rPr>
              <w:t>WK=A×（P11+P12+P13+P14+P2+P3）×T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2"/>
                <w:highlight w:val="none"/>
                <w:lang w:val="en-US" w:eastAsia="zh-CN"/>
              </w:rPr>
            </w:pPr>
            <w:r>
              <w:rPr>
                <w:rFonts w:hint="default" w:ascii="Times New Roman" w:hAnsi="Times New Roman" w:eastAsia="宋体" w:cs="Times New Roman"/>
                <w:sz w:val="24"/>
                <w:szCs w:val="22"/>
                <w:highlight w:val="none"/>
                <w:lang w:val="en-US" w:eastAsia="zh-CN"/>
              </w:rPr>
              <w:t xml:space="preserve">W：建筑施工扬尘排放量，吨；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2"/>
                <w:highlight w:val="none"/>
                <w:lang w:val="en-US" w:eastAsia="zh-CN"/>
              </w:rPr>
            </w:pPr>
            <w:r>
              <w:rPr>
                <w:rFonts w:hint="default" w:ascii="Times New Roman" w:hAnsi="Times New Roman" w:eastAsia="宋体" w:cs="Times New Roman"/>
                <w:sz w:val="24"/>
                <w:szCs w:val="22"/>
                <w:highlight w:val="none"/>
                <w:lang w:val="en-US" w:eastAsia="zh-CN"/>
              </w:rPr>
              <w:t xml:space="preserve">WB：基本排放量，吨；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2"/>
                <w:highlight w:val="none"/>
                <w:lang w:val="en-US" w:eastAsia="zh-CN"/>
              </w:rPr>
            </w:pPr>
            <w:r>
              <w:rPr>
                <w:rFonts w:hint="default" w:ascii="Times New Roman" w:hAnsi="Times New Roman" w:eastAsia="宋体" w:cs="Times New Roman"/>
                <w:sz w:val="24"/>
                <w:szCs w:val="22"/>
                <w:highlight w:val="none"/>
                <w:lang w:val="en-US" w:eastAsia="zh-CN"/>
              </w:rPr>
              <w:t>WK：可控排放量，吨；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2"/>
                <w:highlight w:val="none"/>
                <w:lang w:val="en-US" w:eastAsia="zh-CN"/>
              </w:rPr>
            </w:pPr>
            <w:r>
              <w:rPr>
                <w:rFonts w:hint="default" w:ascii="Times New Roman" w:hAnsi="Times New Roman" w:eastAsia="宋体" w:cs="Times New Roman"/>
                <w:sz w:val="24"/>
                <w:szCs w:val="22"/>
                <w:highlight w:val="none"/>
                <w:lang w:val="en-US" w:eastAsia="zh-CN"/>
              </w:rPr>
              <w:t xml:space="preserve">A：建筑面积（市政工地按施工面积），万平方米；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2"/>
                <w:highlight w:val="none"/>
                <w:lang w:val="en-US" w:eastAsia="zh-CN"/>
              </w:rPr>
            </w:pPr>
            <w:r>
              <w:rPr>
                <w:rFonts w:hint="default" w:ascii="Times New Roman" w:hAnsi="Times New Roman" w:eastAsia="宋体" w:cs="Times New Roman"/>
                <w:sz w:val="24"/>
                <w:szCs w:val="22"/>
                <w:highlight w:val="none"/>
                <w:lang w:val="en-US" w:eastAsia="zh-CN"/>
              </w:rPr>
              <w:t>B：基本排放量排放系数，吨/万平方米·月，详见下表；</w:t>
            </w:r>
          </w:p>
          <w:p>
            <w:pPr>
              <w:autoSpaceDE w:val="0"/>
              <w:autoSpaceDN w:val="0"/>
              <w:spacing w:line="360" w:lineRule="auto"/>
              <w:jc w:val="center"/>
              <w:rPr>
                <w:rFonts w:hint="default" w:ascii="Times New Roman" w:hAnsi="Times New Roman" w:cs="Times New Roman"/>
                <w:color w:val="auto"/>
              </w:rPr>
            </w:pPr>
            <w:r>
              <w:rPr>
                <w:rFonts w:hint="default" w:ascii="Times New Roman" w:hAnsi="Times New Roman" w:cs="Times New Roman"/>
                <w:b/>
                <w:bCs/>
                <w:color w:val="auto"/>
                <w:sz w:val="24"/>
                <w:szCs w:val="24"/>
              </w:rPr>
              <w:t>表</w:t>
            </w:r>
            <w:r>
              <w:rPr>
                <w:rFonts w:hint="eastAsia" w:ascii="Times New Roman" w:hAnsi="Times New Roman" w:cs="Times New Roman"/>
                <w:b/>
                <w:bCs/>
                <w:color w:val="auto"/>
                <w:sz w:val="24"/>
                <w:szCs w:val="24"/>
                <w:lang w:val="en-US" w:eastAsia="zh-CN"/>
              </w:rPr>
              <w:t>5-2</w:t>
            </w:r>
            <w:r>
              <w:rPr>
                <w:rFonts w:hint="default" w:ascii="Times New Roman" w:hAnsi="Times New Roman" w:cs="Times New Roman"/>
                <w:b/>
                <w:bCs/>
                <w:color w:val="auto"/>
                <w:sz w:val="24"/>
                <w:szCs w:val="24"/>
              </w:rPr>
              <w:tab/>
            </w:r>
            <w:r>
              <w:rPr>
                <w:rFonts w:hint="default" w:ascii="Times New Roman" w:hAnsi="Times New Roman" w:cs="Times New Roman"/>
                <w:b/>
                <w:bCs/>
                <w:color w:val="auto"/>
                <w:sz w:val="24"/>
                <w:szCs w:val="24"/>
              </w:rPr>
              <w:t>建筑施工扬尘基本排放系数</w:t>
            </w:r>
          </w:p>
          <w:tbl>
            <w:tblPr>
              <w:tblStyle w:val="27"/>
              <w:tblW w:w="0" w:type="auto"/>
              <w:jc w:val="center"/>
              <w:tblLayout w:type="fixed"/>
              <w:tblCellMar>
                <w:top w:w="0" w:type="dxa"/>
                <w:left w:w="108" w:type="dxa"/>
                <w:bottom w:w="0" w:type="dxa"/>
                <w:right w:w="108" w:type="dxa"/>
              </w:tblCellMar>
            </w:tblPr>
            <w:tblGrid>
              <w:gridCol w:w="4106"/>
              <w:gridCol w:w="4739"/>
            </w:tblGrid>
            <w:tr>
              <w:tblPrEx>
                <w:tblCellMar>
                  <w:top w:w="0" w:type="dxa"/>
                  <w:left w:w="108" w:type="dxa"/>
                  <w:bottom w:w="0" w:type="dxa"/>
                  <w:right w:w="108" w:type="dxa"/>
                </w:tblCellMar>
              </w:tblPrEx>
              <w:trPr>
                <w:trHeight w:val="407" w:hRule="exact"/>
                <w:jc w:val="center"/>
              </w:trPr>
              <w:tc>
                <w:tcPr>
                  <w:tcW w:w="4106"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before="27"/>
                    <w:ind w:firstLine="412"/>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工地类型</w:t>
                  </w:r>
                </w:p>
              </w:tc>
              <w:tc>
                <w:tcPr>
                  <w:tcW w:w="4739"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before="27"/>
                    <w:ind w:left="181" w:firstLine="412"/>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基本排放量排放系数 B（吨/万平方米·月）</w:t>
                  </w:r>
                </w:p>
              </w:tc>
            </w:tr>
            <w:tr>
              <w:tblPrEx>
                <w:tblCellMar>
                  <w:top w:w="0" w:type="dxa"/>
                  <w:left w:w="108" w:type="dxa"/>
                  <w:bottom w:w="0" w:type="dxa"/>
                  <w:right w:w="108" w:type="dxa"/>
                </w:tblCellMar>
              </w:tblPrEx>
              <w:trPr>
                <w:trHeight w:val="407" w:hRule="exact"/>
                <w:jc w:val="center"/>
              </w:trPr>
              <w:tc>
                <w:tcPr>
                  <w:tcW w:w="4106"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before="28"/>
                    <w:ind w:firstLine="412"/>
                    <w:jc w:val="center"/>
                    <w:rPr>
                      <w:rFonts w:hint="default" w:ascii="Times New Roman" w:hAnsi="Times New Roman" w:cs="Times New Roman"/>
                      <w:b w:val="0"/>
                      <w:bCs w:val="0"/>
                      <w:color w:val="auto"/>
                      <w:sz w:val="21"/>
                      <w:szCs w:val="21"/>
                      <w:lang w:eastAsia="zh-CN"/>
                    </w:rPr>
                  </w:pPr>
                  <w:r>
                    <w:rPr>
                      <w:rFonts w:hint="default" w:ascii="Times New Roman" w:hAnsi="Times New Roman" w:cs="Times New Roman"/>
                      <w:b w:val="0"/>
                      <w:bCs w:val="0"/>
                      <w:color w:val="auto"/>
                      <w:sz w:val="21"/>
                      <w:szCs w:val="21"/>
                      <w:lang w:eastAsia="zh-CN"/>
                    </w:rPr>
                    <w:t>建筑工地</w:t>
                  </w:r>
                </w:p>
              </w:tc>
              <w:tc>
                <w:tcPr>
                  <w:tcW w:w="4739"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before="78"/>
                    <w:ind w:firstLine="414"/>
                    <w:jc w:val="center"/>
                    <w:rPr>
                      <w:rFonts w:hint="default" w:ascii="Times New Roman" w:hAnsi="Times New Roman" w:cs="Times New Roman"/>
                      <w:b w:val="0"/>
                      <w:bCs w:val="0"/>
                      <w:color w:val="auto"/>
                      <w:sz w:val="21"/>
                      <w:szCs w:val="21"/>
                      <w:lang w:eastAsia="zh-CN"/>
                    </w:rPr>
                  </w:pPr>
                  <w:r>
                    <w:rPr>
                      <w:rFonts w:hint="default" w:ascii="Times New Roman" w:hAnsi="Times New Roman" w:cs="Times New Roman"/>
                      <w:b w:val="0"/>
                      <w:bCs w:val="0"/>
                      <w:color w:val="auto"/>
                      <w:sz w:val="21"/>
                      <w:szCs w:val="21"/>
                      <w:lang w:eastAsia="zh-CN"/>
                    </w:rPr>
                    <w:t>1.21</w:t>
                  </w:r>
                </w:p>
              </w:tc>
            </w:tr>
            <w:tr>
              <w:tblPrEx>
                <w:tblCellMar>
                  <w:top w:w="0" w:type="dxa"/>
                  <w:left w:w="108" w:type="dxa"/>
                  <w:bottom w:w="0" w:type="dxa"/>
                  <w:right w:w="108" w:type="dxa"/>
                </w:tblCellMar>
              </w:tblPrEx>
              <w:trPr>
                <w:trHeight w:val="407" w:hRule="exact"/>
                <w:jc w:val="center"/>
              </w:trPr>
              <w:tc>
                <w:tcPr>
                  <w:tcW w:w="4106"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before="27"/>
                    <w:ind w:firstLine="412"/>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市政工地</w:t>
                  </w:r>
                </w:p>
              </w:tc>
              <w:tc>
                <w:tcPr>
                  <w:tcW w:w="4739"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before="76"/>
                    <w:ind w:firstLine="412"/>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1.77</w:t>
                  </w:r>
                </w:p>
              </w:tc>
            </w:tr>
            <w:tr>
              <w:tblPrEx>
                <w:tblCellMar>
                  <w:top w:w="0" w:type="dxa"/>
                  <w:left w:w="108" w:type="dxa"/>
                  <w:bottom w:w="0" w:type="dxa"/>
                  <w:right w:w="108" w:type="dxa"/>
                </w:tblCellMar>
              </w:tblPrEx>
              <w:trPr>
                <w:trHeight w:val="407" w:hRule="exact"/>
                <w:jc w:val="center"/>
              </w:trPr>
              <w:tc>
                <w:tcPr>
                  <w:tcW w:w="4106"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before="28"/>
                    <w:ind w:firstLine="412"/>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拆迁工地</w:t>
                  </w:r>
                </w:p>
              </w:tc>
              <w:tc>
                <w:tcPr>
                  <w:tcW w:w="4739"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before="77"/>
                    <w:ind w:firstLine="412"/>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6.05</w:t>
                  </w:r>
                </w:p>
              </w:tc>
            </w:tr>
          </w:tbl>
          <w:p>
            <w:pPr>
              <w:pStyle w:val="12"/>
              <w:keepNext w:val="0"/>
              <w:keepLines w:val="0"/>
              <w:pageBreakBefore w:val="0"/>
              <w:widowControl w:val="0"/>
              <w:kinsoku w:val="0"/>
              <w:wordWrap/>
              <w:overflowPunct w:val="0"/>
              <w:topLinePunct w:val="0"/>
              <w:autoSpaceDE/>
              <w:autoSpaceDN/>
              <w:bidi w:val="0"/>
              <w:adjustRightInd/>
              <w:spacing w:line="240" w:lineRule="atLeast"/>
              <w:jc w:val="left"/>
              <w:textAlignment w:val="auto"/>
              <w:rPr>
                <w:rFonts w:hint="default" w:ascii="Times New Roman" w:hAnsi="Times New Roman" w:cs="Times New Roman"/>
                <w:b/>
                <w:bCs/>
                <w:color w:val="auto"/>
              </w:rPr>
            </w:pPr>
            <w:r>
              <w:rPr>
                <w:rFonts w:hint="default" w:ascii="Times New Roman" w:hAnsi="Times New Roman" w:cs="Times New Roman"/>
                <w:b/>
                <w:bCs/>
                <w:color w:val="auto"/>
              </w:rPr>
              <w:t>注：评价过程中上表选取的参数已加粗。</w:t>
            </w:r>
          </w:p>
          <w:p>
            <w:pPr>
              <w:keepNext w:val="0"/>
              <w:keepLines w:val="0"/>
              <w:pageBreakBefore w:val="0"/>
              <w:widowControl w:val="0"/>
              <w:wordWrap/>
              <w:topLinePunct w:val="0"/>
              <w:autoSpaceDE/>
              <w:autoSpaceDN/>
              <w:bidi w:val="0"/>
              <w:adjustRightInd/>
              <w:snapToGrid w:val="0"/>
              <w:spacing w:line="240" w:lineRule="atLeast"/>
              <w:ind w:firstLine="422" w:firstLineChars="200"/>
              <w:jc w:val="left"/>
              <w:textAlignment w:val="auto"/>
              <w:rPr>
                <w:rFonts w:hint="default" w:ascii="Times New Roman" w:hAnsi="Times New Roman" w:cs="Times New Roman"/>
                <w:b/>
                <w:bCs/>
                <w:color w:val="auto"/>
              </w:rPr>
            </w:pPr>
            <w:r>
              <w:rPr>
                <w:rFonts w:hint="default" w:ascii="Times New Roman" w:hAnsi="Times New Roman" w:cs="Times New Roman"/>
                <w:b/>
                <w:bCs/>
                <w:color w:val="auto"/>
              </w:rPr>
              <w:t>P11、P12、 P13、 P14：各项控制扬尘措施所对应的一次扬尘可控制排放量排污系数，吨/万平方米·月；</w:t>
            </w:r>
          </w:p>
          <w:p>
            <w:pPr>
              <w:keepNext w:val="0"/>
              <w:keepLines w:val="0"/>
              <w:pageBreakBefore w:val="0"/>
              <w:widowControl w:val="0"/>
              <w:wordWrap/>
              <w:topLinePunct w:val="0"/>
              <w:autoSpaceDE/>
              <w:autoSpaceDN/>
              <w:bidi w:val="0"/>
              <w:adjustRightInd/>
              <w:snapToGrid w:val="0"/>
              <w:spacing w:line="240" w:lineRule="atLeast"/>
              <w:ind w:firstLine="422" w:firstLineChars="200"/>
              <w:jc w:val="left"/>
              <w:textAlignment w:val="auto"/>
              <w:rPr>
                <w:rFonts w:hint="default" w:ascii="Times New Roman" w:hAnsi="Times New Roman" w:cs="Times New Roman"/>
                <w:b/>
                <w:bCs/>
                <w:color w:val="auto"/>
              </w:rPr>
            </w:pPr>
            <w:r>
              <w:rPr>
                <w:rFonts w:hint="default" w:ascii="Times New Roman" w:hAnsi="Times New Roman" w:cs="Times New Roman"/>
                <w:b/>
                <w:bCs/>
                <w:color w:val="auto"/>
              </w:rPr>
              <w:t>P2、P3：控制运输车辆扬尘所对应二次扬尘可控排放量系数，吨/万平方米·月。</w:t>
            </w:r>
          </w:p>
          <w:p>
            <w:pPr>
              <w:autoSpaceDE w:val="0"/>
              <w:autoSpaceDN w:val="0"/>
              <w:spacing w:line="360" w:lineRule="auto"/>
              <w:jc w:val="center"/>
              <w:rPr>
                <w:rFonts w:hint="default" w:ascii="Times New Roman" w:hAnsi="Times New Roman" w:cs="Times New Roman"/>
                <w:b/>
                <w:bCs/>
                <w:color w:val="auto"/>
                <w:sz w:val="24"/>
                <w:szCs w:val="24"/>
              </w:rPr>
            </w:pPr>
          </w:p>
          <w:p>
            <w:pPr>
              <w:autoSpaceDE w:val="0"/>
              <w:autoSpaceDN w:val="0"/>
              <w:spacing w:line="360" w:lineRule="auto"/>
              <w:jc w:val="center"/>
              <w:rPr>
                <w:rFonts w:hint="default" w:ascii="Times New Roman" w:hAnsi="Times New Roman" w:cs="Times New Roman"/>
                <w:b/>
                <w:bCs/>
                <w:color w:val="auto"/>
                <w:sz w:val="24"/>
                <w:szCs w:val="24"/>
              </w:rPr>
            </w:pPr>
          </w:p>
          <w:p>
            <w:pPr>
              <w:autoSpaceDE w:val="0"/>
              <w:autoSpaceDN w:val="0"/>
              <w:spacing w:line="360" w:lineRule="auto"/>
              <w:jc w:val="center"/>
              <w:rPr>
                <w:rFonts w:hint="default" w:ascii="Times New Roman" w:hAnsi="Times New Roman" w:cs="Times New Roman"/>
                <w:b/>
                <w:bCs/>
                <w:color w:val="auto"/>
                <w:sz w:val="24"/>
                <w:szCs w:val="24"/>
              </w:rPr>
            </w:pPr>
          </w:p>
          <w:p>
            <w:pPr>
              <w:autoSpaceDE w:val="0"/>
              <w:autoSpaceDN w:val="0"/>
              <w:spacing w:line="360" w:lineRule="auto"/>
              <w:jc w:val="center"/>
              <w:rPr>
                <w:rFonts w:hint="default" w:ascii="Times New Roman" w:hAnsi="Times New Roman" w:cs="Times New Roman"/>
                <w:b/>
                <w:bCs/>
                <w:color w:val="auto"/>
                <w:sz w:val="24"/>
                <w:szCs w:val="24"/>
              </w:rPr>
            </w:pPr>
          </w:p>
          <w:p>
            <w:pPr>
              <w:autoSpaceDE w:val="0"/>
              <w:autoSpaceDN w:val="0"/>
              <w:spacing w:line="360" w:lineRule="auto"/>
              <w:jc w:val="center"/>
              <w:rPr>
                <w:rFonts w:hint="default" w:ascii="Times New Roman" w:hAnsi="Times New Roman" w:cs="Times New Roman"/>
                <w:b/>
                <w:bCs/>
                <w:color w:val="auto"/>
                <w:sz w:val="24"/>
                <w:szCs w:val="24"/>
              </w:rPr>
            </w:pPr>
          </w:p>
          <w:p>
            <w:pPr>
              <w:autoSpaceDE w:val="0"/>
              <w:autoSpaceDN w:val="0"/>
              <w:spacing w:line="360" w:lineRule="auto"/>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eastAsia" w:ascii="Times New Roman" w:hAnsi="Times New Roman" w:cs="Times New Roman"/>
                <w:b/>
                <w:bCs/>
                <w:color w:val="auto"/>
                <w:sz w:val="24"/>
                <w:szCs w:val="24"/>
                <w:lang w:val="en-US" w:eastAsia="zh-CN"/>
              </w:rPr>
              <w:t>5-3</w:t>
            </w:r>
            <w:r>
              <w:rPr>
                <w:rFonts w:hint="default" w:ascii="Times New Roman" w:hAnsi="Times New Roman" w:cs="Times New Roman"/>
                <w:b/>
                <w:bCs/>
                <w:color w:val="auto"/>
                <w:sz w:val="24"/>
                <w:szCs w:val="24"/>
              </w:rPr>
              <w:tab/>
            </w:r>
            <w:r>
              <w:rPr>
                <w:rFonts w:hint="default" w:ascii="Times New Roman" w:hAnsi="Times New Roman" w:cs="Times New Roman"/>
                <w:b/>
                <w:bCs/>
                <w:color w:val="auto"/>
                <w:sz w:val="24"/>
                <w:szCs w:val="24"/>
              </w:rPr>
              <w:t>建筑扬尘可控排放系数</w:t>
            </w:r>
          </w:p>
          <w:tbl>
            <w:tblPr>
              <w:tblStyle w:val="27"/>
              <w:tblW w:w="0" w:type="auto"/>
              <w:jc w:val="center"/>
              <w:tblLayout w:type="fixed"/>
              <w:tblCellMar>
                <w:top w:w="0" w:type="dxa"/>
                <w:left w:w="108" w:type="dxa"/>
                <w:bottom w:w="0" w:type="dxa"/>
                <w:right w:w="108" w:type="dxa"/>
              </w:tblCellMar>
            </w:tblPr>
            <w:tblGrid>
              <w:gridCol w:w="672"/>
              <w:gridCol w:w="1256"/>
              <w:gridCol w:w="2622"/>
              <w:gridCol w:w="1389"/>
              <w:gridCol w:w="1470"/>
              <w:gridCol w:w="1436"/>
            </w:tblGrid>
            <w:tr>
              <w:tblPrEx>
                <w:tblCellMar>
                  <w:top w:w="0" w:type="dxa"/>
                  <w:left w:w="108" w:type="dxa"/>
                  <w:bottom w:w="0" w:type="dxa"/>
                  <w:right w:w="108" w:type="dxa"/>
                </w:tblCellMar>
              </w:tblPrEx>
              <w:trPr>
                <w:trHeight w:val="407" w:hRule="exact"/>
                <w:jc w:val="center"/>
              </w:trPr>
              <w:tc>
                <w:tcPr>
                  <w:tcW w:w="672" w:type="dxa"/>
                  <w:vMerge w:val="restart"/>
                  <w:tcBorders>
                    <w:top w:val="single" w:color="000000" w:sz="4" w:space="0"/>
                    <w:left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工地 类型</w:t>
                  </w:r>
                </w:p>
              </w:tc>
              <w:tc>
                <w:tcPr>
                  <w:tcW w:w="1256" w:type="dxa"/>
                  <w:vMerge w:val="restart"/>
                  <w:tcBorders>
                    <w:top w:val="single" w:color="000000" w:sz="4" w:space="0"/>
                    <w:left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p>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扬尘类型</w:t>
                  </w:r>
                </w:p>
              </w:tc>
              <w:tc>
                <w:tcPr>
                  <w:tcW w:w="2622" w:type="dxa"/>
                  <w:vMerge w:val="restart"/>
                  <w:tcBorders>
                    <w:top w:val="single" w:color="000000" w:sz="4" w:space="0"/>
                    <w:left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p>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扬尘污染控制措施</w:t>
                  </w:r>
                </w:p>
              </w:tc>
              <w:tc>
                <w:tcPr>
                  <w:tcW w:w="4295" w:type="dxa"/>
                  <w:gridSpan w:val="3"/>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可控排放量排放系数 P（吨/万平方米·月）</w:t>
                  </w:r>
                </w:p>
              </w:tc>
            </w:tr>
            <w:tr>
              <w:tblPrEx>
                <w:tblCellMar>
                  <w:top w:w="0" w:type="dxa"/>
                  <w:left w:w="108" w:type="dxa"/>
                  <w:bottom w:w="0" w:type="dxa"/>
                  <w:right w:w="108" w:type="dxa"/>
                </w:tblCellMar>
              </w:tblPrEx>
              <w:trPr>
                <w:trHeight w:val="405" w:hRule="exact"/>
                <w:jc w:val="center"/>
              </w:trPr>
              <w:tc>
                <w:tcPr>
                  <w:tcW w:w="672" w:type="dxa"/>
                  <w:vMerge w:val="continue"/>
                  <w:tcBorders>
                    <w:left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1256" w:type="dxa"/>
                  <w:vMerge w:val="continue"/>
                  <w:tcBorders>
                    <w:left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2622" w:type="dxa"/>
                  <w:vMerge w:val="continue"/>
                  <w:tcBorders>
                    <w:left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1389" w:type="dxa"/>
                  <w:vMerge w:val="restart"/>
                  <w:tcBorders>
                    <w:top w:val="single" w:color="000000" w:sz="4" w:space="0"/>
                    <w:left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代码</w:t>
                  </w:r>
                </w:p>
              </w:tc>
              <w:tc>
                <w:tcPr>
                  <w:tcW w:w="2906"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措施达标</w:t>
                  </w:r>
                </w:p>
              </w:tc>
            </w:tr>
            <w:tr>
              <w:tblPrEx>
                <w:tblCellMar>
                  <w:top w:w="0" w:type="dxa"/>
                  <w:left w:w="108" w:type="dxa"/>
                  <w:bottom w:w="0" w:type="dxa"/>
                  <w:right w:w="108" w:type="dxa"/>
                </w:tblCellMar>
              </w:tblPrEx>
              <w:trPr>
                <w:trHeight w:val="405" w:hRule="exact"/>
                <w:jc w:val="center"/>
              </w:trPr>
              <w:tc>
                <w:tcPr>
                  <w:tcW w:w="672" w:type="dxa"/>
                  <w:vMerge w:val="continue"/>
                  <w:tcBorders>
                    <w:left w:val="single" w:color="000000" w:sz="4" w:space="0"/>
                    <w:bottom w:val="single" w:color="auto"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1256" w:type="dxa"/>
                  <w:vMerge w:val="continue"/>
                  <w:tcBorders>
                    <w:left w:val="single" w:color="000000" w:sz="4" w:space="0"/>
                    <w:bottom w:val="single" w:color="auto"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2622" w:type="dxa"/>
                  <w:vMerge w:val="continue"/>
                  <w:tcBorders>
                    <w:left w:val="single" w:color="000000" w:sz="4" w:space="0"/>
                    <w:bottom w:val="single" w:color="auto"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1389" w:type="dxa"/>
                  <w:vMerge w:val="continue"/>
                  <w:tcBorders>
                    <w:left w:val="single" w:color="000000" w:sz="4" w:space="0"/>
                    <w:bottom w:val="single" w:color="auto"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p>
              </w:tc>
              <w:tc>
                <w:tcPr>
                  <w:tcW w:w="1470" w:type="dxa"/>
                  <w:tcBorders>
                    <w:top w:val="single" w:color="000000" w:sz="4" w:space="0"/>
                    <w:left w:val="single" w:color="000000"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是</w:t>
                  </w:r>
                </w:p>
              </w:tc>
              <w:tc>
                <w:tcPr>
                  <w:tcW w:w="1436" w:type="dxa"/>
                  <w:tcBorders>
                    <w:top w:val="single" w:color="000000" w:sz="4" w:space="0"/>
                    <w:left w:val="single" w:color="auto" w:sz="4" w:space="0"/>
                    <w:bottom w:val="single" w:color="auto"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否</w:t>
                  </w:r>
                </w:p>
              </w:tc>
            </w:tr>
            <w:tr>
              <w:tblPrEx>
                <w:tblCellMar>
                  <w:top w:w="0" w:type="dxa"/>
                  <w:left w:w="108" w:type="dxa"/>
                  <w:bottom w:w="0" w:type="dxa"/>
                  <w:right w:w="108" w:type="dxa"/>
                </w:tblCellMar>
              </w:tblPrEx>
              <w:trPr>
                <w:trHeight w:val="405" w:hRule="exact"/>
                <w:jc w:val="center"/>
              </w:trPr>
              <w:tc>
                <w:tcPr>
                  <w:tcW w:w="672" w:type="dxa"/>
                  <w:vMerge w:val="restart"/>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建筑 工地</w:t>
                  </w:r>
                </w:p>
              </w:tc>
              <w:tc>
                <w:tcPr>
                  <w:tcW w:w="1256" w:type="dxa"/>
                  <w:vMerge w:val="restart"/>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一次扬尘（累计计 算）</w:t>
                  </w:r>
                </w:p>
              </w:tc>
              <w:tc>
                <w:tcPr>
                  <w:tcW w:w="2622"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道路硬化管理</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P11</w:t>
                  </w:r>
                </w:p>
              </w:tc>
              <w:tc>
                <w:tcPr>
                  <w:tcW w:w="1470"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1436"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1.14</w:t>
                  </w:r>
                </w:p>
              </w:tc>
            </w:tr>
            <w:tr>
              <w:tblPrEx>
                <w:tblCellMar>
                  <w:top w:w="0" w:type="dxa"/>
                  <w:left w:w="108" w:type="dxa"/>
                  <w:bottom w:w="0" w:type="dxa"/>
                  <w:right w:w="108" w:type="dxa"/>
                </w:tblCellMar>
              </w:tblPrEx>
              <w:trPr>
                <w:trHeight w:val="405" w:hRule="exact"/>
                <w:jc w:val="center"/>
              </w:trPr>
              <w:tc>
                <w:tcPr>
                  <w:tcW w:w="672" w:type="dxa"/>
                  <w:vMerge w:val="continue"/>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1256" w:type="dxa"/>
                  <w:vMerge w:val="continue"/>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2622"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边界围挡</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P12</w:t>
                  </w:r>
                </w:p>
              </w:tc>
              <w:tc>
                <w:tcPr>
                  <w:tcW w:w="1470"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1436"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0.57</w:t>
                  </w:r>
                </w:p>
              </w:tc>
            </w:tr>
            <w:tr>
              <w:tblPrEx>
                <w:tblCellMar>
                  <w:top w:w="0" w:type="dxa"/>
                  <w:left w:w="108" w:type="dxa"/>
                  <w:bottom w:w="0" w:type="dxa"/>
                  <w:right w:w="108" w:type="dxa"/>
                </w:tblCellMar>
              </w:tblPrEx>
              <w:trPr>
                <w:trHeight w:val="405" w:hRule="exact"/>
                <w:jc w:val="center"/>
              </w:trPr>
              <w:tc>
                <w:tcPr>
                  <w:tcW w:w="672" w:type="dxa"/>
                  <w:vMerge w:val="continue"/>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1256" w:type="dxa"/>
                  <w:vMerge w:val="continue"/>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2622"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裸露地面覆盖</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P13</w:t>
                  </w:r>
                </w:p>
              </w:tc>
              <w:tc>
                <w:tcPr>
                  <w:tcW w:w="1470"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1436"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0.72</w:t>
                  </w:r>
                </w:p>
              </w:tc>
            </w:tr>
            <w:tr>
              <w:tblPrEx>
                <w:tblCellMar>
                  <w:top w:w="0" w:type="dxa"/>
                  <w:left w:w="108" w:type="dxa"/>
                  <w:bottom w:w="0" w:type="dxa"/>
                  <w:right w:w="108" w:type="dxa"/>
                </w:tblCellMar>
              </w:tblPrEx>
              <w:trPr>
                <w:trHeight w:val="405" w:hRule="exact"/>
                <w:jc w:val="center"/>
              </w:trPr>
              <w:tc>
                <w:tcPr>
                  <w:tcW w:w="672" w:type="dxa"/>
                  <w:vMerge w:val="continue"/>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1256" w:type="dxa"/>
                  <w:vMerge w:val="continue"/>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2622"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易扬尘物料覆盖</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P14</w:t>
                  </w:r>
                </w:p>
              </w:tc>
              <w:tc>
                <w:tcPr>
                  <w:tcW w:w="1470"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1436"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0.43</w:t>
                  </w:r>
                </w:p>
              </w:tc>
            </w:tr>
            <w:tr>
              <w:tblPrEx>
                <w:tblCellMar>
                  <w:top w:w="0" w:type="dxa"/>
                  <w:left w:w="108" w:type="dxa"/>
                  <w:bottom w:w="0" w:type="dxa"/>
                  <w:right w:w="108" w:type="dxa"/>
                </w:tblCellMar>
              </w:tblPrEx>
              <w:trPr>
                <w:trHeight w:val="405" w:hRule="exact"/>
                <w:jc w:val="center"/>
              </w:trPr>
              <w:tc>
                <w:tcPr>
                  <w:tcW w:w="672" w:type="dxa"/>
                  <w:vMerge w:val="continue"/>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1256" w:type="dxa"/>
                  <w:vMerge w:val="restart"/>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二次扬尘（P3 不累计算）</w:t>
                  </w:r>
                </w:p>
              </w:tc>
              <w:tc>
                <w:tcPr>
                  <w:tcW w:w="2622"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运输车辆密闭</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P2</w:t>
                  </w:r>
                </w:p>
              </w:tc>
              <w:tc>
                <w:tcPr>
                  <w:tcW w:w="1470"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1436"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1.24</w:t>
                  </w:r>
                </w:p>
              </w:tc>
            </w:tr>
            <w:tr>
              <w:tblPrEx>
                <w:tblCellMar>
                  <w:top w:w="0" w:type="dxa"/>
                  <w:left w:w="108" w:type="dxa"/>
                  <w:bottom w:w="0" w:type="dxa"/>
                  <w:right w:w="108" w:type="dxa"/>
                </w:tblCellMar>
              </w:tblPrEx>
              <w:trPr>
                <w:trHeight w:val="405" w:hRule="exact"/>
                <w:jc w:val="center"/>
              </w:trPr>
              <w:tc>
                <w:tcPr>
                  <w:tcW w:w="672" w:type="dxa"/>
                  <w:vMerge w:val="continue"/>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1256" w:type="dxa"/>
                  <w:vMerge w:val="continue"/>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2622"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运输车辆机械冲洗装置</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P3</w:t>
                  </w:r>
                </w:p>
              </w:tc>
              <w:tc>
                <w:tcPr>
                  <w:tcW w:w="1470"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1436"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tblPrEx>
                <w:tblCellMar>
                  <w:top w:w="0" w:type="dxa"/>
                  <w:left w:w="108" w:type="dxa"/>
                  <w:bottom w:w="0" w:type="dxa"/>
                  <w:right w:w="108" w:type="dxa"/>
                </w:tblCellMar>
              </w:tblPrEx>
              <w:trPr>
                <w:trHeight w:val="405" w:hRule="exact"/>
                <w:jc w:val="center"/>
              </w:trPr>
              <w:tc>
                <w:tcPr>
                  <w:tcW w:w="672" w:type="dxa"/>
                  <w:vMerge w:val="continue"/>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1256" w:type="dxa"/>
                  <w:vMerge w:val="continue"/>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p>
              </w:tc>
              <w:tc>
                <w:tcPr>
                  <w:tcW w:w="2622"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运输车辆简易冲洗装置</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P3</w:t>
                  </w:r>
                </w:p>
              </w:tc>
              <w:tc>
                <w:tcPr>
                  <w:tcW w:w="1470"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0.46</w:t>
                  </w:r>
                </w:p>
              </w:tc>
              <w:tc>
                <w:tcPr>
                  <w:tcW w:w="1436" w:type="dxa"/>
                  <w:tcBorders>
                    <w:top w:val="single" w:color="auto" w:sz="4" w:space="0"/>
                    <w:left w:val="single" w:color="auto" w:sz="4" w:space="0"/>
                    <w:bottom w:val="single" w:color="auto" w:sz="4" w:space="0"/>
                    <w:right w:val="single" w:color="auto"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1.86</w:t>
                  </w:r>
                </w:p>
              </w:tc>
            </w:tr>
          </w:tbl>
          <w:p>
            <w:pPr>
              <w:pStyle w:val="12"/>
              <w:kinsoku w:val="0"/>
              <w:overflowPunct w:val="0"/>
              <w:ind w:firstLine="472"/>
              <w:rPr>
                <w:rFonts w:hint="default" w:ascii="Times New Roman" w:hAnsi="Times New Roman" w:eastAsia="宋体" w:cs="Times New Roman"/>
                <w:kern w:val="2"/>
                <w:sz w:val="24"/>
                <w:szCs w:val="22"/>
                <w:highlight w:val="none"/>
                <w:lang w:val="en-US" w:eastAsia="zh-CN" w:bidi="ar-SA"/>
              </w:rPr>
            </w:pPr>
          </w:p>
          <w:p>
            <w:pPr>
              <w:snapToGrid w:val="0"/>
              <w:spacing w:line="360" w:lineRule="auto"/>
              <w:ind w:firstLine="480" w:firstLineChars="200"/>
              <w:rPr>
                <w:rFonts w:hint="default" w:ascii="Times New Roman" w:hAnsi="Times New Roman" w:eastAsia="宋体" w:cs="Times New Roman"/>
                <w:kern w:val="2"/>
                <w:sz w:val="24"/>
                <w:szCs w:val="22"/>
                <w:highlight w:val="none"/>
                <w:lang w:val="en-US" w:eastAsia="zh-CN" w:bidi="ar-SA"/>
              </w:rPr>
            </w:pPr>
            <w:r>
              <w:rPr>
                <w:rFonts w:hint="default" w:ascii="Times New Roman" w:hAnsi="Times New Roman" w:eastAsia="宋体" w:cs="Times New Roman"/>
                <w:kern w:val="2"/>
                <w:sz w:val="24"/>
                <w:szCs w:val="22"/>
                <w:highlight w:val="none"/>
                <w:lang w:val="en-US" w:eastAsia="zh-CN" w:bidi="ar-SA"/>
              </w:rPr>
              <w:t>项目</w:t>
            </w:r>
            <w:r>
              <w:rPr>
                <w:rFonts w:hint="eastAsia" w:ascii="Times New Roman" w:hAnsi="Times New Roman" w:eastAsia="宋体" w:cs="Times New Roman"/>
                <w:kern w:val="2"/>
                <w:sz w:val="24"/>
                <w:szCs w:val="22"/>
                <w:highlight w:val="none"/>
                <w:lang w:val="en-US" w:eastAsia="zh-CN" w:bidi="ar-SA"/>
              </w:rPr>
              <w:t>拆迁</w:t>
            </w:r>
            <w:r>
              <w:rPr>
                <w:rFonts w:hint="default" w:ascii="Times New Roman" w:hAnsi="Times New Roman" w:eastAsia="宋体" w:cs="Times New Roman"/>
                <w:kern w:val="2"/>
                <w:sz w:val="24"/>
                <w:szCs w:val="22"/>
                <w:highlight w:val="none"/>
                <w:lang w:val="en-US" w:eastAsia="zh-CN" w:bidi="ar-SA"/>
              </w:rPr>
              <w:t>扬尘产生情况详见下表：</w:t>
            </w:r>
          </w:p>
          <w:p>
            <w:pPr>
              <w:autoSpaceDE w:val="0"/>
              <w:autoSpaceDN w:val="0"/>
              <w:spacing w:line="360" w:lineRule="auto"/>
              <w:ind w:firstLine="482" w:firstLineChars="200"/>
              <w:jc w:val="center"/>
              <w:rPr>
                <w:rFonts w:hint="default" w:ascii="Times New Roman" w:hAnsi="Times New Roman" w:cs="Times New Roman"/>
                <w:b/>
                <w:bCs/>
                <w:color w:val="auto"/>
                <w:sz w:val="24"/>
                <w:szCs w:val="24"/>
              </w:rPr>
            </w:pPr>
            <w:r>
              <w:rPr>
                <w:rFonts w:hint="default" w:ascii="Times New Roman" w:hAnsi="Times New Roman" w:eastAsia="宋体" w:cs="Times New Roman"/>
                <w:b/>
                <w:bCs/>
                <w:kern w:val="2"/>
                <w:sz w:val="24"/>
                <w:szCs w:val="22"/>
                <w:highlight w:val="none"/>
                <w:lang w:val="en-US" w:eastAsia="zh-CN" w:bidi="ar-SA"/>
              </w:rPr>
              <w:t>表</w:t>
            </w:r>
            <w:r>
              <w:rPr>
                <w:rFonts w:hint="eastAsia" w:ascii="Times New Roman" w:hAnsi="Times New Roman" w:eastAsia="宋体" w:cs="Times New Roman"/>
                <w:b/>
                <w:bCs/>
                <w:kern w:val="2"/>
                <w:sz w:val="24"/>
                <w:szCs w:val="22"/>
                <w:highlight w:val="none"/>
                <w:lang w:val="en-US" w:eastAsia="zh-CN" w:bidi="ar-SA"/>
              </w:rPr>
              <w:t>5-4</w:t>
            </w:r>
            <w:r>
              <w:rPr>
                <w:rFonts w:hint="default" w:ascii="Times New Roman" w:hAnsi="Times New Roman" w:eastAsia="宋体" w:cs="Times New Roman"/>
                <w:b/>
                <w:bCs/>
                <w:kern w:val="2"/>
                <w:sz w:val="24"/>
                <w:szCs w:val="22"/>
                <w:highlight w:val="none"/>
                <w:lang w:val="en-US" w:eastAsia="zh-CN" w:bidi="ar-SA"/>
              </w:rPr>
              <w:tab/>
            </w:r>
            <w:r>
              <w:rPr>
                <w:rFonts w:hint="eastAsia" w:ascii="Times New Roman" w:hAnsi="Times New Roman" w:eastAsia="宋体" w:cs="Times New Roman"/>
                <w:b/>
                <w:bCs/>
                <w:kern w:val="2"/>
                <w:sz w:val="24"/>
                <w:szCs w:val="22"/>
                <w:highlight w:val="none"/>
                <w:lang w:val="en-US" w:eastAsia="zh-CN" w:bidi="ar-SA"/>
              </w:rPr>
              <w:t>拆迁</w:t>
            </w:r>
            <w:r>
              <w:rPr>
                <w:rFonts w:hint="default" w:ascii="Times New Roman" w:hAnsi="Times New Roman" w:eastAsia="宋体" w:cs="Times New Roman"/>
                <w:b/>
                <w:bCs/>
                <w:kern w:val="2"/>
                <w:sz w:val="24"/>
                <w:szCs w:val="22"/>
                <w:highlight w:val="none"/>
                <w:lang w:val="en-US" w:eastAsia="zh-CN" w:bidi="ar-SA"/>
              </w:rPr>
              <w:t>扬尘产</w:t>
            </w:r>
            <w:r>
              <w:rPr>
                <w:rFonts w:hint="default" w:ascii="Times New Roman" w:hAnsi="Times New Roman" w:cs="Times New Roman"/>
                <w:b/>
                <w:bCs/>
                <w:color w:val="auto"/>
                <w:sz w:val="24"/>
                <w:szCs w:val="24"/>
              </w:rPr>
              <w:t>生情况一览表</w:t>
            </w:r>
          </w:p>
          <w:tbl>
            <w:tblPr>
              <w:tblStyle w:val="27"/>
              <w:tblW w:w="0" w:type="auto"/>
              <w:jc w:val="center"/>
              <w:tblLayout w:type="fixed"/>
              <w:tblCellMar>
                <w:top w:w="0" w:type="dxa"/>
                <w:left w:w="108" w:type="dxa"/>
                <w:bottom w:w="0" w:type="dxa"/>
                <w:right w:w="108" w:type="dxa"/>
              </w:tblCellMar>
            </w:tblPr>
            <w:tblGrid>
              <w:gridCol w:w="2724"/>
              <w:gridCol w:w="2726"/>
              <w:gridCol w:w="3395"/>
            </w:tblGrid>
            <w:tr>
              <w:tblPrEx>
                <w:tblCellMar>
                  <w:top w:w="0" w:type="dxa"/>
                  <w:left w:w="108" w:type="dxa"/>
                  <w:bottom w:w="0" w:type="dxa"/>
                  <w:right w:w="108" w:type="dxa"/>
                </w:tblCellMar>
              </w:tblPrEx>
              <w:trPr>
                <w:trHeight w:val="407" w:hRule="exact"/>
                <w:jc w:val="center"/>
              </w:trPr>
              <w:tc>
                <w:tcPr>
                  <w:tcW w:w="2724"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ind w:left="325"/>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建筑面积（</w:t>
                  </w:r>
                  <w:r>
                    <w:rPr>
                      <w:rFonts w:hint="default" w:ascii="Times New Roman" w:hAnsi="Times New Roman" w:cs="Times New Roman"/>
                      <w:color w:val="auto"/>
                      <w:sz w:val="21"/>
                      <w:szCs w:val="21"/>
                      <w:lang w:eastAsia="zh-CN"/>
                    </w:rPr>
                    <w:t>m</w:t>
                  </w:r>
                  <w:r>
                    <w:rPr>
                      <w:rFonts w:hint="default" w:ascii="Times New Roman" w:hAnsi="Times New Roman" w:cs="Times New Roman"/>
                      <w:color w:val="auto"/>
                      <w:sz w:val="21"/>
                      <w:szCs w:val="21"/>
                      <w:vertAlign w:val="superscript"/>
                      <w:lang w:eastAsia="zh-CN"/>
                    </w:rPr>
                    <w:t>2</w:t>
                  </w:r>
                  <w:r>
                    <w:rPr>
                      <w:rFonts w:hint="default" w:ascii="Times New Roman" w:hAnsi="Times New Roman" w:cs="Times New Roman"/>
                      <w:color w:val="auto"/>
                      <w:sz w:val="21"/>
                      <w:szCs w:val="21"/>
                    </w:rPr>
                    <w:t>）</w:t>
                  </w:r>
                </w:p>
              </w:tc>
              <w:tc>
                <w:tcPr>
                  <w:tcW w:w="2726"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ind w:left="194"/>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拆迁</w:t>
                  </w:r>
                  <w:r>
                    <w:rPr>
                      <w:rFonts w:hint="default" w:ascii="Times New Roman" w:hAnsi="Times New Roman" w:cs="Times New Roman"/>
                      <w:color w:val="auto"/>
                      <w:sz w:val="21"/>
                      <w:szCs w:val="21"/>
                    </w:rPr>
                    <w:t>时间（月）</w:t>
                  </w:r>
                </w:p>
              </w:tc>
              <w:tc>
                <w:tcPr>
                  <w:tcW w:w="3395"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ind w:left="23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扬尘产生量（t/工期）</w:t>
                  </w:r>
                </w:p>
              </w:tc>
            </w:tr>
            <w:tr>
              <w:tblPrEx>
                <w:tblCellMar>
                  <w:top w:w="0" w:type="dxa"/>
                  <w:left w:w="108" w:type="dxa"/>
                  <w:bottom w:w="0" w:type="dxa"/>
                  <w:right w:w="108" w:type="dxa"/>
                </w:tblCellMar>
              </w:tblPrEx>
              <w:trPr>
                <w:trHeight w:val="407" w:hRule="exact"/>
                <w:jc w:val="center"/>
              </w:trPr>
              <w:tc>
                <w:tcPr>
                  <w:tcW w:w="2724"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5200</w:t>
                  </w:r>
                </w:p>
              </w:tc>
              <w:tc>
                <w:tcPr>
                  <w:tcW w:w="2726"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w:t>
                  </w:r>
                </w:p>
              </w:tc>
              <w:tc>
                <w:tcPr>
                  <w:tcW w:w="3395"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33.5</w:t>
                  </w:r>
                </w:p>
              </w:tc>
            </w:tr>
          </w:tbl>
          <w:p>
            <w:pPr>
              <w:ind w:firstLine="472"/>
              <w:rPr>
                <w:rFonts w:hint="default" w:ascii="Times New Roman" w:hAnsi="Times New Roman" w:cs="Times New Roman"/>
                <w:color w:val="auto"/>
              </w:rPr>
            </w:pPr>
          </w:p>
          <w:p>
            <w:pPr>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通过类比调查可得，施工粉尘源强为</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.4</w:t>
            </w:r>
            <w:r>
              <w:rPr>
                <w:rFonts w:hint="default" w:ascii="Times New Roman" w:hAnsi="Times New Roman" w:cs="Times New Roman"/>
                <w:color w:val="auto"/>
                <w:sz w:val="24"/>
                <w:szCs w:val="24"/>
                <w:lang w:val="en-US" w:eastAsia="zh-CN"/>
              </w:rPr>
              <w:t>98</w:t>
            </w:r>
            <w:r>
              <w:rPr>
                <w:rFonts w:hint="default" w:ascii="Times New Roman" w:hAnsi="Times New Roman" w:cs="Times New Roman"/>
                <w:color w:val="auto"/>
                <w:sz w:val="24"/>
                <w:szCs w:val="24"/>
              </w:rPr>
              <w:t>mg/Nm³。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kern w:val="2"/>
                <w:sz w:val="24"/>
                <w:szCs w:val="22"/>
                <w:highlight w:val="none"/>
                <w:lang w:val="en-US" w:eastAsia="zh-CN" w:bidi="ar-SA"/>
              </w:rPr>
            </w:pPr>
            <w:r>
              <w:rPr>
                <w:rFonts w:hint="eastAsia" w:ascii="Times New Roman" w:hAnsi="Times New Roman" w:eastAsia="宋体" w:cs="Times New Roman"/>
                <w:kern w:val="2"/>
                <w:sz w:val="24"/>
                <w:szCs w:val="22"/>
                <w:highlight w:val="none"/>
                <w:lang w:val="en-US" w:eastAsia="zh-CN" w:bidi="ar-SA"/>
              </w:rPr>
              <w:t>⑤</w:t>
            </w:r>
            <w:r>
              <w:rPr>
                <w:rFonts w:hint="eastAsia" w:ascii="Times New Roman" w:hAnsi="Times New Roman" w:cs="Times New Roman"/>
                <w:kern w:val="2"/>
                <w:sz w:val="24"/>
                <w:szCs w:val="22"/>
                <w:highlight w:val="none"/>
                <w:lang w:val="en-US" w:eastAsia="zh-CN" w:bidi="ar-SA"/>
              </w:rPr>
              <w:t>营地</w:t>
            </w:r>
            <w:r>
              <w:rPr>
                <w:rFonts w:hint="eastAsia" w:ascii="Times New Roman" w:hAnsi="Times New Roman" w:eastAsia="宋体" w:cs="Times New Roman"/>
                <w:kern w:val="2"/>
                <w:sz w:val="24"/>
                <w:szCs w:val="22"/>
                <w:highlight w:val="none"/>
                <w:lang w:val="en-US" w:eastAsia="zh-CN" w:bidi="ar-SA"/>
              </w:rPr>
              <w:t>油烟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lang w:val="en-US" w:eastAsia="zh-CN"/>
              </w:rPr>
            </w:pPr>
            <w:r>
              <w:rPr>
                <w:rFonts w:hint="eastAsia" w:ascii="Times New Roman" w:hAnsi="Times New Roman" w:cs="Times New Roman"/>
                <w:kern w:val="2"/>
                <w:sz w:val="24"/>
                <w:szCs w:val="22"/>
                <w:highlight w:val="none"/>
                <w:lang w:val="en-US" w:eastAsia="zh-CN" w:bidi="ar-SA"/>
              </w:rPr>
              <w:t>营地</w:t>
            </w:r>
            <w:r>
              <w:rPr>
                <w:rFonts w:hint="default" w:ascii="Times New Roman" w:hAnsi="Times New Roman" w:eastAsia="宋体" w:cs="Times New Roman"/>
                <w:kern w:val="2"/>
                <w:sz w:val="24"/>
                <w:szCs w:val="22"/>
                <w:highlight w:val="none"/>
                <w:lang w:val="en-US" w:eastAsia="zh-CN" w:bidi="ar-SA"/>
              </w:rPr>
              <w:t>食堂由于烹饪而产生油烟，油烟是一种由烹饪时动植物油产生的油雾及其在高温下氧化裂解的醛类、酮类、链烷类、乙醇和链烯热解物组成的较为复杂的气溶胶，包括有气态、液态、固态的污染物，本项目就餐人数为</w:t>
            </w:r>
            <w:r>
              <w:rPr>
                <w:rFonts w:hint="eastAsia" w:ascii="Times New Roman" w:hAnsi="Times New Roman" w:cs="Times New Roman"/>
                <w:kern w:val="2"/>
                <w:sz w:val="24"/>
                <w:szCs w:val="22"/>
                <w:highlight w:val="none"/>
                <w:lang w:val="en-US" w:eastAsia="zh-CN" w:bidi="ar-SA"/>
              </w:rPr>
              <w:t>5</w:t>
            </w:r>
            <w:r>
              <w:rPr>
                <w:rFonts w:hint="default" w:ascii="Times New Roman" w:hAnsi="Times New Roman" w:eastAsia="宋体" w:cs="Times New Roman"/>
                <w:kern w:val="2"/>
                <w:sz w:val="24"/>
                <w:szCs w:val="22"/>
                <w:highlight w:val="none"/>
                <w:lang w:val="en-US" w:eastAsia="zh-CN" w:bidi="ar-SA"/>
              </w:rPr>
              <w:t>0人/d，设</w:t>
            </w:r>
            <w:r>
              <w:rPr>
                <w:rFonts w:hint="eastAsia" w:ascii="Times New Roman" w:hAnsi="Times New Roman" w:cs="Times New Roman"/>
                <w:kern w:val="2"/>
                <w:sz w:val="24"/>
                <w:szCs w:val="22"/>
                <w:highlight w:val="none"/>
                <w:lang w:val="en-US" w:eastAsia="zh-CN" w:bidi="ar-SA"/>
              </w:rPr>
              <w:t>2</w:t>
            </w:r>
            <w:r>
              <w:rPr>
                <w:rFonts w:hint="default" w:ascii="Times New Roman" w:hAnsi="Times New Roman" w:eastAsia="宋体" w:cs="Times New Roman"/>
                <w:kern w:val="2"/>
                <w:sz w:val="24"/>
                <w:szCs w:val="22"/>
                <w:highlight w:val="none"/>
                <w:lang w:val="en-US" w:eastAsia="zh-CN" w:bidi="ar-SA"/>
              </w:rPr>
              <w:t>个灶头。根据同等规模的食堂调查结果，每人每天用油量约为30g，油烟产生量约为耗油量的2-4%，在此取3%，按每天烹饪时间为</w:t>
            </w:r>
            <w:r>
              <w:rPr>
                <w:rFonts w:hint="eastAsia" w:ascii="Times New Roman" w:hAnsi="Times New Roman" w:eastAsia="宋体" w:cs="Times New Roman"/>
                <w:kern w:val="2"/>
                <w:sz w:val="24"/>
                <w:szCs w:val="22"/>
                <w:highlight w:val="none"/>
                <w:lang w:val="en-US" w:eastAsia="zh-CN" w:bidi="ar-SA"/>
              </w:rPr>
              <w:t>3</w:t>
            </w:r>
            <w:r>
              <w:rPr>
                <w:rFonts w:hint="default" w:ascii="Times New Roman" w:hAnsi="Times New Roman" w:eastAsia="宋体" w:cs="Times New Roman"/>
                <w:kern w:val="2"/>
                <w:sz w:val="24"/>
                <w:szCs w:val="22"/>
                <w:highlight w:val="none"/>
                <w:lang w:val="en-US" w:eastAsia="zh-CN" w:bidi="ar-SA"/>
              </w:rPr>
              <w:t>h，全年</w:t>
            </w:r>
            <w:r>
              <w:rPr>
                <w:rFonts w:hint="eastAsia" w:ascii="Times New Roman" w:hAnsi="Times New Roman" w:eastAsia="宋体" w:cs="Times New Roman"/>
                <w:kern w:val="2"/>
                <w:sz w:val="24"/>
                <w:szCs w:val="22"/>
                <w:highlight w:val="none"/>
                <w:lang w:val="en-US" w:eastAsia="zh-CN" w:bidi="ar-SA"/>
              </w:rPr>
              <w:t>300</w:t>
            </w:r>
            <w:r>
              <w:rPr>
                <w:rFonts w:hint="default" w:ascii="Times New Roman" w:hAnsi="Times New Roman" w:eastAsia="宋体" w:cs="Times New Roman"/>
                <w:kern w:val="2"/>
                <w:sz w:val="24"/>
                <w:szCs w:val="22"/>
                <w:highlight w:val="none"/>
                <w:lang w:val="en-US" w:eastAsia="zh-CN" w:bidi="ar-SA"/>
              </w:rPr>
              <w:t>天，全年油烟产生量为</w:t>
            </w:r>
            <w:r>
              <w:rPr>
                <w:rFonts w:hint="eastAsia" w:ascii="Times New Roman" w:hAnsi="Times New Roman" w:cs="Times New Roman"/>
                <w:kern w:val="2"/>
                <w:sz w:val="24"/>
                <w:szCs w:val="22"/>
                <w:highlight w:val="none"/>
                <w:lang w:val="en-US" w:eastAsia="zh-CN" w:bidi="ar-SA"/>
              </w:rPr>
              <w:t>45</w:t>
            </w:r>
            <w:r>
              <w:rPr>
                <w:rFonts w:hint="default" w:ascii="Times New Roman" w:hAnsi="Times New Roman" w:eastAsia="宋体" w:cs="Times New Roman"/>
                <w:kern w:val="2"/>
                <w:sz w:val="24"/>
                <w:szCs w:val="22"/>
                <w:highlight w:val="none"/>
                <w:lang w:val="en-US" w:eastAsia="zh-CN" w:bidi="ar-SA"/>
              </w:rPr>
              <w:t>kg/a。</w:t>
            </w:r>
            <w:r>
              <w:rPr>
                <w:rFonts w:hint="eastAsia" w:ascii="Times New Roman" w:hAnsi="Times New Roman" w:eastAsia="宋体" w:cs="Times New Roman"/>
                <w:kern w:val="2"/>
                <w:sz w:val="24"/>
                <w:szCs w:val="22"/>
                <w:highlight w:val="none"/>
                <w:lang w:val="en-US" w:eastAsia="zh-CN" w:bidi="ar-SA"/>
              </w:rPr>
              <w:t>单个</w:t>
            </w:r>
            <w:r>
              <w:rPr>
                <w:rFonts w:hint="default" w:ascii="Times New Roman" w:hAnsi="Times New Roman" w:eastAsia="宋体" w:cs="Times New Roman"/>
                <w:kern w:val="2"/>
                <w:sz w:val="24"/>
                <w:szCs w:val="22"/>
                <w:highlight w:val="none"/>
                <w:lang w:val="en-US" w:eastAsia="zh-CN" w:bidi="ar-SA"/>
              </w:rPr>
              <w:t>油烟机的排风量为2000m</w:t>
            </w:r>
            <w:r>
              <w:rPr>
                <w:rFonts w:hint="eastAsia" w:ascii="Times New Roman" w:hAnsi="Times New Roman" w:cs="Times New Roman"/>
                <w:kern w:val="2"/>
                <w:sz w:val="24"/>
                <w:szCs w:val="22"/>
                <w:highlight w:val="none"/>
                <w:vertAlign w:val="superscript"/>
                <w:lang w:val="en-US" w:eastAsia="zh-CN" w:bidi="ar-SA"/>
              </w:rPr>
              <w:t>3</w:t>
            </w:r>
            <w:r>
              <w:rPr>
                <w:rFonts w:hint="default" w:ascii="Times New Roman" w:hAnsi="Times New Roman" w:eastAsia="宋体" w:cs="Times New Roman"/>
                <w:kern w:val="2"/>
                <w:sz w:val="24"/>
                <w:szCs w:val="22"/>
                <w:highlight w:val="none"/>
                <w:lang w:val="en-US" w:eastAsia="zh-CN" w:bidi="ar-SA"/>
              </w:rPr>
              <w:t>/h，</w:t>
            </w:r>
            <w:r>
              <w:rPr>
                <w:rFonts w:hint="eastAsia" w:ascii="Times New Roman" w:hAnsi="Times New Roman" w:eastAsia="宋体" w:cs="Times New Roman"/>
                <w:kern w:val="2"/>
                <w:sz w:val="24"/>
                <w:szCs w:val="22"/>
                <w:highlight w:val="none"/>
                <w:lang w:val="en-US" w:eastAsia="zh-CN" w:bidi="ar-SA"/>
              </w:rPr>
              <w:t>油烟机排风总风量为</w:t>
            </w:r>
            <w:r>
              <w:rPr>
                <w:rFonts w:hint="eastAsia" w:ascii="Times New Roman" w:hAnsi="Times New Roman" w:cs="Times New Roman"/>
                <w:kern w:val="2"/>
                <w:sz w:val="24"/>
                <w:szCs w:val="22"/>
                <w:highlight w:val="none"/>
                <w:lang w:val="en-US" w:eastAsia="zh-CN" w:bidi="ar-SA"/>
              </w:rPr>
              <w:t>4</w:t>
            </w:r>
            <w:r>
              <w:rPr>
                <w:rFonts w:hint="eastAsia" w:ascii="Times New Roman" w:hAnsi="Times New Roman" w:eastAsia="宋体" w:cs="Times New Roman"/>
                <w:kern w:val="2"/>
                <w:sz w:val="24"/>
                <w:szCs w:val="22"/>
                <w:highlight w:val="none"/>
                <w:lang w:val="en-US" w:eastAsia="zh-CN" w:bidi="ar-SA"/>
              </w:rPr>
              <w:t>000</w:t>
            </w:r>
            <w:r>
              <w:rPr>
                <w:rFonts w:hint="default" w:ascii="Times New Roman" w:hAnsi="Times New Roman" w:eastAsia="宋体" w:cs="Times New Roman"/>
                <w:kern w:val="2"/>
                <w:sz w:val="24"/>
                <w:szCs w:val="22"/>
                <w:highlight w:val="none"/>
                <w:lang w:val="en-US" w:eastAsia="zh-CN" w:bidi="ar-SA"/>
              </w:rPr>
              <w:t>m</w:t>
            </w:r>
            <w:r>
              <w:rPr>
                <w:rFonts w:hint="default" w:ascii="Times New Roman" w:hAnsi="Times New Roman" w:eastAsia="宋体" w:cs="Times New Roman"/>
                <w:kern w:val="2"/>
                <w:sz w:val="24"/>
                <w:szCs w:val="22"/>
                <w:highlight w:val="none"/>
                <w:vertAlign w:val="superscript"/>
                <w:lang w:val="en-US" w:eastAsia="zh-CN" w:bidi="ar-SA"/>
              </w:rPr>
              <w:t>3</w:t>
            </w:r>
            <w:r>
              <w:rPr>
                <w:rFonts w:hint="default" w:ascii="Times New Roman" w:hAnsi="Times New Roman" w:eastAsia="宋体" w:cs="Times New Roman"/>
                <w:kern w:val="2"/>
                <w:sz w:val="24"/>
                <w:szCs w:val="22"/>
                <w:highlight w:val="none"/>
                <w:lang w:val="en-US" w:eastAsia="zh-CN" w:bidi="ar-SA"/>
              </w:rPr>
              <w:t>/h</w:t>
            </w:r>
            <w:r>
              <w:rPr>
                <w:rFonts w:hint="eastAsia" w:ascii="Times New Roman" w:hAnsi="Times New Roman" w:eastAsia="宋体" w:cs="Times New Roman"/>
                <w:kern w:val="2"/>
                <w:sz w:val="24"/>
                <w:szCs w:val="22"/>
                <w:highlight w:val="none"/>
                <w:lang w:val="en-US" w:eastAsia="zh-CN" w:bidi="ar-SA"/>
              </w:rPr>
              <w:t>，</w:t>
            </w:r>
            <w:r>
              <w:rPr>
                <w:rFonts w:hint="default" w:ascii="Times New Roman" w:hAnsi="Times New Roman" w:eastAsia="宋体" w:cs="Times New Roman"/>
                <w:kern w:val="2"/>
                <w:sz w:val="24"/>
                <w:szCs w:val="22"/>
                <w:highlight w:val="none"/>
                <w:lang w:val="en-US" w:eastAsia="zh-CN" w:bidi="ar-SA"/>
              </w:rPr>
              <w:t>则油</w:t>
            </w:r>
            <w:r>
              <w:rPr>
                <w:rFonts w:hint="default" w:ascii="Times New Roman" w:hAnsi="Times New Roman" w:cs="Times New Roman"/>
                <w:color w:val="000000"/>
                <w:kern w:val="2"/>
                <w:sz w:val="24"/>
                <w:szCs w:val="24"/>
                <w:lang w:val="en-US" w:eastAsia="zh-CN" w:bidi="ar-SA"/>
              </w:rPr>
              <w:t>烟的产生浓度约为</w:t>
            </w:r>
            <w:r>
              <w:rPr>
                <w:rFonts w:hint="eastAsia" w:ascii="Times New Roman" w:hAnsi="Times New Roman" w:cs="Times New Roman"/>
                <w:color w:val="000000"/>
                <w:kern w:val="2"/>
                <w:sz w:val="24"/>
                <w:szCs w:val="24"/>
                <w:lang w:val="en-US" w:eastAsia="zh-CN" w:bidi="ar-SA"/>
              </w:rPr>
              <w:t>12.5</w:t>
            </w:r>
            <w:r>
              <w:rPr>
                <w:rFonts w:hint="default" w:ascii="Times New Roman" w:hAnsi="Times New Roman" w:cs="Times New Roman"/>
                <w:color w:val="000000"/>
                <w:kern w:val="2"/>
                <w:sz w:val="24"/>
                <w:szCs w:val="24"/>
                <w:lang w:val="en-US" w:eastAsia="zh-CN" w:bidi="ar-SA"/>
              </w:rPr>
              <w:t>mg/m</w:t>
            </w:r>
            <w:r>
              <w:rPr>
                <w:rFonts w:hint="default" w:ascii="Times New Roman" w:hAnsi="Times New Roman" w:cs="Times New Roman"/>
                <w:color w:val="000000"/>
                <w:kern w:val="2"/>
                <w:sz w:val="24"/>
                <w:szCs w:val="24"/>
                <w:vertAlign w:val="superscript"/>
                <w:lang w:val="en-US" w:eastAsia="zh-CN" w:bidi="ar-SA"/>
              </w:rPr>
              <w:t>3</w:t>
            </w:r>
            <w:r>
              <w:rPr>
                <w:rFonts w:hint="default" w:ascii="Times New Roman" w:hAnsi="Times New Roman" w:cs="Times New Roman"/>
                <w:color w:val="000000"/>
                <w:kern w:val="2"/>
                <w:sz w:val="24"/>
                <w:szCs w:val="24"/>
                <w:lang w:val="en-US" w:eastAsia="zh-CN" w:bidi="ar-SA"/>
              </w:rPr>
              <w:t>，超过了 《饮食业油烟排放标准》</w:t>
            </w:r>
            <w:r>
              <w:rPr>
                <w:rFonts w:hint="eastAsia" w:ascii="Times New Roman" w:hAnsi="Times New Roman" w:cs="Times New Roman"/>
                <w:color w:val="000000"/>
                <w:kern w:val="2"/>
                <w:sz w:val="24"/>
                <w:szCs w:val="24"/>
                <w:lang w:val="en-US" w:eastAsia="zh-CN" w:bidi="ar-SA"/>
              </w:rPr>
              <w:t>（</w:t>
            </w:r>
            <w:r>
              <w:rPr>
                <w:rFonts w:hint="default" w:ascii="Times New Roman" w:hAnsi="Times New Roman" w:cs="Times New Roman"/>
                <w:color w:val="000000"/>
                <w:kern w:val="2"/>
                <w:sz w:val="24"/>
                <w:szCs w:val="24"/>
                <w:lang w:val="en-US" w:eastAsia="zh-CN" w:bidi="ar-SA"/>
              </w:rPr>
              <w:t>GB18438-2001</w:t>
            </w:r>
            <w:r>
              <w:rPr>
                <w:rFonts w:hint="eastAsia" w:ascii="Times New Roman" w:hAnsi="Times New Roman" w:cs="Times New Roman"/>
                <w:color w:val="000000"/>
                <w:kern w:val="2"/>
                <w:sz w:val="24"/>
                <w:szCs w:val="24"/>
                <w:lang w:val="en-US" w:eastAsia="zh-CN" w:bidi="ar-SA"/>
              </w:rPr>
              <w:t>）</w:t>
            </w:r>
            <w:r>
              <w:rPr>
                <w:rFonts w:hint="default" w:ascii="Times New Roman" w:hAnsi="Times New Roman" w:cs="Times New Roman"/>
                <w:color w:val="000000"/>
                <w:kern w:val="2"/>
                <w:sz w:val="24"/>
                <w:szCs w:val="24"/>
                <w:lang w:val="en-US" w:eastAsia="zh-CN" w:bidi="ar-SA"/>
              </w:rPr>
              <w:t>中的最高允许排放浓度2mg/m</w:t>
            </w:r>
            <w:r>
              <w:rPr>
                <w:rFonts w:hint="default" w:ascii="Times New Roman" w:hAnsi="Times New Roman" w:cs="Times New Roman"/>
                <w:color w:val="000000"/>
                <w:kern w:val="2"/>
                <w:sz w:val="24"/>
                <w:szCs w:val="24"/>
                <w:vertAlign w:val="superscript"/>
                <w:lang w:val="en-US" w:eastAsia="zh-CN" w:bidi="ar-SA"/>
              </w:rPr>
              <w:t>3</w:t>
            </w:r>
            <w:r>
              <w:rPr>
                <w:rFonts w:hint="default" w:ascii="Times New Roman" w:hAnsi="Times New Roman" w:cs="Times New Roman"/>
                <w:color w:val="000000"/>
                <w:kern w:val="2"/>
                <w:sz w:val="24"/>
                <w:szCs w:val="24"/>
                <w:lang w:val="en-US" w:eastAsia="zh-CN" w:bidi="ar-SA"/>
              </w:rPr>
              <w:t>，但经油烟净化器（除油烟效率≥85%）处理后通过食堂烟道排放，同时排气筒高度应尽量高出本建筑与周围10米距离范围的建筑物1.5米。油烟排放浓度</w:t>
            </w:r>
            <w:r>
              <w:rPr>
                <w:rFonts w:hint="eastAsia" w:ascii="Times New Roman" w:hAnsi="Times New Roman" w:cs="Times New Roman"/>
                <w:color w:val="000000"/>
                <w:kern w:val="2"/>
                <w:sz w:val="24"/>
                <w:szCs w:val="24"/>
                <w:lang w:val="en-US" w:eastAsia="zh-CN" w:bidi="ar-SA"/>
              </w:rPr>
              <w:t>1.875</w:t>
            </w:r>
            <w:r>
              <w:rPr>
                <w:rFonts w:hint="default" w:ascii="Times New Roman" w:hAnsi="Times New Roman" w:cs="Times New Roman"/>
                <w:color w:val="000000"/>
                <w:kern w:val="2"/>
                <w:sz w:val="24"/>
                <w:szCs w:val="24"/>
                <w:lang w:val="en-US" w:eastAsia="zh-CN" w:bidi="ar-SA"/>
              </w:rPr>
              <w:t>mg/m</w:t>
            </w:r>
            <w:r>
              <w:rPr>
                <w:rFonts w:hint="default" w:ascii="Times New Roman" w:hAnsi="Times New Roman" w:cs="Times New Roman"/>
                <w:color w:val="000000"/>
                <w:kern w:val="2"/>
                <w:sz w:val="24"/>
                <w:szCs w:val="24"/>
                <w:vertAlign w:val="superscript"/>
                <w:lang w:val="en-US" w:eastAsia="zh-CN" w:bidi="ar-SA"/>
              </w:rPr>
              <w:t>3</w:t>
            </w:r>
            <w:r>
              <w:rPr>
                <w:rFonts w:hint="default" w:ascii="Times New Roman" w:hAnsi="Times New Roman" w:cs="Times New Roman"/>
                <w:color w:val="000000"/>
                <w:kern w:val="2"/>
                <w:sz w:val="24"/>
                <w:szCs w:val="24"/>
                <w:lang w:val="en-US" w:eastAsia="zh-CN" w:bidi="ar-SA"/>
              </w:rPr>
              <w:t>，排放量</w:t>
            </w:r>
            <w:r>
              <w:rPr>
                <w:rFonts w:hint="eastAsia" w:ascii="Times New Roman" w:hAnsi="Times New Roman" w:cs="Times New Roman"/>
                <w:color w:val="000000"/>
                <w:kern w:val="2"/>
                <w:sz w:val="24"/>
                <w:szCs w:val="24"/>
                <w:lang w:val="en-US" w:eastAsia="zh-CN" w:bidi="ar-SA"/>
              </w:rPr>
              <w:t>6.75</w:t>
            </w:r>
            <w:r>
              <w:rPr>
                <w:rFonts w:hint="default" w:ascii="Times New Roman" w:hAnsi="Times New Roman" w:cs="Times New Roman"/>
                <w:color w:val="000000"/>
                <w:kern w:val="2"/>
                <w:sz w:val="24"/>
                <w:szCs w:val="24"/>
                <w:lang w:val="en-US" w:eastAsia="zh-CN" w:bidi="ar-SA"/>
              </w:rPr>
              <w:t>kg/a，满足 《饮食业油烟排放标准》</w:t>
            </w:r>
            <w:r>
              <w:rPr>
                <w:rFonts w:hint="eastAsia" w:ascii="Times New Roman" w:hAnsi="Times New Roman" w:cs="Times New Roman"/>
                <w:color w:val="000000"/>
                <w:kern w:val="2"/>
                <w:sz w:val="24"/>
                <w:szCs w:val="24"/>
                <w:lang w:val="en-US" w:eastAsia="zh-CN" w:bidi="ar-SA"/>
              </w:rPr>
              <w:t>（</w:t>
            </w:r>
            <w:r>
              <w:rPr>
                <w:rFonts w:hint="default" w:ascii="Times New Roman" w:hAnsi="Times New Roman" w:cs="Times New Roman"/>
                <w:color w:val="000000"/>
                <w:kern w:val="2"/>
                <w:sz w:val="24"/>
                <w:szCs w:val="24"/>
                <w:lang w:val="en-US" w:eastAsia="zh-CN" w:bidi="ar-SA"/>
              </w:rPr>
              <w:t>GB18438-2001</w:t>
            </w:r>
            <w:r>
              <w:rPr>
                <w:rFonts w:hint="eastAsia" w:ascii="Times New Roman" w:hAnsi="Times New Roman" w:cs="Times New Roman"/>
                <w:color w:val="000000"/>
                <w:kern w:val="2"/>
                <w:sz w:val="24"/>
                <w:szCs w:val="24"/>
                <w:lang w:val="en-US" w:eastAsia="zh-CN" w:bidi="ar-SA"/>
              </w:rPr>
              <w:t>）</w:t>
            </w:r>
            <w:r>
              <w:rPr>
                <w:rFonts w:hint="default" w:ascii="Times New Roman" w:hAnsi="Times New Roman" w:cs="Times New Roman"/>
                <w:color w:val="000000"/>
                <w:kern w:val="2"/>
                <w:sz w:val="24"/>
                <w:szCs w:val="24"/>
                <w:lang w:val="en-US" w:eastAsia="zh-CN" w:bidi="ar-SA"/>
              </w:rPr>
              <w:t>中的最高允许排放浓度2mg/m</w:t>
            </w:r>
            <w:r>
              <w:rPr>
                <w:rFonts w:hint="default" w:ascii="Times New Roman" w:hAnsi="Times New Roman" w:cs="Times New Roman"/>
                <w:color w:val="000000"/>
                <w:kern w:val="2"/>
                <w:sz w:val="24"/>
                <w:szCs w:val="24"/>
                <w:vertAlign w:val="superscript"/>
                <w:lang w:val="en-US" w:eastAsia="zh-CN" w:bidi="ar-SA"/>
              </w:rPr>
              <w:t>3</w:t>
            </w:r>
            <w:r>
              <w:rPr>
                <w:rFonts w:hint="default" w:ascii="Times New Roman" w:hAnsi="Times New Roman" w:cs="Times New Roman"/>
                <w:color w:val="000000"/>
                <w:kern w:val="2"/>
                <w:sz w:val="24"/>
                <w:szCs w:val="24"/>
                <w:lang w:val="en-US" w:eastAsia="zh-CN" w:bidi="ar-SA"/>
              </w:rPr>
              <w:t>限值要求。</w:t>
            </w:r>
          </w:p>
          <w:bookmarkEnd w:id="5"/>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default" w:ascii="Times New Roman" w:hAnsi="Times New Roman" w:cs="Times New Roman"/>
                <w:b/>
                <w:bCs/>
                <w:color w:val="00000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default" w:ascii="Times New Roman" w:hAnsi="Times New Roman" w:cs="Times New Roman"/>
                <w:b/>
                <w:bCs/>
                <w:color w:val="000000"/>
                <w:kern w:val="2"/>
                <w:sz w:val="24"/>
                <w:szCs w:val="24"/>
                <w:lang w:val="en-US" w:eastAsia="zh-CN" w:bidi="ar-SA"/>
              </w:rPr>
            </w:pPr>
            <w:r>
              <w:rPr>
                <w:rFonts w:hint="default" w:ascii="Times New Roman" w:hAnsi="Times New Roman" w:cs="Times New Roman"/>
                <w:b/>
                <w:bCs/>
                <w:color w:val="000000"/>
                <w:kern w:val="2"/>
                <w:sz w:val="24"/>
                <w:szCs w:val="24"/>
                <w:lang w:val="en-US" w:eastAsia="zh-CN" w:bidi="ar-SA"/>
              </w:rPr>
              <w:t>3、噪声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000000"/>
                <w:kern w:val="2"/>
                <w:sz w:val="24"/>
                <w:szCs w:val="24"/>
                <w:lang w:val="en-US" w:eastAsia="zh-CN" w:bidi="ar-SA"/>
              </w:rPr>
            </w:pPr>
            <w:r>
              <w:rPr>
                <w:rFonts w:hint="eastAsia" w:ascii="Times New Roman" w:hAnsi="Times New Roman" w:cs="Times New Roman"/>
                <w:color w:val="000000"/>
                <w:kern w:val="2"/>
                <w:sz w:val="24"/>
                <w:szCs w:val="24"/>
                <w:lang w:val="en-US" w:eastAsia="zh-CN" w:bidi="ar-SA"/>
              </w:rPr>
              <w:t>修复</w:t>
            </w:r>
            <w:r>
              <w:rPr>
                <w:rFonts w:hint="default" w:ascii="Times New Roman" w:hAnsi="Times New Roman" w:cs="Times New Roman"/>
                <w:color w:val="000000"/>
                <w:kern w:val="2"/>
                <w:sz w:val="24"/>
                <w:szCs w:val="24"/>
                <w:lang w:val="en-US" w:eastAsia="zh-CN" w:bidi="ar-SA"/>
              </w:rPr>
              <w:t>期的噪声主要来源于现场的各类机械设备和</w:t>
            </w:r>
            <w:r>
              <w:rPr>
                <w:rFonts w:hint="eastAsia" w:ascii="Times New Roman" w:hAnsi="Times New Roman" w:cs="Times New Roman"/>
                <w:color w:val="000000"/>
                <w:kern w:val="2"/>
                <w:sz w:val="24"/>
                <w:szCs w:val="24"/>
                <w:lang w:val="en-US" w:eastAsia="zh-CN" w:bidi="ar-SA"/>
              </w:rPr>
              <w:t>污染土壤</w:t>
            </w:r>
            <w:r>
              <w:rPr>
                <w:rFonts w:hint="default" w:ascii="Times New Roman" w:hAnsi="Times New Roman" w:cs="Times New Roman"/>
                <w:color w:val="000000"/>
                <w:kern w:val="2"/>
                <w:sz w:val="24"/>
                <w:szCs w:val="24"/>
                <w:lang w:val="en-US" w:eastAsia="zh-CN" w:bidi="ar-SA"/>
              </w:rPr>
              <w:t>运输的交通噪声。施工场地噪声主要是施工机械设备噪声，</w:t>
            </w:r>
            <w:r>
              <w:rPr>
                <w:rFonts w:hint="eastAsia" w:ascii="Times New Roman" w:hAnsi="Times New Roman" w:cs="Times New Roman"/>
                <w:color w:val="000000"/>
                <w:kern w:val="2"/>
                <w:sz w:val="24"/>
                <w:szCs w:val="24"/>
                <w:lang w:val="en-US" w:eastAsia="zh-CN" w:bidi="ar-SA"/>
              </w:rPr>
              <w:t>土壤</w:t>
            </w:r>
            <w:r>
              <w:rPr>
                <w:rFonts w:hint="default" w:ascii="Times New Roman" w:hAnsi="Times New Roman" w:cs="Times New Roman"/>
                <w:color w:val="000000"/>
                <w:kern w:val="2"/>
                <w:sz w:val="24"/>
                <w:szCs w:val="24"/>
                <w:lang w:val="en-US" w:eastAsia="zh-CN" w:bidi="ar-SA"/>
              </w:rPr>
              <w:t>装卸碰撞噪声及施工人员的活动噪声，各施工阶段的主要噪声源及其声级见下表：</w:t>
            </w:r>
          </w:p>
          <w:p>
            <w:pPr>
              <w:pStyle w:val="102"/>
              <w:keepNext w:val="0"/>
              <w:keepLines w:val="0"/>
              <w:pageBreakBefore w:val="0"/>
              <w:widowControl w:val="0"/>
              <w:kinsoku/>
              <w:wordWrap/>
              <w:overflowPunct/>
              <w:topLinePunct w:val="0"/>
              <w:autoSpaceDE w:val="0"/>
              <w:autoSpaceDN w:val="0"/>
              <w:bidi w:val="0"/>
              <w:adjustRightInd w:val="0"/>
              <w:snapToGrid/>
              <w:spacing w:line="360" w:lineRule="auto"/>
              <w:ind w:firstLine="476"/>
              <w:jc w:val="center"/>
              <w:textAlignment w:val="baseline"/>
              <w:outlineLvl w:val="9"/>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w:t>
            </w:r>
            <w:r>
              <w:rPr>
                <w:rFonts w:hint="default" w:ascii="Times New Roman" w:hAnsi="Times New Roman" w:cs="Times New Roman"/>
                <w:b/>
                <w:color w:val="auto"/>
                <w:sz w:val="24"/>
                <w:szCs w:val="24"/>
                <w:lang w:val="en-US" w:eastAsia="zh-CN"/>
              </w:rPr>
              <w:t>5</w:t>
            </w:r>
            <w:r>
              <w:rPr>
                <w:rFonts w:hint="default" w:ascii="Times New Roman" w:hAnsi="Times New Roman" w:cs="Times New Roman"/>
                <w:b/>
                <w:color w:val="auto"/>
                <w:sz w:val="24"/>
                <w:szCs w:val="24"/>
              </w:rPr>
              <w:t>-</w:t>
            </w:r>
            <w:r>
              <w:rPr>
                <w:rFonts w:hint="eastAsia" w:ascii="Times New Roman" w:hAnsi="Times New Roman" w:cs="Times New Roman"/>
                <w:b/>
                <w:color w:val="auto"/>
                <w:sz w:val="24"/>
                <w:szCs w:val="24"/>
                <w:lang w:val="en-US" w:eastAsia="zh-CN"/>
              </w:rPr>
              <w:t>2</w:t>
            </w:r>
            <w:r>
              <w:rPr>
                <w:rFonts w:hint="default" w:ascii="Times New Roman" w:hAnsi="Times New Roman" w:cs="Times New Roman"/>
                <w:b/>
                <w:color w:val="auto"/>
                <w:sz w:val="24"/>
                <w:szCs w:val="24"/>
              </w:rPr>
              <w:tab/>
            </w:r>
            <w:r>
              <w:rPr>
                <w:rFonts w:hint="eastAsia" w:ascii="Times New Roman" w:hAnsi="Times New Roman" w:cs="Times New Roman"/>
                <w:b/>
                <w:color w:val="auto"/>
                <w:sz w:val="24"/>
                <w:szCs w:val="24"/>
                <w:lang w:val="en-US" w:eastAsia="zh-CN"/>
              </w:rPr>
              <w:t>修复阶段</w:t>
            </w:r>
            <w:r>
              <w:rPr>
                <w:rFonts w:hint="default" w:ascii="Times New Roman" w:hAnsi="Times New Roman" w:cs="Times New Roman"/>
                <w:b/>
                <w:color w:val="auto"/>
                <w:sz w:val="24"/>
                <w:szCs w:val="24"/>
              </w:rPr>
              <w:t>主要噪声源及其声级（单位：dB（A））</w:t>
            </w:r>
          </w:p>
          <w:tbl>
            <w:tblPr>
              <w:tblStyle w:val="27"/>
              <w:tblW w:w="0" w:type="auto"/>
              <w:jc w:val="center"/>
              <w:tblLayout w:type="fixed"/>
              <w:tblCellMar>
                <w:top w:w="0" w:type="dxa"/>
                <w:left w:w="108" w:type="dxa"/>
                <w:bottom w:w="0" w:type="dxa"/>
                <w:right w:w="108" w:type="dxa"/>
              </w:tblCellMar>
            </w:tblPr>
            <w:tblGrid>
              <w:gridCol w:w="2469"/>
              <w:gridCol w:w="1953"/>
              <w:gridCol w:w="2470"/>
              <w:gridCol w:w="1953"/>
            </w:tblGrid>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施工设备名称</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距声源5m</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施工设备名称</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距声源5m</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液压挖掘机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ind w:right="1"/>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运输车</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ind w:right="1"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电动挖掘机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ind w:right="1"/>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86</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轮式装载机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ind w:right="1"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95</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移动式发电机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ind w:right="1"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102</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电锤</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105</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水泵</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90</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污水处理站</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80</w:t>
                  </w:r>
                </w:p>
              </w:tc>
            </w:tr>
          </w:tbl>
          <w:p>
            <w:pPr>
              <w:pStyle w:val="12"/>
              <w:kinsoku w:val="0"/>
              <w:overflowPunct w:val="0"/>
              <w:spacing w:line="257" w:lineRule="exact"/>
              <w:ind w:right="232"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注：以上数值取自《环境噪声与振动控制工程技术导则》（</w:t>
            </w:r>
            <w:r>
              <w:rPr>
                <w:rFonts w:hint="default" w:ascii="Times New Roman" w:hAnsi="Times New Roman" w:eastAsia="Times New Roman" w:cs="Times New Roman"/>
                <w:color w:val="auto"/>
                <w:sz w:val="21"/>
                <w:szCs w:val="21"/>
              </w:rPr>
              <w:t>HJ2034-2013</w:t>
            </w:r>
            <w:r>
              <w:rPr>
                <w:rFonts w:hint="default" w:ascii="Times New Roman" w:hAnsi="Times New Roman" w:cs="Times New Roman"/>
                <w:color w:val="auto"/>
                <w:sz w:val="21"/>
                <w:szCs w:val="21"/>
              </w:rPr>
              <w:t>）。</w:t>
            </w:r>
          </w:p>
          <w:p>
            <w:pPr>
              <w:spacing w:line="360" w:lineRule="auto"/>
              <w:ind w:firstLine="482" w:firstLineChars="200"/>
              <w:rPr>
                <w:rFonts w:ascii="Times New Roman" w:hAnsi="Times New Roman"/>
                <w:b/>
                <w:bCs/>
                <w:color w:val="000000"/>
                <w:sz w:val="24"/>
                <w:szCs w:val="24"/>
                <w:highlight w:val="none"/>
              </w:rPr>
            </w:pPr>
            <w:r>
              <w:rPr>
                <w:rFonts w:ascii="Times New Roman" w:hAnsi="Times New Roman"/>
                <w:b/>
                <w:bCs/>
                <w:color w:val="000000"/>
                <w:sz w:val="24"/>
                <w:szCs w:val="24"/>
                <w:highlight w:val="none"/>
              </w:rPr>
              <w:t>4、固体废物</w:t>
            </w:r>
          </w:p>
          <w:p>
            <w:pPr>
              <w:widowControl/>
              <w:spacing w:line="360" w:lineRule="auto"/>
              <w:ind w:firstLine="480" w:firstLineChars="200"/>
              <w:rPr>
                <w:rFonts w:ascii="Times New Roman" w:hAnsi="Times New Roman"/>
                <w:color w:val="000000"/>
                <w:sz w:val="24"/>
                <w:highlight w:val="none"/>
              </w:rPr>
            </w:pPr>
            <w:r>
              <w:rPr>
                <w:rFonts w:hint="eastAsia" w:ascii="Times New Roman" w:hAnsi="Times New Roman"/>
                <w:color w:val="000000"/>
                <w:sz w:val="24"/>
                <w:highlight w:val="none"/>
              </w:rPr>
              <w:t>本项目固废主要为清挖的污染土壤</w:t>
            </w:r>
            <w:r>
              <w:rPr>
                <w:rFonts w:hint="eastAsia" w:ascii="Times New Roman" w:hAnsi="Times New Roman"/>
                <w:color w:val="000000"/>
                <w:sz w:val="24"/>
                <w:highlight w:val="none"/>
                <w:lang w:eastAsia="zh-CN"/>
              </w:rPr>
              <w:t>、</w:t>
            </w:r>
            <w:r>
              <w:rPr>
                <w:rFonts w:hint="eastAsia" w:ascii="Times New Roman" w:hAnsi="Times New Roman"/>
                <w:color w:val="000000"/>
                <w:sz w:val="24"/>
                <w:highlight w:val="none"/>
                <w:lang w:val="en-US" w:eastAsia="zh-CN"/>
              </w:rPr>
              <w:t>受污染建筑垃圾、非污染建筑垃圾、废水处理污泥、废活性炭、</w:t>
            </w:r>
            <w:r>
              <w:rPr>
                <w:rFonts w:hint="eastAsia" w:ascii="Times New Roman" w:hAnsi="Times New Roman"/>
                <w:color w:val="000000"/>
                <w:sz w:val="24"/>
                <w:highlight w:val="none"/>
              </w:rPr>
              <w:t>施工人员产生的生活垃圾。</w:t>
            </w:r>
          </w:p>
          <w:p>
            <w:pPr>
              <w:widowControl/>
              <w:spacing w:line="360" w:lineRule="auto"/>
              <w:ind w:firstLine="480" w:firstLineChars="200"/>
              <w:rPr>
                <w:rFonts w:ascii="Times New Roman" w:hAnsi="Times New Roman"/>
                <w:color w:val="000000"/>
                <w:sz w:val="24"/>
                <w:highlight w:val="none"/>
              </w:rPr>
            </w:pPr>
            <w:r>
              <w:rPr>
                <w:rFonts w:hint="eastAsia" w:ascii="Times New Roman" w:hAnsi="Times New Roman"/>
                <w:color w:val="000000"/>
                <w:sz w:val="24"/>
                <w:highlight w:val="none"/>
              </w:rPr>
              <w:t>①</w:t>
            </w:r>
            <w:r>
              <w:rPr>
                <w:rFonts w:hint="eastAsia" w:ascii="Times New Roman" w:hAnsi="Times New Roman"/>
                <w:color w:val="000000"/>
                <w:sz w:val="24"/>
                <w:highlight w:val="none"/>
                <w:lang w:val="en-US" w:eastAsia="zh-CN"/>
              </w:rPr>
              <w:t>受污染土壤</w:t>
            </w:r>
          </w:p>
          <w:p>
            <w:pPr>
              <w:widowControl/>
              <w:spacing w:line="360" w:lineRule="auto"/>
              <w:ind w:firstLine="480" w:firstLineChars="200"/>
              <w:rPr>
                <w:rFonts w:hint="eastAsia" w:ascii="Times New Roman" w:hAnsi="Times New Roman"/>
                <w:color w:val="000000"/>
                <w:sz w:val="24"/>
                <w:highlight w:val="none"/>
              </w:rPr>
            </w:pPr>
            <w:r>
              <w:rPr>
                <w:rFonts w:hint="eastAsia" w:ascii="Times New Roman" w:hAnsi="Times New Roman"/>
                <w:color w:val="000000"/>
                <w:sz w:val="24"/>
                <w:highlight w:val="none"/>
              </w:rPr>
              <w:t>本场地污染土壤修复工程量约为</w:t>
            </w:r>
            <w:r>
              <w:rPr>
                <w:rFonts w:hint="eastAsia" w:ascii="Times New Roman" w:hAnsi="Times New Roman"/>
                <w:color w:val="000000"/>
                <w:sz w:val="24"/>
                <w:highlight w:val="none"/>
                <w:lang w:val="en-US" w:eastAsia="zh-CN"/>
              </w:rPr>
              <w:t>8221.5</w:t>
            </w:r>
            <w:r>
              <w:rPr>
                <w:rFonts w:hint="eastAsia" w:ascii="Times New Roman" w:hAnsi="Times New Roman"/>
                <w:color w:val="000000"/>
                <w:sz w:val="24"/>
                <w:highlight w:val="none"/>
              </w:rPr>
              <w:t>m</w:t>
            </w:r>
            <w:r>
              <w:rPr>
                <w:rFonts w:hint="eastAsia" w:ascii="Times New Roman" w:hAnsi="Times New Roman"/>
                <w:color w:val="000000"/>
                <w:sz w:val="24"/>
                <w:highlight w:val="none"/>
                <w:vertAlign w:val="superscript"/>
                <w:lang w:val="en-US" w:eastAsia="zh-CN"/>
              </w:rPr>
              <w:t>3</w:t>
            </w:r>
            <w:r>
              <w:rPr>
                <w:rFonts w:hint="eastAsia" w:ascii="Times New Roman" w:hAnsi="Times New Roman"/>
                <w:color w:val="000000"/>
                <w:sz w:val="24"/>
                <w:highlight w:val="none"/>
              </w:rPr>
              <w:t>，土壤容重约为1.2t</w:t>
            </w:r>
            <w:r>
              <w:rPr>
                <w:rFonts w:hint="eastAsia" w:ascii="Times New Roman" w:hAnsi="Times New Roman"/>
                <w:color w:val="000000"/>
                <w:sz w:val="24"/>
                <w:highlight w:val="none"/>
                <w:lang w:val="en-US" w:eastAsia="zh-CN"/>
              </w:rPr>
              <w:t>/</w:t>
            </w:r>
            <w:r>
              <w:rPr>
                <w:rFonts w:hint="eastAsia" w:ascii="Times New Roman" w:hAnsi="Times New Roman"/>
                <w:color w:val="000000"/>
                <w:sz w:val="24"/>
                <w:highlight w:val="none"/>
              </w:rPr>
              <w:t>m</w:t>
            </w:r>
            <w:r>
              <w:rPr>
                <w:rFonts w:hint="eastAsia" w:ascii="Times New Roman" w:hAnsi="Times New Roman"/>
                <w:color w:val="000000"/>
                <w:sz w:val="24"/>
                <w:highlight w:val="none"/>
                <w:vertAlign w:val="superscript"/>
                <w:lang w:val="en-US" w:eastAsia="zh-CN"/>
              </w:rPr>
              <w:t>3</w:t>
            </w:r>
            <w:r>
              <w:rPr>
                <w:rFonts w:hint="eastAsia" w:ascii="Times New Roman" w:hAnsi="Times New Roman"/>
                <w:color w:val="000000"/>
                <w:sz w:val="24"/>
                <w:highlight w:val="none"/>
              </w:rPr>
              <w:t>，本项目污染土约为</w:t>
            </w:r>
            <w:r>
              <w:rPr>
                <w:rFonts w:hint="eastAsia" w:ascii="Times New Roman" w:hAnsi="Times New Roman"/>
                <w:color w:val="000000"/>
                <w:sz w:val="24"/>
                <w:highlight w:val="none"/>
                <w:lang w:val="en-US" w:eastAsia="zh-CN"/>
              </w:rPr>
              <w:t>9865.8</w:t>
            </w:r>
            <w:r>
              <w:rPr>
                <w:rFonts w:hint="eastAsia" w:ascii="Times New Roman" w:hAnsi="Times New Roman"/>
                <w:color w:val="000000"/>
                <w:sz w:val="24"/>
                <w:highlight w:val="none"/>
              </w:rPr>
              <w:t>t</w:t>
            </w:r>
            <w:r>
              <w:rPr>
                <w:rFonts w:hint="eastAsia" w:ascii="Times New Roman" w:hAnsi="Times New Roman"/>
                <w:color w:val="000000"/>
                <w:sz w:val="24"/>
                <w:szCs w:val="22"/>
                <w:highlight w:val="none"/>
                <w:lang w:val="en-US" w:eastAsia="zh-CN"/>
              </w:rPr>
              <w:t>/工期</w:t>
            </w:r>
            <w:r>
              <w:rPr>
                <w:rFonts w:hint="eastAsia" w:ascii="Times New Roman" w:hAnsi="Times New Roman"/>
                <w:color w:val="000000"/>
                <w:sz w:val="24"/>
                <w:highlight w:val="none"/>
              </w:rPr>
              <w:t>，</w:t>
            </w:r>
            <w:r>
              <w:rPr>
                <w:rFonts w:hint="eastAsia" w:ascii="Times New Roman" w:hAnsi="Times New Roman"/>
                <w:color w:val="000000"/>
                <w:sz w:val="24"/>
                <w:highlight w:val="none"/>
                <w:lang w:val="en-US" w:eastAsia="zh-CN"/>
              </w:rPr>
              <w:t>污染土壤</w:t>
            </w:r>
            <w:r>
              <w:rPr>
                <w:rFonts w:hint="eastAsia" w:ascii="Times New Roman" w:hAnsi="Times New Roman"/>
                <w:color w:val="000000"/>
                <w:sz w:val="24"/>
                <w:highlight w:val="none"/>
              </w:rPr>
              <w:t>通过</w:t>
            </w:r>
            <w:r>
              <w:rPr>
                <w:rFonts w:hint="eastAsia" w:ascii="Times New Roman" w:hAnsi="Times New Roman"/>
                <w:color w:val="000000"/>
                <w:sz w:val="24"/>
                <w:highlight w:val="none"/>
                <w:lang w:val="en-US" w:eastAsia="zh-CN"/>
              </w:rPr>
              <w:t>异地</w:t>
            </w:r>
            <w:r>
              <w:rPr>
                <w:rFonts w:hint="eastAsia" w:ascii="Times New Roman" w:hAnsi="Times New Roman"/>
                <w:color w:val="000000"/>
                <w:sz w:val="24"/>
                <w:highlight w:val="none"/>
              </w:rPr>
              <w:t>水泥窑协同处置。</w:t>
            </w:r>
          </w:p>
          <w:p>
            <w:pPr>
              <w:widowControl/>
              <w:spacing w:line="360" w:lineRule="auto"/>
              <w:ind w:firstLine="480" w:firstLineChars="200"/>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rPr>
              <w:t>②</w:t>
            </w:r>
            <w:r>
              <w:rPr>
                <w:rFonts w:hint="eastAsia" w:ascii="Times New Roman" w:hAnsi="Times New Roman"/>
                <w:color w:val="000000"/>
                <w:sz w:val="24"/>
                <w:highlight w:val="none"/>
                <w:lang w:val="en-US" w:eastAsia="zh-CN"/>
              </w:rPr>
              <w:t>建筑垃圾</w:t>
            </w:r>
          </w:p>
          <w:p>
            <w:pPr>
              <w:widowControl/>
              <w:spacing w:line="360" w:lineRule="auto"/>
              <w:ind w:firstLine="480" w:firstLineChars="200"/>
              <w:rPr>
                <w:rFonts w:hint="eastAsia" w:ascii="Times New Roman" w:hAnsi="Times New Roman"/>
                <w:color w:val="000000"/>
                <w:sz w:val="24"/>
                <w:szCs w:val="22"/>
                <w:highlight w:val="none"/>
                <w:lang w:val="en-US" w:eastAsia="zh-CN"/>
              </w:rPr>
            </w:pPr>
            <w:r>
              <w:rPr>
                <w:rFonts w:hint="eastAsia" w:ascii="Times New Roman" w:hAnsi="Times New Roman"/>
                <w:color w:val="000000"/>
                <w:sz w:val="24"/>
                <w:szCs w:val="22"/>
                <w:highlight w:val="none"/>
                <w:lang w:val="en-US" w:eastAsia="zh-CN"/>
              </w:rPr>
              <w:t>本项目土壤修复清除的建筑垃圾分为污染建筑垃圾及非污染建筑垃圾，现场筛选分类后非污染建筑垃圾约3950t/工期，交由物资回收单位处置再利用，污染建筑垃圾约2290t/工期，通过异地水泥窑协同处置。本项目前期厂房拆迁产生的建筑垃圾（污染、非污染）直接外运，不在厂内暂存。</w:t>
            </w:r>
          </w:p>
          <w:p>
            <w:pPr>
              <w:widowControl/>
              <w:spacing w:line="360" w:lineRule="auto"/>
              <w:ind w:firstLine="480" w:firstLineChars="200"/>
              <w:rPr>
                <w:rFonts w:hint="eastAsia" w:ascii="Times New Roman" w:hAnsi="Times New Roman"/>
                <w:color w:val="000000"/>
                <w:sz w:val="24"/>
                <w:szCs w:val="22"/>
                <w:highlight w:val="none"/>
                <w:lang w:val="en-US" w:eastAsia="zh-CN"/>
              </w:rPr>
            </w:pPr>
            <w:r>
              <w:rPr>
                <w:rFonts w:hint="eastAsia" w:ascii="Times New Roman" w:hAnsi="Times New Roman"/>
                <w:color w:val="000000"/>
                <w:sz w:val="24"/>
                <w:szCs w:val="22"/>
                <w:highlight w:val="none"/>
              </w:rPr>
              <w:t>③</w:t>
            </w:r>
            <w:r>
              <w:rPr>
                <w:rFonts w:hint="eastAsia" w:ascii="Times New Roman" w:hAnsi="Times New Roman"/>
                <w:color w:val="000000"/>
                <w:sz w:val="24"/>
                <w:szCs w:val="22"/>
                <w:highlight w:val="none"/>
                <w:lang w:val="en-US" w:eastAsia="zh-CN"/>
              </w:rPr>
              <w:t>废水处理污泥</w:t>
            </w:r>
          </w:p>
          <w:p>
            <w:pPr>
              <w:widowControl/>
              <w:spacing w:line="360" w:lineRule="auto"/>
              <w:ind w:firstLine="480" w:firstLineChars="200"/>
              <w:rPr>
                <w:rFonts w:ascii="Times New Roman" w:hAnsi="Times New Roman"/>
                <w:color w:val="000000"/>
                <w:sz w:val="24"/>
                <w:szCs w:val="22"/>
                <w:highlight w:val="none"/>
              </w:rPr>
            </w:pPr>
            <w:r>
              <w:rPr>
                <w:rFonts w:hint="eastAsia" w:ascii="Times New Roman" w:hAnsi="Times New Roman"/>
                <w:color w:val="000000"/>
                <w:sz w:val="24"/>
                <w:szCs w:val="22"/>
                <w:highlight w:val="none"/>
              </w:rPr>
              <w:t>本工程废水处理过程中产生的污泥，含有一定的</w:t>
            </w:r>
            <w:r>
              <w:rPr>
                <w:rFonts w:hint="eastAsia" w:ascii="Times New Roman" w:hAnsi="Times New Roman"/>
                <w:color w:val="000000"/>
                <w:sz w:val="24"/>
                <w:szCs w:val="22"/>
                <w:highlight w:val="none"/>
                <w:lang w:val="en-US" w:eastAsia="zh-CN"/>
              </w:rPr>
              <w:t>重金属</w:t>
            </w:r>
            <w:r>
              <w:rPr>
                <w:rFonts w:hint="eastAsia" w:ascii="Times New Roman" w:hAnsi="Times New Roman"/>
                <w:color w:val="000000"/>
                <w:sz w:val="24"/>
                <w:szCs w:val="22"/>
                <w:highlight w:val="none"/>
              </w:rPr>
              <w:t>等污染物质，类比同类项目，本工程废水产生的污泥量约</w:t>
            </w:r>
            <w:r>
              <w:rPr>
                <w:rFonts w:hint="eastAsia" w:ascii="Times New Roman" w:hAnsi="Times New Roman"/>
                <w:color w:val="000000"/>
                <w:sz w:val="24"/>
                <w:szCs w:val="22"/>
                <w:highlight w:val="none"/>
                <w:lang w:val="en-US" w:eastAsia="zh-CN"/>
              </w:rPr>
              <w:t>15.2</w:t>
            </w:r>
            <w:r>
              <w:rPr>
                <w:rFonts w:hint="eastAsia" w:ascii="Times New Roman" w:hAnsi="Times New Roman"/>
                <w:color w:val="000000"/>
                <w:sz w:val="24"/>
                <w:szCs w:val="22"/>
                <w:highlight w:val="none"/>
              </w:rPr>
              <w:t>2t</w:t>
            </w:r>
            <w:r>
              <w:rPr>
                <w:rFonts w:hint="eastAsia" w:ascii="Times New Roman" w:hAnsi="Times New Roman"/>
                <w:color w:val="000000"/>
                <w:sz w:val="24"/>
                <w:szCs w:val="22"/>
                <w:highlight w:val="none"/>
                <w:lang w:val="en-US" w:eastAsia="zh-CN"/>
              </w:rPr>
              <w:t>/工期</w:t>
            </w:r>
            <w:r>
              <w:rPr>
                <w:rFonts w:hint="eastAsia" w:ascii="Times New Roman" w:hAnsi="Times New Roman"/>
                <w:color w:val="000000"/>
                <w:sz w:val="24"/>
                <w:szCs w:val="22"/>
                <w:highlight w:val="none"/>
              </w:rPr>
              <w:t>，本工程产生的污泥属于危险废物，须委托有资质单位进行处理。根据《国家危险废物名录》（2016版），污泥属于危险</w:t>
            </w:r>
            <w:r>
              <w:rPr>
                <w:rFonts w:hint="eastAsia" w:ascii="Times New Roman" w:hAnsi="Times New Roman"/>
                <w:color w:val="000000"/>
                <w:sz w:val="24"/>
                <w:szCs w:val="22"/>
                <w:highlight w:val="none"/>
                <w:lang w:val="en-US" w:eastAsia="zh-CN"/>
              </w:rPr>
              <w:t>固废</w:t>
            </w:r>
            <w:r>
              <w:rPr>
                <w:rFonts w:hint="eastAsia" w:ascii="Times New Roman" w:hAnsi="Times New Roman"/>
                <w:color w:val="000000"/>
                <w:sz w:val="24"/>
                <w:szCs w:val="22"/>
                <w:highlight w:val="none"/>
              </w:rPr>
              <w:t>，废物代码：HW49，900-041-49，污泥妥善收集后，委托有资质单位处置。</w:t>
            </w:r>
          </w:p>
          <w:p>
            <w:pPr>
              <w:widowControl/>
              <w:spacing w:line="360" w:lineRule="auto"/>
              <w:ind w:firstLine="480" w:firstLineChars="200"/>
              <w:rPr>
                <w:rFonts w:hint="eastAsia" w:ascii="Times New Roman" w:hAnsi="Times New Roman"/>
                <w:color w:val="000000"/>
                <w:sz w:val="24"/>
                <w:szCs w:val="22"/>
                <w:highlight w:val="none"/>
                <w:lang w:val="en-US" w:eastAsia="zh-CN"/>
              </w:rPr>
            </w:pPr>
            <w:r>
              <w:rPr>
                <w:rFonts w:hint="eastAsia" w:ascii="Times New Roman" w:hAnsi="Times New Roman"/>
                <w:color w:val="000000"/>
                <w:sz w:val="24"/>
                <w:szCs w:val="22"/>
                <w:highlight w:val="none"/>
              </w:rPr>
              <w:t>④</w:t>
            </w:r>
            <w:r>
              <w:rPr>
                <w:rFonts w:hint="eastAsia" w:ascii="Times New Roman" w:hAnsi="Times New Roman"/>
                <w:color w:val="000000"/>
                <w:sz w:val="24"/>
                <w:szCs w:val="22"/>
                <w:highlight w:val="none"/>
                <w:lang w:val="en-US" w:eastAsia="zh-CN"/>
              </w:rPr>
              <w:t>废活性炭</w:t>
            </w:r>
          </w:p>
          <w:p>
            <w:pPr>
              <w:widowControl/>
              <w:spacing w:line="360" w:lineRule="auto"/>
              <w:ind w:firstLine="480" w:firstLineChars="200"/>
              <w:rPr>
                <w:rFonts w:hint="default" w:ascii="Times New Roman" w:hAnsi="Times New Roman"/>
                <w:color w:val="000000"/>
                <w:sz w:val="24"/>
                <w:szCs w:val="22"/>
                <w:highlight w:val="none"/>
                <w:lang w:val="en-US" w:eastAsia="zh-CN"/>
              </w:rPr>
            </w:pPr>
            <w:r>
              <w:rPr>
                <w:rFonts w:hint="eastAsia" w:ascii="Times New Roman" w:hAnsi="Times New Roman"/>
                <w:color w:val="000000"/>
                <w:sz w:val="24"/>
                <w:szCs w:val="22"/>
                <w:highlight w:val="none"/>
                <w:lang w:val="en-US" w:eastAsia="zh-CN"/>
              </w:rPr>
              <w:t>场地下水修复使用的活性炭，废活性炭产生量约为3.5t/工期，《国|家危险废物名录》（2016版），废活性炭属于危险固废，废物类别为HW49其他废物，废物代码900-041-49（含有或沾染毒性、感染性危险废物的废弃包装物、容器、过滤吸附介质），因此废活性炭收集后应委托有资质单位妥善处置。</w:t>
            </w:r>
          </w:p>
          <w:p>
            <w:pPr>
              <w:pStyle w:val="26"/>
              <w:spacing w:after="0" w:line="360" w:lineRule="auto"/>
              <w:ind w:firstLine="480" w:firstLineChars="200"/>
              <w:rPr>
                <w:rFonts w:ascii="Times New Roman" w:hAnsi="Times New Roman"/>
                <w:color w:val="000000"/>
                <w:sz w:val="24"/>
                <w:szCs w:val="22"/>
                <w:highlight w:val="none"/>
              </w:rPr>
            </w:pPr>
            <w:r>
              <w:rPr>
                <w:rFonts w:hint="eastAsia" w:ascii="Times New Roman" w:hAnsi="Times New Roman"/>
                <w:color w:val="000000"/>
                <w:sz w:val="24"/>
                <w:szCs w:val="22"/>
                <w:highlight w:val="none"/>
              </w:rPr>
              <w:t>⑤</w:t>
            </w:r>
            <w:r>
              <w:rPr>
                <w:rFonts w:ascii="Times New Roman" w:hAnsi="Times New Roman"/>
                <w:color w:val="000000"/>
                <w:sz w:val="24"/>
                <w:szCs w:val="22"/>
                <w:highlight w:val="none"/>
              </w:rPr>
              <w:t>生活垃圾</w:t>
            </w:r>
          </w:p>
          <w:p>
            <w:pPr>
              <w:pStyle w:val="26"/>
              <w:spacing w:after="0" w:line="360" w:lineRule="auto"/>
              <w:ind w:firstLine="480" w:firstLineChars="200"/>
              <w:rPr>
                <w:rFonts w:ascii="Times New Roman" w:hAnsi="Times New Roman"/>
                <w:color w:val="000000"/>
                <w:sz w:val="24"/>
                <w:szCs w:val="22"/>
                <w:highlight w:val="none"/>
              </w:rPr>
            </w:pPr>
            <w:r>
              <w:rPr>
                <w:rFonts w:ascii="Times New Roman" w:hAnsi="Times New Roman"/>
                <w:color w:val="000000"/>
                <w:sz w:val="24"/>
                <w:szCs w:val="22"/>
                <w:highlight w:val="none"/>
              </w:rPr>
              <w:t>本项目</w:t>
            </w:r>
            <w:r>
              <w:rPr>
                <w:rFonts w:hint="eastAsia" w:ascii="Times New Roman" w:hAnsi="Times New Roman"/>
                <w:color w:val="000000"/>
                <w:sz w:val="24"/>
                <w:szCs w:val="22"/>
                <w:highlight w:val="none"/>
                <w:lang w:val="en-US" w:eastAsia="zh-CN"/>
              </w:rPr>
              <w:t>施工</w:t>
            </w:r>
            <w:r>
              <w:rPr>
                <w:rFonts w:ascii="Times New Roman" w:hAnsi="Times New Roman"/>
                <w:color w:val="000000"/>
                <w:sz w:val="24"/>
                <w:szCs w:val="22"/>
                <w:highlight w:val="none"/>
              </w:rPr>
              <w:t>员工人数为</w:t>
            </w:r>
            <w:r>
              <w:rPr>
                <w:rFonts w:hint="eastAsia" w:ascii="Times New Roman" w:hAnsi="Times New Roman"/>
                <w:color w:val="000000"/>
                <w:sz w:val="24"/>
                <w:szCs w:val="22"/>
                <w:highlight w:val="none"/>
                <w:lang w:val="en-US" w:eastAsia="zh-CN"/>
              </w:rPr>
              <w:t>50</w:t>
            </w:r>
            <w:r>
              <w:rPr>
                <w:rFonts w:ascii="Times New Roman" w:hAnsi="Times New Roman"/>
                <w:color w:val="000000"/>
                <w:sz w:val="24"/>
                <w:szCs w:val="22"/>
                <w:highlight w:val="none"/>
              </w:rPr>
              <w:t>人，生活垃圾产生量为0.5kg/人·d，则年产生量为</w:t>
            </w:r>
            <w:r>
              <w:rPr>
                <w:rFonts w:hint="eastAsia" w:ascii="Times New Roman" w:hAnsi="Times New Roman"/>
                <w:color w:val="000000"/>
                <w:sz w:val="24"/>
                <w:szCs w:val="22"/>
                <w:highlight w:val="none"/>
                <w:lang w:val="en-US" w:eastAsia="zh-CN"/>
              </w:rPr>
              <w:t>11.75</w:t>
            </w:r>
            <w:r>
              <w:rPr>
                <w:rFonts w:ascii="Times New Roman" w:hAnsi="Times New Roman"/>
                <w:color w:val="000000"/>
                <w:sz w:val="24"/>
                <w:szCs w:val="22"/>
                <w:highlight w:val="none"/>
              </w:rPr>
              <w:t>t/</w:t>
            </w:r>
            <w:r>
              <w:rPr>
                <w:rFonts w:hint="eastAsia" w:ascii="Times New Roman" w:hAnsi="Times New Roman"/>
                <w:color w:val="000000"/>
                <w:sz w:val="24"/>
                <w:szCs w:val="22"/>
                <w:highlight w:val="none"/>
                <w:lang w:val="en-US" w:eastAsia="zh-CN"/>
              </w:rPr>
              <w:t>工期</w:t>
            </w:r>
            <w:r>
              <w:rPr>
                <w:rFonts w:ascii="Times New Roman" w:hAnsi="Times New Roman"/>
                <w:color w:val="000000"/>
                <w:sz w:val="24"/>
                <w:szCs w:val="22"/>
                <w:highlight w:val="none"/>
              </w:rPr>
              <w:t>。生活垃圾收集于垃圾桶内，由环卫部门运至生活垃圾处置场处理。</w:t>
            </w:r>
          </w:p>
          <w:p>
            <w:pPr>
              <w:pStyle w:val="26"/>
              <w:spacing w:after="0" w:line="360" w:lineRule="auto"/>
              <w:ind w:firstLine="0" w:firstLineChars="0"/>
              <w:jc w:val="center"/>
              <w:rPr>
                <w:rFonts w:ascii="Times New Roman" w:hAnsi="Times New Roman"/>
                <w:b/>
                <w:bCs/>
                <w:color w:val="000000"/>
                <w:sz w:val="24"/>
                <w:szCs w:val="24"/>
                <w:highlight w:val="none"/>
              </w:rPr>
            </w:pPr>
            <w:r>
              <w:rPr>
                <w:rFonts w:ascii="Times New Roman" w:hAnsi="Times New Roman"/>
                <w:b/>
                <w:bCs/>
                <w:color w:val="000000"/>
                <w:sz w:val="24"/>
                <w:szCs w:val="24"/>
                <w:highlight w:val="none"/>
              </w:rPr>
              <w:t>表5-</w:t>
            </w:r>
            <w:r>
              <w:rPr>
                <w:rFonts w:hint="eastAsia" w:ascii="Times New Roman" w:hAnsi="Times New Roman"/>
                <w:b/>
                <w:bCs/>
                <w:color w:val="000000"/>
                <w:sz w:val="24"/>
                <w:szCs w:val="24"/>
                <w:highlight w:val="none"/>
                <w:lang w:val="en-US" w:eastAsia="zh-CN"/>
              </w:rPr>
              <w:t>3</w:t>
            </w:r>
            <w:r>
              <w:rPr>
                <w:rFonts w:ascii="Times New Roman" w:hAnsi="Times New Roman"/>
                <w:b/>
                <w:bCs/>
                <w:color w:val="000000"/>
                <w:sz w:val="24"/>
                <w:szCs w:val="24"/>
                <w:highlight w:val="none"/>
              </w:rPr>
              <w:t xml:space="preserve">  </w:t>
            </w:r>
            <w:r>
              <w:rPr>
                <w:rFonts w:hint="eastAsia" w:ascii="Times New Roman" w:hAnsi="Times New Roman"/>
                <w:b/>
                <w:bCs/>
                <w:color w:val="000000"/>
                <w:sz w:val="24"/>
                <w:szCs w:val="24"/>
                <w:highlight w:val="none"/>
              </w:rPr>
              <w:t>副产物属性判定表</w:t>
            </w:r>
          </w:p>
          <w:tbl>
            <w:tblPr>
              <w:tblStyle w:val="27"/>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1289"/>
              <w:gridCol w:w="1455"/>
              <w:gridCol w:w="1148"/>
              <w:gridCol w:w="1293"/>
              <w:gridCol w:w="1425"/>
              <w:gridCol w:w="1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98"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序号</w:t>
                  </w:r>
                </w:p>
              </w:tc>
              <w:tc>
                <w:tcPr>
                  <w:tcW w:w="1289"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hint="eastAsia" w:ascii="Times New Roman" w:hAnsi="Times New Roman"/>
                      <w:color w:val="000000"/>
                      <w:szCs w:val="21"/>
                      <w:highlight w:val="none"/>
                      <w:lang w:val="en-US" w:eastAsia="zh-CN"/>
                    </w:rPr>
                    <w:t>副产物</w:t>
                  </w:r>
                  <w:r>
                    <w:rPr>
                      <w:rFonts w:ascii="Times New Roman" w:hAnsi="Times New Roman"/>
                      <w:color w:val="000000"/>
                      <w:szCs w:val="21"/>
                      <w:highlight w:val="none"/>
                      <w:lang w:eastAsia="en-US"/>
                    </w:rPr>
                    <w:t>名称</w:t>
                  </w:r>
                </w:p>
              </w:tc>
              <w:tc>
                <w:tcPr>
                  <w:tcW w:w="1455"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产生工序</w:t>
                  </w:r>
                </w:p>
              </w:tc>
              <w:tc>
                <w:tcPr>
                  <w:tcW w:w="1148"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形态</w:t>
                  </w:r>
                </w:p>
              </w:tc>
              <w:tc>
                <w:tcPr>
                  <w:tcW w:w="1293"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主要成分</w:t>
                  </w:r>
                </w:p>
              </w:tc>
              <w:tc>
                <w:tcPr>
                  <w:tcW w:w="1425" w:type="dxa"/>
                  <w:noWrap w:val="0"/>
                  <w:vAlign w:val="center"/>
                </w:tcPr>
                <w:p>
                  <w:pPr>
                    <w:pStyle w:val="99"/>
                    <w:spacing w:line="240" w:lineRule="atLeast"/>
                    <w:ind w:firstLine="0" w:firstLineChars="0"/>
                    <w:jc w:val="center"/>
                    <w:rPr>
                      <w:rFonts w:hint="eastAsia"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是否属固体废物</w:t>
                  </w:r>
                </w:p>
              </w:tc>
              <w:tc>
                <w:tcPr>
                  <w:tcW w:w="1636"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98"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rPr>
                    <w:t>1</w:t>
                  </w:r>
                </w:p>
              </w:tc>
              <w:tc>
                <w:tcPr>
                  <w:tcW w:w="1289" w:type="dxa"/>
                  <w:noWrap w:val="0"/>
                  <w:vAlign w:val="center"/>
                </w:tcPr>
                <w:p>
                  <w:pPr>
                    <w:pStyle w:val="99"/>
                    <w:spacing w:line="240" w:lineRule="atLeast"/>
                    <w:ind w:firstLine="0" w:firstLineChars="0"/>
                    <w:jc w:val="center"/>
                    <w:rPr>
                      <w:rFonts w:hint="eastAsia" w:ascii="Times New Roman" w:hAnsi="Times New Roman" w:eastAsia="宋体"/>
                      <w:color w:val="000000"/>
                      <w:highlight w:val="none"/>
                      <w:lang w:val="en-US" w:eastAsia="zh-CN"/>
                    </w:rPr>
                  </w:pPr>
                  <w:r>
                    <w:rPr>
                      <w:rFonts w:hint="eastAsia" w:ascii="Times New Roman" w:hAnsi="Times New Roman"/>
                      <w:color w:val="000000"/>
                      <w:highlight w:val="none"/>
                      <w:lang w:val="en-US" w:eastAsia="zh-CN"/>
                    </w:rPr>
                    <w:t>生活垃圾</w:t>
                  </w:r>
                </w:p>
              </w:tc>
              <w:tc>
                <w:tcPr>
                  <w:tcW w:w="1455"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施工人员</w:t>
                  </w:r>
                </w:p>
              </w:tc>
              <w:tc>
                <w:tcPr>
                  <w:tcW w:w="1148"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S</w:t>
                  </w:r>
                </w:p>
              </w:tc>
              <w:tc>
                <w:tcPr>
                  <w:tcW w:w="1293"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塑料、纸张、食物残渣</w:t>
                  </w:r>
                </w:p>
              </w:tc>
              <w:tc>
                <w:tcPr>
                  <w:tcW w:w="1425" w:type="dxa"/>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是</w:t>
                  </w:r>
                </w:p>
              </w:tc>
              <w:tc>
                <w:tcPr>
                  <w:tcW w:w="1636"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5.1c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98"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2</w:t>
                  </w:r>
                </w:p>
              </w:tc>
              <w:tc>
                <w:tcPr>
                  <w:tcW w:w="1289"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污染建筑垃圾</w:t>
                  </w:r>
                </w:p>
              </w:tc>
              <w:tc>
                <w:tcPr>
                  <w:tcW w:w="1455"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修复</w:t>
                  </w:r>
                </w:p>
              </w:tc>
              <w:tc>
                <w:tcPr>
                  <w:tcW w:w="1148" w:type="dxa"/>
                  <w:noWrap w:val="0"/>
                  <w:vAlign w:val="center"/>
                </w:tcPr>
                <w:p>
                  <w:pPr>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S</w:t>
                  </w:r>
                </w:p>
              </w:tc>
              <w:tc>
                <w:tcPr>
                  <w:tcW w:w="1293"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金属、塑料</w:t>
                  </w:r>
                </w:p>
              </w:tc>
              <w:tc>
                <w:tcPr>
                  <w:tcW w:w="1425" w:type="dxa"/>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是</w:t>
                  </w:r>
                </w:p>
              </w:tc>
              <w:tc>
                <w:tcPr>
                  <w:tcW w:w="1636"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4.2i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98"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3</w:t>
                  </w:r>
                </w:p>
              </w:tc>
              <w:tc>
                <w:tcPr>
                  <w:tcW w:w="1289"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非污染建筑垃圾</w:t>
                  </w:r>
                </w:p>
              </w:tc>
              <w:tc>
                <w:tcPr>
                  <w:tcW w:w="1455"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修复</w:t>
                  </w:r>
                </w:p>
              </w:tc>
              <w:tc>
                <w:tcPr>
                  <w:tcW w:w="1148" w:type="dxa"/>
                  <w:noWrap w:val="0"/>
                  <w:vAlign w:val="center"/>
                </w:tcPr>
                <w:p>
                  <w:pPr>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S</w:t>
                  </w:r>
                </w:p>
              </w:tc>
              <w:tc>
                <w:tcPr>
                  <w:tcW w:w="1293" w:type="dxa"/>
                  <w:noWrap w:val="0"/>
                  <w:vAlign w:val="center"/>
                </w:tcPr>
                <w:p>
                  <w:pPr>
                    <w:spacing w:line="240" w:lineRule="atLeast"/>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金属、塑料</w:t>
                  </w:r>
                </w:p>
              </w:tc>
              <w:tc>
                <w:tcPr>
                  <w:tcW w:w="1425" w:type="dxa"/>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是</w:t>
                  </w:r>
                </w:p>
              </w:tc>
              <w:tc>
                <w:tcPr>
                  <w:tcW w:w="1636"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4.2i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98" w:type="dxa"/>
                  <w:noWrap w:val="0"/>
                  <w:vAlign w:val="center"/>
                </w:tcPr>
                <w:p>
                  <w:pPr>
                    <w:pStyle w:val="99"/>
                    <w:spacing w:line="240" w:lineRule="atLeast"/>
                    <w:ind w:firstLine="0" w:firstLineChars="0"/>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4</w:t>
                  </w:r>
                </w:p>
              </w:tc>
              <w:tc>
                <w:tcPr>
                  <w:tcW w:w="1289" w:type="dxa"/>
                  <w:noWrap w:val="0"/>
                  <w:vAlign w:val="center"/>
                </w:tcPr>
                <w:p>
                  <w:pPr>
                    <w:pStyle w:val="99"/>
                    <w:spacing w:line="240" w:lineRule="atLeast"/>
                    <w:ind w:firstLine="0" w:firstLineChars="0"/>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土壤</w:t>
                  </w:r>
                </w:p>
              </w:tc>
              <w:tc>
                <w:tcPr>
                  <w:tcW w:w="1455" w:type="dxa"/>
                  <w:noWrap w:val="0"/>
                  <w:vAlign w:val="center"/>
                </w:tcPr>
                <w:p>
                  <w:pPr>
                    <w:pStyle w:val="99"/>
                    <w:spacing w:line="240" w:lineRule="atLeast"/>
                    <w:ind w:firstLine="0" w:firstLineChars="0"/>
                    <w:jc w:val="center"/>
                    <w:rPr>
                      <w:rFonts w:hint="eastAsia"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修复</w:t>
                  </w:r>
                </w:p>
              </w:tc>
              <w:tc>
                <w:tcPr>
                  <w:tcW w:w="1148" w:type="dxa"/>
                  <w:noWrap w:val="0"/>
                  <w:vAlign w:val="center"/>
                </w:tcPr>
                <w:p>
                  <w:pPr>
                    <w:spacing w:line="240" w:lineRule="atLeast"/>
                    <w:ind w:firstLine="0" w:firstLineChars="0"/>
                    <w:jc w:val="center"/>
                    <w:rPr>
                      <w:rFonts w:hint="eastAsia"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S</w:t>
                  </w:r>
                </w:p>
              </w:tc>
              <w:tc>
                <w:tcPr>
                  <w:tcW w:w="1293" w:type="dxa"/>
                  <w:noWrap w:val="0"/>
                  <w:vAlign w:val="center"/>
                </w:tcPr>
                <w:p>
                  <w:pPr>
                    <w:pStyle w:val="99"/>
                    <w:spacing w:line="240" w:lineRule="atLeast"/>
                    <w:ind w:firstLine="0" w:firstLineChars="0"/>
                    <w:jc w:val="center"/>
                    <w:rPr>
                      <w:rFonts w:hint="eastAsia"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土壤</w:t>
                  </w:r>
                </w:p>
              </w:tc>
              <w:tc>
                <w:tcPr>
                  <w:tcW w:w="1425" w:type="dxa"/>
                  <w:noWrap w:val="0"/>
                  <w:vAlign w:val="center"/>
                </w:tcPr>
                <w:p>
                  <w:pPr>
                    <w:pStyle w:val="99"/>
                    <w:spacing w:line="240" w:lineRule="atLeast"/>
                    <w:ind w:firstLine="0" w:firstLineChars="0"/>
                    <w:jc w:val="center"/>
                    <w:rPr>
                      <w:rFonts w:hint="eastAsia"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否</w:t>
                  </w:r>
                </w:p>
              </w:tc>
              <w:tc>
                <w:tcPr>
                  <w:tcW w:w="1636" w:type="dxa"/>
                  <w:noWrap w:val="0"/>
                  <w:vAlign w:val="center"/>
                </w:tcPr>
                <w:p>
                  <w:pPr>
                    <w:pStyle w:val="99"/>
                    <w:spacing w:line="240" w:lineRule="atLeast"/>
                    <w:ind w:firstLine="0" w:firstLineChars="0"/>
                    <w:jc w:val="center"/>
                    <w:rPr>
                      <w:rFonts w:hint="eastAsia"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6.1c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98"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5</w:t>
                  </w:r>
                </w:p>
              </w:tc>
              <w:tc>
                <w:tcPr>
                  <w:tcW w:w="1289"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污泥</w:t>
                  </w:r>
                </w:p>
              </w:tc>
              <w:tc>
                <w:tcPr>
                  <w:tcW w:w="1455"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污水净化</w:t>
                  </w:r>
                </w:p>
              </w:tc>
              <w:tc>
                <w:tcPr>
                  <w:tcW w:w="1148" w:type="dxa"/>
                  <w:noWrap w:val="0"/>
                  <w:vAlign w:val="center"/>
                </w:tcPr>
                <w:p>
                  <w:pPr>
                    <w:spacing w:line="240" w:lineRule="atLeast"/>
                    <w:ind w:firstLine="0" w:firstLineChars="0"/>
                    <w:jc w:val="center"/>
                    <w:rPr>
                      <w:rFonts w:ascii="Times New Roman" w:hAnsi="Times New Roman"/>
                      <w:color w:val="000000"/>
                      <w:szCs w:val="21"/>
                      <w:highlight w:val="none"/>
                      <w:lang w:eastAsia="en-US"/>
                    </w:rPr>
                  </w:pPr>
                  <w:r>
                    <w:rPr>
                      <w:rFonts w:hint="eastAsia" w:ascii="Times New Roman" w:hAnsi="Times New Roman"/>
                      <w:color w:val="000000"/>
                      <w:szCs w:val="21"/>
                      <w:highlight w:val="none"/>
                      <w:lang w:val="en-US" w:eastAsia="zh-CN"/>
                    </w:rPr>
                    <w:t>S</w:t>
                  </w:r>
                </w:p>
              </w:tc>
              <w:tc>
                <w:tcPr>
                  <w:tcW w:w="1293"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沉淀污泥</w:t>
                  </w:r>
                </w:p>
              </w:tc>
              <w:tc>
                <w:tcPr>
                  <w:tcW w:w="1425"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是</w:t>
                  </w:r>
                </w:p>
              </w:tc>
              <w:tc>
                <w:tcPr>
                  <w:tcW w:w="1636"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4.3e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98"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6</w:t>
                  </w:r>
                </w:p>
              </w:tc>
              <w:tc>
                <w:tcPr>
                  <w:tcW w:w="1289"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废活性炭</w:t>
                  </w:r>
                </w:p>
              </w:tc>
              <w:tc>
                <w:tcPr>
                  <w:tcW w:w="1455" w:type="dxa"/>
                  <w:noWrap w:val="0"/>
                  <w:vAlign w:val="center"/>
                </w:tcPr>
                <w:p>
                  <w:pPr>
                    <w:pStyle w:val="99"/>
                    <w:spacing w:line="240" w:lineRule="atLeast"/>
                    <w:ind w:firstLine="0" w:firstLineChars="0"/>
                    <w:jc w:val="center"/>
                    <w:rPr>
                      <w:rFonts w:hint="eastAsia" w:ascii="Times New Roman" w:hAnsi="Times New Roman"/>
                      <w:color w:val="000000"/>
                      <w:szCs w:val="21"/>
                      <w:highlight w:val="none"/>
                    </w:rPr>
                  </w:pPr>
                  <w:r>
                    <w:rPr>
                      <w:rFonts w:hint="eastAsia" w:ascii="Times New Roman" w:hAnsi="Times New Roman"/>
                      <w:color w:val="000000"/>
                      <w:szCs w:val="21"/>
                      <w:highlight w:val="none"/>
                      <w:lang w:val="en-US" w:eastAsia="zh-CN"/>
                    </w:rPr>
                    <w:t>污水净化</w:t>
                  </w:r>
                </w:p>
              </w:tc>
              <w:tc>
                <w:tcPr>
                  <w:tcW w:w="1148" w:type="dxa"/>
                  <w:noWrap w:val="0"/>
                  <w:vAlign w:val="center"/>
                </w:tcPr>
                <w:p>
                  <w:pPr>
                    <w:spacing w:line="240" w:lineRule="atLeast"/>
                    <w:ind w:firstLine="0" w:firstLineChars="0"/>
                    <w:jc w:val="center"/>
                    <w:rPr>
                      <w:rFonts w:ascii="Times New Roman" w:hAnsi="Times New Roman"/>
                      <w:color w:val="000000"/>
                      <w:szCs w:val="21"/>
                      <w:highlight w:val="none"/>
                      <w:lang w:eastAsia="en-US"/>
                    </w:rPr>
                  </w:pPr>
                  <w:r>
                    <w:rPr>
                      <w:rFonts w:hint="eastAsia" w:ascii="Times New Roman" w:hAnsi="Times New Roman"/>
                      <w:color w:val="000000"/>
                      <w:szCs w:val="21"/>
                      <w:highlight w:val="none"/>
                      <w:lang w:val="en-US" w:eastAsia="zh-CN"/>
                    </w:rPr>
                    <w:t>S</w:t>
                  </w:r>
                </w:p>
              </w:tc>
              <w:tc>
                <w:tcPr>
                  <w:tcW w:w="1293"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活性炭</w:t>
                  </w:r>
                </w:p>
              </w:tc>
              <w:tc>
                <w:tcPr>
                  <w:tcW w:w="1425"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是</w:t>
                  </w:r>
                </w:p>
              </w:tc>
              <w:tc>
                <w:tcPr>
                  <w:tcW w:w="1636"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4.3n</w:t>
                  </w:r>
                </w:p>
              </w:tc>
            </w:tr>
          </w:tbl>
          <w:p>
            <w:pPr>
              <w:pStyle w:val="13"/>
              <w:spacing w:line="360" w:lineRule="auto"/>
              <w:ind w:firstLine="482" w:firstLineChars="200"/>
              <w:jc w:val="left"/>
              <w:rPr>
                <w:rFonts w:ascii="Times New Roman" w:hAnsi="Times New Roman"/>
                <w:b/>
                <w:bCs/>
                <w:color w:val="FF0000"/>
                <w:sz w:val="24"/>
                <w:highlight w:val="none"/>
              </w:rPr>
            </w:pPr>
            <w:r>
              <w:rPr>
                <w:rFonts w:hint="eastAsia" w:ascii="Times New Roman" w:hAnsi="Times New Roman"/>
                <w:b/>
                <w:bCs/>
                <w:color w:val="auto"/>
                <w:sz w:val="24"/>
                <w:highlight w:val="none"/>
              </w:rPr>
              <w:t>注：6.1c--修复后作为土壤用途使用的污染土壤。</w:t>
            </w:r>
          </w:p>
          <w:p>
            <w:pPr>
              <w:pStyle w:val="26"/>
              <w:spacing w:after="0" w:line="360" w:lineRule="auto"/>
              <w:ind w:firstLine="0" w:firstLineChars="0"/>
              <w:jc w:val="center"/>
              <w:rPr>
                <w:rFonts w:ascii="Times New Roman" w:hAnsi="Times New Roman"/>
                <w:b/>
                <w:bCs/>
                <w:color w:val="000000"/>
                <w:sz w:val="24"/>
                <w:szCs w:val="24"/>
                <w:highlight w:val="none"/>
              </w:rPr>
            </w:pPr>
          </w:p>
          <w:p>
            <w:pPr>
              <w:pStyle w:val="26"/>
              <w:spacing w:after="0" w:line="360" w:lineRule="auto"/>
              <w:ind w:firstLine="0" w:firstLineChars="0"/>
              <w:jc w:val="center"/>
              <w:rPr>
                <w:rFonts w:ascii="Times New Roman" w:hAnsi="Times New Roman"/>
                <w:b/>
                <w:bCs/>
                <w:color w:val="000000"/>
                <w:sz w:val="24"/>
                <w:szCs w:val="24"/>
                <w:highlight w:val="none"/>
              </w:rPr>
            </w:pPr>
            <w:r>
              <w:rPr>
                <w:rFonts w:ascii="Times New Roman" w:hAnsi="Times New Roman"/>
                <w:b/>
                <w:bCs/>
                <w:color w:val="000000"/>
                <w:sz w:val="24"/>
                <w:szCs w:val="24"/>
                <w:highlight w:val="none"/>
              </w:rPr>
              <w:t>表5-</w:t>
            </w:r>
            <w:r>
              <w:rPr>
                <w:rFonts w:hint="eastAsia" w:ascii="Times New Roman" w:hAnsi="Times New Roman"/>
                <w:b/>
                <w:bCs/>
                <w:color w:val="000000"/>
                <w:sz w:val="24"/>
                <w:szCs w:val="24"/>
                <w:highlight w:val="none"/>
                <w:lang w:val="en-US" w:eastAsia="zh-CN"/>
              </w:rPr>
              <w:t>4</w:t>
            </w:r>
            <w:r>
              <w:rPr>
                <w:rFonts w:ascii="Times New Roman" w:hAnsi="Times New Roman"/>
                <w:b/>
                <w:bCs/>
                <w:color w:val="000000"/>
                <w:sz w:val="24"/>
                <w:szCs w:val="24"/>
                <w:highlight w:val="none"/>
              </w:rPr>
              <w:t xml:space="preserve">  </w:t>
            </w:r>
            <w:r>
              <w:rPr>
                <w:rFonts w:hint="eastAsia" w:ascii="Times New Roman" w:hAnsi="Times New Roman"/>
                <w:b/>
                <w:bCs/>
                <w:color w:val="000000"/>
                <w:sz w:val="24"/>
                <w:szCs w:val="24"/>
                <w:highlight w:val="none"/>
              </w:rPr>
              <w:t>危险废物属性判定表</w:t>
            </w:r>
          </w:p>
          <w:tbl>
            <w:tblPr>
              <w:tblStyle w:val="27"/>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703"/>
              <w:gridCol w:w="1980"/>
              <w:gridCol w:w="2030"/>
              <w:gridCol w:w="2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0"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序号</w:t>
                  </w:r>
                </w:p>
              </w:tc>
              <w:tc>
                <w:tcPr>
                  <w:tcW w:w="1703"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hint="eastAsia" w:ascii="Times New Roman" w:hAnsi="Times New Roman"/>
                      <w:color w:val="000000"/>
                      <w:szCs w:val="21"/>
                      <w:highlight w:val="none"/>
                      <w:lang w:val="en-US" w:eastAsia="zh-CN"/>
                    </w:rPr>
                    <w:t>固废</w:t>
                  </w:r>
                  <w:r>
                    <w:rPr>
                      <w:rFonts w:ascii="Times New Roman" w:hAnsi="Times New Roman"/>
                      <w:color w:val="000000"/>
                      <w:szCs w:val="21"/>
                      <w:highlight w:val="none"/>
                      <w:lang w:eastAsia="en-US"/>
                    </w:rPr>
                    <w:t>名称</w:t>
                  </w:r>
                </w:p>
              </w:tc>
              <w:tc>
                <w:tcPr>
                  <w:tcW w:w="1980"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产生工序</w:t>
                  </w:r>
                </w:p>
              </w:tc>
              <w:tc>
                <w:tcPr>
                  <w:tcW w:w="2030"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是否属于危险废物</w:t>
                  </w:r>
                </w:p>
              </w:tc>
              <w:tc>
                <w:tcPr>
                  <w:tcW w:w="2081" w:type="dxa"/>
                  <w:noWrap w:val="0"/>
                  <w:vAlign w:val="center"/>
                </w:tcPr>
                <w:p>
                  <w:pPr>
                    <w:pStyle w:val="99"/>
                    <w:spacing w:line="240" w:lineRule="atLeast"/>
                    <w:ind w:firstLine="0" w:firstLineChars="0"/>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废物代码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0"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rPr>
                    <w:t>1</w:t>
                  </w:r>
                </w:p>
              </w:tc>
              <w:tc>
                <w:tcPr>
                  <w:tcW w:w="1703" w:type="dxa"/>
                  <w:noWrap w:val="0"/>
                  <w:vAlign w:val="center"/>
                </w:tcPr>
                <w:p>
                  <w:pPr>
                    <w:pStyle w:val="99"/>
                    <w:spacing w:line="240" w:lineRule="atLeast"/>
                    <w:ind w:firstLine="0" w:firstLineChars="0"/>
                    <w:jc w:val="center"/>
                    <w:rPr>
                      <w:rFonts w:hint="eastAsia" w:ascii="Times New Roman" w:hAnsi="Times New Roman" w:eastAsia="宋体"/>
                      <w:color w:val="000000"/>
                      <w:highlight w:val="none"/>
                      <w:lang w:val="en-US" w:eastAsia="zh-CN"/>
                    </w:rPr>
                  </w:pPr>
                  <w:r>
                    <w:rPr>
                      <w:rFonts w:hint="eastAsia" w:ascii="Times New Roman" w:hAnsi="Times New Roman"/>
                      <w:color w:val="000000"/>
                      <w:highlight w:val="none"/>
                      <w:lang w:val="en-US" w:eastAsia="zh-CN"/>
                    </w:rPr>
                    <w:t>生活垃圾</w:t>
                  </w:r>
                </w:p>
              </w:tc>
              <w:tc>
                <w:tcPr>
                  <w:tcW w:w="1980"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施工人员</w:t>
                  </w:r>
                </w:p>
              </w:tc>
              <w:tc>
                <w:tcPr>
                  <w:tcW w:w="2030"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否</w:t>
                  </w:r>
                </w:p>
              </w:tc>
              <w:tc>
                <w:tcPr>
                  <w:tcW w:w="2081" w:type="dxa"/>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0"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2</w:t>
                  </w:r>
                </w:p>
              </w:tc>
              <w:tc>
                <w:tcPr>
                  <w:tcW w:w="1703"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污染建筑垃圾</w:t>
                  </w:r>
                </w:p>
              </w:tc>
              <w:tc>
                <w:tcPr>
                  <w:tcW w:w="1980"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修复</w:t>
                  </w:r>
                </w:p>
              </w:tc>
              <w:tc>
                <w:tcPr>
                  <w:tcW w:w="2030"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是</w:t>
                  </w:r>
                </w:p>
              </w:tc>
              <w:tc>
                <w:tcPr>
                  <w:tcW w:w="2081"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900-041-49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0"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3</w:t>
                  </w:r>
                </w:p>
              </w:tc>
              <w:tc>
                <w:tcPr>
                  <w:tcW w:w="1703"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非污染建筑垃圾</w:t>
                  </w:r>
                </w:p>
              </w:tc>
              <w:tc>
                <w:tcPr>
                  <w:tcW w:w="1980"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修复</w:t>
                  </w:r>
                </w:p>
              </w:tc>
              <w:tc>
                <w:tcPr>
                  <w:tcW w:w="2030" w:type="dxa"/>
                  <w:noWrap w:val="0"/>
                  <w:vAlign w:val="center"/>
                </w:tcPr>
                <w:p>
                  <w:pPr>
                    <w:spacing w:line="240" w:lineRule="atLeast"/>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否</w:t>
                  </w:r>
                </w:p>
              </w:tc>
              <w:tc>
                <w:tcPr>
                  <w:tcW w:w="2081" w:type="dxa"/>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0"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4</w:t>
                  </w:r>
                </w:p>
              </w:tc>
              <w:tc>
                <w:tcPr>
                  <w:tcW w:w="1703"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污泥</w:t>
                  </w:r>
                </w:p>
              </w:tc>
              <w:tc>
                <w:tcPr>
                  <w:tcW w:w="1980"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污水净化</w:t>
                  </w:r>
                </w:p>
              </w:tc>
              <w:tc>
                <w:tcPr>
                  <w:tcW w:w="2030"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是</w:t>
                  </w:r>
                </w:p>
              </w:tc>
              <w:tc>
                <w:tcPr>
                  <w:tcW w:w="2081" w:type="dxa"/>
                  <w:noWrap w:val="0"/>
                  <w:vAlign w:val="center"/>
                </w:tcPr>
                <w:p>
                  <w:pPr>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900-041-49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0"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5</w:t>
                  </w:r>
                </w:p>
              </w:tc>
              <w:tc>
                <w:tcPr>
                  <w:tcW w:w="1703"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废活性炭</w:t>
                  </w:r>
                </w:p>
              </w:tc>
              <w:tc>
                <w:tcPr>
                  <w:tcW w:w="1980" w:type="dxa"/>
                  <w:noWrap w:val="0"/>
                  <w:vAlign w:val="center"/>
                </w:tcPr>
                <w:p>
                  <w:pPr>
                    <w:pStyle w:val="99"/>
                    <w:spacing w:line="240" w:lineRule="atLeast"/>
                    <w:ind w:firstLine="0" w:firstLineChars="0"/>
                    <w:jc w:val="center"/>
                    <w:rPr>
                      <w:rFonts w:hint="eastAsia" w:ascii="Times New Roman" w:hAnsi="Times New Roman"/>
                      <w:color w:val="000000"/>
                      <w:szCs w:val="21"/>
                      <w:highlight w:val="none"/>
                    </w:rPr>
                  </w:pPr>
                  <w:r>
                    <w:rPr>
                      <w:rFonts w:hint="eastAsia" w:ascii="Times New Roman" w:hAnsi="Times New Roman"/>
                      <w:color w:val="000000"/>
                      <w:szCs w:val="21"/>
                      <w:highlight w:val="none"/>
                      <w:lang w:val="en-US" w:eastAsia="zh-CN"/>
                    </w:rPr>
                    <w:t>污水净化</w:t>
                  </w:r>
                </w:p>
              </w:tc>
              <w:tc>
                <w:tcPr>
                  <w:tcW w:w="2030"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是</w:t>
                  </w:r>
                </w:p>
              </w:tc>
              <w:tc>
                <w:tcPr>
                  <w:tcW w:w="2081" w:type="dxa"/>
                  <w:noWrap w:val="0"/>
                  <w:vAlign w:val="center"/>
                </w:tcPr>
                <w:p>
                  <w:pPr>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900-041-49</w:t>
                  </w:r>
                </w:p>
              </w:tc>
            </w:tr>
          </w:tbl>
          <w:p>
            <w:pPr>
              <w:pStyle w:val="26"/>
              <w:spacing w:after="0" w:line="360" w:lineRule="auto"/>
              <w:ind w:firstLine="0" w:firstLineChars="0"/>
              <w:jc w:val="center"/>
              <w:rPr>
                <w:rFonts w:ascii="Times New Roman" w:hAnsi="Times New Roman"/>
                <w:b/>
                <w:bCs/>
                <w:color w:val="000000"/>
                <w:sz w:val="24"/>
                <w:szCs w:val="24"/>
                <w:highlight w:val="none"/>
              </w:rPr>
            </w:pPr>
          </w:p>
          <w:p>
            <w:pPr>
              <w:pStyle w:val="26"/>
              <w:spacing w:after="0" w:line="360" w:lineRule="auto"/>
              <w:ind w:firstLine="0" w:firstLineChars="0"/>
              <w:jc w:val="center"/>
              <w:rPr>
                <w:rFonts w:ascii="Times New Roman" w:hAnsi="Times New Roman"/>
                <w:b/>
                <w:bCs/>
                <w:color w:val="000000"/>
                <w:sz w:val="24"/>
                <w:szCs w:val="24"/>
                <w:highlight w:val="none"/>
              </w:rPr>
            </w:pPr>
          </w:p>
          <w:p>
            <w:pPr>
              <w:pStyle w:val="26"/>
              <w:spacing w:after="0" w:line="360" w:lineRule="auto"/>
              <w:ind w:firstLine="0" w:firstLineChars="0"/>
              <w:jc w:val="center"/>
              <w:rPr>
                <w:rFonts w:ascii="Times New Roman" w:hAnsi="Times New Roman"/>
                <w:b/>
                <w:bCs/>
                <w:color w:val="000000"/>
                <w:sz w:val="24"/>
                <w:szCs w:val="24"/>
                <w:highlight w:val="none"/>
              </w:rPr>
            </w:pPr>
          </w:p>
          <w:p>
            <w:pPr>
              <w:pStyle w:val="26"/>
              <w:spacing w:after="0" w:line="360" w:lineRule="auto"/>
              <w:ind w:firstLine="0" w:firstLineChars="0"/>
              <w:jc w:val="center"/>
              <w:rPr>
                <w:rFonts w:ascii="Times New Roman" w:hAnsi="Times New Roman"/>
                <w:b/>
                <w:bCs/>
                <w:color w:val="000000"/>
                <w:sz w:val="24"/>
                <w:szCs w:val="24"/>
                <w:highlight w:val="none"/>
              </w:rPr>
            </w:pPr>
          </w:p>
          <w:p>
            <w:pPr>
              <w:pStyle w:val="26"/>
              <w:spacing w:after="0" w:line="360" w:lineRule="auto"/>
              <w:ind w:firstLine="0" w:firstLineChars="0"/>
              <w:jc w:val="center"/>
              <w:rPr>
                <w:rFonts w:ascii="Times New Roman" w:hAnsi="Times New Roman"/>
                <w:b/>
                <w:bCs/>
                <w:color w:val="000000"/>
                <w:sz w:val="24"/>
                <w:szCs w:val="24"/>
                <w:highlight w:val="none"/>
              </w:rPr>
            </w:pPr>
          </w:p>
          <w:p>
            <w:pPr>
              <w:pStyle w:val="26"/>
              <w:spacing w:after="0" w:line="360" w:lineRule="auto"/>
              <w:ind w:firstLine="0" w:firstLineChars="0"/>
              <w:jc w:val="center"/>
              <w:rPr>
                <w:rFonts w:ascii="Times New Roman" w:hAnsi="Times New Roman"/>
                <w:b/>
                <w:bCs/>
                <w:color w:val="000000"/>
                <w:sz w:val="24"/>
                <w:szCs w:val="24"/>
                <w:highlight w:val="none"/>
              </w:rPr>
            </w:pPr>
          </w:p>
          <w:p>
            <w:pPr>
              <w:pStyle w:val="26"/>
              <w:spacing w:after="0" w:line="360" w:lineRule="auto"/>
              <w:ind w:firstLine="0" w:firstLineChars="0"/>
              <w:jc w:val="center"/>
              <w:rPr>
                <w:rFonts w:ascii="Times New Roman" w:hAnsi="Times New Roman"/>
                <w:b/>
                <w:bCs/>
                <w:color w:val="000000"/>
                <w:sz w:val="24"/>
                <w:szCs w:val="24"/>
                <w:highlight w:val="none"/>
              </w:rPr>
            </w:pPr>
          </w:p>
          <w:p>
            <w:pPr>
              <w:pStyle w:val="26"/>
              <w:spacing w:after="0" w:line="360" w:lineRule="auto"/>
              <w:ind w:firstLine="0" w:firstLineChars="0"/>
              <w:jc w:val="center"/>
              <w:rPr>
                <w:rFonts w:ascii="Times New Roman" w:hAnsi="Times New Roman"/>
                <w:b/>
                <w:bCs/>
                <w:color w:val="000000"/>
                <w:sz w:val="24"/>
                <w:szCs w:val="24"/>
                <w:highlight w:val="none"/>
              </w:rPr>
            </w:pPr>
            <w:r>
              <w:rPr>
                <w:rFonts w:ascii="Times New Roman" w:hAnsi="Times New Roman"/>
                <w:b/>
                <w:bCs/>
                <w:color w:val="000000"/>
                <w:sz w:val="24"/>
                <w:szCs w:val="24"/>
                <w:highlight w:val="none"/>
              </w:rPr>
              <w:t>表5-</w:t>
            </w:r>
            <w:r>
              <w:rPr>
                <w:rFonts w:hint="eastAsia" w:ascii="Times New Roman" w:hAnsi="Times New Roman"/>
                <w:b/>
                <w:bCs/>
                <w:color w:val="000000"/>
                <w:sz w:val="24"/>
                <w:szCs w:val="24"/>
                <w:highlight w:val="none"/>
                <w:lang w:val="en-US" w:eastAsia="zh-CN"/>
              </w:rPr>
              <w:t>5</w:t>
            </w:r>
            <w:r>
              <w:rPr>
                <w:rFonts w:ascii="Times New Roman" w:hAnsi="Times New Roman"/>
                <w:b/>
                <w:bCs/>
                <w:color w:val="000000"/>
                <w:sz w:val="24"/>
                <w:szCs w:val="24"/>
                <w:highlight w:val="none"/>
              </w:rPr>
              <w:t xml:space="preserve">  </w:t>
            </w:r>
            <w:r>
              <w:rPr>
                <w:rFonts w:hint="eastAsia" w:ascii="Times New Roman" w:hAnsi="Times New Roman"/>
                <w:b/>
                <w:bCs/>
                <w:color w:val="000000"/>
                <w:sz w:val="24"/>
                <w:szCs w:val="24"/>
                <w:highlight w:val="none"/>
              </w:rPr>
              <w:t>固体废物分析结果汇总表</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125"/>
              <w:gridCol w:w="1276"/>
              <w:gridCol w:w="997"/>
              <w:gridCol w:w="651"/>
              <w:gridCol w:w="1584"/>
              <w:gridCol w:w="1133"/>
              <w:gridCol w:w="1200"/>
              <w:gridCol w:w="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6"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序号</w:t>
                  </w:r>
                </w:p>
              </w:tc>
              <w:tc>
                <w:tcPr>
                  <w:tcW w:w="1125"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固废名称</w:t>
                  </w:r>
                </w:p>
              </w:tc>
              <w:tc>
                <w:tcPr>
                  <w:tcW w:w="1276"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废物代码</w:t>
                  </w:r>
                </w:p>
              </w:tc>
              <w:tc>
                <w:tcPr>
                  <w:tcW w:w="997"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来源</w:t>
                  </w:r>
                </w:p>
              </w:tc>
              <w:tc>
                <w:tcPr>
                  <w:tcW w:w="651"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状态</w:t>
                  </w:r>
                </w:p>
              </w:tc>
              <w:tc>
                <w:tcPr>
                  <w:tcW w:w="1584"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存放地点</w:t>
                  </w:r>
                </w:p>
              </w:tc>
              <w:tc>
                <w:tcPr>
                  <w:tcW w:w="1133"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产生量</w:t>
                  </w:r>
                </w:p>
              </w:tc>
              <w:tc>
                <w:tcPr>
                  <w:tcW w:w="1200"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处置方式</w:t>
                  </w:r>
                </w:p>
              </w:tc>
              <w:tc>
                <w:tcPr>
                  <w:tcW w:w="549"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6"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rPr>
                    <w:t>1</w:t>
                  </w:r>
                </w:p>
              </w:tc>
              <w:tc>
                <w:tcPr>
                  <w:tcW w:w="1125" w:type="dxa"/>
                  <w:noWrap w:val="0"/>
                  <w:vAlign w:val="center"/>
                </w:tcPr>
                <w:p>
                  <w:pPr>
                    <w:pStyle w:val="99"/>
                    <w:spacing w:line="240" w:lineRule="atLeast"/>
                    <w:ind w:firstLine="0" w:firstLineChars="0"/>
                    <w:jc w:val="center"/>
                    <w:rPr>
                      <w:rFonts w:ascii="Times New Roman" w:hAnsi="Times New Roman"/>
                      <w:color w:val="000000"/>
                      <w:highlight w:val="none"/>
                    </w:rPr>
                  </w:pPr>
                  <w:r>
                    <w:rPr>
                      <w:rFonts w:hint="eastAsia" w:ascii="Times New Roman" w:hAnsi="Times New Roman"/>
                      <w:color w:val="000000"/>
                      <w:highlight w:val="none"/>
                      <w:lang w:val="en-US" w:eastAsia="zh-CN"/>
                    </w:rPr>
                    <w:t>生活垃圾</w:t>
                  </w:r>
                </w:p>
              </w:tc>
              <w:tc>
                <w:tcPr>
                  <w:tcW w:w="1276"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w:t>
                  </w:r>
                </w:p>
              </w:tc>
              <w:tc>
                <w:tcPr>
                  <w:tcW w:w="997" w:type="dxa"/>
                  <w:noWrap w:val="0"/>
                  <w:vAlign w:val="center"/>
                </w:tcPr>
                <w:p>
                  <w:pPr>
                    <w:spacing w:line="240" w:lineRule="atLeast"/>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施工人员</w:t>
                  </w:r>
                </w:p>
              </w:tc>
              <w:tc>
                <w:tcPr>
                  <w:tcW w:w="651" w:type="dxa"/>
                  <w:noWrap w:val="0"/>
                  <w:vAlign w:val="center"/>
                </w:tcPr>
                <w:p>
                  <w:pPr>
                    <w:spacing w:line="240" w:lineRule="atLeast"/>
                    <w:jc w:val="center"/>
                    <w:rPr>
                      <w:rFonts w:ascii="Times New Roman" w:hAnsi="Times New Roman"/>
                      <w:color w:val="000000"/>
                      <w:szCs w:val="21"/>
                      <w:highlight w:val="none"/>
                      <w:lang w:eastAsia="en-US"/>
                    </w:rPr>
                  </w:pPr>
                  <w:r>
                    <w:rPr>
                      <w:rFonts w:hint="eastAsia" w:ascii="Times New Roman" w:hAnsi="Times New Roman"/>
                      <w:color w:val="000000"/>
                      <w:szCs w:val="21"/>
                      <w:highlight w:val="none"/>
                      <w:lang w:val="en-US" w:eastAsia="zh-CN"/>
                    </w:rPr>
                    <w:t>S</w:t>
                  </w:r>
                </w:p>
              </w:tc>
              <w:tc>
                <w:tcPr>
                  <w:tcW w:w="1584"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垃圾桶</w:t>
                  </w:r>
                </w:p>
              </w:tc>
              <w:tc>
                <w:tcPr>
                  <w:tcW w:w="1133"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11.75</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1200"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环卫部门布置</w:t>
                  </w:r>
                </w:p>
              </w:tc>
              <w:tc>
                <w:tcPr>
                  <w:tcW w:w="549"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ascii="Times New Roman" w:hAnsi="Times New Roman"/>
                      <w:color w:val="000000"/>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6"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2</w:t>
                  </w:r>
                </w:p>
              </w:tc>
              <w:tc>
                <w:tcPr>
                  <w:tcW w:w="1125"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污染建筑垃圾</w:t>
                  </w:r>
                </w:p>
              </w:tc>
              <w:tc>
                <w:tcPr>
                  <w:tcW w:w="1276" w:type="dxa"/>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危废</w:t>
                  </w:r>
                </w:p>
              </w:tc>
              <w:tc>
                <w:tcPr>
                  <w:tcW w:w="997"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修复</w:t>
                  </w:r>
                </w:p>
              </w:tc>
              <w:tc>
                <w:tcPr>
                  <w:tcW w:w="651" w:type="dxa"/>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S</w:t>
                  </w:r>
                </w:p>
              </w:tc>
              <w:tc>
                <w:tcPr>
                  <w:tcW w:w="1584" w:type="dxa"/>
                  <w:vMerge w:val="restart"/>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w:t>
                  </w:r>
                </w:p>
              </w:tc>
              <w:tc>
                <w:tcPr>
                  <w:tcW w:w="1133" w:type="dxa"/>
                  <w:noWrap w:val="0"/>
                  <w:vAlign w:val="center"/>
                </w:tcPr>
                <w:p>
                  <w:pPr>
                    <w:pStyle w:val="99"/>
                    <w:spacing w:line="240" w:lineRule="atLeast"/>
                    <w:ind w:firstLine="0" w:firstLineChars="0"/>
                    <w:jc w:val="center"/>
                    <w:rPr>
                      <w:rFonts w:hint="eastAsia" w:ascii="Times New Roman" w:hAnsi="Times New Roman"/>
                      <w:color w:val="000000"/>
                      <w:szCs w:val="21"/>
                      <w:highlight w:val="none"/>
                    </w:rPr>
                  </w:pPr>
                  <w:r>
                    <w:rPr>
                      <w:rFonts w:hint="eastAsia" w:ascii="Times New Roman" w:hAnsi="Times New Roman"/>
                      <w:color w:val="000000"/>
                      <w:szCs w:val="21"/>
                      <w:highlight w:val="none"/>
                      <w:lang w:val="en-US" w:eastAsia="zh-CN"/>
                    </w:rPr>
                    <w:t>2290</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1200"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异地水泥窑处置</w:t>
                  </w:r>
                </w:p>
              </w:tc>
              <w:tc>
                <w:tcPr>
                  <w:tcW w:w="549"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6"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3</w:t>
                  </w:r>
                </w:p>
              </w:tc>
              <w:tc>
                <w:tcPr>
                  <w:tcW w:w="1125"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非污染建筑垃圾</w:t>
                  </w:r>
                </w:p>
              </w:tc>
              <w:tc>
                <w:tcPr>
                  <w:tcW w:w="1276"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一般</w:t>
                  </w:r>
                </w:p>
              </w:tc>
              <w:tc>
                <w:tcPr>
                  <w:tcW w:w="997"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修复</w:t>
                  </w:r>
                </w:p>
              </w:tc>
              <w:tc>
                <w:tcPr>
                  <w:tcW w:w="651" w:type="dxa"/>
                  <w:noWrap w:val="0"/>
                  <w:vAlign w:val="center"/>
                </w:tcPr>
                <w:p>
                  <w:pPr>
                    <w:spacing w:line="240" w:lineRule="atLeast"/>
                    <w:ind w:firstLine="0" w:firstLineChars="0"/>
                    <w:jc w:val="center"/>
                    <w:rPr>
                      <w:rFonts w:ascii="Times New Roman" w:hAnsi="Times New Roman"/>
                      <w:color w:val="000000"/>
                      <w:szCs w:val="21"/>
                      <w:highlight w:val="none"/>
                      <w:lang w:eastAsia="en-US"/>
                    </w:rPr>
                  </w:pPr>
                  <w:r>
                    <w:rPr>
                      <w:rFonts w:hint="eastAsia" w:ascii="Times New Roman" w:hAnsi="Times New Roman"/>
                      <w:color w:val="000000"/>
                      <w:szCs w:val="21"/>
                      <w:highlight w:val="none"/>
                      <w:lang w:val="en-US" w:eastAsia="zh-CN"/>
                    </w:rPr>
                    <w:t>S</w:t>
                  </w:r>
                </w:p>
              </w:tc>
              <w:tc>
                <w:tcPr>
                  <w:tcW w:w="1584" w:type="dxa"/>
                  <w:vMerge w:val="continue"/>
                  <w:noWrap w:val="0"/>
                  <w:vAlign w:val="center"/>
                </w:tcPr>
                <w:p>
                  <w:pPr>
                    <w:pStyle w:val="99"/>
                    <w:spacing w:line="240" w:lineRule="atLeast"/>
                    <w:ind w:firstLine="0" w:firstLineChars="0"/>
                    <w:jc w:val="center"/>
                    <w:rPr>
                      <w:rFonts w:ascii="Times New Roman" w:hAnsi="Times New Roman"/>
                      <w:color w:val="000000"/>
                      <w:szCs w:val="21"/>
                      <w:highlight w:val="none"/>
                    </w:rPr>
                  </w:pPr>
                </w:p>
              </w:tc>
              <w:tc>
                <w:tcPr>
                  <w:tcW w:w="1133"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3950</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1200"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外售综合处置利用</w:t>
                  </w:r>
                </w:p>
              </w:tc>
              <w:tc>
                <w:tcPr>
                  <w:tcW w:w="549"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496"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4</w:t>
                  </w:r>
                </w:p>
              </w:tc>
              <w:tc>
                <w:tcPr>
                  <w:tcW w:w="1125"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污泥</w:t>
                  </w:r>
                </w:p>
              </w:tc>
              <w:tc>
                <w:tcPr>
                  <w:tcW w:w="1276" w:type="dxa"/>
                  <w:noWrap w:val="0"/>
                  <w:vAlign w:val="center"/>
                </w:tcPr>
                <w:p>
                  <w:pPr>
                    <w:spacing w:line="240" w:lineRule="atLeast"/>
                    <w:ind w:firstLine="0" w:firstLineChars="0"/>
                    <w:jc w:val="center"/>
                    <w:rPr>
                      <w:rFonts w:hint="eastAsia" w:ascii="Times New Roman" w:hAnsi="Times New Roman"/>
                      <w:color w:val="000000"/>
                      <w:szCs w:val="21"/>
                      <w:highlight w:val="none"/>
                    </w:rPr>
                  </w:pPr>
                  <w:r>
                    <w:rPr>
                      <w:rFonts w:hint="eastAsia" w:ascii="Times New Roman" w:hAnsi="Times New Roman"/>
                      <w:color w:val="000000"/>
                      <w:szCs w:val="21"/>
                      <w:highlight w:val="none"/>
                      <w:lang w:val="en-US" w:eastAsia="zh-CN"/>
                    </w:rPr>
                    <w:t>危废</w:t>
                  </w:r>
                </w:p>
              </w:tc>
              <w:tc>
                <w:tcPr>
                  <w:tcW w:w="997"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hint="eastAsia" w:ascii="Times New Roman" w:hAnsi="Times New Roman"/>
                      <w:color w:val="000000"/>
                      <w:szCs w:val="21"/>
                      <w:highlight w:val="none"/>
                      <w:lang w:val="en-US" w:eastAsia="zh-CN"/>
                    </w:rPr>
                    <w:t>污水净化</w:t>
                  </w:r>
                </w:p>
              </w:tc>
              <w:tc>
                <w:tcPr>
                  <w:tcW w:w="651" w:type="dxa"/>
                  <w:noWrap w:val="0"/>
                  <w:vAlign w:val="center"/>
                </w:tcPr>
                <w:p>
                  <w:pPr>
                    <w:spacing w:line="240" w:lineRule="atLeast"/>
                    <w:ind w:firstLine="0" w:firstLineChars="0"/>
                    <w:jc w:val="center"/>
                    <w:rPr>
                      <w:rFonts w:ascii="Times New Roman" w:hAnsi="Times New Roman"/>
                      <w:color w:val="000000"/>
                      <w:szCs w:val="21"/>
                      <w:highlight w:val="none"/>
                      <w:lang w:eastAsia="en-US"/>
                    </w:rPr>
                  </w:pPr>
                  <w:r>
                    <w:rPr>
                      <w:rFonts w:hint="eastAsia" w:ascii="Times New Roman" w:hAnsi="Times New Roman"/>
                      <w:color w:val="000000"/>
                      <w:szCs w:val="21"/>
                      <w:highlight w:val="none"/>
                      <w:lang w:val="en-US" w:eastAsia="zh-CN"/>
                    </w:rPr>
                    <w:t>S</w:t>
                  </w:r>
                </w:p>
              </w:tc>
              <w:tc>
                <w:tcPr>
                  <w:tcW w:w="1584"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ascii="Times New Roman" w:hAnsi="Times New Roman"/>
                      <w:color w:val="000000"/>
                      <w:szCs w:val="21"/>
                      <w:highlight w:val="none"/>
                    </w:rPr>
                    <w:t>危险固废暂存场所</w:t>
                  </w:r>
                </w:p>
              </w:tc>
              <w:tc>
                <w:tcPr>
                  <w:tcW w:w="1133" w:type="dxa"/>
                  <w:noWrap w:val="0"/>
                  <w:vAlign w:val="center"/>
                </w:tcPr>
                <w:p>
                  <w:pPr>
                    <w:pStyle w:val="99"/>
                    <w:spacing w:line="240" w:lineRule="atLeast"/>
                    <w:ind w:firstLine="0" w:firstLineChars="0"/>
                    <w:jc w:val="center"/>
                    <w:rPr>
                      <w:rFonts w:hint="eastAsia" w:ascii="Times New Roman" w:hAnsi="Times New Roman"/>
                      <w:color w:val="000000"/>
                      <w:szCs w:val="21"/>
                      <w:highlight w:val="none"/>
                    </w:rPr>
                  </w:pPr>
                  <w:r>
                    <w:rPr>
                      <w:rFonts w:hint="eastAsia" w:ascii="Times New Roman" w:hAnsi="Times New Roman"/>
                      <w:color w:val="000000"/>
                      <w:szCs w:val="21"/>
                      <w:highlight w:val="none"/>
                      <w:lang w:val="en-US" w:eastAsia="zh-CN"/>
                    </w:rPr>
                    <w:t>15.22</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1200" w:type="dxa"/>
                  <w:noWrap w:val="0"/>
                  <w:vAlign w:val="center"/>
                </w:tcPr>
                <w:p>
                  <w:pPr>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异地水泥窑处置</w:t>
                  </w:r>
                </w:p>
              </w:tc>
              <w:tc>
                <w:tcPr>
                  <w:tcW w:w="549" w:type="dxa"/>
                  <w:noWrap w:val="0"/>
                  <w:vAlign w:val="center"/>
                </w:tcPr>
                <w:p>
                  <w:pPr>
                    <w:pStyle w:val="99"/>
                    <w:spacing w:line="240" w:lineRule="atLeast"/>
                    <w:ind w:firstLine="0" w:firstLineChars="0"/>
                    <w:jc w:val="center"/>
                    <w:rPr>
                      <w:rFonts w:hint="eastAsia" w:ascii="Times New Roman" w:hAnsi="Times New Roman"/>
                      <w:color w:val="000000"/>
                      <w:szCs w:val="21"/>
                      <w:highlight w:val="none"/>
                    </w:rPr>
                  </w:pPr>
                  <w:r>
                    <w:rPr>
                      <w:rFonts w:hint="eastAsia" w:ascii="Times New Roman" w:hAnsi="Times New Roman"/>
                      <w:color w:val="000000"/>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496"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5</w:t>
                  </w:r>
                </w:p>
              </w:tc>
              <w:tc>
                <w:tcPr>
                  <w:tcW w:w="1125"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废活性炭</w:t>
                  </w:r>
                </w:p>
              </w:tc>
              <w:tc>
                <w:tcPr>
                  <w:tcW w:w="1276" w:type="dxa"/>
                  <w:noWrap w:val="0"/>
                  <w:vAlign w:val="center"/>
                </w:tcPr>
                <w:p>
                  <w:pPr>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危废</w:t>
                  </w:r>
                </w:p>
              </w:tc>
              <w:tc>
                <w:tcPr>
                  <w:tcW w:w="997"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污水净化</w:t>
                  </w:r>
                </w:p>
              </w:tc>
              <w:tc>
                <w:tcPr>
                  <w:tcW w:w="651" w:type="dxa"/>
                  <w:noWrap w:val="0"/>
                  <w:vAlign w:val="center"/>
                </w:tcPr>
                <w:p>
                  <w:pPr>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S</w:t>
                  </w:r>
                </w:p>
              </w:tc>
              <w:tc>
                <w:tcPr>
                  <w:tcW w:w="1584"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ascii="Times New Roman" w:hAnsi="Times New Roman"/>
                      <w:color w:val="000000"/>
                      <w:szCs w:val="21"/>
                      <w:highlight w:val="none"/>
                    </w:rPr>
                    <w:t>危险固废暂存场所</w:t>
                  </w:r>
                </w:p>
              </w:tc>
              <w:tc>
                <w:tcPr>
                  <w:tcW w:w="1133"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3.5</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1200" w:type="dxa"/>
                  <w:noWrap w:val="0"/>
                  <w:vAlign w:val="center"/>
                </w:tcPr>
                <w:p>
                  <w:pPr>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异地水泥窑处置</w:t>
                  </w:r>
                </w:p>
              </w:tc>
              <w:tc>
                <w:tcPr>
                  <w:tcW w:w="549" w:type="dxa"/>
                  <w:noWrap w:val="0"/>
                  <w:vAlign w:val="center"/>
                </w:tcPr>
                <w:p>
                  <w:pPr>
                    <w:spacing w:line="240" w:lineRule="atLeast"/>
                    <w:jc w:val="center"/>
                    <w:rPr>
                      <w:rFonts w:ascii="Times New Roman" w:hAnsi="Times New Roman"/>
                      <w:color w:val="000000"/>
                      <w:szCs w:val="21"/>
                      <w:highlight w:val="none"/>
                    </w:rPr>
                  </w:pPr>
                  <w:r>
                    <w:rPr>
                      <w:rFonts w:ascii="Times New Roman" w:hAnsi="Times New Roman"/>
                      <w:color w:val="000000"/>
                      <w:szCs w:val="21"/>
                      <w:highlight w:val="none"/>
                    </w:rPr>
                    <w:t>0</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color w:val="auto"/>
                <w:kern w:val="2"/>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sz w:val="24"/>
                <w:u w:val="none"/>
                <w:lang w:val="en-US" w:eastAsia="zh-CN"/>
              </w:rPr>
            </w:pPr>
            <w:r>
              <w:rPr>
                <w:rFonts w:hint="default" w:ascii="Times New Roman" w:hAnsi="Times New Roman" w:cs="Times New Roman"/>
                <w:b/>
                <w:bCs/>
                <w:color w:val="auto"/>
                <w:kern w:val="2"/>
                <w:sz w:val="24"/>
                <w:szCs w:val="24"/>
                <w:u w:val="none"/>
                <w:lang w:val="en-US" w:eastAsia="zh-CN" w:bidi="ar-SA"/>
              </w:rPr>
              <w:t>表5-</w:t>
            </w:r>
            <w:r>
              <w:rPr>
                <w:rFonts w:hint="eastAsia" w:ascii="Times New Roman" w:hAnsi="Times New Roman" w:cs="Times New Roman"/>
                <w:b/>
                <w:bCs/>
                <w:color w:val="auto"/>
                <w:kern w:val="2"/>
                <w:sz w:val="24"/>
                <w:szCs w:val="24"/>
                <w:u w:val="none"/>
                <w:lang w:val="en-US" w:eastAsia="zh-CN" w:bidi="ar-SA"/>
              </w:rPr>
              <w:t>6</w:t>
            </w:r>
            <w:r>
              <w:rPr>
                <w:rFonts w:hint="default" w:ascii="Times New Roman" w:hAnsi="Times New Roman" w:cs="Times New Roman"/>
                <w:b/>
                <w:bCs/>
                <w:color w:val="auto"/>
                <w:kern w:val="2"/>
                <w:sz w:val="24"/>
                <w:szCs w:val="24"/>
                <w:u w:val="none"/>
                <w:lang w:val="en-US" w:eastAsia="zh-CN" w:bidi="ar-SA"/>
              </w:rPr>
              <w:t xml:space="preserve">  项目危险废物汇总表</w:t>
            </w:r>
            <w:r>
              <w:rPr>
                <w:rFonts w:hint="default" w:ascii="Times New Roman" w:hAnsi="Times New Roman" w:cs="Times New Roman"/>
                <w:b/>
                <w:bCs/>
                <w:color w:val="auto"/>
                <w:sz w:val="24"/>
                <w:u w:val="none"/>
              </w:rPr>
              <w:t xml:space="preserve"> </w:t>
            </w:r>
            <w:r>
              <w:rPr>
                <w:rFonts w:hint="default" w:ascii="Times New Roman" w:hAnsi="Times New Roman" w:cs="Times New Roman"/>
                <w:b/>
                <w:bCs/>
                <w:color w:val="auto"/>
                <w:sz w:val="24"/>
                <w:u w:val="none"/>
                <w:lang w:val="en-US" w:eastAsia="zh-CN"/>
              </w:rPr>
              <w:t xml:space="preserve"> </w:t>
            </w:r>
          </w:p>
          <w:tbl>
            <w:tblPr>
              <w:tblStyle w:val="2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74"/>
              <w:gridCol w:w="935"/>
              <w:gridCol w:w="800"/>
              <w:gridCol w:w="927"/>
              <w:gridCol w:w="740"/>
              <w:gridCol w:w="940"/>
              <w:gridCol w:w="564"/>
              <w:gridCol w:w="786"/>
              <w:gridCol w:w="803"/>
              <w:gridCol w:w="565"/>
              <w:gridCol w:w="581"/>
              <w:gridCol w:w="95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474"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935"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危险废物名称</w:t>
                  </w:r>
                </w:p>
              </w:tc>
              <w:tc>
                <w:tcPr>
                  <w:tcW w:w="800"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危险废物类别</w:t>
                  </w:r>
                </w:p>
              </w:tc>
              <w:tc>
                <w:tcPr>
                  <w:tcW w:w="927"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危险废物代码</w:t>
                  </w:r>
                </w:p>
              </w:tc>
              <w:tc>
                <w:tcPr>
                  <w:tcW w:w="740"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产生量(t/a)</w:t>
                  </w:r>
                </w:p>
              </w:tc>
              <w:tc>
                <w:tcPr>
                  <w:tcW w:w="940"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产生工序及装置</w:t>
                  </w:r>
                </w:p>
              </w:tc>
              <w:tc>
                <w:tcPr>
                  <w:tcW w:w="564"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形态</w:t>
                  </w:r>
                </w:p>
              </w:tc>
              <w:tc>
                <w:tcPr>
                  <w:tcW w:w="786"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主要</w:t>
                  </w:r>
                </w:p>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成分</w:t>
                  </w:r>
                </w:p>
              </w:tc>
              <w:tc>
                <w:tcPr>
                  <w:tcW w:w="803"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有害</w:t>
                  </w:r>
                </w:p>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成分</w:t>
                  </w:r>
                </w:p>
              </w:tc>
              <w:tc>
                <w:tcPr>
                  <w:tcW w:w="565"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产废</w:t>
                  </w:r>
                </w:p>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周期</w:t>
                  </w:r>
                </w:p>
              </w:tc>
              <w:tc>
                <w:tcPr>
                  <w:tcW w:w="581"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w:t>
                  </w:r>
                </w:p>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特性</w:t>
                  </w:r>
                </w:p>
              </w:tc>
              <w:tc>
                <w:tcPr>
                  <w:tcW w:w="956"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污染防治措施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 w:hRule="atLeast"/>
                <w:jc w:val="center"/>
              </w:trPr>
              <w:tc>
                <w:tcPr>
                  <w:tcW w:w="474" w:type="dxa"/>
                  <w:noWrap w:val="0"/>
                  <w:vAlign w:val="center"/>
                </w:tcPr>
                <w:p>
                  <w:pPr>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Cs w:val="21"/>
                    </w:rPr>
                    <w:t>1</w:t>
                  </w:r>
                </w:p>
              </w:tc>
              <w:tc>
                <w:tcPr>
                  <w:tcW w:w="935" w:type="dxa"/>
                  <w:noWrap w:val="0"/>
                  <w:vAlign w:val="center"/>
                </w:tcPr>
                <w:p>
                  <w:pPr>
                    <w:pStyle w:val="99"/>
                    <w:spacing w:line="240" w:lineRule="atLeast"/>
                    <w:ind w:firstLine="0" w:firstLineChars="0"/>
                    <w:jc w:val="center"/>
                    <w:rPr>
                      <w:rFonts w:hint="default" w:ascii="Times New Roman" w:hAnsi="Times New Roman" w:cs="Times New Roman"/>
                      <w:color w:val="auto"/>
                      <w:sz w:val="21"/>
                      <w:szCs w:val="21"/>
                    </w:rPr>
                  </w:pPr>
                  <w:r>
                    <w:rPr>
                      <w:rFonts w:hint="eastAsia" w:ascii="Times New Roman" w:hAnsi="Times New Roman"/>
                      <w:color w:val="000000"/>
                      <w:szCs w:val="21"/>
                      <w:highlight w:val="none"/>
                      <w:lang w:val="en-US" w:eastAsia="zh-CN"/>
                    </w:rPr>
                    <w:t>污染建筑垃圾</w:t>
                  </w:r>
                </w:p>
              </w:tc>
              <w:tc>
                <w:tcPr>
                  <w:tcW w:w="800" w:type="dxa"/>
                  <w:noWrap w:val="0"/>
                  <w:vAlign w:val="center"/>
                </w:tcPr>
                <w:p>
                  <w:pPr>
                    <w:pStyle w:val="99"/>
                    <w:spacing w:line="240" w:lineRule="atLeas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Cs w:val="21"/>
                      <w:lang w:val="en-US" w:eastAsia="zh-CN"/>
                    </w:rPr>
                    <w:t>HW49</w:t>
                  </w:r>
                </w:p>
              </w:tc>
              <w:tc>
                <w:tcPr>
                  <w:tcW w:w="927" w:type="dxa"/>
                  <w:noWrap w:val="0"/>
                  <w:vAlign w:val="center"/>
                </w:tcPr>
                <w:p>
                  <w:pPr>
                    <w:pStyle w:val="99"/>
                    <w:spacing w:line="24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Cs w:val="21"/>
                    </w:rPr>
                    <w:t>900-041-49</w:t>
                  </w:r>
                </w:p>
              </w:tc>
              <w:tc>
                <w:tcPr>
                  <w:tcW w:w="740" w:type="dxa"/>
                  <w:noWrap w:val="0"/>
                  <w:vAlign w:val="center"/>
                </w:tcPr>
                <w:p>
                  <w:pPr>
                    <w:spacing w:line="240" w:lineRule="atLeast"/>
                    <w:ind w:firstLine="0" w:firstLineChars="0"/>
                    <w:jc w:val="center"/>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2290</w:t>
                  </w:r>
                </w:p>
              </w:tc>
              <w:tc>
                <w:tcPr>
                  <w:tcW w:w="940" w:type="dxa"/>
                  <w:noWrap w:val="0"/>
                  <w:vAlign w:val="center"/>
                </w:tcPr>
                <w:p>
                  <w:pPr>
                    <w:pStyle w:val="99"/>
                    <w:spacing w:line="240" w:lineRule="atLeast"/>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olor w:val="000000"/>
                      <w:szCs w:val="21"/>
                      <w:highlight w:val="none"/>
                      <w:lang w:val="en-US" w:eastAsia="zh-CN"/>
                    </w:rPr>
                    <w:t>修复</w:t>
                  </w:r>
                </w:p>
              </w:tc>
              <w:tc>
                <w:tcPr>
                  <w:tcW w:w="564"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eastAsia="宋体" w:cs="Times New Roman"/>
                      <w:color w:val="auto"/>
                      <w:sz w:val="21"/>
                      <w:szCs w:val="21"/>
                      <w:lang w:eastAsia="zh-CN"/>
                    </w:rPr>
                  </w:pPr>
                  <w:r>
                    <w:rPr>
                      <w:rFonts w:hint="eastAsia" w:ascii="Times New Roman" w:hAnsi="Times New Roman"/>
                      <w:color w:val="000000"/>
                      <w:szCs w:val="21"/>
                      <w:highlight w:val="none"/>
                      <w:lang w:val="en-US" w:eastAsia="zh-CN"/>
                    </w:rPr>
                    <w:t>S</w:t>
                  </w:r>
                </w:p>
              </w:tc>
              <w:tc>
                <w:tcPr>
                  <w:tcW w:w="786" w:type="dxa"/>
                  <w:noWrap w:val="0"/>
                  <w:vAlign w:val="center"/>
                </w:tcPr>
                <w:p>
                  <w:pPr>
                    <w:spacing w:line="240" w:lineRule="atLeast"/>
                    <w:jc w:val="center"/>
                    <w:rPr>
                      <w:rFonts w:hint="eastAsia" w:ascii="Times New Roman" w:hAnsi="Times New Roman" w:eastAsia="宋体" w:cs="Times New Roman"/>
                      <w:bCs/>
                      <w:color w:val="auto"/>
                      <w:sz w:val="21"/>
                      <w:szCs w:val="21"/>
                      <w:lang w:eastAsia="zh-CN"/>
                    </w:rPr>
                  </w:pPr>
                  <w:r>
                    <w:rPr>
                      <w:rFonts w:hint="eastAsia" w:ascii="Times New Roman" w:hAnsi="Times New Roman"/>
                      <w:color w:val="000000"/>
                      <w:szCs w:val="21"/>
                      <w:highlight w:val="none"/>
                      <w:lang w:val="en-US" w:eastAsia="zh-CN"/>
                    </w:rPr>
                    <w:t>金属、塑料</w:t>
                  </w:r>
                </w:p>
              </w:tc>
              <w:tc>
                <w:tcPr>
                  <w:tcW w:w="803"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Cs/>
                      <w:color w:val="auto"/>
                      <w:sz w:val="21"/>
                      <w:szCs w:val="21"/>
                    </w:rPr>
                  </w:pPr>
                  <w:r>
                    <w:rPr>
                      <w:rFonts w:hint="eastAsia" w:ascii="Times New Roman" w:hAnsi="Times New Roman" w:cs="Times New Roman"/>
                      <w:bCs/>
                      <w:color w:val="auto"/>
                      <w:sz w:val="21"/>
                      <w:szCs w:val="21"/>
                      <w:lang w:val="en-US" w:eastAsia="zh-CN"/>
                    </w:rPr>
                    <w:t>重金属</w:t>
                  </w:r>
                </w:p>
              </w:tc>
              <w:tc>
                <w:tcPr>
                  <w:tcW w:w="565" w:type="dxa"/>
                  <w:vMerge w:val="restart"/>
                  <w:noWrap w:val="0"/>
                  <w:vAlign w:val="center"/>
                </w:tcPr>
                <w:p>
                  <w:pPr>
                    <w:autoSpaceDE w:val="0"/>
                    <w:autoSpaceDN w:val="0"/>
                    <w:adjustRightInd w:val="0"/>
                    <w:spacing w:line="320" w:lineRule="exact"/>
                    <w:ind w:left="-63" w:leftChars="-30" w:right="-63" w:rightChars="-3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lang w:val="en-US" w:eastAsia="zh-CN"/>
                    </w:rPr>
                    <w:t>每天</w:t>
                  </w:r>
                </w:p>
              </w:tc>
              <w:tc>
                <w:tcPr>
                  <w:tcW w:w="581" w:type="dxa"/>
                  <w:vMerge w:val="restart"/>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color w:val="auto"/>
                      <w:sz w:val="21"/>
                    </w:rPr>
                  </w:pPr>
                  <w:r>
                    <w:rPr>
                      <w:rFonts w:hint="default" w:ascii="Times New Roman" w:hAnsi="Times New Roman" w:cs="Times New Roman"/>
                      <w:color w:val="auto"/>
                      <w:sz w:val="21"/>
                    </w:rPr>
                    <w:t>T</w:t>
                  </w:r>
                </w:p>
              </w:tc>
              <w:tc>
                <w:tcPr>
                  <w:tcW w:w="956" w:type="dxa"/>
                  <w:vMerge w:val="restart"/>
                  <w:noWrap w:val="0"/>
                  <w:vAlign w:val="center"/>
                </w:tcPr>
                <w:p>
                  <w:pPr>
                    <w:autoSpaceDE w:val="0"/>
                    <w:autoSpaceDN w:val="0"/>
                    <w:adjustRightInd w:val="0"/>
                    <w:spacing w:line="320" w:lineRule="exact"/>
                    <w:ind w:left="-63" w:leftChars="-30" w:right="-63" w:rightChars="-3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lang w:val="en-US" w:eastAsia="zh-CN"/>
                    </w:rPr>
                    <w:t>异地水泥窑协同处置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9" w:hRule="atLeast"/>
                <w:jc w:val="center"/>
              </w:trPr>
              <w:tc>
                <w:tcPr>
                  <w:tcW w:w="474"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w:t>
                  </w:r>
                </w:p>
              </w:tc>
              <w:tc>
                <w:tcPr>
                  <w:tcW w:w="935" w:type="dxa"/>
                  <w:noWrap w:val="0"/>
                  <w:vAlign w:val="center"/>
                </w:tcPr>
                <w:p>
                  <w:pPr>
                    <w:pStyle w:val="99"/>
                    <w:spacing w:line="240" w:lineRule="atLeast"/>
                    <w:ind w:firstLine="0" w:firstLineChars="0"/>
                    <w:jc w:val="center"/>
                    <w:rPr>
                      <w:rFonts w:hint="default" w:ascii="Times New Roman" w:hAnsi="Times New Roman" w:cs="Times New Roman"/>
                      <w:color w:val="auto"/>
                      <w:szCs w:val="21"/>
                    </w:rPr>
                  </w:pPr>
                  <w:r>
                    <w:rPr>
                      <w:rFonts w:hint="eastAsia" w:ascii="Times New Roman" w:hAnsi="Times New Roman"/>
                      <w:color w:val="000000"/>
                      <w:szCs w:val="21"/>
                      <w:highlight w:val="none"/>
                      <w:lang w:val="en-US" w:eastAsia="zh-CN"/>
                    </w:rPr>
                    <w:t>污泥</w:t>
                  </w:r>
                </w:p>
              </w:tc>
              <w:tc>
                <w:tcPr>
                  <w:tcW w:w="800" w:type="dxa"/>
                  <w:noWrap w:val="0"/>
                  <w:vAlign w:val="center"/>
                </w:tcPr>
                <w:p>
                  <w:pPr>
                    <w:pStyle w:val="99"/>
                    <w:spacing w:line="240" w:lineRule="atLeast"/>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HW49</w:t>
                  </w:r>
                </w:p>
              </w:tc>
              <w:tc>
                <w:tcPr>
                  <w:tcW w:w="927" w:type="dxa"/>
                  <w:noWrap w:val="0"/>
                  <w:vAlign w:val="center"/>
                </w:tcPr>
                <w:p>
                  <w:pPr>
                    <w:pStyle w:val="99"/>
                    <w:spacing w:line="240" w:lineRule="atLeast"/>
                    <w:ind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900-041-49</w:t>
                  </w:r>
                </w:p>
              </w:tc>
              <w:tc>
                <w:tcPr>
                  <w:tcW w:w="740" w:type="dxa"/>
                  <w:noWrap w:val="0"/>
                  <w:vAlign w:val="center"/>
                </w:tcPr>
                <w:p>
                  <w:pPr>
                    <w:spacing w:line="240" w:lineRule="atLeast"/>
                    <w:ind w:firstLine="0" w:firstLineChars="0"/>
                    <w:jc w:val="center"/>
                    <w:rPr>
                      <w:rFonts w:hint="default" w:ascii="Times New Roman" w:hAnsi="Times New Roman" w:cs="Times New Roman"/>
                      <w:color w:val="auto"/>
                      <w:szCs w:val="21"/>
                      <w:lang w:val="en-US"/>
                    </w:rPr>
                  </w:pPr>
                  <w:r>
                    <w:rPr>
                      <w:rFonts w:hint="eastAsia" w:ascii="Times New Roman" w:hAnsi="Times New Roman" w:cs="Times New Roman"/>
                      <w:spacing w:val="0"/>
                      <w:sz w:val="21"/>
                      <w:szCs w:val="21"/>
                      <w:lang w:val="en-US" w:eastAsia="zh-CN"/>
                    </w:rPr>
                    <w:t>15.22</w:t>
                  </w:r>
                </w:p>
              </w:tc>
              <w:tc>
                <w:tcPr>
                  <w:tcW w:w="940" w:type="dxa"/>
                  <w:noWrap w:val="0"/>
                  <w:vAlign w:val="center"/>
                </w:tcPr>
                <w:p>
                  <w:pPr>
                    <w:pStyle w:val="99"/>
                    <w:spacing w:line="240" w:lineRule="atLeast"/>
                    <w:ind w:firstLine="0" w:firstLineChars="0"/>
                    <w:jc w:val="center"/>
                    <w:rPr>
                      <w:rFonts w:hint="default" w:ascii="Times New Roman" w:hAnsi="Times New Roman" w:cs="Times New Roman"/>
                      <w:color w:val="auto"/>
                      <w:sz w:val="21"/>
                      <w:szCs w:val="21"/>
                      <w:lang w:val="en-US" w:eastAsia="zh-CN"/>
                    </w:rPr>
                  </w:pPr>
                  <w:r>
                    <w:rPr>
                      <w:rFonts w:hint="eastAsia" w:ascii="Times New Roman" w:hAnsi="Times New Roman"/>
                      <w:color w:val="000000"/>
                      <w:szCs w:val="21"/>
                      <w:highlight w:val="none"/>
                      <w:lang w:val="en-US" w:eastAsia="zh-CN"/>
                    </w:rPr>
                    <w:t>污水净化</w:t>
                  </w:r>
                </w:p>
              </w:tc>
              <w:tc>
                <w:tcPr>
                  <w:tcW w:w="564"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color w:val="auto"/>
                      <w:sz w:val="21"/>
                      <w:szCs w:val="21"/>
                      <w:lang w:val="en-US" w:eastAsia="zh-CN"/>
                    </w:rPr>
                  </w:pPr>
                  <w:r>
                    <w:rPr>
                      <w:rFonts w:hint="eastAsia" w:ascii="Times New Roman" w:hAnsi="Times New Roman"/>
                      <w:color w:val="000000"/>
                      <w:szCs w:val="21"/>
                      <w:highlight w:val="none"/>
                      <w:lang w:val="en-US" w:eastAsia="zh-CN"/>
                    </w:rPr>
                    <w:t>S</w:t>
                  </w:r>
                </w:p>
              </w:tc>
              <w:tc>
                <w:tcPr>
                  <w:tcW w:w="786" w:type="dxa"/>
                  <w:noWrap w:val="0"/>
                  <w:vAlign w:val="center"/>
                </w:tcPr>
                <w:p>
                  <w:pPr>
                    <w:pStyle w:val="99"/>
                    <w:spacing w:line="240" w:lineRule="atLeast"/>
                    <w:ind w:firstLine="0" w:firstLineChars="0"/>
                    <w:jc w:val="center"/>
                    <w:rPr>
                      <w:rFonts w:hint="default" w:ascii="Times New Roman" w:hAnsi="Times New Roman" w:cs="Times New Roman"/>
                      <w:bCs/>
                      <w:color w:val="auto"/>
                      <w:sz w:val="21"/>
                      <w:szCs w:val="21"/>
                      <w:lang w:val="en-US"/>
                    </w:rPr>
                  </w:pPr>
                  <w:r>
                    <w:rPr>
                      <w:rFonts w:hint="eastAsia" w:ascii="Times New Roman" w:hAnsi="Times New Roman"/>
                      <w:color w:val="000000"/>
                      <w:szCs w:val="21"/>
                      <w:highlight w:val="none"/>
                      <w:lang w:val="en-US" w:eastAsia="zh-CN"/>
                    </w:rPr>
                    <w:t>沉淀污泥</w:t>
                  </w:r>
                </w:p>
              </w:tc>
              <w:tc>
                <w:tcPr>
                  <w:tcW w:w="803" w:type="dxa"/>
                  <w:tcBorders>
                    <w:bottom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Cs/>
                      <w:color w:val="auto"/>
                      <w:sz w:val="21"/>
                      <w:szCs w:val="21"/>
                    </w:rPr>
                  </w:pPr>
                  <w:r>
                    <w:rPr>
                      <w:rFonts w:hint="eastAsia" w:ascii="Times New Roman" w:hAnsi="Times New Roman" w:cs="Times New Roman"/>
                      <w:bCs/>
                      <w:color w:val="auto"/>
                      <w:sz w:val="21"/>
                      <w:szCs w:val="21"/>
                      <w:lang w:val="en-US" w:eastAsia="zh-CN"/>
                    </w:rPr>
                    <w:t>重金属</w:t>
                  </w:r>
                </w:p>
              </w:tc>
              <w:tc>
                <w:tcPr>
                  <w:tcW w:w="565" w:type="dxa"/>
                  <w:vMerge w:val="continue"/>
                  <w:tcBorders>
                    <w:bottom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Cs/>
                      <w:color w:val="auto"/>
                      <w:sz w:val="21"/>
                      <w:szCs w:val="21"/>
                    </w:rPr>
                  </w:pPr>
                </w:p>
              </w:tc>
              <w:tc>
                <w:tcPr>
                  <w:tcW w:w="581" w:type="dxa"/>
                  <w:vMerge w:val="continue"/>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color w:val="auto"/>
                      <w:sz w:val="21"/>
                    </w:rPr>
                  </w:pPr>
                </w:p>
              </w:tc>
              <w:tc>
                <w:tcPr>
                  <w:tcW w:w="956" w:type="dxa"/>
                  <w:vMerge w:val="continue"/>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Cs/>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 w:hRule="atLeast"/>
                <w:jc w:val="center"/>
              </w:trPr>
              <w:tc>
                <w:tcPr>
                  <w:tcW w:w="474"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w:t>
                  </w:r>
                </w:p>
              </w:tc>
              <w:tc>
                <w:tcPr>
                  <w:tcW w:w="935" w:type="dxa"/>
                  <w:noWrap w:val="0"/>
                  <w:vAlign w:val="center"/>
                </w:tcPr>
                <w:p>
                  <w:pPr>
                    <w:pStyle w:val="99"/>
                    <w:spacing w:line="240" w:lineRule="atLeast"/>
                    <w:ind w:firstLine="0" w:firstLineChars="0"/>
                    <w:jc w:val="center"/>
                    <w:rPr>
                      <w:rFonts w:hint="default" w:ascii="Times New Roman" w:hAnsi="Times New Roman" w:cs="Times New Roman"/>
                      <w:color w:val="auto"/>
                      <w:szCs w:val="21"/>
                    </w:rPr>
                  </w:pPr>
                  <w:r>
                    <w:rPr>
                      <w:rFonts w:hint="eastAsia" w:ascii="Times New Roman" w:hAnsi="Times New Roman"/>
                      <w:color w:val="000000"/>
                      <w:szCs w:val="21"/>
                      <w:highlight w:val="none"/>
                      <w:lang w:val="en-US" w:eastAsia="zh-CN"/>
                    </w:rPr>
                    <w:t>废活性炭</w:t>
                  </w:r>
                </w:p>
              </w:tc>
              <w:tc>
                <w:tcPr>
                  <w:tcW w:w="800" w:type="dxa"/>
                  <w:noWrap w:val="0"/>
                  <w:vAlign w:val="center"/>
                </w:tcPr>
                <w:p>
                  <w:pPr>
                    <w:pStyle w:val="99"/>
                    <w:spacing w:line="240" w:lineRule="atLeast"/>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HW49</w:t>
                  </w:r>
                </w:p>
              </w:tc>
              <w:tc>
                <w:tcPr>
                  <w:tcW w:w="927" w:type="dxa"/>
                  <w:noWrap w:val="0"/>
                  <w:vAlign w:val="center"/>
                </w:tcPr>
                <w:p>
                  <w:pPr>
                    <w:pStyle w:val="99"/>
                    <w:spacing w:line="240" w:lineRule="atLeast"/>
                    <w:ind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900-041-49</w:t>
                  </w:r>
                </w:p>
              </w:tc>
              <w:tc>
                <w:tcPr>
                  <w:tcW w:w="740" w:type="dxa"/>
                  <w:noWrap w:val="0"/>
                  <w:vAlign w:val="center"/>
                </w:tcPr>
                <w:p>
                  <w:pPr>
                    <w:spacing w:line="240" w:lineRule="atLeast"/>
                    <w:ind w:firstLine="0" w:firstLineChars="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spacing w:val="0"/>
                      <w:sz w:val="21"/>
                      <w:szCs w:val="21"/>
                      <w:lang w:val="en-US" w:eastAsia="zh-CN"/>
                    </w:rPr>
                    <w:t>3.</w:t>
                  </w:r>
                  <w:r>
                    <w:rPr>
                      <w:rFonts w:hint="default" w:ascii="Times New Roman" w:hAnsi="Times New Roman" w:cs="Times New Roman"/>
                      <w:spacing w:val="0"/>
                      <w:sz w:val="21"/>
                      <w:szCs w:val="21"/>
                      <w:lang w:val="en-US" w:eastAsia="zh-CN"/>
                    </w:rPr>
                    <w:t>5</w:t>
                  </w:r>
                </w:p>
              </w:tc>
              <w:tc>
                <w:tcPr>
                  <w:tcW w:w="940" w:type="dxa"/>
                  <w:noWrap w:val="0"/>
                  <w:vAlign w:val="center"/>
                </w:tcPr>
                <w:p>
                  <w:pPr>
                    <w:pStyle w:val="99"/>
                    <w:spacing w:line="240" w:lineRule="atLeast"/>
                    <w:ind w:firstLine="0" w:firstLineChars="0"/>
                    <w:jc w:val="center"/>
                    <w:rPr>
                      <w:rFonts w:hint="default" w:ascii="Times New Roman" w:hAnsi="Times New Roman" w:cs="Times New Roman"/>
                      <w:color w:val="auto"/>
                      <w:sz w:val="21"/>
                      <w:szCs w:val="21"/>
                      <w:lang w:val="en-US" w:eastAsia="zh-CN"/>
                    </w:rPr>
                  </w:pPr>
                  <w:r>
                    <w:rPr>
                      <w:rFonts w:hint="eastAsia" w:ascii="Times New Roman" w:hAnsi="Times New Roman"/>
                      <w:color w:val="000000"/>
                      <w:szCs w:val="21"/>
                      <w:highlight w:val="none"/>
                      <w:lang w:val="en-US" w:eastAsia="zh-CN"/>
                    </w:rPr>
                    <w:t>污水净化</w:t>
                  </w:r>
                </w:p>
              </w:tc>
              <w:tc>
                <w:tcPr>
                  <w:tcW w:w="564" w:type="dxa"/>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color w:val="auto"/>
                      <w:sz w:val="21"/>
                      <w:szCs w:val="21"/>
                      <w:lang w:val="en-US" w:eastAsia="zh-CN"/>
                    </w:rPr>
                  </w:pPr>
                  <w:r>
                    <w:rPr>
                      <w:rFonts w:hint="eastAsia" w:ascii="Times New Roman" w:hAnsi="Times New Roman"/>
                      <w:color w:val="000000"/>
                      <w:szCs w:val="21"/>
                      <w:highlight w:val="none"/>
                      <w:lang w:val="en-US" w:eastAsia="zh-CN"/>
                    </w:rPr>
                    <w:t>S</w:t>
                  </w:r>
                </w:p>
              </w:tc>
              <w:tc>
                <w:tcPr>
                  <w:tcW w:w="786" w:type="dxa"/>
                  <w:noWrap w:val="0"/>
                  <w:vAlign w:val="center"/>
                </w:tcPr>
                <w:p>
                  <w:pPr>
                    <w:pStyle w:val="99"/>
                    <w:spacing w:line="240" w:lineRule="atLeast"/>
                    <w:ind w:firstLine="0" w:firstLineChars="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lang w:val="en-US" w:eastAsia="zh-CN"/>
                    </w:rPr>
                    <w:t>活性炭</w:t>
                  </w:r>
                </w:p>
              </w:tc>
              <w:tc>
                <w:tcPr>
                  <w:tcW w:w="803" w:type="dxa"/>
                  <w:tcBorders>
                    <w:top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Cs/>
                      <w:color w:val="auto"/>
                      <w:sz w:val="21"/>
                      <w:szCs w:val="21"/>
                    </w:rPr>
                  </w:pPr>
                  <w:r>
                    <w:rPr>
                      <w:rFonts w:hint="eastAsia" w:ascii="Times New Roman" w:hAnsi="Times New Roman" w:cs="Times New Roman"/>
                      <w:bCs/>
                      <w:color w:val="auto"/>
                      <w:sz w:val="21"/>
                      <w:szCs w:val="21"/>
                      <w:lang w:val="en-US" w:eastAsia="zh-CN"/>
                    </w:rPr>
                    <w:t>废活性炭</w:t>
                  </w:r>
                </w:p>
              </w:tc>
              <w:tc>
                <w:tcPr>
                  <w:tcW w:w="565" w:type="dxa"/>
                  <w:tcBorders>
                    <w:top w:val="single" w:color="auto" w:sz="4" w:space="0"/>
                  </w:tcBorders>
                  <w:noWrap w:val="0"/>
                  <w:vAlign w:val="center"/>
                </w:tcPr>
                <w:p>
                  <w:pPr>
                    <w:autoSpaceDE w:val="0"/>
                    <w:autoSpaceDN w:val="0"/>
                    <w:adjustRightInd w:val="0"/>
                    <w:spacing w:line="320" w:lineRule="exact"/>
                    <w:ind w:left="-63" w:leftChars="-30" w:right="-63" w:rightChars="-3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lang w:val="en-US" w:eastAsia="zh-CN"/>
                    </w:rPr>
                    <w:t>1个月</w:t>
                  </w:r>
                </w:p>
              </w:tc>
              <w:tc>
                <w:tcPr>
                  <w:tcW w:w="581" w:type="dxa"/>
                  <w:vMerge w:val="continue"/>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color w:val="auto"/>
                      <w:sz w:val="21"/>
                    </w:rPr>
                  </w:pPr>
                </w:p>
              </w:tc>
              <w:tc>
                <w:tcPr>
                  <w:tcW w:w="956" w:type="dxa"/>
                  <w:vMerge w:val="continue"/>
                  <w:noWrap w:val="0"/>
                  <w:vAlign w:val="center"/>
                </w:tcPr>
                <w:p>
                  <w:pPr>
                    <w:autoSpaceDE w:val="0"/>
                    <w:autoSpaceDN w:val="0"/>
                    <w:adjustRightInd w:val="0"/>
                    <w:spacing w:line="320" w:lineRule="exact"/>
                    <w:ind w:left="-63" w:leftChars="-30" w:right="-63" w:rightChars="-30"/>
                    <w:jc w:val="center"/>
                    <w:rPr>
                      <w:rFonts w:hint="default" w:ascii="Times New Roman" w:hAnsi="Times New Roman" w:cs="Times New Roman"/>
                      <w:bCs/>
                      <w:color w:val="auto"/>
                      <w:sz w:val="21"/>
                      <w:szCs w:val="21"/>
                    </w:rPr>
                  </w:pPr>
                </w:p>
              </w:tc>
            </w:tr>
          </w:tbl>
          <w:p>
            <w:pPr>
              <w:widowControl/>
              <w:spacing w:line="360" w:lineRule="auto"/>
              <w:rPr>
                <w:color w:val="000000"/>
                <w:sz w:val="24"/>
                <w:szCs w:val="24"/>
                <w:highlight w:val="none"/>
              </w:rPr>
            </w:pPr>
          </w:p>
        </w:tc>
      </w:tr>
    </w:tbl>
    <w:p>
      <w:pPr>
        <w:pStyle w:val="4"/>
        <w:keepNext w:val="0"/>
        <w:keepLines w:val="0"/>
        <w:ind w:left="-358" w:leftChars="-256" w:hanging="180" w:hangingChars="64"/>
        <w:rPr>
          <w:rFonts w:ascii="Times New Roman" w:hAnsi="Times New Roman"/>
          <w:color w:val="000000"/>
        </w:rPr>
      </w:pPr>
      <w:r>
        <w:rPr>
          <w:color w:val="000000"/>
          <w:sz w:val="28"/>
          <w:highlight w:val="yellow"/>
        </w:rPr>
        <w:br w:type="page"/>
      </w:r>
      <w:r>
        <w:rPr>
          <w:color w:val="000000"/>
        </w:rPr>
        <w:t>项</w:t>
      </w:r>
      <w:r>
        <w:rPr>
          <w:rFonts w:ascii="Times New Roman" w:hAnsi="Times New Roman"/>
          <w:color w:val="000000"/>
        </w:rPr>
        <w:t>目主要污染物产生及预计排放情况</w:t>
      </w:r>
    </w:p>
    <w:tbl>
      <w:tblPr>
        <w:tblStyle w:val="27"/>
        <w:tblW w:w="94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4"/>
        <w:gridCol w:w="1359"/>
        <w:gridCol w:w="1822"/>
        <w:gridCol w:w="2574"/>
        <w:gridCol w:w="278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14" w:type="dxa"/>
            <w:tcBorders>
              <w:top w:val="single" w:color="auto" w:sz="4" w:space="0"/>
              <w:left w:val="single" w:color="auto" w:sz="4" w:space="0"/>
              <w:tl2br w:val="single" w:color="auto" w:sz="6" w:space="0"/>
            </w:tcBorders>
            <w:noWrap w:val="0"/>
            <w:vAlign w:val="top"/>
          </w:tcPr>
          <w:p>
            <w:pPr>
              <w:spacing w:line="360" w:lineRule="auto"/>
              <w:jc w:val="right"/>
              <w:rPr>
                <w:rFonts w:ascii="Times New Roman" w:hAnsi="Times New Roman"/>
                <w:color w:val="000000"/>
                <w:szCs w:val="21"/>
              </w:rPr>
            </w:pPr>
            <w:r>
              <w:rPr>
                <w:rFonts w:ascii="Times New Roman" w:hAnsi="Times New Roman"/>
                <w:color w:val="000000"/>
                <w:szCs w:val="21"/>
              </w:rPr>
              <w:t>内容</w:t>
            </w:r>
          </w:p>
          <w:p>
            <w:pPr>
              <w:spacing w:line="360" w:lineRule="auto"/>
              <w:rPr>
                <w:rFonts w:ascii="Times New Roman" w:hAnsi="Times New Roman"/>
                <w:color w:val="000000"/>
                <w:szCs w:val="21"/>
              </w:rPr>
            </w:pPr>
            <w:r>
              <w:rPr>
                <w:rFonts w:ascii="Times New Roman" w:hAnsi="Times New Roman"/>
                <w:color w:val="000000"/>
                <w:szCs w:val="21"/>
              </w:rPr>
              <w:t>类型</w:t>
            </w:r>
          </w:p>
        </w:tc>
        <w:tc>
          <w:tcPr>
            <w:tcW w:w="1359" w:type="dxa"/>
            <w:tcBorders>
              <w:top w:val="single" w:color="auto" w:sz="4" w:space="0"/>
            </w:tcBorders>
            <w:noWrap w:val="0"/>
            <w:vAlign w:val="center"/>
          </w:tcPr>
          <w:p>
            <w:pPr>
              <w:spacing w:line="360" w:lineRule="auto"/>
              <w:jc w:val="center"/>
              <w:rPr>
                <w:rFonts w:ascii="Times New Roman" w:hAnsi="Times New Roman"/>
                <w:color w:val="000000"/>
                <w:szCs w:val="21"/>
              </w:rPr>
            </w:pPr>
            <w:r>
              <w:rPr>
                <w:rFonts w:ascii="Times New Roman" w:hAnsi="Times New Roman"/>
                <w:color w:val="000000"/>
                <w:szCs w:val="21"/>
              </w:rPr>
              <w:t>排放源</w:t>
            </w:r>
          </w:p>
          <w:p>
            <w:pPr>
              <w:spacing w:line="360" w:lineRule="auto"/>
              <w:jc w:val="center"/>
              <w:rPr>
                <w:rFonts w:ascii="Times New Roman" w:hAnsi="Times New Roman"/>
                <w:color w:val="000000"/>
                <w:szCs w:val="21"/>
              </w:rPr>
            </w:pPr>
            <w:r>
              <w:rPr>
                <w:rFonts w:ascii="Times New Roman" w:hAnsi="Times New Roman"/>
                <w:color w:val="000000"/>
                <w:szCs w:val="21"/>
              </w:rPr>
              <w:t>（编号）</w:t>
            </w:r>
          </w:p>
        </w:tc>
        <w:tc>
          <w:tcPr>
            <w:tcW w:w="1822" w:type="dxa"/>
            <w:tcBorders>
              <w:top w:val="single" w:color="auto" w:sz="4" w:space="0"/>
            </w:tcBorders>
            <w:noWrap w:val="0"/>
            <w:vAlign w:val="center"/>
          </w:tcPr>
          <w:p>
            <w:pPr>
              <w:spacing w:line="360" w:lineRule="auto"/>
              <w:jc w:val="center"/>
              <w:rPr>
                <w:rFonts w:ascii="Times New Roman" w:hAnsi="Times New Roman"/>
                <w:color w:val="000000"/>
                <w:szCs w:val="21"/>
              </w:rPr>
            </w:pPr>
            <w:r>
              <w:rPr>
                <w:rFonts w:ascii="Times New Roman" w:hAnsi="Times New Roman"/>
                <w:color w:val="000000"/>
                <w:szCs w:val="21"/>
              </w:rPr>
              <w:t>污染物名称</w:t>
            </w:r>
          </w:p>
        </w:tc>
        <w:tc>
          <w:tcPr>
            <w:tcW w:w="2574" w:type="dxa"/>
            <w:tcBorders>
              <w:top w:val="single" w:color="auto" w:sz="4" w:space="0"/>
            </w:tcBorders>
            <w:noWrap w:val="0"/>
            <w:vAlign w:val="center"/>
          </w:tcPr>
          <w:p>
            <w:pPr>
              <w:spacing w:line="240" w:lineRule="atLeast"/>
              <w:ind w:left="-105" w:leftChars="-50"/>
              <w:jc w:val="center"/>
              <w:rPr>
                <w:rFonts w:ascii="Times New Roman" w:hAnsi="Times New Roman"/>
                <w:color w:val="000000"/>
                <w:szCs w:val="21"/>
              </w:rPr>
            </w:pPr>
            <w:r>
              <w:rPr>
                <w:rFonts w:ascii="Times New Roman" w:hAnsi="Times New Roman"/>
                <w:color w:val="000000"/>
                <w:szCs w:val="21"/>
              </w:rPr>
              <w:t>处理前产生浓度及产生量</w:t>
            </w:r>
          </w:p>
          <w:p>
            <w:pPr>
              <w:spacing w:line="240" w:lineRule="atLeast"/>
              <w:jc w:val="center"/>
              <w:rPr>
                <w:rFonts w:ascii="Times New Roman" w:hAnsi="Times New Roman"/>
                <w:color w:val="000000"/>
                <w:szCs w:val="21"/>
              </w:rPr>
            </w:pPr>
            <w:r>
              <w:rPr>
                <w:rFonts w:ascii="Times New Roman" w:hAnsi="Times New Roman"/>
                <w:color w:val="000000"/>
                <w:szCs w:val="21"/>
              </w:rPr>
              <w:t>（单位）</w:t>
            </w:r>
          </w:p>
        </w:tc>
        <w:tc>
          <w:tcPr>
            <w:tcW w:w="2782" w:type="dxa"/>
            <w:tcBorders>
              <w:top w:val="single" w:color="auto" w:sz="4" w:space="0"/>
              <w:right w:val="single" w:color="auto" w:sz="4" w:space="0"/>
            </w:tcBorders>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排放浓度及排放量</w:t>
            </w:r>
          </w:p>
          <w:p>
            <w:pPr>
              <w:spacing w:line="240" w:lineRule="atLeast"/>
              <w:jc w:val="center"/>
              <w:rPr>
                <w:rFonts w:ascii="Times New Roman" w:hAnsi="Times New Roman"/>
                <w:color w:val="000000"/>
                <w:szCs w:val="21"/>
              </w:rPr>
            </w:pPr>
            <w:r>
              <w:rPr>
                <w:rFonts w:ascii="Times New Roman" w:hAnsi="Times New Roman"/>
                <w:color w:val="000000"/>
                <w:szCs w:val="21"/>
              </w:rPr>
              <w:t>（单位）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restart"/>
            <w:tcBorders>
              <w:left w:val="single" w:color="auto" w:sz="4" w:space="0"/>
            </w:tcBorders>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大气污染物</w:t>
            </w:r>
          </w:p>
        </w:tc>
        <w:tc>
          <w:tcPr>
            <w:tcW w:w="1359" w:type="dxa"/>
            <w:tcBorders>
              <w:right w:val="single" w:color="auto" w:sz="4" w:space="0"/>
            </w:tcBorders>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修复场地</w:t>
            </w:r>
          </w:p>
        </w:tc>
        <w:tc>
          <w:tcPr>
            <w:tcW w:w="1822" w:type="dxa"/>
            <w:tcBorders>
              <w:left w:val="single" w:color="auto" w:sz="4" w:space="0"/>
            </w:tcBorders>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颗粒物</w:t>
            </w:r>
          </w:p>
        </w:tc>
        <w:tc>
          <w:tcPr>
            <w:tcW w:w="2574" w:type="dxa"/>
            <w:tcBorders>
              <w:bottom w:val="single" w:color="auto" w:sz="6" w:space="0"/>
            </w:tcBorders>
            <w:noWrap w:val="0"/>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lang w:val="en-US" w:eastAsia="zh-CN"/>
              </w:rPr>
              <w:t>33.5</w:t>
            </w:r>
            <w:r>
              <w:rPr>
                <w:rFonts w:ascii="Times New Roman" w:hAnsi="Times New Roman"/>
                <w:color w:val="000000"/>
                <w:szCs w:val="21"/>
              </w:rPr>
              <w:t>t/</w:t>
            </w:r>
            <w:r>
              <w:rPr>
                <w:rFonts w:hint="eastAsia" w:ascii="Times New Roman" w:hAnsi="Times New Roman"/>
                <w:color w:val="000000"/>
                <w:szCs w:val="21"/>
                <w:lang w:val="en-US" w:eastAsia="zh-CN"/>
              </w:rPr>
              <w:t>工期</w:t>
            </w:r>
            <w:r>
              <w:rPr>
                <w:rFonts w:ascii="Times New Roman" w:hAnsi="Times New Roman"/>
                <w:color w:val="000000"/>
                <w:szCs w:val="21"/>
              </w:rPr>
              <w:t xml:space="preserve">  </w:t>
            </w:r>
          </w:p>
        </w:tc>
        <w:tc>
          <w:tcPr>
            <w:tcW w:w="2782" w:type="dxa"/>
            <w:tcBorders>
              <w:bottom w:val="single" w:color="auto" w:sz="6" w:space="0"/>
              <w:right w:val="single" w:color="auto" w:sz="4" w:space="0"/>
            </w:tcBorders>
            <w:noWrap w:val="0"/>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lang w:val="en-US" w:eastAsia="zh-CN"/>
              </w:rPr>
              <w:t>33.5</w:t>
            </w:r>
            <w:r>
              <w:rPr>
                <w:rFonts w:ascii="Times New Roman" w:hAnsi="Times New Roman"/>
                <w:color w:val="000000"/>
                <w:szCs w:val="21"/>
              </w:rPr>
              <w:t>t/</w:t>
            </w:r>
            <w:r>
              <w:rPr>
                <w:rFonts w:hint="eastAsia" w:ascii="Times New Roman" w:hAnsi="Times New Roman"/>
                <w:color w:val="000000"/>
                <w:szCs w:val="21"/>
                <w:lang w:val="en-US" w:eastAsia="zh-CN"/>
              </w:rPr>
              <w:t>工期</w:t>
            </w:r>
            <w:r>
              <w:rPr>
                <w:rFonts w:ascii="Times New Roman" w:hAnsi="Times New Roman"/>
                <w:color w:val="000000"/>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tcBorders>
              <w:right w:val="single" w:color="auto" w:sz="4" w:space="0"/>
            </w:tcBorders>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食堂</w:t>
            </w:r>
          </w:p>
        </w:tc>
        <w:tc>
          <w:tcPr>
            <w:tcW w:w="1822" w:type="dxa"/>
            <w:tcBorders>
              <w:left w:val="single" w:color="auto" w:sz="4" w:space="0"/>
            </w:tcBorders>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油烟</w:t>
            </w:r>
          </w:p>
        </w:tc>
        <w:tc>
          <w:tcPr>
            <w:tcW w:w="2574" w:type="dxa"/>
            <w:tcBorders>
              <w:bottom w:val="single" w:color="auto" w:sz="6" w:space="0"/>
            </w:tcBorders>
            <w:noWrap w:val="0"/>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lang w:val="en-US" w:eastAsia="zh-CN"/>
              </w:rPr>
              <w:t>12.5</w:t>
            </w:r>
            <w:r>
              <w:rPr>
                <w:rFonts w:ascii="Times New Roman" w:hAnsi="Times New Roman"/>
                <w:color w:val="000000"/>
                <w:szCs w:val="21"/>
              </w:rPr>
              <w:t>mg/m</w:t>
            </w:r>
            <w:r>
              <w:rPr>
                <w:rFonts w:ascii="Times New Roman" w:hAnsi="Times New Roman"/>
                <w:color w:val="000000"/>
                <w:szCs w:val="21"/>
                <w:vertAlign w:val="superscript"/>
              </w:rPr>
              <w:t xml:space="preserve">3 </w:t>
            </w:r>
            <w:r>
              <w:rPr>
                <w:rFonts w:ascii="Times New Roman" w:hAnsi="Times New Roman"/>
                <w:color w:val="000000"/>
                <w:szCs w:val="21"/>
              </w:rPr>
              <w:t xml:space="preserve"> </w:t>
            </w:r>
            <w:r>
              <w:rPr>
                <w:rFonts w:hint="eastAsia" w:ascii="Times New Roman" w:hAnsi="Times New Roman"/>
                <w:color w:val="000000"/>
                <w:szCs w:val="21"/>
                <w:lang w:val="en-US" w:eastAsia="zh-CN"/>
              </w:rPr>
              <w:t>45kg</w:t>
            </w:r>
            <w:r>
              <w:rPr>
                <w:rFonts w:ascii="Times New Roman" w:hAnsi="Times New Roman"/>
                <w:color w:val="000000"/>
                <w:szCs w:val="21"/>
              </w:rPr>
              <w:t>/</w:t>
            </w:r>
            <w:r>
              <w:rPr>
                <w:rFonts w:hint="eastAsia" w:ascii="Times New Roman" w:hAnsi="Times New Roman"/>
                <w:color w:val="000000"/>
                <w:szCs w:val="21"/>
                <w:lang w:val="en-US" w:eastAsia="zh-CN"/>
              </w:rPr>
              <w:t>工期</w:t>
            </w:r>
            <w:r>
              <w:rPr>
                <w:rFonts w:ascii="Times New Roman" w:hAnsi="Times New Roman"/>
                <w:color w:val="000000"/>
                <w:szCs w:val="21"/>
              </w:rPr>
              <w:t xml:space="preserve">  </w:t>
            </w:r>
          </w:p>
        </w:tc>
        <w:tc>
          <w:tcPr>
            <w:tcW w:w="2782" w:type="dxa"/>
            <w:tcBorders>
              <w:bottom w:val="single" w:color="auto" w:sz="6" w:space="0"/>
              <w:right w:val="single" w:color="auto" w:sz="4" w:space="0"/>
            </w:tcBorders>
            <w:noWrap w:val="0"/>
            <w:vAlign w:val="center"/>
          </w:tcPr>
          <w:p>
            <w:pPr>
              <w:spacing w:line="240" w:lineRule="atLeast"/>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1.875</w:t>
            </w:r>
            <w:r>
              <w:rPr>
                <w:rFonts w:ascii="Times New Roman" w:hAnsi="Times New Roman"/>
                <w:color w:val="000000"/>
                <w:szCs w:val="21"/>
              </w:rPr>
              <w:t>mg/m</w:t>
            </w:r>
            <w:r>
              <w:rPr>
                <w:rFonts w:ascii="Times New Roman" w:hAnsi="Times New Roman"/>
                <w:color w:val="000000"/>
                <w:szCs w:val="21"/>
                <w:vertAlign w:val="superscript"/>
              </w:rPr>
              <w:t xml:space="preserve">3 </w:t>
            </w:r>
            <w:r>
              <w:rPr>
                <w:rFonts w:ascii="Times New Roman" w:hAnsi="Times New Roman"/>
                <w:color w:val="000000"/>
                <w:szCs w:val="21"/>
              </w:rPr>
              <w:t xml:space="preserve"> </w:t>
            </w:r>
            <w:r>
              <w:rPr>
                <w:rFonts w:hint="eastAsia" w:ascii="Times New Roman" w:hAnsi="Times New Roman"/>
                <w:color w:val="000000"/>
                <w:szCs w:val="21"/>
                <w:lang w:val="en-US" w:eastAsia="zh-CN"/>
              </w:rPr>
              <w:t>6.75</w:t>
            </w:r>
            <w:r>
              <w:rPr>
                <w:rFonts w:ascii="Times New Roman" w:hAnsi="Times New Roman"/>
                <w:color w:val="000000"/>
                <w:szCs w:val="21"/>
              </w:rPr>
              <w:t>t/</w:t>
            </w:r>
            <w:r>
              <w:rPr>
                <w:rFonts w:hint="eastAsia" w:ascii="Times New Roman" w:hAnsi="Times New Roman"/>
                <w:color w:val="000000"/>
                <w:szCs w:val="21"/>
                <w:lang w:val="en-US" w:eastAsia="zh-CN"/>
              </w:rPr>
              <w:t>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restart"/>
            <w:tcBorders>
              <w:top w:val="single" w:color="auto" w:sz="4" w:space="0"/>
              <w:left w:val="single" w:color="auto" w:sz="4" w:space="0"/>
            </w:tcBorders>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水污染物</w:t>
            </w:r>
          </w:p>
        </w:tc>
        <w:tc>
          <w:tcPr>
            <w:tcW w:w="1359" w:type="dxa"/>
            <w:vMerge w:val="restart"/>
            <w:tcBorders>
              <w:top w:val="single" w:color="auto" w:sz="4" w:space="0"/>
            </w:tcBorders>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生活污水</w:t>
            </w:r>
          </w:p>
        </w:tc>
        <w:tc>
          <w:tcPr>
            <w:tcW w:w="1822" w:type="dxa"/>
            <w:tcBorders>
              <w:bottom w:val="single" w:color="auto" w:sz="4" w:space="0"/>
            </w:tcBorders>
            <w:noWrap w:val="0"/>
            <w:vAlign w:val="center"/>
          </w:tcPr>
          <w:p>
            <w:pPr>
              <w:spacing w:line="240" w:lineRule="atLeast"/>
              <w:jc w:val="center"/>
              <w:rPr>
                <w:rFonts w:hint="default" w:ascii="Times New Roman" w:hAnsi="Times New Roman"/>
                <w:color w:val="000000"/>
                <w:szCs w:val="21"/>
                <w:lang w:val="en-US" w:eastAsia="zh-CN"/>
              </w:rPr>
            </w:pPr>
            <w:r>
              <w:rPr>
                <w:rFonts w:ascii="Times New Roman" w:hAnsi="Times New Roman"/>
                <w:color w:val="000000"/>
                <w:szCs w:val="21"/>
              </w:rPr>
              <w:t>废水量</w:t>
            </w:r>
          </w:p>
        </w:tc>
        <w:tc>
          <w:tcPr>
            <w:tcW w:w="5356" w:type="dxa"/>
            <w:gridSpan w:val="2"/>
            <w:tcBorders>
              <w:bottom w:val="single" w:color="auto" w:sz="4" w:space="0"/>
              <w:right w:val="single" w:color="auto" w:sz="4" w:space="0"/>
            </w:tcBorders>
            <w:noWrap w:val="0"/>
            <w:vAlign w:val="center"/>
          </w:tcPr>
          <w:p>
            <w:pPr>
              <w:spacing w:line="240" w:lineRule="atLeast"/>
              <w:jc w:val="center"/>
              <w:rPr>
                <w:rFonts w:hint="eastAsia" w:ascii="Times New Roman" w:hAnsi="Times New Roman" w:eastAsia="宋体"/>
                <w:color w:val="000000"/>
                <w:szCs w:val="21"/>
                <w:lang w:val="en-US" w:eastAsia="zh-CN"/>
              </w:rPr>
            </w:pPr>
            <w:r>
              <w:rPr>
                <w:rFonts w:hint="eastAsia" w:ascii="Times New Roman" w:hAnsi="Times New Roman"/>
                <w:color w:val="000000"/>
                <w:szCs w:val="21"/>
                <w:lang w:val="en-US" w:eastAsia="zh-CN"/>
              </w:rPr>
              <w:t>940m</w:t>
            </w:r>
            <w:r>
              <w:rPr>
                <w:rFonts w:hint="eastAsia" w:ascii="Times New Roman" w:hAnsi="Times New Roman"/>
                <w:color w:val="000000"/>
                <w:szCs w:val="21"/>
                <w:vertAlign w:val="superscript"/>
                <w:lang w:val="en-US" w:eastAsia="zh-CN"/>
              </w:rPr>
              <w:t>3</w:t>
            </w:r>
            <w:r>
              <w:rPr>
                <w:rFonts w:ascii="Times New Roman" w:hAnsi="Times New Roman"/>
                <w:color w:val="000000"/>
                <w:szCs w:val="21"/>
              </w:rPr>
              <w:t>/</w:t>
            </w:r>
            <w:r>
              <w:rPr>
                <w:rFonts w:hint="eastAsia" w:ascii="Times New Roman" w:hAnsi="Times New Roman"/>
                <w:color w:val="000000"/>
                <w:szCs w:val="21"/>
                <w:lang w:val="en-US" w:eastAsia="zh-CN"/>
              </w:rPr>
              <w:t>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vMerge w:val="continue"/>
            <w:noWrap w:val="0"/>
            <w:vAlign w:val="center"/>
          </w:tcPr>
          <w:p>
            <w:pPr>
              <w:spacing w:line="240" w:lineRule="atLeast"/>
              <w:jc w:val="center"/>
              <w:rPr>
                <w:rFonts w:hint="eastAsia" w:ascii="Times New Roman" w:hAnsi="Times New Roman"/>
                <w:color w:val="000000"/>
                <w:szCs w:val="21"/>
                <w:lang w:val="en-US" w:eastAsia="zh-CN"/>
              </w:rPr>
            </w:pPr>
          </w:p>
        </w:tc>
        <w:tc>
          <w:tcPr>
            <w:tcW w:w="1822" w:type="dxa"/>
            <w:tcBorders>
              <w:bottom w:val="single" w:color="auto" w:sz="4" w:space="0"/>
            </w:tcBorders>
            <w:noWrap w:val="0"/>
            <w:vAlign w:val="center"/>
          </w:tcPr>
          <w:p>
            <w:pPr>
              <w:pStyle w:val="94"/>
              <w:spacing w:before="53" w:line="240" w:lineRule="atLeast"/>
              <w:jc w:val="center"/>
              <w:rPr>
                <w:rFonts w:hint="eastAsia" w:ascii="Times New Roman" w:hAnsi="Times New Roman"/>
                <w:color w:val="000000"/>
                <w:szCs w:val="21"/>
                <w:lang w:val="en-US" w:eastAsia="zh-CN"/>
              </w:rPr>
            </w:pPr>
            <w:r>
              <w:rPr>
                <w:rFonts w:ascii="Times New Roman" w:hAnsi="Times New Roman"/>
                <w:color w:val="000000"/>
                <w:sz w:val="21"/>
                <w:szCs w:val="21"/>
              </w:rPr>
              <w:t>COD</w:t>
            </w:r>
          </w:p>
        </w:tc>
        <w:tc>
          <w:tcPr>
            <w:tcW w:w="2574" w:type="dxa"/>
            <w:tcBorders>
              <w:bottom w:val="single" w:color="auto" w:sz="4" w:space="0"/>
              <w:right w:val="single" w:color="auto" w:sz="4" w:space="0"/>
            </w:tcBorders>
            <w:noWrap w:val="0"/>
            <w:vAlign w:val="center"/>
          </w:tcPr>
          <w:p>
            <w:pPr>
              <w:spacing w:line="240" w:lineRule="atLeast"/>
              <w:jc w:val="center"/>
              <w:rPr>
                <w:rFonts w:hint="eastAsia" w:ascii="Times New Roman" w:hAnsi="Times New Roman"/>
                <w:color w:val="000000"/>
                <w:szCs w:val="21"/>
                <w:lang w:val="en-US" w:eastAsia="zh-CN"/>
              </w:rPr>
            </w:pPr>
            <w:r>
              <w:rPr>
                <w:rFonts w:hint="eastAsia" w:ascii="Times New Roman" w:hAnsi="Times New Roman"/>
                <w:color w:val="000000"/>
                <w:szCs w:val="21"/>
                <w:lang w:val="en-US" w:eastAsia="zh-CN"/>
              </w:rPr>
              <w:t>35</w:t>
            </w:r>
            <w:r>
              <w:rPr>
                <w:rFonts w:ascii="Times New Roman" w:hAnsi="Times New Roman"/>
                <w:color w:val="000000"/>
                <w:szCs w:val="21"/>
              </w:rPr>
              <w:t>0mg/L，</w:t>
            </w:r>
            <w:r>
              <w:rPr>
                <w:rFonts w:hint="eastAsia" w:ascii="Times New Roman" w:hAnsi="Times New Roman"/>
                <w:color w:val="000000"/>
                <w:szCs w:val="21"/>
                <w:lang w:val="en-US" w:eastAsia="zh-CN"/>
              </w:rPr>
              <w:t>0.801</w:t>
            </w:r>
            <w:r>
              <w:rPr>
                <w:rFonts w:hint="eastAsia" w:ascii="Times New Roman" w:hAnsi="Times New Roman"/>
                <w:color w:val="000000"/>
                <w:szCs w:val="21"/>
              </w:rPr>
              <w:t>6</w:t>
            </w:r>
            <w:r>
              <w:rPr>
                <w:rFonts w:ascii="Times New Roman" w:hAnsi="Times New Roman"/>
                <w:color w:val="000000"/>
                <w:szCs w:val="21"/>
              </w:rPr>
              <w:t>t/</w:t>
            </w:r>
            <w:r>
              <w:rPr>
                <w:rFonts w:hint="eastAsia" w:ascii="Times New Roman" w:hAnsi="Times New Roman"/>
                <w:color w:val="000000"/>
                <w:szCs w:val="21"/>
                <w:lang w:val="en-US" w:eastAsia="zh-CN"/>
              </w:rPr>
              <w:t>工期</w:t>
            </w:r>
          </w:p>
        </w:tc>
        <w:tc>
          <w:tcPr>
            <w:tcW w:w="2782" w:type="dxa"/>
            <w:tcBorders>
              <w:left w:val="single" w:color="auto" w:sz="4" w:space="0"/>
              <w:bottom w:val="single" w:color="auto" w:sz="4" w:space="0"/>
              <w:right w:val="single" w:color="auto" w:sz="4" w:space="0"/>
            </w:tcBorders>
            <w:noWrap w:val="0"/>
            <w:vAlign w:val="center"/>
          </w:tcPr>
          <w:p>
            <w:pPr>
              <w:spacing w:line="240" w:lineRule="atLeast"/>
              <w:jc w:val="center"/>
              <w:rPr>
                <w:rFonts w:hint="eastAsia" w:ascii="Times New Roman" w:hAnsi="Times New Roman"/>
                <w:color w:val="000000"/>
                <w:szCs w:val="21"/>
                <w:lang w:val="en-US" w:eastAsia="zh-CN"/>
              </w:rPr>
            </w:pPr>
            <w:r>
              <w:rPr>
                <w:rFonts w:ascii="Times New Roman" w:hAnsi="Times New Roman"/>
                <w:color w:val="000000"/>
                <w:szCs w:val="21"/>
              </w:rPr>
              <w:t>360mg/L，</w:t>
            </w:r>
            <w:r>
              <w:rPr>
                <w:rFonts w:hint="eastAsia" w:ascii="Times New Roman" w:hAnsi="Times New Roman"/>
                <w:color w:val="000000"/>
                <w:szCs w:val="21"/>
                <w:lang w:val="en-US" w:eastAsia="zh-CN"/>
              </w:rPr>
              <w:t>0.3008</w:t>
            </w:r>
            <w:r>
              <w:rPr>
                <w:rFonts w:ascii="Times New Roman" w:hAnsi="Times New Roman"/>
                <w:color w:val="000000"/>
                <w:szCs w:val="21"/>
              </w:rPr>
              <w:t>t/</w:t>
            </w:r>
            <w:r>
              <w:rPr>
                <w:rFonts w:hint="eastAsia" w:ascii="Times New Roman" w:hAnsi="Times New Roman"/>
                <w:color w:val="000000"/>
                <w:szCs w:val="21"/>
                <w:lang w:val="en-US" w:eastAsia="zh-CN"/>
              </w:rPr>
              <w:t>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vMerge w:val="continue"/>
            <w:noWrap w:val="0"/>
            <w:vAlign w:val="center"/>
          </w:tcPr>
          <w:p>
            <w:pPr>
              <w:spacing w:line="240" w:lineRule="atLeast"/>
              <w:jc w:val="center"/>
              <w:rPr>
                <w:rFonts w:hint="eastAsia" w:ascii="Times New Roman" w:hAnsi="Times New Roman"/>
                <w:color w:val="000000"/>
                <w:szCs w:val="21"/>
                <w:lang w:val="en-US" w:eastAsia="zh-CN"/>
              </w:rPr>
            </w:pPr>
          </w:p>
        </w:tc>
        <w:tc>
          <w:tcPr>
            <w:tcW w:w="1822" w:type="dxa"/>
            <w:tcBorders>
              <w:bottom w:val="single" w:color="auto" w:sz="4" w:space="0"/>
            </w:tcBorders>
            <w:noWrap w:val="0"/>
            <w:vAlign w:val="center"/>
          </w:tcPr>
          <w:p>
            <w:pPr>
              <w:pStyle w:val="94"/>
              <w:spacing w:before="53" w:line="240" w:lineRule="atLeast"/>
              <w:jc w:val="center"/>
              <w:rPr>
                <w:rFonts w:hint="eastAsia" w:ascii="Times New Roman" w:hAnsi="Times New Roman"/>
                <w:color w:val="000000"/>
                <w:szCs w:val="21"/>
                <w:lang w:val="en-US" w:eastAsia="zh-CN"/>
              </w:rPr>
            </w:pPr>
            <w:r>
              <w:rPr>
                <w:rFonts w:ascii="Times New Roman" w:hAnsi="Times New Roman"/>
                <w:color w:val="000000"/>
                <w:sz w:val="21"/>
                <w:szCs w:val="21"/>
              </w:rPr>
              <w:t>SS</w:t>
            </w:r>
          </w:p>
        </w:tc>
        <w:tc>
          <w:tcPr>
            <w:tcW w:w="2574" w:type="dxa"/>
            <w:tcBorders>
              <w:bottom w:val="single" w:color="auto" w:sz="4" w:space="0"/>
              <w:right w:val="single" w:color="auto" w:sz="4" w:space="0"/>
            </w:tcBorders>
            <w:noWrap w:val="0"/>
            <w:vAlign w:val="center"/>
          </w:tcPr>
          <w:p>
            <w:pPr>
              <w:spacing w:line="240" w:lineRule="atLeast"/>
              <w:jc w:val="center"/>
              <w:rPr>
                <w:rFonts w:hint="eastAsia" w:ascii="Times New Roman" w:hAnsi="Times New Roman"/>
                <w:color w:val="000000"/>
                <w:szCs w:val="21"/>
                <w:lang w:val="en-US" w:eastAsia="zh-CN"/>
              </w:rPr>
            </w:pPr>
            <w:r>
              <w:rPr>
                <w:rFonts w:ascii="Times New Roman" w:hAnsi="Times New Roman"/>
                <w:color w:val="000000"/>
                <w:szCs w:val="21"/>
              </w:rPr>
              <w:t>200mg/L，</w:t>
            </w:r>
            <w:r>
              <w:rPr>
                <w:rFonts w:hint="eastAsia" w:ascii="Times New Roman" w:hAnsi="Times New Roman"/>
                <w:color w:val="000000"/>
                <w:szCs w:val="21"/>
                <w:lang w:val="en-US" w:eastAsia="zh-CN"/>
              </w:rPr>
              <w:t>0.400</w:t>
            </w:r>
            <w:r>
              <w:rPr>
                <w:rFonts w:hint="eastAsia" w:ascii="Times New Roman" w:hAnsi="Times New Roman"/>
                <w:color w:val="000000"/>
                <w:szCs w:val="21"/>
              </w:rPr>
              <w:t>8</w:t>
            </w:r>
            <w:r>
              <w:rPr>
                <w:rFonts w:ascii="Times New Roman" w:hAnsi="Times New Roman"/>
                <w:color w:val="000000"/>
                <w:szCs w:val="21"/>
              </w:rPr>
              <w:t>t/</w:t>
            </w:r>
            <w:r>
              <w:rPr>
                <w:rFonts w:hint="eastAsia" w:ascii="Times New Roman" w:hAnsi="Times New Roman"/>
                <w:color w:val="000000"/>
                <w:szCs w:val="21"/>
                <w:lang w:val="en-US" w:eastAsia="zh-CN"/>
              </w:rPr>
              <w:t>工期</w:t>
            </w:r>
          </w:p>
        </w:tc>
        <w:tc>
          <w:tcPr>
            <w:tcW w:w="2782" w:type="dxa"/>
            <w:tcBorders>
              <w:left w:val="single" w:color="auto" w:sz="4" w:space="0"/>
              <w:bottom w:val="single" w:color="auto" w:sz="4" w:space="0"/>
              <w:right w:val="single" w:color="auto" w:sz="4" w:space="0"/>
            </w:tcBorders>
            <w:noWrap w:val="0"/>
            <w:vAlign w:val="center"/>
          </w:tcPr>
          <w:p>
            <w:pPr>
              <w:spacing w:line="240" w:lineRule="atLeast"/>
              <w:jc w:val="center"/>
              <w:rPr>
                <w:rFonts w:hint="eastAsia" w:ascii="Times New Roman" w:hAnsi="Times New Roman"/>
                <w:color w:val="000000"/>
                <w:szCs w:val="21"/>
                <w:lang w:val="en-US" w:eastAsia="zh-CN"/>
              </w:rPr>
            </w:pPr>
            <w:r>
              <w:rPr>
                <w:rFonts w:ascii="Times New Roman" w:hAnsi="Times New Roman"/>
                <w:color w:val="000000"/>
                <w:szCs w:val="21"/>
              </w:rPr>
              <w:t>160mg/L，</w:t>
            </w:r>
            <w:r>
              <w:rPr>
                <w:rFonts w:hint="eastAsia" w:ascii="Times New Roman" w:hAnsi="Times New Roman"/>
                <w:color w:val="000000"/>
                <w:szCs w:val="21"/>
                <w:lang w:val="en-US" w:eastAsia="zh-CN"/>
              </w:rPr>
              <w:t>0.1504</w:t>
            </w:r>
            <w:r>
              <w:rPr>
                <w:rFonts w:ascii="Times New Roman" w:hAnsi="Times New Roman"/>
                <w:color w:val="000000"/>
                <w:szCs w:val="21"/>
              </w:rPr>
              <w:t>t/</w:t>
            </w:r>
            <w:r>
              <w:rPr>
                <w:rFonts w:hint="eastAsia" w:ascii="Times New Roman" w:hAnsi="Times New Roman"/>
                <w:color w:val="000000"/>
                <w:szCs w:val="21"/>
                <w:lang w:val="en-US" w:eastAsia="zh-CN"/>
              </w:rPr>
              <w:t>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vMerge w:val="continue"/>
            <w:noWrap w:val="0"/>
            <w:vAlign w:val="center"/>
          </w:tcPr>
          <w:p>
            <w:pPr>
              <w:spacing w:line="240" w:lineRule="atLeast"/>
              <w:jc w:val="center"/>
              <w:rPr>
                <w:rFonts w:hint="eastAsia" w:ascii="Times New Roman" w:hAnsi="Times New Roman"/>
                <w:color w:val="000000"/>
                <w:szCs w:val="21"/>
                <w:lang w:val="en-US" w:eastAsia="zh-CN"/>
              </w:rPr>
            </w:pPr>
          </w:p>
        </w:tc>
        <w:tc>
          <w:tcPr>
            <w:tcW w:w="1822" w:type="dxa"/>
            <w:tcBorders>
              <w:bottom w:val="single" w:color="auto" w:sz="4" w:space="0"/>
            </w:tcBorders>
            <w:noWrap w:val="0"/>
            <w:vAlign w:val="center"/>
          </w:tcPr>
          <w:p>
            <w:pPr>
              <w:pStyle w:val="94"/>
              <w:spacing w:before="53" w:line="240" w:lineRule="atLeast"/>
              <w:jc w:val="center"/>
              <w:rPr>
                <w:rFonts w:hint="eastAsia" w:ascii="Times New Roman" w:hAnsi="Times New Roman"/>
                <w:color w:val="000000"/>
                <w:szCs w:val="21"/>
                <w:lang w:val="en-US" w:eastAsia="zh-CN"/>
              </w:rPr>
            </w:pPr>
            <w:r>
              <w:rPr>
                <w:rFonts w:ascii="Times New Roman" w:hAnsi="Times New Roman"/>
                <w:color w:val="000000"/>
                <w:sz w:val="21"/>
                <w:szCs w:val="21"/>
              </w:rPr>
              <w:t>氨氮</w:t>
            </w:r>
          </w:p>
        </w:tc>
        <w:tc>
          <w:tcPr>
            <w:tcW w:w="2574" w:type="dxa"/>
            <w:tcBorders>
              <w:bottom w:val="single" w:color="auto" w:sz="4" w:space="0"/>
              <w:right w:val="single" w:color="auto" w:sz="4" w:space="0"/>
            </w:tcBorders>
            <w:noWrap w:val="0"/>
            <w:vAlign w:val="center"/>
          </w:tcPr>
          <w:p>
            <w:pPr>
              <w:spacing w:line="240" w:lineRule="atLeast"/>
              <w:jc w:val="center"/>
              <w:rPr>
                <w:rFonts w:hint="eastAsia" w:ascii="Times New Roman" w:hAnsi="Times New Roman"/>
                <w:color w:val="000000"/>
                <w:szCs w:val="21"/>
                <w:lang w:val="en-US" w:eastAsia="zh-CN"/>
              </w:rPr>
            </w:pPr>
            <w:r>
              <w:rPr>
                <w:rFonts w:hint="eastAsia" w:ascii="Times New Roman" w:hAnsi="Times New Roman"/>
                <w:color w:val="000000"/>
                <w:szCs w:val="21"/>
                <w:lang w:val="en-US" w:eastAsia="zh-CN"/>
              </w:rPr>
              <w:t>3</w:t>
            </w:r>
            <w:r>
              <w:rPr>
                <w:rFonts w:ascii="Times New Roman" w:hAnsi="Times New Roman"/>
                <w:color w:val="000000"/>
                <w:szCs w:val="21"/>
              </w:rPr>
              <w:t>5mg/L，0.</w:t>
            </w:r>
            <w:r>
              <w:rPr>
                <w:rFonts w:hint="eastAsia" w:ascii="Times New Roman" w:hAnsi="Times New Roman"/>
                <w:color w:val="000000"/>
                <w:szCs w:val="21"/>
                <w:lang w:val="en-US" w:eastAsia="zh-CN"/>
              </w:rPr>
              <w:t>0501</w:t>
            </w:r>
            <w:r>
              <w:rPr>
                <w:rFonts w:ascii="Times New Roman" w:hAnsi="Times New Roman"/>
                <w:color w:val="000000"/>
                <w:szCs w:val="21"/>
              </w:rPr>
              <w:t>t/</w:t>
            </w:r>
            <w:r>
              <w:rPr>
                <w:rFonts w:hint="eastAsia" w:ascii="Times New Roman" w:hAnsi="Times New Roman"/>
                <w:color w:val="000000"/>
                <w:szCs w:val="21"/>
                <w:lang w:val="en-US" w:eastAsia="zh-CN"/>
              </w:rPr>
              <w:t>工期</w:t>
            </w:r>
          </w:p>
        </w:tc>
        <w:tc>
          <w:tcPr>
            <w:tcW w:w="2782" w:type="dxa"/>
            <w:tcBorders>
              <w:left w:val="single" w:color="auto" w:sz="4" w:space="0"/>
              <w:bottom w:val="single" w:color="auto" w:sz="4" w:space="0"/>
              <w:right w:val="single" w:color="auto" w:sz="4" w:space="0"/>
            </w:tcBorders>
            <w:noWrap w:val="0"/>
            <w:vAlign w:val="center"/>
          </w:tcPr>
          <w:p>
            <w:pPr>
              <w:spacing w:line="240" w:lineRule="atLeast"/>
              <w:jc w:val="center"/>
              <w:rPr>
                <w:rFonts w:hint="eastAsia" w:ascii="Times New Roman" w:hAnsi="Times New Roman"/>
                <w:color w:val="000000"/>
                <w:szCs w:val="21"/>
                <w:lang w:val="en-US" w:eastAsia="zh-CN"/>
              </w:rPr>
            </w:pPr>
            <w:r>
              <w:rPr>
                <w:rFonts w:hint="eastAsia" w:ascii="Times New Roman" w:hAnsi="Times New Roman"/>
                <w:color w:val="000000"/>
                <w:szCs w:val="21"/>
                <w:lang w:val="en-US" w:eastAsia="zh-CN"/>
              </w:rPr>
              <w:t>3</w:t>
            </w:r>
            <w:r>
              <w:rPr>
                <w:rFonts w:ascii="Times New Roman" w:hAnsi="Times New Roman"/>
                <w:color w:val="000000"/>
                <w:szCs w:val="21"/>
              </w:rPr>
              <w:t>5mg/L，0.</w:t>
            </w:r>
            <w:r>
              <w:rPr>
                <w:rFonts w:hint="eastAsia" w:ascii="Times New Roman" w:hAnsi="Times New Roman"/>
                <w:color w:val="000000"/>
                <w:szCs w:val="21"/>
                <w:lang w:val="en-US" w:eastAsia="zh-CN"/>
              </w:rPr>
              <w:t>0329</w:t>
            </w:r>
            <w:r>
              <w:rPr>
                <w:rFonts w:ascii="Times New Roman" w:hAnsi="Times New Roman"/>
                <w:color w:val="000000"/>
                <w:szCs w:val="21"/>
              </w:rPr>
              <w:t>t/</w:t>
            </w:r>
            <w:r>
              <w:rPr>
                <w:rFonts w:hint="eastAsia" w:ascii="Times New Roman" w:hAnsi="Times New Roman"/>
                <w:color w:val="000000"/>
                <w:szCs w:val="21"/>
                <w:lang w:val="en-US" w:eastAsia="zh-CN"/>
              </w:rPr>
              <w:t>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vMerge w:val="continue"/>
            <w:noWrap w:val="0"/>
            <w:vAlign w:val="center"/>
          </w:tcPr>
          <w:p>
            <w:pPr>
              <w:spacing w:line="240" w:lineRule="atLeast"/>
              <w:jc w:val="center"/>
              <w:rPr>
                <w:rFonts w:hint="eastAsia" w:ascii="Times New Roman" w:hAnsi="Times New Roman"/>
                <w:color w:val="000000"/>
                <w:szCs w:val="21"/>
                <w:lang w:val="en-US" w:eastAsia="zh-CN"/>
              </w:rPr>
            </w:pPr>
          </w:p>
        </w:tc>
        <w:tc>
          <w:tcPr>
            <w:tcW w:w="1822" w:type="dxa"/>
            <w:tcBorders>
              <w:bottom w:val="single" w:color="auto" w:sz="4" w:space="0"/>
            </w:tcBorders>
            <w:noWrap w:val="0"/>
            <w:vAlign w:val="center"/>
          </w:tcPr>
          <w:p>
            <w:pPr>
              <w:pStyle w:val="94"/>
              <w:spacing w:before="53" w:line="240" w:lineRule="atLeast"/>
              <w:jc w:val="center"/>
              <w:rPr>
                <w:rFonts w:hint="eastAsia" w:ascii="Times New Roman" w:hAnsi="Times New Roman"/>
                <w:color w:val="000000"/>
                <w:szCs w:val="21"/>
                <w:lang w:val="en-US" w:eastAsia="zh-CN"/>
              </w:rPr>
            </w:pPr>
            <w:r>
              <w:rPr>
                <w:rFonts w:ascii="Times New Roman" w:hAnsi="Times New Roman"/>
                <w:color w:val="000000"/>
                <w:sz w:val="21"/>
                <w:szCs w:val="21"/>
              </w:rPr>
              <w:t>BOD</w:t>
            </w:r>
            <w:r>
              <w:rPr>
                <w:rFonts w:ascii="Times New Roman" w:hAnsi="Times New Roman"/>
                <w:color w:val="000000"/>
                <w:sz w:val="21"/>
                <w:szCs w:val="21"/>
                <w:vertAlign w:val="subscript"/>
              </w:rPr>
              <w:t>5</w:t>
            </w:r>
          </w:p>
        </w:tc>
        <w:tc>
          <w:tcPr>
            <w:tcW w:w="2574" w:type="dxa"/>
            <w:tcBorders>
              <w:bottom w:val="single" w:color="auto" w:sz="4" w:space="0"/>
              <w:right w:val="single" w:color="auto" w:sz="4" w:space="0"/>
            </w:tcBorders>
            <w:noWrap w:val="0"/>
            <w:vAlign w:val="center"/>
          </w:tcPr>
          <w:p>
            <w:pPr>
              <w:spacing w:line="240" w:lineRule="atLeast"/>
              <w:jc w:val="center"/>
              <w:rPr>
                <w:rFonts w:hint="eastAsia" w:ascii="Times New Roman" w:hAnsi="Times New Roman"/>
                <w:color w:val="000000"/>
                <w:szCs w:val="21"/>
                <w:lang w:val="en-US" w:eastAsia="zh-CN"/>
              </w:rPr>
            </w:pPr>
            <w:r>
              <w:rPr>
                <w:rFonts w:ascii="Times New Roman" w:hAnsi="Times New Roman"/>
                <w:color w:val="000000"/>
                <w:szCs w:val="21"/>
              </w:rPr>
              <w:t>250mg/L，</w:t>
            </w:r>
            <w:r>
              <w:rPr>
                <w:rFonts w:hint="eastAsia" w:ascii="Times New Roman" w:hAnsi="Times New Roman"/>
                <w:color w:val="000000"/>
                <w:szCs w:val="21"/>
                <w:lang w:val="en-US" w:eastAsia="zh-CN"/>
              </w:rPr>
              <w:t>0.501</w:t>
            </w:r>
            <w:r>
              <w:rPr>
                <w:rFonts w:ascii="Times New Roman" w:hAnsi="Times New Roman"/>
                <w:color w:val="000000"/>
                <w:szCs w:val="21"/>
              </w:rPr>
              <w:t>t/</w:t>
            </w:r>
            <w:r>
              <w:rPr>
                <w:rFonts w:hint="eastAsia" w:ascii="Times New Roman" w:hAnsi="Times New Roman"/>
                <w:color w:val="000000"/>
                <w:szCs w:val="21"/>
                <w:lang w:val="en-US" w:eastAsia="zh-CN"/>
              </w:rPr>
              <w:t>工期</w:t>
            </w:r>
          </w:p>
        </w:tc>
        <w:tc>
          <w:tcPr>
            <w:tcW w:w="2782" w:type="dxa"/>
            <w:tcBorders>
              <w:left w:val="single" w:color="auto" w:sz="4" w:space="0"/>
              <w:bottom w:val="single" w:color="auto" w:sz="4" w:space="0"/>
              <w:right w:val="single" w:color="auto" w:sz="4" w:space="0"/>
            </w:tcBorders>
            <w:noWrap w:val="0"/>
            <w:vAlign w:val="center"/>
          </w:tcPr>
          <w:p>
            <w:pPr>
              <w:spacing w:line="240" w:lineRule="atLeast"/>
              <w:jc w:val="center"/>
              <w:rPr>
                <w:rFonts w:hint="eastAsia" w:ascii="Times New Roman" w:hAnsi="Times New Roman"/>
                <w:color w:val="000000"/>
                <w:szCs w:val="21"/>
                <w:lang w:val="en-US" w:eastAsia="zh-CN"/>
              </w:rPr>
            </w:pPr>
            <w:r>
              <w:rPr>
                <w:rFonts w:ascii="Times New Roman" w:hAnsi="Times New Roman"/>
                <w:color w:val="000000"/>
                <w:szCs w:val="21"/>
              </w:rPr>
              <w:t>225mg/L，</w:t>
            </w:r>
            <w:r>
              <w:rPr>
                <w:rFonts w:hint="eastAsia" w:ascii="Times New Roman" w:hAnsi="Times New Roman"/>
                <w:color w:val="000000"/>
                <w:szCs w:val="21"/>
                <w:lang w:val="en-US" w:eastAsia="zh-CN"/>
              </w:rPr>
              <w:t>0.2115</w:t>
            </w:r>
            <w:r>
              <w:rPr>
                <w:rFonts w:ascii="Times New Roman" w:hAnsi="Times New Roman"/>
                <w:color w:val="000000"/>
                <w:szCs w:val="21"/>
              </w:rPr>
              <w:t>t/</w:t>
            </w:r>
            <w:r>
              <w:rPr>
                <w:rFonts w:hint="eastAsia" w:ascii="Times New Roman" w:hAnsi="Times New Roman"/>
                <w:color w:val="000000"/>
                <w:szCs w:val="21"/>
                <w:lang w:val="en-US" w:eastAsia="zh-CN"/>
              </w:rPr>
              <w:t>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vMerge w:val="continue"/>
            <w:noWrap w:val="0"/>
            <w:vAlign w:val="center"/>
          </w:tcPr>
          <w:p>
            <w:pPr>
              <w:spacing w:line="240" w:lineRule="atLeast"/>
              <w:jc w:val="center"/>
              <w:rPr>
                <w:rFonts w:hint="eastAsia" w:ascii="Times New Roman" w:hAnsi="Times New Roman"/>
                <w:color w:val="000000"/>
                <w:szCs w:val="21"/>
                <w:lang w:val="en-US" w:eastAsia="zh-CN"/>
              </w:rPr>
            </w:pPr>
          </w:p>
        </w:tc>
        <w:tc>
          <w:tcPr>
            <w:tcW w:w="1822" w:type="dxa"/>
            <w:tcBorders>
              <w:bottom w:val="single" w:color="auto" w:sz="4" w:space="0"/>
            </w:tcBorders>
            <w:noWrap w:val="0"/>
            <w:vAlign w:val="center"/>
          </w:tcPr>
          <w:p>
            <w:pPr>
              <w:pStyle w:val="94"/>
              <w:spacing w:before="53" w:line="240" w:lineRule="atLeast"/>
              <w:jc w:val="center"/>
              <w:rPr>
                <w:rFonts w:hint="eastAsia" w:ascii="Times New Roman" w:hAnsi="Times New Roman" w:eastAsia="宋体"/>
                <w:color w:val="000000"/>
                <w:sz w:val="21"/>
                <w:szCs w:val="21"/>
                <w:lang w:val="en-US" w:eastAsia="zh-CN"/>
              </w:rPr>
            </w:pPr>
            <w:r>
              <w:rPr>
                <w:rFonts w:hint="eastAsia" w:ascii="Times New Roman" w:hAnsi="Times New Roman"/>
                <w:color w:val="000000"/>
                <w:sz w:val="21"/>
                <w:szCs w:val="21"/>
                <w:lang w:val="en-US" w:eastAsia="zh-CN"/>
              </w:rPr>
              <w:t>动植物油</w:t>
            </w:r>
          </w:p>
        </w:tc>
        <w:tc>
          <w:tcPr>
            <w:tcW w:w="2574" w:type="dxa"/>
            <w:tcBorders>
              <w:bottom w:val="single" w:color="auto" w:sz="4" w:space="0"/>
              <w:right w:val="single" w:color="auto" w:sz="4" w:space="0"/>
            </w:tcBorders>
            <w:noWrap w:val="0"/>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lang w:val="en-US" w:eastAsia="zh-CN"/>
              </w:rPr>
              <w:t>12</w:t>
            </w:r>
            <w:r>
              <w:rPr>
                <w:rFonts w:ascii="Times New Roman" w:hAnsi="Times New Roman"/>
                <w:color w:val="000000"/>
                <w:szCs w:val="21"/>
              </w:rPr>
              <w:t>0mg/L，</w:t>
            </w:r>
            <w:r>
              <w:rPr>
                <w:rFonts w:hint="eastAsia" w:ascii="Times New Roman" w:hAnsi="Times New Roman"/>
                <w:color w:val="000000"/>
                <w:szCs w:val="21"/>
                <w:lang w:val="en-US" w:eastAsia="zh-CN"/>
              </w:rPr>
              <w:t>0.501</w:t>
            </w:r>
            <w:r>
              <w:rPr>
                <w:rFonts w:ascii="Times New Roman" w:hAnsi="Times New Roman"/>
                <w:color w:val="000000"/>
                <w:szCs w:val="21"/>
              </w:rPr>
              <w:t>t/</w:t>
            </w:r>
            <w:r>
              <w:rPr>
                <w:rFonts w:hint="eastAsia" w:ascii="Times New Roman" w:hAnsi="Times New Roman"/>
                <w:color w:val="000000"/>
                <w:szCs w:val="21"/>
                <w:lang w:val="en-US" w:eastAsia="zh-CN"/>
              </w:rPr>
              <w:t>工期</w:t>
            </w:r>
          </w:p>
        </w:tc>
        <w:tc>
          <w:tcPr>
            <w:tcW w:w="2782" w:type="dxa"/>
            <w:tcBorders>
              <w:left w:val="single" w:color="auto" w:sz="4" w:space="0"/>
              <w:bottom w:val="single" w:color="auto" w:sz="4" w:space="0"/>
              <w:right w:val="single" w:color="auto" w:sz="4" w:space="0"/>
            </w:tcBorders>
            <w:noWrap w:val="0"/>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lang w:val="en-US" w:eastAsia="zh-CN"/>
              </w:rPr>
              <w:t>100</w:t>
            </w:r>
            <w:r>
              <w:rPr>
                <w:rFonts w:ascii="Times New Roman" w:hAnsi="Times New Roman"/>
                <w:color w:val="000000"/>
                <w:szCs w:val="21"/>
              </w:rPr>
              <w:t>mg/L，</w:t>
            </w:r>
            <w:r>
              <w:rPr>
                <w:rFonts w:hint="eastAsia" w:ascii="Times New Roman" w:hAnsi="Times New Roman"/>
                <w:color w:val="000000"/>
                <w:szCs w:val="21"/>
                <w:lang w:val="en-US" w:eastAsia="zh-CN"/>
              </w:rPr>
              <w:t>0.094</w:t>
            </w:r>
            <w:r>
              <w:rPr>
                <w:rFonts w:ascii="Times New Roman" w:hAnsi="Times New Roman"/>
                <w:color w:val="000000"/>
                <w:szCs w:val="21"/>
              </w:rPr>
              <w:t>/</w:t>
            </w:r>
            <w:r>
              <w:rPr>
                <w:rFonts w:hint="eastAsia" w:ascii="Times New Roman" w:hAnsi="Times New Roman"/>
                <w:color w:val="000000"/>
                <w:szCs w:val="21"/>
                <w:lang w:val="en-US" w:eastAsia="zh-CN"/>
              </w:rPr>
              <w:t>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vMerge w:val="restart"/>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基坑废水、初期雨水、车辆清洗废水、污染地下水</w:t>
            </w:r>
          </w:p>
        </w:tc>
        <w:tc>
          <w:tcPr>
            <w:tcW w:w="1822" w:type="dxa"/>
            <w:tcBorders>
              <w:bottom w:val="single" w:color="auto" w:sz="4" w:space="0"/>
            </w:tcBorders>
            <w:noWrap w:val="0"/>
            <w:vAlign w:val="center"/>
          </w:tcPr>
          <w:p>
            <w:pPr>
              <w:pStyle w:val="94"/>
              <w:spacing w:before="53" w:line="240" w:lineRule="atLeast"/>
              <w:jc w:val="center"/>
              <w:rPr>
                <w:rFonts w:hint="eastAsia" w:ascii="Times New Roman" w:hAnsi="Times New Roman" w:eastAsia="宋体"/>
                <w:color w:val="000000"/>
                <w:sz w:val="21"/>
                <w:szCs w:val="21"/>
                <w:lang w:val="en-US" w:eastAsia="zh-CN"/>
              </w:rPr>
            </w:pPr>
            <w:r>
              <w:rPr>
                <w:rFonts w:hint="eastAsia" w:ascii="Times New Roman" w:hAnsi="Times New Roman"/>
                <w:color w:val="000000"/>
                <w:sz w:val="21"/>
                <w:szCs w:val="21"/>
                <w:lang w:val="en-US" w:eastAsia="zh-CN"/>
              </w:rPr>
              <w:t>废水量</w:t>
            </w:r>
          </w:p>
        </w:tc>
        <w:tc>
          <w:tcPr>
            <w:tcW w:w="5356" w:type="dxa"/>
            <w:gridSpan w:val="2"/>
            <w:tcBorders>
              <w:bottom w:val="single" w:color="auto" w:sz="4" w:space="0"/>
              <w:right w:val="single" w:color="auto" w:sz="4" w:space="0"/>
            </w:tcBorders>
            <w:noWrap w:val="0"/>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lang w:val="en-US" w:eastAsia="zh-CN"/>
              </w:rPr>
              <w:t>20295.36m</w:t>
            </w:r>
            <w:r>
              <w:rPr>
                <w:rFonts w:hint="eastAsia" w:ascii="Times New Roman" w:hAnsi="Times New Roman"/>
                <w:color w:val="000000"/>
                <w:szCs w:val="21"/>
                <w:vertAlign w:val="superscript"/>
                <w:lang w:val="en-US" w:eastAsia="zh-CN"/>
              </w:rPr>
              <w:t>3</w:t>
            </w:r>
            <w:r>
              <w:rPr>
                <w:rFonts w:ascii="Times New Roman" w:hAnsi="Times New Roman"/>
                <w:color w:val="000000"/>
                <w:szCs w:val="21"/>
              </w:rPr>
              <w:t>/</w:t>
            </w:r>
            <w:r>
              <w:rPr>
                <w:rFonts w:hint="eastAsia" w:ascii="Times New Roman" w:hAnsi="Times New Roman"/>
                <w:color w:val="000000"/>
                <w:szCs w:val="21"/>
                <w:lang w:val="en-US" w:eastAsia="zh-CN"/>
              </w:rPr>
              <w:t>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vMerge w:val="continue"/>
            <w:noWrap w:val="0"/>
            <w:vAlign w:val="center"/>
          </w:tcPr>
          <w:p>
            <w:pPr>
              <w:spacing w:line="240" w:lineRule="atLeast"/>
              <w:jc w:val="center"/>
              <w:rPr>
                <w:rFonts w:hint="eastAsia" w:ascii="Times New Roman" w:hAnsi="Times New Roman"/>
                <w:color w:val="000000"/>
                <w:szCs w:val="21"/>
                <w:lang w:val="en-US" w:eastAsia="zh-CN"/>
              </w:rPr>
            </w:pPr>
          </w:p>
        </w:tc>
        <w:tc>
          <w:tcPr>
            <w:tcW w:w="1822" w:type="dxa"/>
            <w:tcBorders>
              <w:bottom w:val="single" w:color="auto" w:sz="4" w:space="0"/>
            </w:tcBorders>
            <w:noWrap w:val="0"/>
            <w:vAlign w:val="center"/>
          </w:tcPr>
          <w:p>
            <w:pPr>
              <w:pStyle w:val="94"/>
              <w:spacing w:before="53" w:line="240" w:lineRule="atLeast"/>
              <w:jc w:val="center"/>
              <w:rPr>
                <w:rFonts w:ascii="Times New Roman" w:hAnsi="Times New Roman"/>
                <w:color w:val="000000"/>
                <w:sz w:val="21"/>
                <w:szCs w:val="21"/>
              </w:rPr>
            </w:pPr>
            <w:r>
              <w:rPr>
                <w:rFonts w:ascii="Times New Roman" w:hAnsi="Times New Roman"/>
                <w:sz w:val="21"/>
                <w:szCs w:val="21"/>
                <w:highlight w:val="none"/>
              </w:rPr>
              <w:t>COD</w:t>
            </w:r>
          </w:p>
        </w:tc>
        <w:tc>
          <w:tcPr>
            <w:tcW w:w="2574" w:type="dxa"/>
            <w:tcBorders>
              <w:bottom w:val="single" w:color="auto" w:sz="4" w:space="0"/>
              <w:right w:val="single" w:color="auto" w:sz="4" w:space="0"/>
            </w:tcBorders>
            <w:noWrap w:val="0"/>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lang w:val="en-US" w:eastAsia="zh-CN"/>
              </w:rPr>
              <w:t>399.1</w:t>
            </w:r>
            <w:r>
              <w:rPr>
                <w:rFonts w:ascii="Times New Roman" w:hAnsi="Times New Roman"/>
                <w:color w:val="000000"/>
                <w:szCs w:val="21"/>
              </w:rPr>
              <w:t>mg/L，</w:t>
            </w:r>
            <w:r>
              <w:rPr>
                <w:rFonts w:hint="eastAsia" w:ascii="Times New Roman" w:hAnsi="Times New Roman"/>
                <w:color w:val="000000"/>
                <w:szCs w:val="21"/>
                <w:lang w:val="en-US" w:eastAsia="zh-CN"/>
              </w:rPr>
              <w:t>8.0996</w:t>
            </w:r>
            <w:r>
              <w:rPr>
                <w:rFonts w:ascii="Times New Roman" w:hAnsi="Times New Roman"/>
                <w:color w:val="000000"/>
                <w:szCs w:val="21"/>
              </w:rPr>
              <w:t>t/</w:t>
            </w:r>
            <w:r>
              <w:rPr>
                <w:rFonts w:hint="eastAsia" w:ascii="Times New Roman" w:hAnsi="Times New Roman"/>
                <w:color w:val="000000"/>
                <w:szCs w:val="21"/>
                <w:lang w:val="en-US" w:eastAsia="zh-CN"/>
              </w:rPr>
              <w:t>工期</w:t>
            </w:r>
          </w:p>
        </w:tc>
        <w:tc>
          <w:tcPr>
            <w:tcW w:w="2782" w:type="dxa"/>
            <w:tcBorders>
              <w:left w:val="single" w:color="auto" w:sz="4" w:space="0"/>
              <w:bottom w:val="single" w:color="auto" w:sz="4" w:space="0"/>
              <w:right w:val="single" w:color="auto" w:sz="4" w:space="0"/>
            </w:tcBorders>
            <w:noWrap w:val="0"/>
            <w:vAlign w:val="center"/>
          </w:tcPr>
          <w:p>
            <w:pPr>
              <w:spacing w:line="240" w:lineRule="atLeast"/>
              <w:jc w:val="center"/>
              <w:rPr>
                <w:rFonts w:ascii="Times New Roman" w:hAnsi="Times New Roman"/>
                <w:color w:val="auto"/>
                <w:szCs w:val="21"/>
              </w:rPr>
            </w:pPr>
            <w:r>
              <w:rPr>
                <w:rFonts w:hint="eastAsia" w:ascii="Times New Roman" w:hAnsi="Times New Roman"/>
                <w:color w:val="auto"/>
                <w:szCs w:val="21"/>
                <w:lang w:val="en-US" w:eastAsia="zh-CN"/>
              </w:rPr>
              <w:t>35</w:t>
            </w:r>
            <w:r>
              <w:rPr>
                <w:rFonts w:ascii="Times New Roman" w:hAnsi="Times New Roman"/>
                <w:color w:val="auto"/>
                <w:szCs w:val="21"/>
              </w:rPr>
              <w:t>0mg/L，</w:t>
            </w:r>
            <w:r>
              <w:rPr>
                <w:rFonts w:hint="eastAsia" w:ascii="Times New Roman" w:hAnsi="Times New Roman"/>
                <w:color w:val="auto"/>
                <w:szCs w:val="21"/>
                <w:lang w:val="en-US" w:eastAsia="zh-CN"/>
              </w:rPr>
              <w:t>7.103</w:t>
            </w:r>
            <w:r>
              <w:rPr>
                <w:rFonts w:ascii="Times New Roman" w:hAnsi="Times New Roman"/>
                <w:color w:val="auto"/>
                <w:szCs w:val="21"/>
              </w:rPr>
              <w:t>t/</w:t>
            </w:r>
            <w:r>
              <w:rPr>
                <w:rFonts w:hint="eastAsia" w:ascii="Times New Roman" w:hAnsi="Times New Roman"/>
                <w:color w:val="000000"/>
                <w:szCs w:val="21"/>
                <w:lang w:val="en-US" w:eastAsia="zh-CN"/>
              </w:rPr>
              <w:t>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vMerge w:val="continue"/>
            <w:noWrap w:val="0"/>
            <w:vAlign w:val="center"/>
          </w:tcPr>
          <w:p>
            <w:pPr>
              <w:spacing w:line="240" w:lineRule="atLeast"/>
              <w:jc w:val="center"/>
              <w:rPr>
                <w:rFonts w:hint="eastAsia" w:ascii="Times New Roman" w:hAnsi="Times New Roman"/>
                <w:color w:val="000000"/>
                <w:szCs w:val="21"/>
                <w:lang w:val="en-US" w:eastAsia="zh-CN"/>
              </w:rPr>
            </w:pPr>
          </w:p>
        </w:tc>
        <w:tc>
          <w:tcPr>
            <w:tcW w:w="1822" w:type="dxa"/>
            <w:tcBorders>
              <w:bottom w:val="single" w:color="auto" w:sz="4" w:space="0"/>
            </w:tcBorders>
            <w:noWrap w:val="0"/>
            <w:vAlign w:val="center"/>
          </w:tcPr>
          <w:p>
            <w:pPr>
              <w:pStyle w:val="94"/>
              <w:spacing w:before="53" w:line="240" w:lineRule="atLeast"/>
              <w:jc w:val="center"/>
              <w:rPr>
                <w:rFonts w:ascii="Times New Roman" w:hAnsi="Times New Roman"/>
                <w:color w:val="000000"/>
                <w:sz w:val="21"/>
                <w:szCs w:val="21"/>
              </w:rPr>
            </w:pPr>
            <w:r>
              <w:rPr>
                <w:rFonts w:ascii="Times New Roman" w:hAnsi="Times New Roman"/>
                <w:sz w:val="21"/>
                <w:szCs w:val="21"/>
                <w:highlight w:val="none"/>
              </w:rPr>
              <w:t>SS</w:t>
            </w:r>
          </w:p>
        </w:tc>
        <w:tc>
          <w:tcPr>
            <w:tcW w:w="2574" w:type="dxa"/>
            <w:tcBorders>
              <w:bottom w:val="single" w:color="auto" w:sz="4" w:space="0"/>
              <w:right w:val="single" w:color="auto" w:sz="4" w:space="0"/>
            </w:tcBorders>
            <w:noWrap w:val="0"/>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lang w:val="en-US" w:eastAsia="zh-CN"/>
              </w:rPr>
              <w:t>412.6</w:t>
            </w:r>
            <w:r>
              <w:rPr>
                <w:rFonts w:ascii="Times New Roman" w:hAnsi="Times New Roman"/>
                <w:color w:val="000000"/>
                <w:szCs w:val="21"/>
              </w:rPr>
              <w:t>mg/L，</w:t>
            </w:r>
            <w:r>
              <w:rPr>
                <w:rFonts w:hint="eastAsia" w:ascii="Times New Roman" w:hAnsi="Times New Roman"/>
                <w:color w:val="000000"/>
                <w:szCs w:val="21"/>
                <w:lang w:val="en-US" w:eastAsia="zh-CN"/>
              </w:rPr>
              <w:t>8.3742</w:t>
            </w:r>
            <w:r>
              <w:rPr>
                <w:rFonts w:ascii="Times New Roman" w:hAnsi="Times New Roman"/>
                <w:color w:val="000000"/>
                <w:szCs w:val="21"/>
              </w:rPr>
              <w:t>t/</w:t>
            </w:r>
            <w:r>
              <w:rPr>
                <w:rFonts w:hint="eastAsia" w:ascii="Times New Roman" w:hAnsi="Times New Roman"/>
                <w:color w:val="000000"/>
                <w:szCs w:val="21"/>
                <w:lang w:val="en-US" w:eastAsia="zh-CN"/>
              </w:rPr>
              <w:t>工期</w:t>
            </w:r>
          </w:p>
        </w:tc>
        <w:tc>
          <w:tcPr>
            <w:tcW w:w="2782" w:type="dxa"/>
            <w:tcBorders>
              <w:left w:val="single" w:color="auto" w:sz="4" w:space="0"/>
              <w:bottom w:val="single" w:color="auto" w:sz="4" w:space="0"/>
              <w:right w:val="single" w:color="auto" w:sz="4" w:space="0"/>
            </w:tcBorders>
            <w:noWrap w:val="0"/>
            <w:vAlign w:val="center"/>
          </w:tcPr>
          <w:p>
            <w:pPr>
              <w:spacing w:line="240" w:lineRule="atLeast"/>
              <w:jc w:val="center"/>
              <w:rPr>
                <w:rFonts w:ascii="Times New Roman" w:hAnsi="Times New Roman"/>
                <w:color w:val="auto"/>
                <w:szCs w:val="21"/>
              </w:rPr>
            </w:pPr>
            <w:r>
              <w:rPr>
                <w:rFonts w:hint="eastAsia" w:ascii="Times New Roman" w:hAnsi="Times New Roman"/>
                <w:color w:val="auto"/>
                <w:szCs w:val="21"/>
                <w:lang w:val="en-US" w:eastAsia="zh-CN"/>
              </w:rPr>
              <w:t>26</w:t>
            </w:r>
            <w:r>
              <w:rPr>
                <w:rFonts w:ascii="Times New Roman" w:hAnsi="Times New Roman"/>
                <w:color w:val="auto"/>
                <w:szCs w:val="21"/>
              </w:rPr>
              <w:t>0mg/L，</w:t>
            </w:r>
            <w:r>
              <w:rPr>
                <w:rFonts w:hint="eastAsia" w:ascii="Times New Roman" w:hAnsi="Times New Roman"/>
                <w:color w:val="auto"/>
                <w:szCs w:val="21"/>
                <w:lang w:val="en-US" w:eastAsia="zh-CN"/>
              </w:rPr>
              <w:t>5.277</w:t>
            </w:r>
            <w:r>
              <w:rPr>
                <w:rFonts w:ascii="Times New Roman" w:hAnsi="Times New Roman"/>
                <w:color w:val="auto"/>
                <w:szCs w:val="21"/>
              </w:rPr>
              <w:t>t/</w:t>
            </w:r>
            <w:r>
              <w:rPr>
                <w:rFonts w:hint="eastAsia" w:ascii="Times New Roman" w:hAnsi="Times New Roman"/>
                <w:color w:val="000000"/>
                <w:szCs w:val="21"/>
                <w:lang w:val="en-US" w:eastAsia="zh-CN"/>
              </w:rPr>
              <w:t>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vMerge w:val="continue"/>
            <w:noWrap w:val="0"/>
            <w:vAlign w:val="center"/>
          </w:tcPr>
          <w:p>
            <w:pPr>
              <w:spacing w:line="240" w:lineRule="atLeast"/>
              <w:jc w:val="center"/>
              <w:rPr>
                <w:rFonts w:hint="eastAsia" w:ascii="Times New Roman" w:hAnsi="Times New Roman"/>
                <w:color w:val="000000"/>
                <w:szCs w:val="21"/>
                <w:lang w:val="en-US" w:eastAsia="zh-CN"/>
              </w:rPr>
            </w:pPr>
          </w:p>
        </w:tc>
        <w:tc>
          <w:tcPr>
            <w:tcW w:w="1822" w:type="dxa"/>
            <w:tcBorders>
              <w:bottom w:val="single" w:color="auto" w:sz="4" w:space="0"/>
            </w:tcBorders>
            <w:noWrap w:val="0"/>
            <w:vAlign w:val="center"/>
          </w:tcPr>
          <w:p>
            <w:pPr>
              <w:pStyle w:val="94"/>
              <w:spacing w:before="53" w:line="240" w:lineRule="atLeast"/>
              <w:jc w:val="center"/>
              <w:rPr>
                <w:rFonts w:hint="eastAsia" w:ascii="Times New Roman" w:hAnsi="Times New Roman" w:eastAsia="宋体"/>
                <w:color w:val="000000"/>
                <w:sz w:val="21"/>
                <w:szCs w:val="21"/>
                <w:lang w:val="en-US" w:eastAsia="zh-CN"/>
              </w:rPr>
            </w:pPr>
            <w:r>
              <w:rPr>
                <w:rFonts w:hint="eastAsia" w:ascii="Times New Roman" w:hAnsi="Times New Roman"/>
                <w:color w:val="000000"/>
                <w:sz w:val="21"/>
                <w:szCs w:val="21"/>
                <w:lang w:val="en-US" w:eastAsia="zh-CN"/>
              </w:rPr>
              <w:t>总石油烃</w:t>
            </w:r>
          </w:p>
        </w:tc>
        <w:tc>
          <w:tcPr>
            <w:tcW w:w="2574" w:type="dxa"/>
            <w:tcBorders>
              <w:bottom w:val="single" w:color="auto" w:sz="4" w:space="0"/>
              <w:right w:val="single" w:color="auto" w:sz="4" w:space="0"/>
            </w:tcBorders>
            <w:noWrap w:val="0"/>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lang w:val="en-US" w:eastAsia="zh-CN"/>
              </w:rPr>
              <w:t>0.5</w:t>
            </w:r>
            <w:r>
              <w:rPr>
                <w:rFonts w:ascii="Times New Roman" w:hAnsi="Times New Roman"/>
                <w:color w:val="000000"/>
                <w:szCs w:val="21"/>
              </w:rPr>
              <w:t>mg/L，0.</w:t>
            </w:r>
            <w:r>
              <w:rPr>
                <w:rFonts w:hint="eastAsia" w:ascii="Times New Roman" w:hAnsi="Times New Roman"/>
                <w:color w:val="000000"/>
                <w:szCs w:val="21"/>
                <w:lang w:val="en-US" w:eastAsia="zh-CN"/>
              </w:rPr>
              <w:t>01099</w:t>
            </w:r>
            <w:r>
              <w:rPr>
                <w:rFonts w:ascii="Times New Roman" w:hAnsi="Times New Roman"/>
                <w:color w:val="000000"/>
                <w:szCs w:val="21"/>
              </w:rPr>
              <w:t>/</w:t>
            </w:r>
            <w:r>
              <w:rPr>
                <w:rFonts w:hint="eastAsia" w:ascii="Times New Roman" w:hAnsi="Times New Roman"/>
                <w:color w:val="000000"/>
                <w:szCs w:val="21"/>
                <w:lang w:val="en-US" w:eastAsia="zh-CN"/>
              </w:rPr>
              <w:t>工期</w:t>
            </w:r>
          </w:p>
        </w:tc>
        <w:tc>
          <w:tcPr>
            <w:tcW w:w="2782" w:type="dxa"/>
            <w:tcBorders>
              <w:left w:val="single" w:color="auto" w:sz="4" w:space="0"/>
              <w:bottom w:val="single" w:color="auto" w:sz="4" w:space="0"/>
              <w:right w:val="single" w:color="auto" w:sz="4" w:space="0"/>
            </w:tcBorders>
            <w:noWrap w:val="0"/>
            <w:vAlign w:val="center"/>
          </w:tcPr>
          <w:p>
            <w:pPr>
              <w:spacing w:line="240" w:lineRule="atLeast"/>
              <w:jc w:val="center"/>
              <w:rPr>
                <w:rFonts w:ascii="Times New Roman" w:hAnsi="Times New Roman"/>
                <w:color w:val="auto"/>
                <w:szCs w:val="21"/>
              </w:rPr>
            </w:pPr>
            <w:r>
              <w:rPr>
                <w:rFonts w:hint="eastAsia" w:ascii="Times New Roman" w:hAnsi="Times New Roman"/>
                <w:color w:val="auto"/>
                <w:szCs w:val="21"/>
                <w:lang w:val="en-US" w:eastAsia="zh-CN"/>
              </w:rPr>
              <w:t>0.1</w:t>
            </w:r>
            <w:r>
              <w:rPr>
                <w:rFonts w:ascii="Times New Roman" w:hAnsi="Times New Roman"/>
                <w:color w:val="auto"/>
                <w:szCs w:val="21"/>
              </w:rPr>
              <w:t>mg/L，0.</w:t>
            </w:r>
            <w:r>
              <w:rPr>
                <w:rFonts w:hint="eastAsia" w:ascii="Times New Roman" w:hAnsi="Times New Roman"/>
                <w:color w:val="auto"/>
                <w:szCs w:val="21"/>
                <w:lang w:val="en-US" w:eastAsia="zh-CN"/>
              </w:rPr>
              <w:t>002</w:t>
            </w:r>
            <w:r>
              <w:rPr>
                <w:rFonts w:ascii="Times New Roman" w:hAnsi="Times New Roman"/>
                <w:color w:val="auto"/>
                <w:szCs w:val="21"/>
              </w:rPr>
              <w:t>t/</w:t>
            </w:r>
            <w:r>
              <w:rPr>
                <w:rFonts w:hint="eastAsia" w:ascii="Times New Roman" w:hAnsi="Times New Roman"/>
                <w:color w:val="000000"/>
                <w:szCs w:val="21"/>
                <w:lang w:val="en-US" w:eastAsia="zh-CN"/>
              </w:rPr>
              <w:t>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vMerge w:val="continue"/>
            <w:noWrap w:val="0"/>
            <w:vAlign w:val="center"/>
          </w:tcPr>
          <w:p>
            <w:pPr>
              <w:spacing w:line="240" w:lineRule="atLeast"/>
              <w:jc w:val="center"/>
              <w:rPr>
                <w:rFonts w:hint="eastAsia" w:ascii="Times New Roman" w:hAnsi="Times New Roman"/>
                <w:color w:val="000000"/>
                <w:szCs w:val="21"/>
                <w:lang w:val="en-US" w:eastAsia="zh-CN"/>
              </w:rPr>
            </w:pPr>
          </w:p>
        </w:tc>
        <w:tc>
          <w:tcPr>
            <w:tcW w:w="1822" w:type="dxa"/>
            <w:tcBorders>
              <w:bottom w:val="single" w:color="auto" w:sz="4" w:space="0"/>
            </w:tcBorders>
            <w:noWrap w:val="0"/>
            <w:vAlign w:val="center"/>
          </w:tcPr>
          <w:p>
            <w:pPr>
              <w:pStyle w:val="94"/>
              <w:spacing w:before="53" w:line="240" w:lineRule="atLeast"/>
              <w:jc w:val="center"/>
              <w:rPr>
                <w:rFonts w:hint="eastAsia"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六价铬</w:t>
            </w:r>
          </w:p>
        </w:tc>
        <w:tc>
          <w:tcPr>
            <w:tcW w:w="2574" w:type="dxa"/>
            <w:tcBorders>
              <w:bottom w:val="single" w:color="auto" w:sz="4" w:space="0"/>
              <w:right w:val="single" w:color="auto" w:sz="4" w:space="0"/>
            </w:tcBorders>
            <w:noWrap w:val="0"/>
            <w:vAlign w:val="center"/>
          </w:tcPr>
          <w:p>
            <w:pPr>
              <w:spacing w:line="240" w:lineRule="atLeast"/>
              <w:jc w:val="center"/>
              <w:rPr>
                <w:rFonts w:hint="eastAsia" w:ascii="Times New Roman" w:hAnsi="Times New Roman"/>
                <w:color w:val="000000"/>
                <w:szCs w:val="21"/>
                <w:lang w:val="en-US" w:eastAsia="zh-CN"/>
              </w:rPr>
            </w:pPr>
            <w:r>
              <w:rPr>
                <w:rFonts w:hint="eastAsia" w:ascii="Times New Roman" w:hAnsi="Times New Roman"/>
                <w:color w:val="000000"/>
                <w:szCs w:val="21"/>
                <w:lang w:val="en-US" w:eastAsia="zh-CN"/>
              </w:rPr>
              <w:t>1.2</w:t>
            </w:r>
            <w:r>
              <w:rPr>
                <w:rFonts w:ascii="Times New Roman" w:hAnsi="Times New Roman"/>
                <w:color w:val="000000"/>
                <w:szCs w:val="21"/>
              </w:rPr>
              <w:t>mg/L，0.</w:t>
            </w:r>
            <w:r>
              <w:rPr>
                <w:rFonts w:hint="eastAsia" w:ascii="Times New Roman" w:hAnsi="Times New Roman"/>
                <w:color w:val="000000"/>
                <w:szCs w:val="21"/>
                <w:lang w:val="en-US" w:eastAsia="zh-CN"/>
              </w:rPr>
              <w:t>02335</w:t>
            </w:r>
            <w:r>
              <w:rPr>
                <w:rFonts w:ascii="Times New Roman" w:hAnsi="Times New Roman"/>
                <w:color w:val="000000"/>
                <w:szCs w:val="21"/>
              </w:rPr>
              <w:t>t/</w:t>
            </w:r>
            <w:r>
              <w:rPr>
                <w:rFonts w:hint="eastAsia" w:ascii="Times New Roman" w:hAnsi="Times New Roman"/>
                <w:color w:val="000000"/>
                <w:szCs w:val="21"/>
                <w:lang w:val="en-US" w:eastAsia="zh-CN"/>
              </w:rPr>
              <w:t>工期</w:t>
            </w:r>
          </w:p>
        </w:tc>
        <w:tc>
          <w:tcPr>
            <w:tcW w:w="2782" w:type="dxa"/>
            <w:tcBorders>
              <w:left w:val="single" w:color="auto" w:sz="4" w:space="0"/>
              <w:bottom w:val="single" w:color="auto" w:sz="4" w:space="0"/>
              <w:right w:val="single" w:color="auto" w:sz="4" w:space="0"/>
            </w:tcBorders>
            <w:noWrap w:val="0"/>
            <w:vAlign w:val="center"/>
          </w:tcPr>
          <w:p>
            <w:pPr>
              <w:spacing w:line="240" w:lineRule="atLeast"/>
              <w:jc w:val="center"/>
              <w:rPr>
                <w:rFonts w:hint="eastAsia" w:ascii="Times New Roman" w:hAnsi="Times New Roman"/>
                <w:color w:val="auto"/>
                <w:szCs w:val="21"/>
                <w:lang w:val="en-US" w:eastAsia="zh-CN"/>
              </w:rPr>
            </w:pPr>
            <w:r>
              <w:rPr>
                <w:rFonts w:hint="eastAsia" w:ascii="Times New Roman" w:hAnsi="Times New Roman"/>
                <w:color w:val="auto"/>
                <w:szCs w:val="21"/>
                <w:lang w:val="en-US" w:eastAsia="zh-CN"/>
              </w:rPr>
              <w:t>0.2</w:t>
            </w:r>
            <w:r>
              <w:rPr>
                <w:rFonts w:ascii="Times New Roman" w:hAnsi="Times New Roman"/>
                <w:color w:val="auto"/>
                <w:szCs w:val="21"/>
              </w:rPr>
              <w:t>mg/L，0.</w:t>
            </w:r>
            <w:r>
              <w:rPr>
                <w:rFonts w:hint="eastAsia" w:ascii="Times New Roman" w:hAnsi="Times New Roman"/>
                <w:color w:val="auto"/>
                <w:szCs w:val="21"/>
                <w:lang w:val="en-US" w:eastAsia="zh-CN"/>
              </w:rPr>
              <w:t>004</w:t>
            </w:r>
            <w:r>
              <w:rPr>
                <w:rFonts w:ascii="Times New Roman" w:hAnsi="Times New Roman"/>
                <w:color w:val="auto"/>
                <w:szCs w:val="21"/>
              </w:rPr>
              <w:t>t/</w:t>
            </w:r>
            <w:r>
              <w:rPr>
                <w:rFonts w:hint="eastAsia" w:ascii="Times New Roman" w:hAnsi="Times New Roman"/>
                <w:color w:val="000000"/>
                <w:szCs w:val="21"/>
                <w:lang w:val="en-US" w:eastAsia="zh-CN"/>
              </w:rPr>
              <w:t>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restart"/>
            <w:tcBorders>
              <w:top w:val="single" w:color="auto" w:sz="4" w:space="0"/>
              <w:left w:val="single" w:color="auto" w:sz="4" w:space="0"/>
            </w:tcBorders>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rPr>
              <w:t>固体废物</w:t>
            </w:r>
          </w:p>
        </w:tc>
        <w:tc>
          <w:tcPr>
            <w:tcW w:w="1359" w:type="dxa"/>
            <w:tcBorders>
              <w:top w:val="single" w:color="auto" w:sz="4" w:space="0"/>
            </w:tcBorders>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员工</w:t>
            </w:r>
          </w:p>
        </w:tc>
        <w:tc>
          <w:tcPr>
            <w:tcW w:w="1822" w:type="dxa"/>
            <w:tcBorders>
              <w:top w:val="single" w:color="auto" w:sz="4" w:space="0"/>
            </w:tcBorders>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生活垃圾</w:t>
            </w:r>
          </w:p>
        </w:tc>
        <w:tc>
          <w:tcPr>
            <w:tcW w:w="2574" w:type="dxa"/>
            <w:tcBorders>
              <w:top w:val="single" w:color="auto" w:sz="4" w:space="0"/>
            </w:tcBorders>
            <w:noWrap w:val="0"/>
            <w:vAlign w:val="center"/>
          </w:tcPr>
          <w:p>
            <w:pPr>
              <w:spacing w:line="240" w:lineRule="atLeast"/>
              <w:jc w:val="center"/>
              <w:rPr>
                <w:rFonts w:hint="default" w:ascii="Times New Roman" w:hAnsi="Times New Roman"/>
                <w:color w:val="000000"/>
                <w:szCs w:val="21"/>
                <w:lang w:val="en-US"/>
              </w:rPr>
            </w:pPr>
            <w:r>
              <w:rPr>
                <w:rFonts w:hint="eastAsia" w:ascii="Times New Roman" w:hAnsi="Times New Roman"/>
                <w:color w:val="000000"/>
                <w:szCs w:val="21"/>
                <w:lang w:val="en-US" w:eastAsia="zh-CN"/>
              </w:rPr>
              <w:t>11.75</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2782" w:type="dxa"/>
            <w:vMerge w:val="restart"/>
            <w:tcBorders>
              <w:right w:val="single" w:color="auto" w:sz="4" w:space="0"/>
            </w:tcBorders>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ascii="Times New Roman" w:hAnsi="Times New Roman"/>
                <w:color w:val="000000"/>
                <w:szCs w:val="21"/>
                <w:lang w:val="en-US" w:eastAsia="zh-CN"/>
              </w:rPr>
              <w:t>0t/工期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vMerge w:val="restart"/>
            <w:tcBorders>
              <w:top w:val="single" w:color="auto" w:sz="4" w:space="0"/>
            </w:tcBorders>
            <w:noWrap w:val="0"/>
            <w:vAlign w:val="center"/>
          </w:tcPr>
          <w:p>
            <w:pPr>
              <w:spacing w:line="240" w:lineRule="atLeast"/>
              <w:jc w:val="center"/>
              <w:rPr>
                <w:rFonts w:hint="default" w:ascii="Times New Roman" w:hAnsi="Times New Roman"/>
                <w:color w:val="000000"/>
                <w:szCs w:val="21"/>
                <w:lang w:val="en-US" w:eastAsia="zh-CN"/>
              </w:rPr>
            </w:pPr>
            <w:r>
              <w:rPr>
                <w:rFonts w:hint="eastAsia" w:ascii="Times New Roman" w:hAnsi="Times New Roman"/>
                <w:color w:val="000000"/>
                <w:szCs w:val="21"/>
                <w:lang w:val="en-US" w:eastAsia="zh-CN"/>
              </w:rPr>
              <w:t>生产过程</w:t>
            </w:r>
          </w:p>
        </w:tc>
        <w:tc>
          <w:tcPr>
            <w:tcW w:w="1822" w:type="dxa"/>
            <w:tcBorders>
              <w:top w:val="single" w:color="auto" w:sz="4" w:space="0"/>
            </w:tcBorders>
            <w:noWrap w:val="0"/>
            <w:vAlign w:val="center"/>
          </w:tcPr>
          <w:p>
            <w:pPr>
              <w:pStyle w:val="99"/>
              <w:spacing w:line="240" w:lineRule="atLeast"/>
              <w:ind w:firstLine="0" w:firstLineChars="0"/>
              <w:jc w:val="center"/>
              <w:rPr>
                <w:rFonts w:hint="eastAsia" w:ascii="Times New Roman" w:hAnsi="Times New Roman"/>
                <w:color w:val="000000"/>
                <w:szCs w:val="21"/>
                <w:lang w:val="en-US" w:eastAsia="zh-CN"/>
              </w:rPr>
            </w:pPr>
            <w:r>
              <w:rPr>
                <w:rFonts w:hint="eastAsia" w:ascii="Times New Roman" w:hAnsi="Times New Roman"/>
                <w:color w:val="000000"/>
                <w:szCs w:val="21"/>
                <w:highlight w:val="none"/>
                <w:lang w:val="en-US" w:eastAsia="zh-CN"/>
              </w:rPr>
              <w:t>污染建筑垃圾</w:t>
            </w:r>
          </w:p>
        </w:tc>
        <w:tc>
          <w:tcPr>
            <w:tcW w:w="2574" w:type="dxa"/>
            <w:tcBorders>
              <w:top w:val="single" w:color="auto" w:sz="4" w:space="0"/>
            </w:tcBorders>
            <w:noWrap w:val="0"/>
            <w:vAlign w:val="center"/>
          </w:tcPr>
          <w:p>
            <w:pPr>
              <w:pStyle w:val="99"/>
              <w:spacing w:line="240" w:lineRule="atLeast"/>
              <w:ind w:firstLine="0" w:firstLineChars="0"/>
              <w:jc w:val="center"/>
              <w:rPr>
                <w:rFonts w:hint="eastAsia" w:ascii="Times New Roman" w:hAnsi="Times New Roman"/>
                <w:color w:val="000000"/>
                <w:szCs w:val="21"/>
                <w:lang w:val="en-US" w:eastAsia="zh-CN"/>
              </w:rPr>
            </w:pPr>
            <w:r>
              <w:rPr>
                <w:rFonts w:hint="eastAsia" w:ascii="Times New Roman" w:hAnsi="Times New Roman"/>
                <w:color w:val="000000"/>
                <w:szCs w:val="21"/>
                <w:highlight w:val="none"/>
                <w:lang w:val="en-US" w:eastAsia="zh-CN"/>
              </w:rPr>
              <w:t>2290</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2782" w:type="dxa"/>
            <w:vMerge w:val="continue"/>
            <w:tcBorders>
              <w:right w:val="single" w:color="auto" w:sz="4" w:space="0"/>
            </w:tcBorders>
            <w:noWrap w:val="0"/>
            <w:vAlign w:val="center"/>
          </w:tcPr>
          <w:p>
            <w:pPr>
              <w:spacing w:line="240" w:lineRule="atLeast"/>
              <w:jc w:val="center"/>
              <w:rPr>
                <w:rFonts w:hint="eastAsia" w:ascii="Times New Roman" w:hAnsi="Times New Roman"/>
                <w:color w:val="00000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vMerge w:val="continue"/>
            <w:noWrap w:val="0"/>
            <w:vAlign w:val="center"/>
          </w:tcPr>
          <w:p>
            <w:pPr>
              <w:spacing w:line="240" w:lineRule="atLeast"/>
              <w:jc w:val="center"/>
              <w:rPr>
                <w:rFonts w:hint="eastAsia" w:ascii="Times New Roman" w:hAnsi="Times New Roman"/>
                <w:color w:val="000000"/>
                <w:szCs w:val="21"/>
                <w:lang w:val="en-US" w:eastAsia="zh-CN"/>
              </w:rPr>
            </w:pPr>
          </w:p>
        </w:tc>
        <w:tc>
          <w:tcPr>
            <w:tcW w:w="1822" w:type="dxa"/>
            <w:tcBorders>
              <w:top w:val="single" w:color="auto" w:sz="4" w:space="0"/>
            </w:tcBorders>
            <w:noWrap w:val="0"/>
            <w:vAlign w:val="center"/>
          </w:tcPr>
          <w:p>
            <w:pPr>
              <w:pStyle w:val="99"/>
              <w:spacing w:line="240" w:lineRule="atLeast"/>
              <w:ind w:firstLine="0" w:firstLineChars="0"/>
              <w:jc w:val="center"/>
              <w:rPr>
                <w:rFonts w:hint="eastAsia" w:ascii="Times New Roman" w:hAnsi="Times New Roman"/>
                <w:color w:val="000000"/>
                <w:szCs w:val="21"/>
                <w:lang w:val="en-US" w:eastAsia="zh-CN"/>
              </w:rPr>
            </w:pPr>
            <w:r>
              <w:rPr>
                <w:rFonts w:hint="eastAsia" w:ascii="Times New Roman" w:hAnsi="Times New Roman"/>
                <w:color w:val="000000"/>
                <w:szCs w:val="21"/>
                <w:highlight w:val="none"/>
                <w:lang w:val="en-US" w:eastAsia="zh-CN"/>
              </w:rPr>
              <w:t>非污染建筑垃圾</w:t>
            </w:r>
          </w:p>
        </w:tc>
        <w:tc>
          <w:tcPr>
            <w:tcW w:w="2574" w:type="dxa"/>
            <w:tcBorders>
              <w:top w:val="single" w:color="auto" w:sz="4" w:space="0"/>
            </w:tcBorders>
            <w:noWrap w:val="0"/>
            <w:vAlign w:val="center"/>
          </w:tcPr>
          <w:p>
            <w:pPr>
              <w:pStyle w:val="99"/>
              <w:spacing w:line="240" w:lineRule="atLeast"/>
              <w:ind w:firstLine="0" w:firstLineChars="0"/>
              <w:jc w:val="center"/>
              <w:rPr>
                <w:rFonts w:hint="eastAsia" w:ascii="Times New Roman" w:hAnsi="Times New Roman"/>
                <w:color w:val="000000"/>
                <w:szCs w:val="21"/>
                <w:lang w:val="en-US" w:eastAsia="zh-CN"/>
              </w:rPr>
            </w:pPr>
            <w:r>
              <w:rPr>
                <w:rFonts w:hint="eastAsia" w:ascii="Times New Roman" w:hAnsi="Times New Roman"/>
                <w:color w:val="000000"/>
                <w:szCs w:val="21"/>
                <w:highlight w:val="none"/>
                <w:lang w:val="en-US" w:eastAsia="zh-CN"/>
              </w:rPr>
              <w:t>3950</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2782" w:type="dxa"/>
            <w:vMerge w:val="continue"/>
            <w:tcBorders>
              <w:right w:val="single" w:color="auto" w:sz="4" w:space="0"/>
            </w:tcBorders>
            <w:noWrap w:val="0"/>
            <w:vAlign w:val="center"/>
          </w:tcPr>
          <w:p>
            <w:pPr>
              <w:spacing w:line="240" w:lineRule="atLeast"/>
              <w:jc w:val="center"/>
              <w:rPr>
                <w:rFonts w:hint="eastAsia" w:ascii="Times New Roman" w:hAnsi="Times New Roman"/>
                <w:color w:val="00000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vMerge w:val="continue"/>
            <w:noWrap w:val="0"/>
            <w:vAlign w:val="center"/>
          </w:tcPr>
          <w:p>
            <w:pPr>
              <w:spacing w:line="240" w:lineRule="atLeast"/>
              <w:jc w:val="center"/>
              <w:rPr>
                <w:rFonts w:hint="eastAsia" w:ascii="Times New Roman" w:hAnsi="Times New Roman"/>
                <w:color w:val="000000"/>
                <w:szCs w:val="21"/>
                <w:lang w:val="en-US" w:eastAsia="zh-CN"/>
              </w:rPr>
            </w:pPr>
          </w:p>
        </w:tc>
        <w:tc>
          <w:tcPr>
            <w:tcW w:w="1822" w:type="dxa"/>
            <w:tcBorders>
              <w:top w:val="single" w:color="auto" w:sz="4" w:space="0"/>
            </w:tcBorders>
            <w:noWrap w:val="0"/>
            <w:vAlign w:val="center"/>
          </w:tcPr>
          <w:p>
            <w:pPr>
              <w:pStyle w:val="99"/>
              <w:spacing w:line="240" w:lineRule="atLeast"/>
              <w:ind w:firstLine="0" w:firstLineChars="0"/>
              <w:jc w:val="center"/>
              <w:rPr>
                <w:rFonts w:hint="eastAsia" w:ascii="Times New Roman" w:hAnsi="Times New Roman"/>
                <w:color w:val="000000"/>
                <w:szCs w:val="21"/>
                <w:lang w:val="en-US" w:eastAsia="zh-CN"/>
              </w:rPr>
            </w:pPr>
            <w:r>
              <w:rPr>
                <w:rFonts w:hint="eastAsia" w:ascii="Times New Roman" w:hAnsi="Times New Roman"/>
                <w:color w:val="000000"/>
                <w:szCs w:val="21"/>
                <w:highlight w:val="none"/>
                <w:lang w:val="en-US" w:eastAsia="zh-CN"/>
              </w:rPr>
              <w:t>污泥</w:t>
            </w:r>
          </w:p>
        </w:tc>
        <w:tc>
          <w:tcPr>
            <w:tcW w:w="2574" w:type="dxa"/>
            <w:tcBorders>
              <w:top w:val="single" w:color="auto" w:sz="4" w:space="0"/>
            </w:tcBorders>
            <w:noWrap w:val="0"/>
            <w:vAlign w:val="center"/>
          </w:tcPr>
          <w:p>
            <w:pPr>
              <w:pStyle w:val="99"/>
              <w:spacing w:line="240" w:lineRule="atLeast"/>
              <w:ind w:firstLine="0" w:firstLineChars="0"/>
              <w:jc w:val="center"/>
              <w:rPr>
                <w:rFonts w:hint="eastAsia" w:ascii="Times New Roman" w:hAnsi="Times New Roman"/>
                <w:color w:val="000000"/>
                <w:szCs w:val="21"/>
                <w:lang w:val="en-US" w:eastAsia="zh-CN"/>
              </w:rPr>
            </w:pPr>
            <w:r>
              <w:rPr>
                <w:rFonts w:hint="eastAsia" w:ascii="Times New Roman" w:hAnsi="Times New Roman"/>
                <w:color w:val="000000"/>
                <w:szCs w:val="21"/>
                <w:highlight w:val="none"/>
                <w:lang w:val="en-US" w:eastAsia="zh-CN"/>
              </w:rPr>
              <w:t>15.22</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2782" w:type="dxa"/>
            <w:vMerge w:val="continue"/>
            <w:tcBorders>
              <w:right w:val="single" w:color="auto" w:sz="4" w:space="0"/>
            </w:tcBorders>
            <w:noWrap w:val="0"/>
            <w:vAlign w:val="center"/>
          </w:tcPr>
          <w:p>
            <w:pPr>
              <w:spacing w:line="240" w:lineRule="atLeast"/>
              <w:jc w:val="center"/>
              <w:rPr>
                <w:rFonts w:hint="eastAsia" w:ascii="Times New Roman" w:hAnsi="Times New Roman"/>
                <w:color w:val="00000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noWrap w:val="0"/>
            <w:vAlign w:val="center"/>
          </w:tcPr>
          <w:p>
            <w:pPr>
              <w:spacing w:line="240" w:lineRule="atLeast"/>
              <w:jc w:val="center"/>
              <w:rPr>
                <w:rFonts w:ascii="Times New Roman" w:hAnsi="Times New Roman"/>
                <w:color w:val="000000"/>
                <w:szCs w:val="21"/>
              </w:rPr>
            </w:pPr>
          </w:p>
        </w:tc>
        <w:tc>
          <w:tcPr>
            <w:tcW w:w="1359" w:type="dxa"/>
            <w:vMerge w:val="continue"/>
            <w:noWrap w:val="0"/>
            <w:vAlign w:val="center"/>
          </w:tcPr>
          <w:p>
            <w:pPr>
              <w:spacing w:line="240" w:lineRule="atLeast"/>
              <w:jc w:val="center"/>
              <w:rPr>
                <w:rFonts w:hint="eastAsia" w:ascii="Times New Roman" w:hAnsi="Times New Roman"/>
                <w:color w:val="000000"/>
                <w:szCs w:val="21"/>
                <w:lang w:val="en-US" w:eastAsia="zh-CN"/>
              </w:rPr>
            </w:pPr>
          </w:p>
        </w:tc>
        <w:tc>
          <w:tcPr>
            <w:tcW w:w="1822" w:type="dxa"/>
            <w:tcBorders>
              <w:top w:val="single" w:color="auto" w:sz="4" w:space="0"/>
            </w:tcBorders>
            <w:noWrap w:val="0"/>
            <w:vAlign w:val="center"/>
          </w:tcPr>
          <w:p>
            <w:pPr>
              <w:pStyle w:val="99"/>
              <w:spacing w:line="240" w:lineRule="atLeast"/>
              <w:ind w:firstLine="0" w:firstLineChars="0"/>
              <w:jc w:val="center"/>
              <w:rPr>
                <w:rFonts w:hint="eastAsia" w:ascii="Times New Roman" w:hAnsi="Times New Roman"/>
                <w:color w:val="000000"/>
                <w:szCs w:val="21"/>
                <w:lang w:val="en-US" w:eastAsia="zh-CN"/>
              </w:rPr>
            </w:pPr>
            <w:r>
              <w:rPr>
                <w:rFonts w:hint="eastAsia" w:ascii="Times New Roman" w:hAnsi="Times New Roman"/>
                <w:color w:val="000000"/>
                <w:szCs w:val="21"/>
                <w:highlight w:val="none"/>
                <w:lang w:val="en-US" w:eastAsia="zh-CN"/>
              </w:rPr>
              <w:t>废活性炭</w:t>
            </w:r>
          </w:p>
        </w:tc>
        <w:tc>
          <w:tcPr>
            <w:tcW w:w="2574" w:type="dxa"/>
            <w:tcBorders>
              <w:top w:val="single" w:color="auto" w:sz="4" w:space="0"/>
            </w:tcBorders>
            <w:noWrap w:val="0"/>
            <w:vAlign w:val="center"/>
          </w:tcPr>
          <w:p>
            <w:pPr>
              <w:pStyle w:val="99"/>
              <w:spacing w:line="240" w:lineRule="atLeast"/>
              <w:ind w:firstLine="0" w:firstLineChars="0"/>
              <w:jc w:val="center"/>
              <w:rPr>
                <w:rFonts w:hint="eastAsia" w:ascii="Times New Roman" w:hAnsi="Times New Roman"/>
                <w:color w:val="000000"/>
                <w:szCs w:val="21"/>
                <w:lang w:val="en-US" w:eastAsia="zh-CN"/>
              </w:rPr>
            </w:pPr>
            <w:r>
              <w:rPr>
                <w:rFonts w:hint="eastAsia" w:ascii="Times New Roman" w:hAnsi="Times New Roman"/>
                <w:color w:val="000000"/>
                <w:szCs w:val="21"/>
                <w:highlight w:val="none"/>
                <w:lang w:val="en-US" w:eastAsia="zh-CN"/>
              </w:rPr>
              <w:t>3.5</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2782" w:type="dxa"/>
            <w:vMerge w:val="continue"/>
            <w:tcBorders>
              <w:right w:val="single" w:color="auto" w:sz="4" w:space="0"/>
            </w:tcBorders>
            <w:noWrap w:val="0"/>
            <w:vAlign w:val="center"/>
          </w:tcPr>
          <w:p>
            <w:pPr>
              <w:spacing w:line="240" w:lineRule="atLeast"/>
              <w:jc w:val="center"/>
              <w:rPr>
                <w:rFonts w:hint="eastAsia" w:ascii="Times New Roman" w:hAnsi="Times New Roman"/>
                <w:color w:val="00000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6" w:hRule="atLeast"/>
          <w:jc w:val="center"/>
        </w:trPr>
        <w:tc>
          <w:tcPr>
            <w:tcW w:w="914" w:type="dxa"/>
            <w:tcBorders>
              <w:top w:val="single" w:color="auto" w:sz="4" w:space="0"/>
              <w:left w:val="single" w:color="auto" w:sz="4" w:space="0"/>
              <w:bottom w:val="single" w:color="auto" w:sz="4" w:space="0"/>
            </w:tcBorders>
            <w:noWrap w:val="0"/>
            <w:vAlign w:val="center"/>
          </w:tcPr>
          <w:p>
            <w:pPr>
              <w:spacing w:line="360" w:lineRule="auto"/>
              <w:jc w:val="center"/>
              <w:rPr>
                <w:rFonts w:ascii="Times New Roman" w:hAnsi="Times New Roman"/>
                <w:color w:val="000000"/>
                <w:szCs w:val="21"/>
              </w:rPr>
            </w:pPr>
            <w:r>
              <w:rPr>
                <w:rFonts w:ascii="Times New Roman" w:hAnsi="Times New Roman"/>
                <w:color w:val="000000"/>
                <w:szCs w:val="21"/>
              </w:rPr>
              <w:t>噪</w:t>
            </w:r>
          </w:p>
          <w:p>
            <w:pPr>
              <w:spacing w:line="360" w:lineRule="auto"/>
              <w:jc w:val="center"/>
              <w:rPr>
                <w:rFonts w:ascii="Times New Roman" w:hAnsi="Times New Roman"/>
                <w:color w:val="000000"/>
                <w:szCs w:val="21"/>
              </w:rPr>
            </w:pPr>
            <w:r>
              <w:rPr>
                <w:rFonts w:ascii="Times New Roman" w:hAnsi="Times New Roman"/>
                <w:color w:val="000000"/>
                <w:szCs w:val="21"/>
              </w:rPr>
              <w:t>声</w:t>
            </w:r>
          </w:p>
        </w:tc>
        <w:tc>
          <w:tcPr>
            <w:tcW w:w="8537" w:type="dxa"/>
            <w:gridSpan w:val="4"/>
            <w:tcBorders>
              <w:top w:val="single" w:color="auto" w:sz="4" w:space="0"/>
              <w:bottom w:val="single" w:color="auto" w:sz="4" w:space="0"/>
              <w:right w:val="single" w:color="auto" w:sz="4" w:space="0"/>
            </w:tcBorders>
            <w:noWrap w:val="0"/>
            <w:vAlign w:val="center"/>
          </w:tcPr>
          <w:p>
            <w:pPr>
              <w:spacing w:line="240" w:lineRule="atLeast"/>
              <w:ind w:firstLine="420" w:firstLineChars="200"/>
              <w:rPr>
                <w:rFonts w:ascii="Times New Roman" w:hAnsi="Times New Roman"/>
                <w:color w:val="000000"/>
                <w:szCs w:val="21"/>
              </w:rPr>
            </w:pPr>
            <w:r>
              <w:rPr>
                <w:rFonts w:ascii="Times New Roman" w:hAnsi="Times New Roman"/>
                <w:color w:val="000000"/>
                <w:szCs w:val="21"/>
              </w:rPr>
              <w:t>本项目产生的噪声主要来自于</w:t>
            </w:r>
            <w:r>
              <w:rPr>
                <w:rFonts w:hint="eastAsia" w:ascii="Times New Roman" w:hAnsi="Times New Roman"/>
                <w:color w:val="000000"/>
                <w:szCs w:val="21"/>
              </w:rPr>
              <w:t>新增的一些</w:t>
            </w:r>
            <w:r>
              <w:rPr>
                <w:rFonts w:hint="eastAsia" w:ascii="Times New Roman" w:hAnsi="Times New Roman"/>
                <w:color w:val="000000"/>
                <w:szCs w:val="21"/>
                <w:lang w:val="en-US" w:eastAsia="zh-CN"/>
              </w:rPr>
              <w:t>施工</w:t>
            </w:r>
            <w:r>
              <w:rPr>
                <w:rFonts w:hint="eastAsia" w:ascii="Times New Roman" w:hAnsi="Times New Roman"/>
                <w:color w:val="000000"/>
                <w:szCs w:val="21"/>
              </w:rPr>
              <w:t>设备</w:t>
            </w:r>
            <w:r>
              <w:rPr>
                <w:rFonts w:ascii="Times New Roman" w:hAnsi="Times New Roman"/>
                <w:color w:val="000000"/>
                <w:szCs w:val="21"/>
              </w:rPr>
              <w:t>，据同类型的设备调研，声级值为</w:t>
            </w:r>
            <w:r>
              <w:rPr>
                <w:rFonts w:hint="eastAsia" w:ascii="Times New Roman" w:hAnsi="Times New Roman"/>
                <w:color w:val="000000"/>
                <w:szCs w:val="21"/>
                <w:lang w:val="en-US" w:eastAsia="zh-CN"/>
              </w:rPr>
              <w:t>80</w:t>
            </w:r>
            <w:r>
              <w:rPr>
                <w:rFonts w:ascii="Times New Roman" w:hAnsi="Times New Roman"/>
                <w:color w:val="000000"/>
                <w:szCs w:val="21"/>
              </w:rPr>
              <w:t>dB(A)～</w:t>
            </w:r>
            <w:r>
              <w:rPr>
                <w:rFonts w:hint="eastAsia" w:ascii="Times New Roman" w:hAnsi="Times New Roman"/>
                <w:color w:val="000000"/>
                <w:szCs w:val="21"/>
                <w:lang w:val="en-US" w:eastAsia="zh-CN"/>
              </w:rPr>
              <w:t>1055</w:t>
            </w:r>
            <w:r>
              <w:rPr>
                <w:rFonts w:ascii="Times New Roman" w:hAnsi="Times New Roman"/>
                <w:color w:val="000000"/>
                <w:szCs w:val="21"/>
              </w:rPr>
              <w:t>dB(A))。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06" w:hRule="atLeast"/>
          <w:jc w:val="center"/>
        </w:trPr>
        <w:tc>
          <w:tcPr>
            <w:tcW w:w="9451"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auto"/>
              <w:rPr>
                <w:b/>
                <w:bCs/>
              </w:rPr>
            </w:pPr>
            <w:r>
              <w:rPr>
                <w:b/>
                <w:bCs/>
              </w:rPr>
              <w:t>主要生态影响（不够时可附另页）：</w:t>
            </w:r>
          </w:p>
          <w:p>
            <w:pPr>
              <w:keepNext w:val="0"/>
              <w:keepLines w:val="0"/>
              <w:pageBreakBefore w:val="0"/>
              <w:widowControl w:val="0"/>
              <w:kinsoku/>
              <w:wordWrap/>
              <w:overflowPunct/>
              <w:topLinePunct w:val="0"/>
              <w:autoSpaceDE/>
              <w:autoSpaceDN/>
              <w:bidi w:val="0"/>
              <w:adjustRightInd/>
              <w:snapToGrid/>
              <w:ind w:firstLine="420" w:firstLineChars="200"/>
              <w:textAlignment w:val="auto"/>
            </w:pPr>
            <w:r>
              <w:rPr>
                <w:rFonts w:hint="eastAsia"/>
              </w:rPr>
              <w:t>本工程施工期短，施工完成后对项目所在地土壤及地下水环境质量有明显正效益。</w:t>
            </w:r>
          </w:p>
          <w:p>
            <w:pPr>
              <w:pStyle w:val="2"/>
            </w:pPr>
          </w:p>
          <w:p>
            <w:pPr>
              <w:pStyle w:val="3"/>
            </w:pPr>
          </w:p>
          <w:p/>
          <w:p>
            <w:pPr>
              <w:pStyle w:val="144"/>
            </w:pPr>
          </w:p>
          <w:p>
            <w:pPr>
              <w:pStyle w:val="144"/>
            </w:pPr>
          </w:p>
          <w:p>
            <w:pPr>
              <w:pStyle w:val="144"/>
            </w:pPr>
          </w:p>
          <w:p/>
          <w:p>
            <w:pPr>
              <w:pStyle w:val="144"/>
            </w:pPr>
          </w:p>
          <w:p>
            <w:pPr>
              <w:pStyle w:val="144"/>
            </w:pPr>
          </w:p>
          <w:p/>
        </w:tc>
      </w:tr>
    </w:tbl>
    <w:p>
      <w:pPr>
        <w:pStyle w:val="4"/>
        <w:keepNext w:val="0"/>
        <w:keepLines w:val="0"/>
        <w:ind w:left="-345" w:leftChars="-256" w:hanging="193" w:hangingChars="64"/>
        <w:rPr>
          <w:rFonts w:ascii="Times New Roman" w:hAnsi="Times New Roman"/>
          <w:color w:val="000000"/>
        </w:rPr>
      </w:pPr>
      <w:r>
        <w:rPr>
          <w:rFonts w:ascii="Times New Roman" w:hAnsi="Times New Roman"/>
          <w:color w:val="000000"/>
        </w:rPr>
        <w:t>环境影响分析</w:t>
      </w:r>
    </w:p>
    <w:tbl>
      <w:tblPr>
        <w:tblStyle w:val="2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29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170" w:hRule="atLeast"/>
          <w:jc w:val="center"/>
        </w:trPr>
        <w:tc>
          <w:tcPr>
            <w:tcW w:w="9296" w:type="dxa"/>
            <w:tcBorders>
              <w:top w:val="single" w:color="auto" w:sz="4" w:space="0"/>
              <w:left w:val="single" w:color="auto" w:sz="4" w:space="0"/>
              <w:bottom w:val="single" w:color="auto" w:sz="4" w:space="0"/>
              <w:right w:val="single" w:color="auto" w:sz="4" w:space="0"/>
            </w:tcBorders>
            <w:noWrap w:val="0"/>
            <w:vAlign w:val="top"/>
          </w:tcPr>
          <w:p>
            <w:pPr>
              <w:spacing w:line="360" w:lineRule="auto"/>
              <w:ind w:firstLine="465" w:firstLineChars="194"/>
              <w:rPr>
                <w:rFonts w:hint="eastAsia" w:ascii="Times New Roman" w:hAnsi="Times New Roman"/>
                <w:color w:val="000000"/>
                <w:sz w:val="24"/>
                <w:highlight w:val="none"/>
              </w:rPr>
            </w:pPr>
            <w:r>
              <w:rPr>
                <w:rFonts w:hint="eastAsia" w:ascii="Times New Roman" w:hAnsi="Times New Roman"/>
                <w:color w:val="000000"/>
                <w:sz w:val="24"/>
                <w:highlight w:val="none"/>
              </w:rPr>
              <w:t>建设项目对周边环境影响属于暂时影响，随着土壤</w:t>
            </w:r>
            <w:r>
              <w:rPr>
                <w:rFonts w:hint="eastAsia" w:ascii="Times New Roman" w:hAnsi="Times New Roman"/>
                <w:color w:val="000000"/>
                <w:sz w:val="24"/>
                <w:highlight w:val="none"/>
                <w:lang w:eastAsia="zh-CN"/>
              </w:rPr>
              <w:t>、</w:t>
            </w:r>
            <w:r>
              <w:rPr>
                <w:rFonts w:hint="eastAsia" w:ascii="Times New Roman" w:hAnsi="Times New Roman"/>
                <w:color w:val="000000"/>
                <w:sz w:val="24"/>
                <w:highlight w:val="none"/>
                <w:lang w:val="en-US" w:eastAsia="zh-CN"/>
              </w:rPr>
              <w:t>地下水</w:t>
            </w:r>
            <w:r>
              <w:rPr>
                <w:rFonts w:hint="eastAsia" w:ascii="Times New Roman" w:hAnsi="Times New Roman"/>
                <w:color w:val="000000"/>
                <w:sz w:val="24"/>
                <w:highlight w:val="none"/>
              </w:rPr>
              <w:t>修复工程结束，环境影响也结束。</w:t>
            </w:r>
          </w:p>
          <w:p>
            <w:pPr>
              <w:numPr>
                <w:ilvl w:val="0"/>
                <w:numId w:val="7"/>
              </w:numPr>
              <w:autoSpaceDE w:val="0"/>
              <w:autoSpaceDN w:val="0"/>
              <w:adjustRightInd w:val="0"/>
              <w:spacing w:line="360" w:lineRule="auto"/>
              <w:ind w:firstLine="480" w:firstLineChars="200"/>
              <w:rPr>
                <w:rFonts w:ascii="Times New Roman" w:hAnsi="Times New Roman"/>
                <w:bCs/>
                <w:color w:val="000000"/>
                <w:sz w:val="24"/>
                <w:highlight w:val="none"/>
              </w:rPr>
            </w:pPr>
            <w:r>
              <w:rPr>
                <w:rFonts w:ascii="Times New Roman" w:hAnsi="Times New Roman"/>
                <w:bCs/>
                <w:color w:val="000000"/>
                <w:sz w:val="24"/>
                <w:highlight w:val="none"/>
              </w:rPr>
              <w:t>水环境影响分析</w:t>
            </w:r>
          </w:p>
          <w:p>
            <w:pPr>
              <w:spacing w:line="360" w:lineRule="auto"/>
              <w:ind w:firstLine="480" w:firstLineChars="200"/>
              <w:rPr>
                <w:rFonts w:ascii="Times New Roman" w:hAnsi="Times New Roman"/>
                <w:color w:val="000000"/>
                <w:sz w:val="24"/>
                <w:highlight w:val="none"/>
              </w:rPr>
            </w:pPr>
            <w:r>
              <w:rPr>
                <w:rFonts w:ascii="Times New Roman" w:hAnsi="Times New Roman"/>
                <w:color w:val="000000"/>
                <w:sz w:val="24"/>
                <w:highlight w:val="none"/>
              </w:rPr>
              <w:t>1、废水产生特点及处置措施</w:t>
            </w:r>
          </w:p>
          <w:p>
            <w:pPr>
              <w:spacing w:line="360" w:lineRule="auto"/>
              <w:ind w:firstLine="480" w:firstLineChars="200"/>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lang w:val="en-US" w:eastAsia="zh-CN"/>
              </w:rPr>
              <w:t>本次修复工程</w:t>
            </w:r>
            <w:r>
              <w:rPr>
                <w:rFonts w:ascii="Times New Roman" w:hAnsi="Times New Roman"/>
                <w:color w:val="000000"/>
                <w:sz w:val="24"/>
                <w:highlight w:val="none"/>
              </w:rPr>
              <w:t>污水主要为生活污水</w:t>
            </w:r>
            <w:r>
              <w:rPr>
                <w:rFonts w:hint="eastAsia" w:ascii="Times New Roman" w:hAnsi="Times New Roman"/>
                <w:color w:val="000000"/>
                <w:sz w:val="24"/>
                <w:highlight w:val="none"/>
                <w:lang w:eastAsia="zh-CN"/>
              </w:rPr>
              <w:t>、</w:t>
            </w:r>
            <w:r>
              <w:rPr>
                <w:rFonts w:hint="eastAsia" w:ascii="Times New Roman" w:hAnsi="Times New Roman"/>
                <w:color w:val="000000"/>
                <w:sz w:val="24"/>
                <w:highlight w:val="none"/>
                <w:lang w:val="en-US" w:eastAsia="zh-CN"/>
              </w:rPr>
              <w:t>初期雨水、车辆清洗废水、基坑废水、污染地下水抽水</w:t>
            </w:r>
            <w:r>
              <w:rPr>
                <w:rFonts w:ascii="Times New Roman" w:hAnsi="Times New Roman"/>
                <w:color w:val="000000"/>
                <w:sz w:val="24"/>
                <w:highlight w:val="none"/>
              </w:rPr>
              <w:t>。生活污水排放量为</w:t>
            </w:r>
            <w:r>
              <w:rPr>
                <w:rFonts w:hint="eastAsia" w:ascii="Times New Roman" w:hAnsi="Times New Roman"/>
                <w:color w:val="000000"/>
                <w:sz w:val="24"/>
                <w:highlight w:val="none"/>
                <w:lang w:val="en-US" w:eastAsia="zh-CN"/>
              </w:rPr>
              <w:t>940</w:t>
            </w:r>
            <w:r>
              <w:rPr>
                <w:rFonts w:hint="eastAsia" w:ascii="Times New Roman" w:hAnsi="Times New Roman"/>
                <w:color w:val="000000"/>
                <w:sz w:val="24"/>
                <w:szCs w:val="24"/>
                <w:highlight w:val="none"/>
                <w:lang w:val="en-US" w:eastAsia="zh-CN"/>
              </w:rPr>
              <w:t>m</w:t>
            </w:r>
            <w:r>
              <w:rPr>
                <w:rFonts w:hint="eastAsia" w:ascii="Times New Roman" w:hAnsi="Times New Roman"/>
                <w:color w:val="000000"/>
                <w:sz w:val="24"/>
                <w:szCs w:val="24"/>
                <w:highlight w:val="none"/>
                <w:vertAlign w:val="superscript"/>
                <w:lang w:val="en-US" w:eastAsia="zh-CN"/>
              </w:rPr>
              <w:t>3</w:t>
            </w:r>
            <w:r>
              <w:rPr>
                <w:rFonts w:hint="eastAsia" w:ascii="Times New Roman" w:hAnsi="Times New Roman"/>
                <w:color w:val="000000"/>
                <w:sz w:val="24"/>
                <w:highlight w:val="none"/>
                <w:lang w:val="en-US" w:eastAsia="zh-CN"/>
              </w:rPr>
              <w:t>/工期</w:t>
            </w:r>
            <w:r>
              <w:rPr>
                <w:rFonts w:ascii="Times New Roman" w:hAnsi="Times New Roman"/>
                <w:color w:val="000000"/>
                <w:sz w:val="24"/>
                <w:highlight w:val="none"/>
              </w:rPr>
              <w:t>，主要污染因子为COD、BOD</w:t>
            </w:r>
            <w:r>
              <w:rPr>
                <w:rFonts w:ascii="Times New Roman" w:hAnsi="Times New Roman"/>
                <w:color w:val="000000"/>
                <w:sz w:val="24"/>
                <w:highlight w:val="none"/>
                <w:vertAlign w:val="subscript"/>
              </w:rPr>
              <w:t>5</w:t>
            </w:r>
            <w:r>
              <w:rPr>
                <w:rFonts w:ascii="Times New Roman" w:hAnsi="Times New Roman"/>
                <w:color w:val="000000"/>
                <w:sz w:val="24"/>
                <w:highlight w:val="none"/>
              </w:rPr>
              <w:t>、NH</w:t>
            </w:r>
            <w:r>
              <w:rPr>
                <w:rFonts w:ascii="Times New Roman" w:hAnsi="Times New Roman"/>
                <w:color w:val="000000"/>
                <w:sz w:val="24"/>
                <w:highlight w:val="none"/>
                <w:vertAlign w:val="subscript"/>
              </w:rPr>
              <w:t>3</w:t>
            </w:r>
            <w:r>
              <w:rPr>
                <w:rFonts w:ascii="Times New Roman" w:hAnsi="Times New Roman"/>
                <w:color w:val="000000"/>
                <w:sz w:val="24"/>
                <w:highlight w:val="none"/>
              </w:rPr>
              <w:t>-N、SS</w:t>
            </w:r>
            <w:r>
              <w:rPr>
                <w:rFonts w:hint="eastAsia" w:ascii="Times New Roman" w:hAnsi="Times New Roman"/>
                <w:color w:val="000000"/>
                <w:sz w:val="24"/>
                <w:highlight w:val="none"/>
                <w:lang w:eastAsia="zh-CN"/>
              </w:rPr>
              <w:t>、</w:t>
            </w:r>
            <w:r>
              <w:rPr>
                <w:rFonts w:hint="eastAsia" w:ascii="Times New Roman" w:hAnsi="Times New Roman"/>
                <w:color w:val="000000"/>
                <w:sz w:val="24"/>
                <w:highlight w:val="none"/>
                <w:lang w:val="en-US" w:eastAsia="zh-CN"/>
              </w:rPr>
              <w:t>动植物油</w:t>
            </w:r>
            <w:r>
              <w:rPr>
                <w:rFonts w:ascii="Times New Roman" w:hAnsi="Times New Roman"/>
                <w:color w:val="000000"/>
                <w:sz w:val="24"/>
                <w:highlight w:val="none"/>
              </w:rPr>
              <w:t>等，</w:t>
            </w:r>
            <w:r>
              <w:rPr>
                <w:rFonts w:hint="eastAsia" w:ascii="Times New Roman" w:hAnsi="Times New Roman"/>
                <w:color w:val="000000"/>
                <w:sz w:val="24"/>
                <w:highlight w:val="none"/>
                <w:lang w:val="en-US" w:eastAsia="zh-CN"/>
              </w:rPr>
              <w:t>初期雨水、车辆清洗废水、基坑废水、污染地下水抽水总排放量为20295.36</w:t>
            </w:r>
            <w:r>
              <w:rPr>
                <w:rFonts w:hint="eastAsia" w:ascii="Times New Roman" w:hAnsi="Times New Roman"/>
                <w:color w:val="000000"/>
                <w:sz w:val="24"/>
                <w:szCs w:val="24"/>
                <w:highlight w:val="none"/>
                <w:lang w:val="en-US" w:eastAsia="zh-CN"/>
              </w:rPr>
              <w:t>m</w:t>
            </w:r>
            <w:r>
              <w:rPr>
                <w:rFonts w:hint="eastAsia" w:ascii="Times New Roman" w:hAnsi="Times New Roman"/>
                <w:color w:val="000000"/>
                <w:sz w:val="24"/>
                <w:szCs w:val="24"/>
                <w:highlight w:val="none"/>
                <w:vertAlign w:val="superscript"/>
                <w:lang w:val="en-US" w:eastAsia="zh-CN"/>
              </w:rPr>
              <w:t>3</w:t>
            </w:r>
            <w:r>
              <w:rPr>
                <w:rFonts w:hint="eastAsia" w:ascii="Times New Roman" w:hAnsi="Times New Roman"/>
                <w:color w:val="000000"/>
                <w:sz w:val="24"/>
                <w:highlight w:val="none"/>
                <w:lang w:val="en-US" w:eastAsia="zh-CN"/>
              </w:rPr>
              <w:t>/工期，上述废水主要污染因子为COD、SS、六价铬、总石油烃等。</w:t>
            </w:r>
          </w:p>
          <w:p>
            <w:pPr>
              <w:spacing w:line="360" w:lineRule="auto"/>
              <w:ind w:firstLine="480" w:firstLineChars="200"/>
              <w:rPr>
                <w:rFonts w:ascii="Times New Roman" w:hAnsi="Times New Roman"/>
                <w:sz w:val="24"/>
                <w:highlight w:val="none"/>
              </w:rPr>
            </w:pPr>
            <w:r>
              <w:rPr>
                <w:rFonts w:hint="eastAsia" w:ascii="Times New Roman" w:hAnsi="Times New Roman" w:cs="Times New Roman"/>
                <w:sz w:val="24"/>
                <w:szCs w:val="24"/>
                <w:lang w:val="en-US" w:eastAsia="zh-CN"/>
              </w:rPr>
              <w:t>生活污水经隔油池、化粪池处置，</w:t>
            </w:r>
            <w:r>
              <w:rPr>
                <w:rFonts w:hint="eastAsia" w:ascii="Times New Roman" w:hAnsi="Times New Roman"/>
                <w:color w:val="000000"/>
                <w:sz w:val="24"/>
                <w:szCs w:val="22"/>
                <w:highlight w:val="none"/>
                <w:lang w:val="en-US" w:eastAsia="zh-CN"/>
              </w:rPr>
              <w:t>初期雨水汇入至雨水收集系统内，伴随基坑废水、污染地下水抽水、车辆清洗废水等一同排放至厂区西南侧新</w:t>
            </w:r>
            <w:r>
              <w:rPr>
                <w:rFonts w:hint="eastAsia" w:ascii="Times New Roman" w:hAnsi="Times New Roman"/>
                <w:color w:val="000000"/>
                <w:sz w:val="24"/>
                <w:szCs w:val="24"/>
                <w:highlight w:val="none"/>
                <w:lang w:val="en-US" w:eastAsia="zh-CN"/>
              </w:rPr>
              <w:t>建的污水处理站内处置，该污水处理站处理规模为80m</w:t>
            </w:r>
            <w:r>
              <w:rPr>
                <w:rFonts w:hint="eastAsia" w:ascii="Times New Roman" w:hAnsi="Times New Roman"/>
                <w:color w:val="000000"/>
                <w:sz w:val="24"/>
                <w:szCs w:val="24"/>
                <w:highlight w:val="none"/>
                <w:vertAlign w:val="superscript"/>
                <w:lang w:val="en-US" w:eastAsia="zh-CN"/>
              </w:rPr>
              <w:t>3</w:t>
            </w:r>
            <w:r>
              <w:rPr>
                <w:rFonts w:hint="eastAsia" w:ascii="Times New Roman" w:hAnsi="Times New Roman"/>
                <w:color w:val="000000"/>
                <w:sz w:val="24"/>
                <w:szCs w:val="24"/>
                <w:highlight w:val="none"/>
                <w:lang w:val="en-US" w:eastAsia="zh-CN"/>
              </w:rPr>
              <w:t>/d，处理工艺采用“</w:t>
            </w:r>
            <w:r>
              <w:rPr>
                <w:rFonts w:hint="eastAsia" w:ascii="Times New Roman" w:hAnsi="Times New Roman" w:cs="Times New Roman"/>
                <w:sz w:val="24"/>
                <w:szCs w:val="24"/>
                <w:lang w:val="en-US" w:eastAsia="zh-CN"/>
              </w:rPr>
              <w:t>调节+破乳池+气浮+两级滤碳”工艺，各股废水污染物</w:t>
            </w:r>
            <w:r>
              <w:rPr>
                <w:rFonts w:hint="eastAsia" w:ascii="Times New Roman" w:hAnsi="Times New Roman"/>
                <w:color w:val="000000"/>
                <w:sz w:val="24"/>
                <w:szCs w:val="22"/>
                <w:highlight w:val="none"/>
              </w:rPr>
              <w:t>处理</w:t>
            </w:r>
            <w:r>
              <w:rPr>
                <w:rFonts w:ascii="Times New Roman" w:hAnsi="Times New Roman"/>
                <w:sz w:val="24"/>
                <w:szCs w:val="24"/>
                <w:highlight w:val="none"/>
              </w:rPr>
              <w:t>满足《污水综合排放标准》（GB8978-1996）</w:t>
            </w:r>
            <w:r>
              <w:rPr>
                <w:rFonts w:hint="eastAsia" w:ascii="Times New Roman" w:hAnsi="Times New Roman"/>
                <w:sz w:val="24"/>
                <w:szCs w:val="24"/>
                <w:highlight w:val="none"/>
                <w:lang w:val="en-US" w:eastAsia="zh-CN"/>
              </w:rPr>
              <w:t>表4</w:t>
            </w:r>
            <w:r>
              <w:rPr>
                <w:rFonts w:ascii="Times New Roman" w:hAnsi="Times New Roman"/>
                <w:sz w:val="24"/>
                <w:szCs w:val="24"/>
                <w:highlight w:val="none"/>
              </w:rPr>
              <w:t>中的三级标准</w:t>
            </w:r>
            <w:r>
              <w:rPr>
                <w:rFonts w:hint="eastAsia" w:ascii="Times New Roman" w:hAnsi="Times New Roman"/>
                <w:sz w:val="24"/>
                <w:szCs w:val="24"/>
                <w:highlight w:val="none"/>
                <w:lang w:eastAsia="zh-CN"/>
              </w:rPr>
              <w:t>，</w:t>
            </w:r>
            <w:r>
              <w:rPr>
                <w:rFonts w:hint="eastAsia" w:ascii="Times New Roman" w:hAnsi="Times New Roman"/>
                <w:sz w:val="24"/>
                <w:szCs w:val="24"/>
                <w:highlight w:val="none"/>
                <w:lang w:val="en-US" w:eastAsia="zh-CN"/>
              </w:rPr>
              <w:t>其中</w:t>
            </w:r>
            <w:r>
              <w:rPr>
                <w:rFonts w:ascii="Times New Roman" w:hAnsi="Times New Roman"/>
                <w:sz w:val="24"/>
                <w:szCs w:val="24"/>
                <w:highlight w:val="none"/>
              </w:rPr>
              <w:t>氨氮参照《污水排入城镇下水道水质标准》（GB/T31962-2015中的标准</w:t>
            </w:r>
            <w:r>
              <w:rPr>
                <w:rFonts w:hint="eastAsia" w:ascii="Times New Roman" w:hAnsi="Times New Roman"/>
                <w:sz w:val="24"/>
                <w:szCs w:val="24"/>
                <w:highlight w:val="none"/>
                <w:lang w:eastAsia="zh-CN"/>
              </w:rPr>
              <w:t>，</w:t>
            </w:r>
            <w:r>
              <w:rPr>
                <w:rFonts w:hint="eastAsia" w:ascii="Times New Roman" w:hAnsi="Times New Roman"/>
                <w:sz w:val="24"/>
                <w:szCs w:val="24"/>
                <w:highlight w:val="none"/>
                <w:lang w:val="en-US" w:eastAsia="zh-CN"/>
              </w:rPr>
              <w:t>六价铬执行</w:t>
            </w:r>
            <w:r>
              <w:rPr>
                <w:rFonts w:ascii="Times New Roman" w:hAnsi="Times New Roman"/>
                <w:sz w:val="24"/>
                <w:szCs w:val="24"/>
                <w:highlight w:val="none"/>
              </w:rPr>
              <w:t>《污水综合排放标准》（GB8978-1996）</w:t>
            </w:r>
            <w:r>
              <w:rPr>
                <w:rFonts w:hint="eastAsia" w:ascii="Times New Roman" w:hAnsi="Times New Roman"/>
                <w:sz w:val="24"/>
                <w:szCs w:val="24"/>
                <w:highlight w:val="none"/>
                <w:lang w:val="en-US" w:eastAsia="zh-CN"/>
              </w:rPr>
              <w:t>表1中的标准，总石油烃参考荷兰标准后</w:t>
            </w:r>
            <w:r>
              <w:rPr>
                <w:rFonts w:ascii="Times New Roman" w:hAnsi="Times New Roman"/>
                <w:sz w:val="24"/>
                <w:szCs w:val="24"/>
                <w:highlight w:val="none"/>
              </w:rPr>
              <w:t>，</w:t>
            </w:r>
            <w:r>
              <w:rPr>
                <w:rFonts w:hint="eastAsia" w:ascii="Times New Roman" w:hAnsi="Times New Roman"/>
                <w:sz w:val="24"/>
                <w:szCs w:val="24"/>
                <w:highlight w:val="none"/>
                <w:lang w:val="en-US" w:eastAsia="zh-CN"/>
              </w:rPr>
              <w:t>一同</w:t>
            </w:r>
            <w:r>
              <w:rPr>
                <w:rFonts w:ascii="Times New Roman" w:hAnsi="Times New Roman"/>
                <w:sz w:val="24"/>
                <w:szCs w:val="24"/>
                <w:highlight w:val="none"/>
              </w:rPr>
              <w:t>排放至</w:t>
            </w:r>
            <w:r>
              <w:rPr>
                <w:rFonts w:hint="eastAsia" w:ascii="Times New Roman" w:hAnsi="Times New Roman"/>
                <w:sz w:val="24"/>
                <w:szCs w:val="24"/>
                <w:highlight w:val="none"/>
                <w:lang w:val="en-US" w:eastAsia="zh-CN"/>
              </w:rPr>
              <w:t>朱家桥污水处理厂</w:t>
            </w:r>
            <w:r>
              <w:rPr>
                <w:rFonts w:ascii="Times New Roman" w:hAnsi="Times New Roman"/>
                <w:sz w:val="24"/>
                <w:szCs w:val="24"/>
                <w:highlight w:val="none"/>
              </w:rPr>
              <w:t>处置，尾水排放满足</w:t>
            </w:r>
            <w:r>
              <w:rPr>
                <w:rFonts w:ascii="Times New Roman" w:hAnsi="Times New Roman"/>
                <w:sz w:val="24"/>
                <w:highlight w:val="none"/>
              </w:rPr>
              <w:t>《城镇污水处理厂污染物排放标准》（GB18918-2002）一级标准中 A 类标准</w:t>
            </w:r>
            <w:r>
              <w:rPr>
                <w:rFonts w:hint="eastAsia" w:ascii="Times New Roman" w:hAnsi="Times New Roman"/>
                <w:sz w:val="24"/>
                <w:highlight w:val="none"/>
                <w:lang w:eastAsia="zh-CN"/>
              </w:rPr>
              <w:t>，</w:t>
            </w:r>
            <w:r>
              <w:rPr>
                <w:rFonts w:hint="eastAsia" w:ascii="Times New Roman" w:hAnsi="Times New Roman"/>
                <w:sz w:val="24"/>
                <w:highlight w:val="none"/>
                <w:lang w:val="en-US" w:eastAsia="zh-CN"/>
              </w:rPr>
              <w:t>其中六价铬满足</w:t>
            </w:r>
            <w:r>
              <w:rPr>
                <w:rFonts w:ascii="Times New Roman" w:hAnsi="Times New Roman"/>
                <w:sz w:val="24"/>
                <w:highlight w:val="none"/>
              </w:rPr>
              <w:t>《城镇污水处理厂污染物排放标准》（GB18918-2002）</w:t>
            </w:r>
            <w:r>
              <w:rPr>
                <w:rFonts w:hint="eastAsia" w:ascii="Times New Roman" w:hAnsi="Times New Roman"/>
                <w:sz w:val="24"/>
                <w:highlight w:val="none"/>
                <w:lang w:val="en-US" w:eastAsia="zh-CN"/>
              </w:rPr>
              <w:t>表2中最高允许排放浓度。</w:t>
            </w:r>
          </w:p>
          <w:p>
            <w:pPr>
              <w:autoSpaceDE w:val="0"/>
              <w:autoSpaceDN w:val="0"/>
              <w:adjustRightInd w:val="0"/>
              <w:spacing w:line="360" w:lineRule="auto"/>
              <w:ind w:firstLine="480" w:firstLineChars="200"/>
              <w:rPr>
                <w:rFonts w:ascii="Times New Roman" w:hAnsi="Times New Roman"/>
                <w:color w:val="000000"/>
                <w:sz w:val="24"/>
                <w:highlight w:val="none"/>
              </w:rPr>
            </w:pPr>
            <w:r>
              <w:rPr>
                <w:rFonts w:ascii="Times New Roman" w:hAnsi="Times New Roman"/>
                <w:color w:val="000000"/>
                <w:sz w:val="24"/>
                <w:highlight w:val="none"/>
              </w:rPr>
              <w:t>项目废水产生及经处理后情况一览表见下表所示。</w:t>
            </w:r>
          </w:p>
          <w:p>
            <w:pPr>
              <w:spacing w:line="360" w:lineRule="auto"/>
              <w:jc w:val="center"/>
              <w:rPr>
                <w:rFonts w:ascii="Times New Roman" w:hAnsi="Times New Roman"/>
                <w:color w:val="000000"/>
                <w:sz w:val="24"/>
                <w:highlight w:val="none"/>
              </w:rPr>
            </w:pPr>
            <w:r>
              <w:rPr>
                <w:rFonts w:ascii="Times New Roman" w:hAnsi="Times New Roman"/>
                <w:b/>
                <w:bCs/>
                <w:color w:val="000000"/>
                <w:sz w:val="24"/>
                <w:highlight w:val="none"/>
              </w:rPr>
              <w:t xml:space="preserve">表7-1   </w:t>
            </w:r>
            <w:r>
              <w:rPr>
                <w:rFonts w:hint="eastAsia" w:ascii="Times New Roman" w:hAnsi="Times New Roman"/>
                <w:b/>
                <w:bCs/>
                <w:color w:val="000000"/>
                <w:sz w:val="24"/>
                <w:highlight w:val="none"/>
                <w:lang w:val="en-US" w:eastAsia="zh-CN"/>
              </w:rPr>
              <w:t>生活</w:t>
            </w:r>
            <w:r>
              <w:rPr>
                <w:rFonts w:ascii="Times New Roman" w:hAnsi="Times New Roman"/>
                <w:b/>
                <w:bCs/>
                <w:color w:val="000000"/>
                <w:sz w:val="24"/>
                <w:highlight w:val="none"/>
              </w:rPr>
              <w:t>废水主要污染物产排核算</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1"/>
              <w:gridCol w:w="1302"/>
              <w:gridCol w:w="1006"/>
              <w:gridCol w:w="1071"/>
              <w:gridCol w:w="1721"/>
              <w:gridCol w:w="1334"/>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污染物</w:t>
                  </w:r>
                </w:p>
              </w:tc>
              <w:tc>
                <w:tcPr>
                  <w:tcW w:w="1302"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产生浓度（mg/L）</w:t>
                  </w:r>
                </w:p>
              </w:tc>
              <w:tc>
                <w:tcPr>
                  <w:tcW w:w="1006"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产生量（t/</w:t>
                  </w:r>
                  <w:r>
                    <w:rPr>
                      <w:rFonts w:hint="eastAsia" w:ascii="Times New Roman" w:hAnsi="Times New Roman"/>
                      <w:color w:val="000000"/>
                      <w:szCs w:val="21"/>
                      <w:highlight w:val="none"/>
                      <w:lang w:val="en-US" w:eastAsia="zh-CN"/>
                    </w:rPr>
                    <w:t>工期</w:t>
                  </w:r>
                  <w:r>
                    <w:rPr>
                      <w:rFonts w:ascii="Times New Roman" w:hAnsi="Times New Roman"/>
                      <w:color w:val="000000"/>
                      <w:szCs w:val="21"/>
                      <w:highlight w:val="none"/>
                    </w:rPr>
                    <w:t>）</w:t>
                  </w:r>
                </w:p>
              </w:tc>
              <w:tc>
                <w:tcPr>
                  <w:tcW w:w="1071"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处理后浓度</w:t>
                  </w:r>
                </w:p>
              </w:tc>
              <w:tc>
                <w:tcPr>
                  <w:tcW w:w="1721" w:type="dxa"/>
                  <w:noWrap w:val="0"/>
                  <w:vAlign w:val="center"/>
                </w:tcPr>
                <w:p>
                  <w:pPr>
                    <w:adjustRightInd w:val="0"/>
                    <w:snapToGrid w:val="0"/>
                    <w:jc w:val="center"/>
                    <w:rPr>
                      <w:rFonts w:ascii="Times New Roman" w:hAnsi="Times New Roman"/>
                      <w:color w:val="000000"/>
                      <w:szCs w:val="21"/>
                      <w:highlight w:val="none"/>
                      <w:lang w:val="en-GB"/>
                    </w:rPr>
                  </w:pPr>
                  <w:r>
                    <w:rPr>
                      <w:rFonts w:ascii="Times New Roman" w:hAnsi="Times New Roman"/>
                      <w:color w:val="000000"/>
                      <w:szCs w:val="21"/>
                      <w:highlight w:val="none"/>
                      <w:lang w:val="en-GB"/>
                    </w:rPr>
                    <w:t>《污水综合排放标准》（GB8978-1996）中三级标准</w:t>
                  </w:r>
                </w:p>
              </w:tc>
              <w:tc>
                <w:tcPr>
                  <w:tcW w:w="1334" w:type="dxa"/>
                  <w:noWrap w:val="0"/>
                  <w:vAlign w:val="center"/>
                </w:tcPr>
                <w:p>
                  <w:pPr>
                    <w:adjustRightInd w:val="0"/>
                    <w:snapToGrid w:val="0"/>
                    <w:jc w:val="center"/>
                    <w:rPr>
                      <w:rFonts w:ascii="Times New Roman" w:hAnsi="Times New Roman"/>
                      <w:color w:val="000000"/>
                      <w:szCs w:val="21"/>
                      <w:highlight w:val="none"/>
                    </w:rPr>
                  </w:pPr>
                  <w:r>
                    <w:rPr>
                      <w:rFonts w:ascii="Times New Roman" w:hAnsi="Times New Roman"/>
                      <w:color w:val="000000"/>
                      <w:szCs w:val="21"/>
                      <w:highlight w:val="none"/>
                    </w:rPr>
                    <w:t>城镇污水处理厂一级A排放标准（mg/L）</w:t>
                  </w:r>
                </w:p>
              </w:tc>
              <w:tc>
                <w:tcPr>
                  <w:tcW w:w="1229" w:type="dxa"/>
                  <w:noWrap w:val="0"/>
                  <w:vAlign w:val="center"/>
                </w:tcPr>
                <w:p>
                  <w:pPr>
                    <w:jc w:val="center"/>
                    <w:rPr>
                      <w:rFonts w:ascii="Times New Roman" w:hAnsi="Times New Roman"/>
                      <w:color w:val="000000"/>
                      <w:highlight w:val="none"/>
                    </w:rPr>
                  </w:pPr>
                  <w:r>
                    <w:rPr>
                      <w:rFonts w:ascii="Times New Roman" w:hAnsi="Times New Roman"/>
                      <w:color w:val="000000"/>
                      <w:szCs w:val="21"/>
                      <w:highlight w:val="none"/>
                    </w:rPr>
                    <w:t>最终排放量（t/</w:t>
                  </w:r>
                  <w:r>
                    <w:rPr>
                      <w:rFonts w:hint="eastAsia" w:ascii="Times New Roman" w:hAnsi="Times New Roman"/>
                      <w:color w:val="000000"/>
                      <w:szCs w:val="21"/>
                      <w:highlight w:val="none"/>
                      <w:lang w:val="en-US" w:eastAsia="zh-CN"/>
                    </w:rPr>
                    <w:t>工期</w:t>
                  </w:r>
                  <w:r>
                    <w:rPr>
                      <w:rFonts w:ascii="Times New Roman" w:hAnsi="Times New Roman"/>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noWrap w:val="0"/>
                  <w:vAlign w:val="center"/>
                </w:tcPr>
                <w:p>
                  <w:pPr>
                    <w:pStyle w:val="94"/>
                    <w:spacing w:before="53" w:line="240" w:lineRule="atLeast"/>
                    <w:jc w:val="center"/>
                    <w:rPr>
                      <w:rFonts w:ascii="Times New Roman" w:hAnsi="Times New Roman"/>
                      <w:color w:val="000000"/>
                      <w:szCs w:val="21"/>
                      <w:highlight w:val="none"/>
                      <w:lang w:eastAsia="zh-CN"/>
                    </w:rPr>
                  </w:pPr>
                  <w:r>
                    <w:rPr>
                      <w:rFonts w:ascii="Times New Roman" w:hAnsi="Times New Roman"/>
                      <w:color w:val="000000"/>
                      <w:sz w:val="21"/>
                      <w:szCs w:val="21"/>
                      <w:highlight w:val="none"/>
                      <w:lang w:eastAsia="zh-CN"/>
                    </w:rPr>
                    <w:t>COD</w:t>
                  </w:r>
                </w:p>
              </w:tc>
              <w:tc>
                <w:tcPr>
                  <w:tcW w:w="1302"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szCs w:val="21"/>
                      <w:highlight w:val="none"/>
                      <w:lang w:val="en-US" w:eastAsia="zh-CN"/>
                    </w:rPr>
                    <w:t>350</w:t>
                  </w:r>
                </w:p>
              </w:tc>
              <w:tc>
                <w:tcPr>
                  <w:tcW w:w="1006"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0.329</w:t>
                  </w:r>
                </w:p>
              </w:tc>
              <w:tc>
                <w:tcPr>
                  <w:tcW w:w="1071"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32</w:t>
                  </w:r>
                  <w:r>
                    <w:rPr>
                      <w:rFonts w:ascii="Times New Roman" w:hAnsi="Times New Roman"/>
                      <w:kern w:val="0"/>
                      <w:szCs w:val="21"/>
                      <w:highlight w:val="none"/>
                      <w:lang w:bidi="ar"/>
                    </w:rPr>
                    <w:t>0</w:t>
                  </w:r>
                </w:p>
              </w:tc>
              <w:tc>
                <w:tcPr>
                  <w:tcW w:w="1721" w:type="dxa"/>
                  <w:noWrap w:val="0"/>
                  <w:vAlign w:val="center"/>
                </w:tcPr>
                <w:p>
                  <w:pPr>
                    <w:widowControl/>
                    <w:jc w:val="center"/>
                    <w:textAlignment w:val="center"/>
                    <w:rPr>
                      <w:rFonts w:ascii="Times New Roman" w:hAnsi="Times New Roman"/>
                      <w:color w:val="000000"/>
                      <w:kern w:val="0"/>
                      <w:szCs w:val="21"/>
                      <w:highlight w:val="none"/>
                    </w:rPr>
                  </w:pPr>
                  <w:r>
                    <w:rPr>
                      <w:rFonts w:ascii="Times New Roman" w:hAnsi="Times New Roman"/>
                      <w:color w:val="000000"/>
                      <w:kern w:val="0"/>
                      <w:szCs w:val="21"/>
                      <w:highlight w:val="none"/>
                    </w:rPr>
                    <w:t>500</w:t>
                  </w:r>
                </w:p>
              </w:tc>
              <w:tc>
                <w:tcPr>
                  <w:tcW w:w="1334" w:type="dxa"/>
                  <w:noWrap w:val="0"/>
                  <w:vAlign w:val="center"/>
                </w:tcPr>
                <w:p>
                  <w:pPr>
                    <w:widowControl/>
                    <w:jc w:val="center"/>
                    <w:textAlignment w:val="center"/>
                    <w:rPr>
                      <w:rFonts w:ascii="Times New Roman" w:hAnsi="Times New Roman"/>
                      <w:color w:val="000000"/>
                      <w:szCs w:val="21"/>
                      <w:highlight w:val="none"/>
                    </w:rPr>
                  </w:pPr>
                  <w:r>
                    <w:rPr>
                      <w:rFonts w:ascii="Times New Roman" w:hAnsi="Times New Roman"/>
                      <w:color w:val="000000"/>
                      <w:kern w:val="0"/>
                      <w:szCs w:val="21"/>
                      <w:highlight w:val="none"/>
                    </w:rPr>
                    <w:t>50</w:t>
                  </w:r>
                </w:p>
              </w:tc>
              <w:tc>
                <w:tcPr>
                  <w:tcW w:w="1229" w:type="dxa"/>
                  <w:noWrap w:val="0"/>
                  <w:vAlign w:val="center"/>
                </w:tcPr>
                <w:p>
                  <w:pPr>
                    <w:widowControl/>
                    <w:jc w:val="center"/>
                    <w:textAlignment w:val="center"/>
                    <w:rPr>
                      <w:rFonts w:ascii="Times New Roman" w:hAnsi="Times New Roman" w:eastAsia="宋体" w:cs="Times New Roman"/>
                      <w:color w:val="000000"/>
                      <w:kern w:val="0"/>
                      <w:szCs w:val="21"/>
                      <w:highlight w:val="none"/>
                    </w:rPr>
                  </w:pPr>
                  <w:r>
                    <w:rPr>
                      <w:rFonts w:hint="eastAsia" w:ascii="Times New Roman" w:hAnsi="Times New Roman" w:eastAsia="宋体" w:cs="Times New Roman"/>
                      <w:color w:val="000000"/>
                      <w:kern w:val="0"/>
                      <w:szCs w:val="21"/>
                      <w:highlight w:val="none"/>
                      <w:lang w:val="en-US" w:eastAsia="zh-CN"/>
                    </w:rPr>
                    <w:t>0.047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noWrap w:val="0"/>
                  <w:vAlign w:val="center"/>
                </w:tcPr>
                <w:p>
                  <w:pPr>
                    <w:pStyle w:val="94"/>
                    <w:spacing w:before="53" w:line="240" w:lineRule="atLeast"/>
                    <w:jc w:val="center"/>
                    <w:rPr>
                      <w:rFonts w:ascii="Times New Roman" w:hAnsi="Times New Roman"/>
                      <w:color w:val="000000"/>
                      <w:szCs w:val="21"/>
                      <w:highlight w:val="none"/>
                      <w:lang w:eastAsia="zh-CN"/>
                    </w:rPr>
                  </w:pPr>
                  <w:r>
                    <w:rPr>
                      <w:rFonts w:ascii="Times New Roman" w:hAnsi="Times New Roman"/>
                      <w:color w:val="000000"/>
                      <w:sz w:val="21"/>
                      <w:szCs w:val="21"/>
                      <w:highlight w:val="none"/>
                      <w:lang w:eastAsia="zh-CN"/>
                    </w:rPr>
                    <w:t>SS</w:t>
                  </w:r>
                </w:p>
              </w:tc>
              <w:tc>
                <w:tcPr>
                  <w:tcW w:w="1302" w:type="dxa"/>
                  <w:noWrap w:val="0"/>
                  <w:vAlign w:val="center"/>
                </w:tcPr>
                <w:p>
                  <w:pPr>
                    <w:widowControl/>
                    <w:jc w:val="center"/>
                    <w:textAlignment w:val="center"/>
                    <w:rPr>
                      <w:rFonts w:ascii="Times New Roman" w:hAnsi="Times New Roman" w:cs="Times New Roman"/>
                      <w:color w:val="000000"/>
                      <w:kern w:val="0"/>
                      <w:szCs w:val="21"/>
                      <w:highlight w:val="none"/>
                    </w:rPr>
                  </w:pPr>
                  <w:r>
                    <w:rPr>
                      <w:rFonts w:ascii="Times New Roman" w:hAnsi="Times New Roman"/>
                      <w:kern w:val="0"/>
                      <w:szCs w:val="21"/>
                      <w:highlight w:val="none"/>
                      <w:lang w:bidi="ar"/>
                    </w:rPr>
                    <w:t>200</w:t>
                  </w:r>
                </w:p>
              </w:tc>
              <w:tc>
                <w:tcPr>
                  <w:tcW w:w="1006"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0.188</w:t>
                  </w:r>
                </w:p>
              </w:tc>
              <w:tc>
                <w:tcPr>
                  <w:tcW w:w="1071" w:type="dxa"/>
                  <w:noWrap w:val="0"/>
                  <w:vAlign w:val="center"/>
                </w:tcPr>
                <w:p>
                  <w:pPr>
                    <w:widowControl/>
                    <w:jc w:val="center"/>
                    <w:textAlignment w:val="center"/>
                    <w:rPr>
                      <w:rFonts w:ascii="Times New Roman" w:hAnsi="Times New Roman" w:cs="Times New Roman"/>
                      <w:color w:val="000000"/>
                      <w:kern w:val="0"/>
                      <w:szCs w:val="21"/>
                      <w:highlight w:val="none"/>
                    </w:rPr>
                  </w:pPr>
                  <w:r>
                    <w:rPr>
                      <w:rFonts w:ascii="Times New Roman" w:hAnsi="Times New Roman"/>
                      <w:kern w:val="0"/>
                      <w:szCs w:val="21"/>
                      <w:highlight w:val="none"/>
                      <w:lang w:bidi="ar"/>
                    </w:rPr>
                    <w:t>160</w:t>
                  </w:r>
                </w:p>
              </w:tc>
              <w:tc>
                <w:tcPr>
                  <w:tcW w:w="1721" w:type="dxa"/>
                  <w:noWrap w:val="0"/>
                  <w:vAlign w:val="center"/>
                </w:tcPr>
                <w:p>
                  <w:pPr>
                    <w:widowControl/>
                    <w:jc w:val="center"/>
                    <w:textAlignment w:val="center"/>
                    <w:rPr>
                      <w:rFonts w:ascii="Times New Roman" w:hAnsi="Times New Roman"/>
                      <w:color w:val="000000"/>
                      <w:kern w:val="0"/>
                      <w:szCs w:val="21"/>
                      <w:highlight w:val="none"/>
                    </w:rPr>
                  </w:pPr>
                  <w:r>
                    <w:rPr>
                      <w:rFonts w:ascii="Times New Roman" w:hAnsi="Times New Roman"/>
                      <w:color w:val="000000"/>
                      <w:kern w:val="0"/>
                      <w:szCs w:val="21"/>
                      <w:highlight w:val="none"/>
                    </w:rPr>
                    <w:t>400</w:t>
                  </w:r>
                </w:p>
              </w:tc>
              <w:tc>
                <w:tcPr>
                  <w:tcW w:w="1334" w:type="dxa"/>
                  <w:noWrap w:val="0"/>
                  <w:vAlign w:val="center"/>
                </w:tcPr>
                <w:p>
                  <w:pPr>
                    <w:widowControl/>
                    <w:jc w:val="center"/>
                    <w:textAlignment w:val="center"/>
                    <w:rPr>
                      <w:rFonts w:ascii="Times New Roman" w:hAnsi="Times New Roman"/>
                      <w:color w:val="000000"/>
                      <w:szCs w:val="21"/>
                      <w:highlight w:val="none"/>
                    </w:rPr>
                  </w:pPr>
                  <w:r>
                    <w:rPr>
                      <w:rFonts w:ascii="Times New Roman" w:hAnsi="Times New Roman"/>
                      <w:color w:val="000000"/>
                      <w:kern w:val="0"/>
                      <w:szCs w:val="21"/>
                      <w:highlight w:val="none"/>
                    </w:rPr>
                    <w:t>10</w:t>
                  </w:r>
                </w:p>
              </w:tc>
              <w:tc>
                <w:tcPr>
                  <w:tcW w:w="1229" w:type="dxa"/>
                  <w:noWrap w:val="0"/>
                  <w:vAlign w:val="center"/>
                </w:tcPr>
                <w:p>
                  <w:pPr>
                    <w:widowControl/>
                    <w:jc w:val="center"/>
                    <w:textAlignment w:val="center"/>
                    <w:rPr>
                      <w:rFonts w:ascii="Times New Roman" w:hAnsi="Times New Roman" w:eastAsia="宋体" w:cs="Times New Roman"/>
                      <w:color w:val="000000"/>
                      <w:kern w:val="0"/>
                      <w:szCs w:val="21"/>
                      <w:highlight w:val="none"/>
                    </w:rPr>
                  </w:pPr>
                  <w:r>
                    <w:rPr>
                      <w:rFonts w:hint="eastAsia" w:ascii="Times New Roman" w:hAnsi="Times New Roman" w:eastAsia="宋体" w:cs="Times New Roman"/>
                      <w:color w:val="000000"/>
                      <w:kern w:val="0"/>
                      <w:szCs w:val="21"/>
                      <w:highlight w:val="none"/>
                      <w:lang w:val="en-US" w:eastAsia="zh-CN"/>
                    </w:rPr>
                    <w:t>0.0094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noWrap w:val="0"/>
                  <w:vAlign w:val="center"/>
                </w:tcPr>
                <w:p>
                  <w:pPr>
                    <w:pStyle w:val="94"/>
                    <w:spacing w:before="53" w:line="240" w:lineRule="atLeast"/>
                    <w:jc w:val="center"/>
                    <w:rPr>
                      <w:rFonts w:ascii="Times New Roman" w:hAnsi="Times New Roman"/>
                      <w:color w:val="000000"/>
                      <w:szCs w:val="21"/>
                      <w:highlight w:val="none"/>
                      <w:lang w:eastAsia="zh-CN"/>
                    </w:rPr>
                  </w:pPr>
                  <w:r>
                    <w:rPr>
                      <w:rFonts w:ascii="Times New Roman" w:hAnsi="Times New Roman"/>
                      <w:color w:val="000000"/>
                      <w:sz w:val="21"/>
                      <w:szCs w:val="21"/>
                      <w:highlight w:val="none"/>
                      <w:lang w:eastAsia="zh-CN"/>
                    </w:rPr>
                    <w:t>氨氮</w:t>
                  </w:r>
                </w:p>
              </w:tc>
              <w:tc>
                <w:tcPr>
                  <w:tcW w:w="1302"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szCs w:val="21"/>
                      <w:highlight w:val="none"/>
                      <w:lang w:val="en-US" w:eastAsia="zh-CN"/>
                    </w:rPr>
                    <w:t>35</w:t>
                  </w:r>
                </w:p>
              </w:tc>
              <w:tc>
                <w:tcPr>
                  <w:tcW w:w="1006"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0.0329</w:t>
                  </w:r>
                </w:p>
              </w:tc>
              <w:tc>
                <w:tcPr>
                  <w:tcW w:w="1071"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3</w:t>
                  </w:r>
                  <w:r>
                    <w:rPr>
                      <w:rFonts w:ascii="Times New Roman" w:hAnsi="Times New Roman"/>
                      <w:kern w:val="0"/>
                      <w:szCs w:val="21"/>
                      <w:highlight w:val="none"/>
                      <w:lang w:bidi="ar"/>
                    </w:rPr>
                    <w:t>5</w:t>
                  </w:r>
                </w:p>
              </w:tc>
              <w:tc>
                <w:tcPr>
                  <w:tcW w:w="1721" w:type="dxa"/>
                  <w:noWrap w:val="0"/>
                  <w:vAlign w:val="center"/>
                </w:tcPr>
                <w:p>
                  <w:pPr>
                    <w:widowControl/>
                    <w:jc w:val="center"/>
                    <w:textAlignment w:val="center"/>
                    <w:rPr>
                      <w:rFonts w:ascii="Times New Roman" w:hAnsi="Times New Roman"/>
                      <w:color w:val="000000"/>
                      <w:kern w:val="0"/>
                      <w:szCs w:val="21"/>
                      <w:highlight w:val="none"/>
                    </w:rPr>
                  </w:pPr>
                  <w:r>
                    <w:rPr>
                      <w:rFonts w:ascii="Times New Roman" w:hAnsi="Times New Roman"/>
                      <w:color w:val="000000"/>
                      <w:kern w:val="0"/>
                      <w:szCs w:val="21"/>
                      <w:highlight w:val="none"/>
                    </w:rPr>
                    <w:t>45</w:t>
                  </w:r>
                  <w:r>
                    <w:rPr>
                      <w:rFonts w:ascii="Times New Roman" w:hAnsi="Times New Roman"/>
                      <w:b/>
                      <w:bCs/>
                      <w:color w:val="000000"/>
                      <w:kern w:val="0"/>
                      <w:szCs w:val="21"/>
                      <w:highlight w:val="none"/>
                      <w:vertAlign w:val="superscript"/>
                    </w:rPr>
                    <w:t>①</w:t>
                  </w:r>
                </w:p>
              </w:tc>
              <w:tc>
                <w:tcPr>
                  <w:tcW w:w="1334" w:type="dxa"/>
                  <w:noWrap w:val="0"/>
                  <w:vAlign w:val="center"/>
                </w:tcPr>
                <w:p>
                  <w:pPr>
                    <w:widowControl/>
                    <w:jc w:val="center"/>
                    <w:textAlignment w:val="center"/>
                    <w:rPr>
                      <w:rFonts w:ascii="Times New Roman" w:hAnsi="Times New Roman"/>
                      <w:color w:val="000000"/>
                      <w:szCs w:val="21"/>
                      <w:highlight w:val="none"/>
                    </w:rPr>
                  </w:pPr>
                  <w:r>
                    <w:rPr>
                      <w:rFonts w:ascii="Times New Roman" w:hAnsi="Times New Roman"/>
                      <w:color w:val="000000"/>
                      <w:szCs w:val="21"/>
                      <w:highlight w:val="none"/>
                    </w:rPr>
                    <w:t>5</w:t>
                  </w:r>
                </w:p>
              </w:tc>
              <w:tc>
                <w:tcPr>
                  <w:tcW w:w="1229" w:type="dxa"/>
                  <w:noWrap w:val="0"/>
                  <w:vAlign w:val="center"/>
                </w:tcPr>
                <w:p>
                  <w:pPr>
                    <w:widowControl/>
                    <w:jc w:val="center"/>
                    <w:textAlignment w:val="center"/>
                    <w:rPr>
                      <w:rFonts w:ascii="Times New Roman" w:hAnsi="Times New Roman" w:eastAsia="宋体" w:cs="Times New Roman"/>
                      <w:color w:val="000000"/>
                      <w:kern w:val="0"/>
                      <w:szCs w:val="21"/>
                      <w:highlight w:val="none"/>
                    </w:rPr>
                  </w:pPr>
                  <w:r>
                    <w:rPr>
                      <w:rFonts w:hint="eastAsia" w:ascii="Times New Roman" w:hAnsi="Times New Roman" w:eastAsia="宋体" w:cs="Times New Roman"/>
                      <w:color w:val="000000"/>
                      <w:kern w:val="0"/>
                      <w:szCs w:val="21"/>
                      <w:highlight w:val="none"/>
                      <w:lang w:val="en-US" w:eastAsia="zh-CN"/>
                    </w:rPr>
                    <w:t>0.0047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noWrap w:val="0"/>
                  <w:vAlign w:val="center"/>
                </w:tcPr>
                <w:p>
                  <w:pPr>
                    <w:pStyle w:val="94"/>
                    <w:spacing w:before="53" w:line="240" w:lineRule="atLeast"/>
                    <w:jc w:val="center"/>
                    <w:rPr>
                      <w:rFonts w:ascii="Times New Roman" w:hAnsi="Times New Roman"/>
                      <w:color w:val="000000"/>
                      <w:szCs w:val="21"/>
                      <w:highlight w:val="none"/>
                      <w:lang w:eastAsia="zh-CN"/>
                    </w:rPr>
                  </w:pPr>
                  <w:r>
                    <w:rPr>
                      <w:rFonts w:ascii="Times New Roman" w:hAnsi="Times New Roman"/>
                      <w:color w:val="000000"/>
                      <w:sz w:val="21"/>
                      <w:szCs w:val="21"/>
                      <w:highlight w:val="none"/>
                      <w:lang w:eastAsia="zh-CN"/>
                    </w:rPr>
                    <w:t>BOD</w:t>
                  </w:r>
                  <w:r>
                    <w:rPr>
                      <w:rFonts w:ascii="Times New Roman" w:hAnsi="Times New Roman"/>
                      <w:color w:val="000000"/>
                      <w:sz w:val="21"/>
                      <w:szCs w:val="21"/>
                      <w:highlight w:val="none"/>
                      <w:vertAlign w:val="subscript"/>
                      <w:lang w:eastAsia="zh-CN"/>
                    </w:rPr>
                    <w:t>5</w:t>
                  </w:r>
                </w:p>
              </w:tc>
              <w:tc>
                <w:tcPr>
                  <w:tcW w:w="1302" w:type="dxa"/>
                  <w:noWrap w:val="0"/>
                  <w:vAlign w:val="center"/>
                </w:tcPr>
                <w:p>
                  <w:pPr>
                    <w:widowControl/>
                    <w:jc w:val="center"/>
                    <w:textAlignment w:val="center"/>
                    <w:rPr>
                      <w:rFonts w:ascii="Times New Roman" w:hAnsi="Times New Roman" w:cs="Times New Roman"/>
                      <w:color w:val="000000"/>
                      <w:kern w:val="0"/>
                      <w:szCs w:val="21"/>
                      <w:highlight w:val="none"/>
                    </w:rPr>
                  </w:pPr>
                  <w:r>
                    <w:rPr>
                      <w:rFonts w:ascii="Times New Roman" w:hAnsi="Times New Roman"/>
                      <w:kern w:val="0"/>
                      <w:szCs w:val="21"/>
                      <w:highlight w:val="none"/>
                      <w:lang w:bidi="ar"/>
                    </w:rPr>
                    <w:t>250</w:t>
                  </w:r>
                </w:p>
              </w:tc>
              <w:tc>
                <w:tcPr>
                  <w:tcW w:w="1006"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0.235</w:t>
                  </w:r>
                </w:p>
              </w:tc>
              <w:tc>
                <w:tcPr>
                  <w:tcW w:w="1071" w:type="dxa"/>
                  <w:noWrap w:val="0"/>
                  <w:vAlign w:val="center"/>
                </w:tcPr>
                <w:p>
                  <w:pPr>
                    <w:widowControl/>
                    <w:jc w:val="center"/>
                    <w:textAlignment w:val="center"/>
                    <w:rPr>
                      <w:rFonts w:ascii="Times New Roman" w:hAnsi="Times New Roman" w:cs="Times New Roman"/>
                      <w:color w:val="000000"/>
                      <w:kern w:val="0"/>
                      <w:szCs w:val="21"/>
                      <w:highlight w:val="none"/>
                    </w:rPr>
                  </w:pPr>
                  <w:r>
                    <w:rPr>
                      <w:rFonts w:ascii="Times New Roman" w:hAnsi="Times New Roman"/>
                      <w:kern w:val="0"/>
                      <w:szCs w:val="21"/>
                      <w:highlight w:val="none"/>
                      <w:lang w:bidi="ar"/>
                    </w:rPr>
                    <w:t>225</w:t>
                  </w:r>
                </w:p>
              </w:tc>
              <w:tc>
                <w:tcPr>
                  <w:tcW w:w="1721" w:type="dxa"/>
                  <w:noWrap w:val="0"/>
                  <w:vAlign w:val="center"/>
                </w:tcPr>
                <w:p>
                  <w:pPr>
                    <w:widowControl/>
                    <w:jc w:val="center"/>
                    <w:textAlignment w:val="center"/>
                    <w:rPr>
                      <w:rFonts w:ascii="Times New Roman" w:hAnsi="Times New Roman"/>
                      <w:color w:val="000000"/>
                      <w:kern w:val="0"/>
                      <w:szCs w:val="21"/>
                      <w:highlight w:val="none"/>
                    </w:rPr>
                  </w:pPr>
                  <w:r>
                    <w:rPr>
                      <w:rFonts w:ascii="Times New Roman" w:hAnsi="Times New Roman"/>
                      <w:color w:val="000000"/>
                      <w:kern w:val="0"/>
                      <w:szCs w:val="21"/>
                      <w:highlight w:val="none"/>
                    </w:rPr>
                    <w:t>300</w:t>
                  </w:r>
                </w:p>
              </w:tc>
              <w:tc>
                <w:tcPr>
                  <w:tcW w:w="1334" w:type="dxa"/>
                  <w:noWrap w:val="0"/>
                  <w:vAlign w:val="center"/>
                </w:tcPr>
                <w:p>
                  <w:pPr>
                    <w:widowControl/>
                    <w:jc w:val="center"/>
                    <w:textAlignment w:val="center"/>
                    <w:rPr>
                      <w:rFonts w:ascii="Times New Roman" w:hAnsi="Times New Roman"/>
                      <w:color w:val="000000"/>
                      <w:szCs w:val="21"/>
                      <w:highlight w:val="none"/>
                    </w:rPr>
                  </w:pPr>
                  <w:r>
                    <w:rPr>
                      <w:rFonts w:ascii="Times New Roman" w:hAnsi="Times New Roman"/>
                      <w:color w:val="000000"/>
                      <w:kern w:val="0"/>
                      <w:szCs w:val="21"/>
                      <w:highlight w:val="none"/>
                    </w:rPr>
                    <w:t>10</w:t>
                  </w:r>
                </w:p>
              </w:tc>
              <w:tc>
                <w:tcPr>
                  <w:tcW w:w="1229" w:type="dxa"/>
                  <w:noWrap w:val="0"/>
                  <w:vAlign w:val="center"/>
                </w:tcPr>
                <w:p>
                  <w:pPr>
                    <w:widowControl/>
                    <w:jc w:val="center"/>
                    <w:textAlignment w:val="center"/>
                    <w:rPr>
                      <w:rFonts w:ascii="Times New Roman" w:hAnsi="Times New Roman" w:eastAsia="宋体" w:cs="Times New Roman"/>
                      <w:color w:val="000000"/>
                      <w:kern w:val="0"/>
                      <w:szCs w:val="21"/>
                      <w:highlight w:val="none"/>
                    </w:rPr>
                  </w:pPr>
                  <w:r>
                    <w:rPr>
                      <w:rFonts w:hint="eastAsia" w:ascii="Times New Roman" w:hAnsi="Times New Roman" w:eastAsia="宋体" w:cs="Times New Roman"/>
                      <w:color w:val="000000"/>
                      <w:kern w:val="0"/>
                      <w:szCs w:val="21"/>
                      <w:highlight w:val="none"/>
                      <w:lang w:val="en-US" w:eastAsia="zh-CN"/>
                    </w:rPr>
                    <w:t>0.0094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noWrap w:val="0"/>
                  <w:vAlign w:val="center"/>
                </w:tcPr>
                <w:p>
                  <w:pPr>
                    <w:pStyle w:val="94"/>
                    <w:spacing w:before="53" w:line="240" w:lineRule="atLeast"/>
                    <w:jc w:val="center"/>
                    <w:rPr>
                      <w:rFonts w:hint="default" w:ascii="Times New Roman" w:hAnsi="Times New Roman"/>
                      <w:color w:val="000000"/>
                      <w:sz w:val="21"/>
                      <w:szCs w:val="21"/>
                      <w:highlight w:val="none"/>
                      <w:lang w:val="en-US" w:eastAsia="zh-CN"/>
                    </w:rPr>
                  </w:pPr>
                  <w:r>
                    <w:rPr>
                      <w:rFonts w:hint="eastAsia" w:ascii="Times New Roman" w:hAnsi="Times New Roman"/>
                      <w:color w:val="000000"/>
                      <w:sz w:val="21"/>
                      <w:szCs w:val="21"/>
                      <w:highlight w:val="none"/>
                      <w:lang w:val="en-US" w:eastAsia="zh-CN"/>
                    </w:rPr>
                    <w:t>动植物油</w:t>
                  </w:r>
                </w:p>
              </w:tc>
              <w:tc>
                <w:tcPr>
                  <w:tcW w:w="1302"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120</w:t>
                  </w:r>
                </w:p>
              </w:tc>
              <w:tc>
                <w:tcPr>
                  <w:tcW w:w="1006"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0.1128</w:t>
                  </w:r>
                </w:p>
              </w:tc>
              <w:tc>
                <w:tcPr>
                  <w:tcW w:w="1071"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100</w:t>
                  </w:r>
                </w:p>
              </w:tc>
              <w:tc>
                <w:tcPr>
                  <w:tcW w:w="1721" w:type="dxa"/>
                  <w:noWrap w:val="0"/>
                  <w:vAlign w:val="center"/>
                </w:tcPr>
                <w:p>
                  <w:pPr>
                    <w:widowControl/>
                    <w:jc w:val="center"/>
                    <w:textAlignment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100</w:t>
                  </w:r>
                </w:p>
              </w:tc>
              <w:tc>
                <w:tcPr>
                  <w:tcW w:w="1334" w:type="dxa"/>
                  <w:noWrap w:val="0"/>
                  <w:vAlign w:val="center"/>
                </w:tcPr>
                <w:p>
                  <w:pPr>
                    <w:widowControl/>
                    <w:jc w:val="center"/>
                    <w:textAlignment w:val="center"/>
                    <w:rPr>
                      <w:rFonts w:hint="eastAsia"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1</w:t>
                  </w:r>
                </w:p>
              </w:tc>
              <w:tc>
                <w:tcPr>
                  <w:tcW w:w="1229" w:type="dxa"/>
                  <w:noWrap w:val="0"/>
                  <w:vAlign w:val="center"/>
                </w:tcPr>
                <w:p>
                  <w:pPr>
                    <w:widowControl/>
                    <w:jc w:val="center"/>
                    <w:textAlignment w:val="center"/>
                    <w:rPr>
                      <w:rFonts w:ascii="Times New Roman" w:hAnsi="Times New Roman" w:eastAsia="宋体" w:cs="Times New Roman"/>
                      <w:color w:val="000000"/>
                      <w:kern w:val="0"/>
                      <w:szCs w:val="21"/>
                      <w:highlight w:val="none"/>
                    </w:rPr>
                  </w:pPr>
                  <w:r>
                    <w:rPr>
                      <w:rFonts w:hint="eastAsia" w:ascii="Times New Roman" w:hAnsi="Times New Roman" w:eastAsia="宋体" w:cs="Times New Roman"/>
                      <w:color w:val="000000"/>
                      <w:kern w:val="0"/>
                      <w:szCs w:val="21"/>
                      <w:highlight w:val="none"/>
                      <w:lang w:val="en-US" w:eastAsia="zh-CN"/>
                    </w:rPr>
                    <w:t>0.00094</w:t>
                  </w:r>
                </w:p>
              </w:tc>
            </w:tr>
          </w:tbl>
          <w:p>
            <w:pPr>
              <w:spacing w:line="360" w:lineRule="auto"/>
              <w:ind w:firstLine="480" w:firstLineChars="200"/>
              <w:rPr>
                <w:rFonts w:ascii="Times New Roman" w:hAnsi="Times New Roman"/>
                <w:bCs/>
                <w:color w:val="000000"/>
                <w:sz w:val="24"/>
                <w:highlight w:val="none"/>
              </w:rPr>
            </w:pPr>
          </w:p>
          <w:p>
            <w:pPr>
              <w:spacing w:line="360" w:lineRule="auto"/>
              <w:jc w:val="center"/>
              <w:rPr>
                <w:rFonts w:ascii="Times New Roman" w:hAnsi="Times New Roman"/>
                <w:b/>
                <w:bCs/>
                <w:color w:val="000000"/>
                <w:sz w:val="24"/>
                <w:highlight w:val="none"/>
              </w:rPr>
            </w:pPr>
          </w:p>
          <w:p>
            <w:pPr>
              <w:spacing w:line="360" w:lineRule="auto"/>
              <w:jc w:val="center"/>
              <w:rPr>
                <w:rFonts w:ascii="Times New Roman" w:hAnsi="Times New Roman"/>
                <w:color w:val="000000"/>
                <w:sz w:val="24"/>
                <w:highlight w:val="none"/>
              </w:rPr>
            </w:pPr>
            <w:r>
              <w:rPr>
                <w:rFonts w:ascii="Times New Roman" w:hAnsi="Times New Roman"/>
                <w:b/>
                <w:bCs/>
                <w:color w:val="000000"/>
                <w:sz w:val="24"/>
                <w:highlight w:val="none"/>
              </w:rPr>
              <w:t>表7-</w:t>
            </w:r>
            <w:r>
              <w:rPr>
                <w:rFonts w:hint="eastAsia" w:ascii="Times New Roman" w:hAnsi="Times New Roman"/>
                <w:b/>
                <w:bCs/>
                <w:color w:val="000000"/>
                <w:sz w:val="24"/>
                <w:highlight w:val="none"/>
                <w:lang w:val="en-US" w:eastAsia="zh-CN"/>
              </w:rPr>
              <w:t>2</w:t>
            </w:r>
            <w:r>
              <w:rPr>
                <w:rFonts w:ascii="Times New Roman" w:hAnsi="Times New Roman"/>
                <w:b/>
                <w:bCs/>
                <w:color w:val="000000"/>
                <w:sz w:val="24"/>
                <w:highlight w:val="none"/>
              </w:rPr>
              <w:t xml:space="preserve">   </w:t>
            </w:r>
            <w:r>
              <w:rPr>
                <w:rFonts w:hint="eastAsia" w:ascii="Times New Roman" w:hAnsi="Times New Roman"/>
                <w:b/>
                <w:bCs/>
                <w:color w:val="000000"/>
                <w:sz w:val="24"/>
                <w:highlight w:val="none"/>
                <w:lang w:val="en-US" w:eastAsia="zh-CN"/>
              </w:rPr>
              <w:t>修复过程</w:t>
            </w:r>
            <w:r>
              <w:rPr>
                <w:rFonts w:ascii="Times New Roman" w:hAnsi="Times New Roman"/>
                <w:b/>
                <w:bCs/>
                <w:color w:val="000000"/>
                <w:sz w:val="24"/>
                <w:highlight w:val="none"/>
              </w:rPr>
              <w:t>废水主要污染物产排核算</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1"/>
              <w:gridCol w:w="1302"/>
              <w:gridCol w:w="1006"/>
              <w:gridCol w:w="1071"/>
              <w:gridCol w:w="1721"/>
              <w:gridCol w:w="1334"/>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污染物</w:t>
                  </w:r>
                </w:p>
              </w:tc>
              <w:tc>
                <w:tcPr>
                  <w:tcW w:w="1302"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产生浓度（mg/L）</w:t>
                  </w:r>
                </w:p>
              </w:tc>
              <w:tc>
                <w:tcPr>
                  <w:tcW w:w="1006"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产生量（t/</w:t>
                  </w:r>
                  <w:r>
                    <w:rPr>
                      <w:rFonts w:hint="eastAsia" w:ascii="Times New Roman" w:hAnsi="Times New Roman"/>
                      <w:color w:val="000000"/>
                      <w:szCs w:val="21"/>
                      <w:highlight w:val="none"/>
                      <w:lang w:val="en-US" w:eastAsia="zh-CN"/>
                    </w:rPr>
                    <w:t>工期</w:t>
                  </w:r>
                  <w:r>
                    <w:rPr>
                      <w:rFonts w:ascii="Times New Roman" w:hAnsi="Times New Roman"/>
                      <w:color w:val="000000"/>
                      <w:szCs w:val="21"/>
                      <w:highlight w:val="none"/>
                    </w:rPr>
                    <w:t>）</w:t>
                  </w:r>
                </w:p>
              </w:tc>
              <w:tc>
                <w:tcPr>
                  <w:tcW w:w="1071"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处理后浓度</w:t>
                  </w:r>
                </w:p>
              </w:tc>
              <w:tc>
                <w:tcPr>
                  <w:tcW w:w="1721" w:type="dxa"/>
                  <w:noWrap w:val="0"/>
                  <w:vAlign w:val="center"/>
                </w:tcPr>
                <w:p>
                  <w:pPr>
                    <w:adjustRightInd w:val="0"/>
                    <w:snapToGrid w:val="0"/>
                    <w:jc w:val="center"/>
                    <w:rPr>
                      <w:rFonts w:ascii="Times New Roman" w:hAnsi="Times New Roman"/>
                      <w:color w:val="000000"/>
                      <w:szCs w:val="21"/>
                      <w:highlight w:val="none"/>
                      <w:lang w:val="en-GB"/>
                    </w:rPr>
                  </w:pPr>
                  <w:r>
                    <w:rPr>
                      <w:rFonts w:ascii="Times New Roman" w:hAnsi="Times New Roman"/>
                      <w:color w:val="000000"/>
                      <w:szCs w:val="21"/>
                      <w:highlight w:val="none"/>
                      <w:lang w:val="en-GB"/>
                    </w:rPr>
                    <w:t>《污水综合排放标准》（GB8978-1996）</w:t>
                  </w:r>
                </w:p>
              </w:tc>
              <w:tc>
                <w:tcPr>
                  <w:tcW w:w="1334" w:type="dxa"/>
                  <w:noWrap w:val="0"/>
                  <w:vAlign w:val="center"/>
                </w:tcPr>
                <w:p>
                  <w:pPr>
                    <w:adjustRightInd w:val="0"/>
                    <w:snapToGrid w:val="0"/>
                    <w:jc w:val="center"/>
                    <w:rPr>
                      <w:rFonts w:ascii="Times New Roman" w:hAnsi="Times New Roman"/>
                      <w:color w:val="000000"/>
                      <w:szCs w:val="21"/>
                      <w:highlight w:val="none"/>
                    </w:rPr>
                  </w:pPr>
                  <w:r>
                    <w:rPr>
                      <w:rFonts w:ascii="Times New Roman" w:hAnsi="Times New Roman"/>
                      <w:color w:val="000000"/>
                      <w:szCs w:val="21"/>
                      <w:highlight w:val="none"/>
                    </w:rPr>
                    <w:t>城镇污水处理厂排放标准（mg/L）</w:t>
                  </w:r>
                </w:p>
              </w:tc>
              <w:tc>
                <w:tcPr>
                  <w:tcW w:w="1229" w:type="dxa"/>
                  <w:noWrap w:val="0"/>
                  <w:vAlign w:val="center"/>
                </w:tcPr>
                <w:p>
                  <w:pPr>
                    <w:jc w:val="center"/>
                    <w:rPr>
                      <w:rFonts w:ascii="Times New Roman" w:hAnsi="Times New Roman"/>
                      <w:color w:val="000000"/>
                      <w:highlight w:val="none"/>
                    </w:rPr>
                  </w:pPr>
                  <w:r>
                    <w:rPr>
                      <w:rFonts w:ascii="Times New Roman" w:hAnsi="Times New Roman"/>
                      <w:color w:val="000000"/>
                      <w:szCs w:val="21"/>
                      <w:highlight w:val="none"/>
                    </w:rPr>
                    <w:t>最终排放量（t/</w:t>
                  </w:r>
                  <w:r>
                    <w:rPr>
                      <w:rFonts w:hint="eastAsia" w:ascii="Times New Roman" w:hAnsi="Times New Roman"/>
                      <w:color w:val="000000"/>
                      <w:szCs w:val="21"/>
                      <w:highlight w:val="none"/>
                      <w:lang w:val="en-US" w:eastAsia="zh-CN"/>
                    </w:rPr>
                    <w:t>工期</w:t>
                  </w:r>
                  <w:r>
                    <w:rPr>
                      <w:rFonts w:ascii="Times New Roman" w:hAnsi="Times New Roman"/>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noWrap w:val="0"/>
                  <w:vAlign w:val="center"/>
                </w:tcPr>
                <w:p>
                  <w:pPr>
                    <w:pStyle w:val="94"/>
                    <w:spacing w:before="53" w:line="240" w:lineRule="atLeast"/>
                    <w:jc w:val="center"/>
                    <w:rPr>
                      <w:rFonts w:ascii="Times New Roman" w:hAnsi="Times New Roman"/>
                      <w:color w:val="000000"/>
                      <w:szCs w:val="21"/>
                      <w:highlight w:val="none"/>
                      <w:lang w:eastAsia="zh-CN"/>
                    </w:rPr>
                  </w:pPr>
                  <w:r>
                    <w:rPr>
                      <w:rFonts w:ascii="Times New Roman" w:hAnsi="Times New Roman"/>
                      <w:color w:val="000000"/>
                      <w:sz w:val="21"/>
                      <w:szCs w:val="21"/>
                      <w:highlight w:val="none"/>
                      <w:lang w:eastAsia="zh-CN"/>
                    </w:rPr>
                    <w:t>COD</w:t>
                  </w:r>
                </w:p>
              </w:tc>
              <w:tc>
                <w:tcPr>
                  <w:tcW w:w="1302"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 xml:space="preserve">399.1 </w:t>
                  </w:r>
                </w:p>
              </w:tc>
              <w:tc>
                <w:tcPr>
                  <w:tcW w:w="1006"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8.0996</w:t>
                  </w:r>
                </w:p>
              </w:tc>
              <w:tc>
                <w:tcPr>
                  <w:tcW w:w="1071" w:type="dxa"/>
                  <w:noWrap w:val="0"/>
                  <w:vAlign w:val="center"/>
                </w:tcPr>
                <w:p>
                  <w:pPr>
                    <w:widowControl/>
                    <w:jc w:val="center"/>
                    <w:textAlignment w:val="center"/>
                    <w:rPr>
                      <w:rFonts w:hint="default" w:ascii="Times New Roman" w:hAnsi="Times New Roman" w:cs="Times New Roman"/>
                      <w:color w:val="auto"/>
                      <w:kern w:val="0"/>
                      <w:szCs w:val="21"/>
                      <w:highlight w:val="none"/>
                      <w:lang w:val="en-US"/>
                    </w:rPr>
                  </w:pPr>
                  <w:r>
                    <w:rPr>
                      <w:rFonts w:hint="eastAsia" w:ascii="Times New Roman" w:hAnsi="Times New Roman"/>
                      <w:color w:val="auto"/>
                      <w:kern w:val="0"/>
                      <w:szCs w:val="21"/>
                      <w:highlight w:val="none"/>
                      <w:lang w:val="en-US" w:eastAsia="zh-CN" w:bidi="ar"/>
                    </w:rPr>
                    <w:t>350</w:t>
                  </w:r>
                </w:p>
              </w:tc>
              <w:tc>
                <w:tcPr>
                  <w:tcW w:w="1721" w:type="dxa"/>
                  <w:noWrap w:val="0"/>
                  <w:vAlign w:val="center"/>
                </w:tcPr>
                <w:p>
                  <w:pPr>
                    <w:widowControl/>
                    <w:jc w:val="center"/>
                    <w:textAlignment w:val="center"/>
                    <w:rPr>
                      <w:rFonts w:ascii="Times New Roman" w:hAnsi="Times New Roman"/>
                      <w:color w:val="000000"/>
                      <w:kern w:val="0"/>
                      <w:szCs w:val="21"/>
                      <w:highlight w:val="none"/>
                    </w:rPr>
                  </w:pPr>
                  <w:r>
                    <w:rPr>
                      <w:rFonts w:ascii="Times New Roman" w:hAnsi="Times New Roman"/>
                      <w:color w:val="000000"/>
                      <w:kern w:val="0"/>
                      <w:szCs w:val="21"/>
                      <w:highlight w:val="none"/>
                    </w:rPr>
                    <w:t>500</w:t>
                  </w:r>
                </w:p>
              </w:tc>
              <w:tc>
                <w:tcPr>
                  <w:tcW w:w="1334" w:type="dxa"/>
                  <w:noWrap w:val="0"/>
                  <w:vAlign w:val="center"/>
                </w:tcPr>
                <w:p>
                  <w:pPr>
                    <w:widowControl/>
                    <w:jc w:val="center"/>
                    <w:textAlignment w:val="center"/>
                    <w:rPr>
                      <w:rFonts w:ascii="Times New Roman" w:hAnsi="Times New Roman"/>
                      <w:color w:val="000000"/>
                      <w:szCs w:val="21"/>
                      <w:highlight w:val="none"/>
                    </w:rPr>
                  </w:pPr>
                  <w:r>
                    <w:rPr>
                      <w:rFonts w:ascii="Times New Roman" w:hAnsi="Times New Roman"/>
                      <w:color w:val="000000"/>
                      <w:kern w:val="0"/>
                      <w:szCs w:val="21"/>
                      <w:highlight w:val="none"/>
                    </w:rPr>
                    <w:t>50</w:t>
                  </w:r>
                </w:p>
              </w:tc>
              <w:tc>
                <w:tcPr>
                  <w:tcW w:w="1229" w:type="dxa"/>
                  <w:noWrap w:val="0"/>
                  <w:vAlign w:val="center"/>
                </w:tcPr>
                <w:p>
                  <w:pPr>
                    <w:widowControl/>
                    <w:jc w:val="center"/>
                    <w:textAlignment w:val="center"/>
                    <w:rPr>
                      <w:rFonts w:hint="default" w:ascii="Times New Roman" w:hAnsi="Times New Roman" w:eastAsia="宋体" w:cs="Times New Roman"/>
                      <w:color w:val="auto"/>
                      <w:kern w:val="0"/>
                      <w:szCs w:val="21"/>
                      <w:highlight w:val="none"/>
                      <w:lang w:val="en-US"/>
                    </w:rPr>
                  </w:pPr>
                  <w:r>
                    <w:rPr>
                      <w:rFonts w:hint="eastAsia" w:ascii="Times New Roman" w:hAnsi="Times New Roman" w:eastAsia="宋体" w:cs="Times New Roman"/>
                      <w:color w:val="auto"/>
                      <w:kern w:val="0"/>
                      <w:szCs w:val="21"/>
                      <w:highlight w:val="none"/>
                      <w:lang w:val="en-US" w:eastAsia="zh-CN"/>
                    </w:rPr>
                    <w:t>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noWrap w:val="0"/>
                  <w:vAlign w:val="center"/>
                </w:tcPr>
                <w:p>
                  <w:pPr>
                    <w:pStyle w:val="94"/>
                    <w:spacing w:before="53" w:line="240" w:lineRule="atLeast"/>
                    <w:jc w:val="center"/>
                    <w:rPr>
                      <w:rFonts w:hint="eastAsia"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SS</w:t>
                  </w:r>
                </w:p>
              </w:tc>
              <w:tc>
                <w:tcPr>
                  <w:tcW w:w="1302"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 xml:space="preserve">412.6 </w:t>
                  </w:r>
                </w:p>
              </w:tc>
              <w:tc>
                <w:tcPr>
                  <w:tcW w:w="1006"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8.3742</w:t>
                  </w:r>
                </w:p>
              </w:tc>
              <w:tc>
                <w:tcPr>
                  <w:tcW w:w="1071" w:type="dxa"/>
                  <w:noWrap w:val="0"/>
                  <w:vAlign w:val="center"/>
                </w:tcPr>
                <w:p>
                  <w:pPr>
                    <w:widowControl/>
                    <w:jc w:val="center"/>
                    <w:textAlignment w:val="center"/>
                    <w:rPr>
                      <w:rFonts w:hint="default" w:ascii="Times New Roman" w:hAnsi="Times New Roman" w:cs="Times New Roman"/>
                      <w:color w:val="auto"/>
                      <w:kern w:val="0"/>
                      <w:szCs w:val="21"/>
                      <w:highlight w:val="none"/>
                      <w:lang w:val="en-US"/>
                    </w:rPr>
                  </w:pPr>
                  <w:r>
                    <w:rPr>
                      <w:rFonts w:hint="eastAsia" w:ascii="Times New Roman" w:hAnsi="Times New Roman"/>
                      <w:color w:val="auto"/>
                      <w:kern w:val="0"/>
                      <w:szCs w:val="21"/>
                      <w:highlight w:val="none"/>
                      <w:lang w:val="en-US" w:eastAsia="zh-CN" w:bidi="ar"/>
                    </w:rPr>
                    <w:t>260</w:t>
                  </w:r>
                </w:p>
              </w:tc>
              <w:tc>
                <w:tcPr>
                  <w:tcW w:w="1721" w:type="dxa"/>
                  <w:noWrap w:val="0"/>
                  <w:vAlign w:val="center"/>
                </w:tcPr>
                <w:p>
                  <w:pPr>
                    <w:widowControl/>
                    <w:jc w:val="center"/>
                    <w:textAlignment w:val="center"/>
                    <w:rPr>
                      <w:rFonts w:ascii="Times New Roman" w:hAnsi="Times New Roman"/>
                      <w:color w:val="000000"/>
                      <w:kern w:val="0"/>
                      <w:szCs w:val="21"/>
                      <w:highlight w:val="none"/>
                    </w:rPr>
                  </w:pPr>
                  <w:r>
                    <w:rPr>
                      <w:rFonts w:ascii="Times New Roman" w:hAnsi="Times New Roman"/>
                      <w:color w:val="000000"/>
                      <w:kern w:val="0"/>
                      <w:szCs w:val="21"/>
                      <w:highlight w:val="none"/>
                    </w:rPr>
                    <w:t>400</w:t>
                  </w:r>
                </w:p>
              </w:tc>
              <w:tc>
                <w:tcPr>
                  <w:tcW w:w="1334" w:type="dxa"/>
                  <w:noWrap w:val="0"/>
                  <w:vAlign w:val="center"/>
                </w:tcPr>
                <w:p>
                  <w:pPr>
                    <w:widowControl/>
                    <w:jc w:val="center"/>
                    <w:textAlignment w:val="center"/>
                    <w:rPr>
                      <w:rFonts w:ascii="Times New Roman" w:hAnsi="Times New Roman"/>
                      <w:color w:val="000000"/>
                      <w:szCs w:val="21"/>
                      <w:highlight w:val="none"/>
                    </w:rPr>
                  </w:pPr>
                  <w:r>
                    <w:rPr>
                      <w:rFonts w:ascii="Times New Roman" w:hAnsi="Times New Roman"/>
                      <w:color w:val="000000"/>
                      <w:kern w:val="0"/>
                      <w:szCs w:val="21"/>
                      <w:highlight w:val="none"/>
                    </w:rPr>
                    <w:t>10</w:t>
                  </w:r>
                </w:p>
              </w:tc>
              <w:tc>
                <w:tcPr>
                  <w:tcW w:w="1229" w:type="dxa"/>
                  <w:noWrap w:val="0"/>
                  <w:vAlign w:val="center"/>
                </w:tcPr>
                <w:p>
                  <w:pPr>
                    <w:widowControl/>
                    <w:jc w:val="center"/>
                    <w:textAlignment w:val="center"/>
                    <w:rPr>
                      <w:rFonts w:hint="default" w:ascii="Times New Roman" w:hAnsi="Times New Roman" w:eastAsia="宋体" w:cs="Times New Roman"/>
                      <w:color w:val="auto"/>
                      <w:kern w:val="0"/>
                      <w:szCs w:val="21"/>
                      <w:highlight w:val="none"/>
                      <w:lang w:val="en-US"/>
                    </w:rPr>
                  </w:pPr>
                  <w:r>
                    <w:rPr>
                      <w:rFonts w:hint="eastAsia" w:ascii="Times New Roman" w:hAnsi="Times New Roman" w:eastAsia="宋体" w:cs="Times New Roman"/>
                      <w:color w:val="auto"/>
                      <w:kern w:val="0"/>
                      <w:szCs w:val="21"/>
                      <w:highlight w:val="none"/>
                      <w:lang w:val="en-US" w:eastAsia="zh-CN"/>
                    </w:rPr>
                    <w:t>0.203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noWrap w:val="0"/>
                  <w:vAlign w:val="center"/>
                </w:tcPr>
                <w:p>
                  <w:pPr>
                    <w:pStyle w:val="94"/>
                    <w:spacing w:before="53" w:line="240" w:lineRule="atLeast"/>
                    <w:jc w:val="center"/>
                    <w:rPr>
                      <w:rFonts w:hint="default"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总石油烃</w:t>
                  </w:r>
                </w:p>
              </w:tc>
              <w:tc>
                <w:tcPr>
                  <w:tcW w:w="1302"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 xml:space="preserve">0.5 </w:t>
                  </w:r>
                </w:p>
              </w:tc>
              <w:tc>
                <w:tcPr>
                  <w:tcW w:w="1006"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0.01099</w:t>
                  </w:r>
                </w:p>
              </w:tc>
              <w:tc>
                <w:tcPr>
                  <w:tcW w:w="1071" w:type="dxa"/>
                  <w:noWrap w:val="0"/>
                  <w:vAlign w:val="center"/>
                </w:tcPr>
                <w:p>
                  <w:pPr>
                    <w:widowControl/>
                    <w:jc w:val="center"/>
                    <w:textAlignment w:val="center"/>
                    <w:rPr>
                      <w:rFonts w:hint="default" w:ascii="Times New Roman" w:hAnsi="Times New Roman" w:cs="Times New Roman"/>
                      <w:color w:val="auto"/>
                      <w:kern w:val="0"/>
                      <w:szCs w:val="21"/>
                      <w:highlight w:val="none"/>
                      <w:lang w:val="en-US"/>
                    </w:rPr>
                  </w:pPr>
                  <w:r>
                    <w:rPr>
                      <w:rFonts w:hint="eastAsia" w:ascii="Times New Roman" w:hAnsi="Times New Roman"/>
                      <w:color w:val="auto"/>
                      <w:kern w:val="0"/>
                      <w:szCs w:val="21"/>
                      <w:highlight w:val="none"/>
                      <w:lang w:val="en-US" w:eastAsia="zh-CN" w:bidi="ar"/>
                    </w:rPr>
                    <w:t>0.1</w:t>
                  </w:r>
                </w:p>
              </w:tc>
              <w:tc>
                <w:tcPr>
                  <w:tcW w:w="1721" w:type="dxa"/>
                  <w:noWrap w:val="0"/>
                  <w:vAlign w:val="center"/>
                </w:tcPr>
                <w:p>
                  <w:pPr>
                    <w:widowControl/>
                    <w:jc w:val="center"/>
                    <w:textAlignment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0.6</w:t>
                  </w:r>
                </w:p>
              </w:tc>
              <w:tc>
                <w:tcPr>
                  <w:tcW w:w="1334" w:type="dxa"/>
                  <w:noWrap w:val="0"/>
                  <w:vAlign w:val="center"/>
                </w:tcPr>
                <w:p>
                  <w:pPr>
                    <w:widowControl/>
                    <w:jc w:val="center"/>
                    <w:textAlignment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w:t>
                  </w:r>
                </w:p>
              </w:tc>
              <w:tc>
                <w:tcPr>
                  <w:tcW w:w="1229" w:type="dxa"/>
                  <w:noWrap w:val="0"/>
                  <w:vAlign w:val="center"/>
                </w:tcPr>
                <w:p>
                  <w:pPr>
                    <w:widowControl/>
                    <w:jc w:val="center"/>
                    <w:textAlignment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81" w:type="dxa"/>
                  <w:noWrap w:val="0"/>
                  <w:vAlign w:val="center"/>
                </w:tcPr>
                <w:p>
                  <w:pPr>
                    <w:pStyle w:val="94"/>
                    <w:spacing w:before="53" w:line="240" w:lineRule="atLeast"/>
                    <w:jc w:val="center"/>
                    <w:rPr>
                      <w:rFonts w:hint="eastAsia" w:ascii="Times New Roman" w:hAnsi="Times New Roman" w:eastAsia="宋体" w:cs="Times New Roman"/>
                      <w:kern w:val="0"/>
                      <w:sz w:val="21"/>
                      <w:szCs w:val="21"/>
                      <w:highlight w:val="none"/>
                      <w:lang w:val="en-US" w:eastAsia="zh-CN" w:bidi="ar"/>
                    </w:rPr>
                  </w:pPr>
                  <w:r>
                    <w:rPr>
                      <w:rFonts w:hint="eastAsia" w:ascii="Times New Roman" w:hAnsi="Times New Roman" w:eastAsia="宋体" w:cs="Times New Roman"/>
                      <w:kern w:val="0"/>
                      <w:sz w:val="21"/>
                      <w:szCs w:val="21"/>
                      <w:highlight w:val="none"/>
                      <w:lang w:val="en-US" w:eastAsia="zh-CN" w:bidi="ar"/>
                    </w:rPr>
                    <w:t>六价铬</w:t>
                  </w:r>
                </w:p>
              </w:tc>
              <w:tc>
                <w:tcPr>
                  <w:tcW w:w="1302"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 xml:space="preserve">1.2 </w:t>
                  </w:r>
                </w:p>
              </w:tc>
              <w:tc>
                <w:tcPr>
                  <w:tcW w:w="1006" w:type="dxa"/>
                  <w:noWrap w:val="0"/>
                  <w:vAlign w:val="center"/>
                </w:tcPr>
                <w:p>
                  <w:pPr>
                    <w:widowControl/>
                    <w:jc w:val="center"/>
                    <w:textAlignment w:val="center"/>
                    <w:rPr>
                      <w:rFonts w:ascii="Times New Roman" w:hAnsi="Times New Roman" w:cs="Times New Roman"/>
                      <w:color w:val="000000"/>
                      <w:kern w:val="0"/>
                      <w:szCs w:val="21"/>
                      <w:highlight w:val="none"/>
                    </w:rPr>
                  </w:pPr>
                  <w:r>
                    <w:rPr>
                      <w:rFonts w:hint="eastAsia" w:ascii="Times New Roman" w:hAnsi="Times New Roman"/>
                      <w:kern w:val="0"/>
                      <w:szCs w:val="21"/>
                      <w:highlight w:val="none"/>
                      <w:lang w:val="en-US" w:eastAsia="zh-CN" w:bidi="ar"/>
                    </w:rPr>
                    <w:t>0.02335</w:t>
                  </w:r>
                </w:p>
              </w:tc>
              <w:tc>
                <w:tcPr>
                  <w:tcW w:w="1071" w:type="dxa"/>
                  <w:noWrap w:val="0"/>
                  <w:vAlign w:val="center"/>
                </w:tcPr>
                <w:p>
                  <w:pPr>
                    <w:widowControl/>
                    <w:jc w:val="center"/>
                    <w:textAlignment w:val="center"/>
                    <w:rPr>
                      <w:rFonts w:hint="default" w:ascii="Times New Roman" w:hAnsi="Times New Roman" w:cs="Times New Roman"/>
                      <w:color w:val="auto"/>
                      <w:kern w:val="0"/>
                      <w:szCs w:val="21"/>
                      <w:highlight w:val="none"/>
                      <w:lang w:val="en-US"/>
                    </w:rPr>
                  </w:pPr>
                  <w:r>
                    <w:rPr>
                      <w:rFonts w:hint="eastAsia" w:ascii="Times New Roman" w:hAnsi="Times New Roman"/>
                      <w:color w:val="auto"/>
                      <w:kern w:val="0"/>
                      <w:szCs w:val="21"/>
                      <w:highlight w:val="none"/>
                      <w:lang w:val="en-US" w:eastAsia="zh-CN" w:bidi="ar"/>
                    </w:rPr>
                    <w:t>0.2</w:t>
                  </w:r>
                </w:p>
              </w:tc>
              <w:tc>
                <w:tcPr>
                  <w:tcW w:w="1721" w:type="dxa"/>
                  <w:noWrap w:val="0"/>
                  <w:vAlign w:val="center"/>
                </w:tcPr>
                <w:p>
                  <w:pPr>
                    <w:widowControl/>
                    <w:jc w:val="center"/>
                    <w:textAlignment w:val="center"/>
                    <w:rPr>
                      <w:rFonts w:hint="default" w:ascii="Times New Roman" w:hAnsi="Times New Roman" w:eastAsia="宋体"/>
                      <w:color w:val="000000"/>
                      <w:kern w:val="0"/>
                      <w:szCs w:val="21"/>
                      <w:highlight w:val="none"/>
                      <w:lang w:val="en-US" w:eastAsia="zh-CN"/>
                    </w:rPr>
                  </w:pPr>
                  <w:r>
                    <w:rPr>
                      <w:rFonts w:hint="eastAsia" w:ascii="Times New Roman" w:hAnsi="Times New Roman"/>
                      <w:color w:val="000000"/>
                      <w:kern w:val="0"/>
                      <w:szCs w:val="21"/>
                      <w:highlight w:val="none"/>
                      <w:lang w:val="en-US" w:eastAsia="zh-CN"/>
                    </w:rPr>
                    <w:t>0.5</w:t>
                  </w:r>
                </w:p>
              </w:tc>
              <w:tc>
                <w:tcPr>
                  <w:tcW w:w="1334" w:type="dxa"/>
                  <w:noWrap w:val="0"/>
                  <w:vAlign w:val="center"/>
                </w:tcPr>
                <w:p>
                  <w:pPr>
                    <w:widowControl/>
                    <w:jc w:val="center"/>
                    <w:textAlignment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0.05</w:t>
                  </w:r>
                </w:p>
              </w:tc>
              <w:tc>
                <w:tcPr>
                  <w:tcW w:w="1229" w:type="dxa"/>
                  <w:noWrap w:val="0"/>
                  <w:vAlign w:val="center"/>
                </w:tcPr>
                <w:p>
                  <w:pPr>
                    <w:widowControl/>
                    <w:jc w:val="center"/>
                    <w:textAlignment w:val="center"/>
                    <w:rPr>
                      <w:rFonts w:hint="default" w:ascii="Times New Roman" w:hAnsi="Times New Roman" w:eastAsia="宋体" w:cs="Times New Roman"/>
                      <w:color w:val="auto"/>
                      <w:kern w:val="0"/>
                      <w:szCs w:val="21"/>
                      <w:highlight w:val="none"/>
                      <w:lang w:val="en-US"/>
                    </w:rPr>
                  </w:pPr>
                  <w:r>
                    <w:rPr>
                      <w:rFonts w:hint="eastAsia" w:ascii="Times New Roman" w:hAnsi="Times New Roman" w:eastAsia="宋体" w:cs="Times New Roman"/>
                      <w:color w:val="auto"/>
                      <w:kern w:val="0"/>
                      <w:szCs w:val="21"/>
                      <w:highlight w:val="none"/>
                      <w:lang w:val="en-US" w:eastAsia="zh-CN"/>
                    </w:rPr>
                    <w:t>0.001</w:t>
                  </w:r>
                </w:p>
              </w:tc>
            </w:tr>
          </w:tbl>
          <w:p>
            <w:pPr>
              <w:spacing w:line="360" w:lineRule="auto"/>
              <w:ind w:firstLine="480" w:firstLineChars="200"/>
              <w:rPr>
                <w:rFonts w:ascii="Times New Roman" w:hAnsi="Times New Roman"/>
                <w:bCs/>
                <w:color w:val="000000"/>
                <w:sz w:val="24"/>
                <w:highlight w:val="none"/>
              </w:rPr>
            </w:pPr>
          </w:p>
          <w:p>
            <w:pPr>
              <w:spacing w:line="360" w:lineRule="auto"/>
              <w:ind w:firstLine="480" w:firstLineChars="200"/>
              <w:rPr>
                <w:rFonts w:ascii="Times New Roman" w:hAnsi="Times New Roman"/>
                <w:color w:val="auto"/>
                <w:sz w:val="24"/>
                <w:szCs w:val="24"/>
                <w:highlight w:val="none"/>
              </w:rPr>
            </w:pPr>
            <w:r>
              <w:rPr>
                <w:rFonts w:ascii="Times New Roman" w:hAnsi="Times New Roman"/>
                <w:bCs/>
                <w:color w:val="000000"/>
                <w:sz w:val="24"/>
                <w:highlight w:val="none"/>
              </w:rPr>
              <w:t>从上表可以看出，</w:t>
            </w:r>
            <w:r>
              <w:rPr>
                <w:rFonts w:ascii="Times New Roman" w:hAnsi="Times New Roman"/>
                <w:color w:val="000000"/>
                <w:sz w:val="24"/>
                <w:highlight w:val="none"/>
              </w:rPr>
              <w:t>项目外排的</w:t>
            </w:r>
            <w:r>
              <w:rPr>
                <w:rFonts w:hint="eastAsia" w:ascii="Times New Roman" w:hAnsi="Times New Roman"/>
                <w:color w:val="000000"/>
                <w:sz w:val="24"/>
                <w:highlight w:val="none"/>
                <w:lang w:val="en-US" w:eastAsia="zh-CN"/>
              </w:rPr>
              <w:t>各股</w:t>
            </w:r>
            <w:r>
              <w:rPr>
                <w:rFonts w:ascii="Times New Roman" w:hAnsi="Times New Roman"/>
                <w:color w:val="000000"/>
                <w:sz w:val="24"/>
                <w:highlight w:val="none"/>
              </w:rPr>
              <w:t>污水经</w:t>
            </w:r>
            <w:r>
              <w:rPr>
                <w:rFonts w:hint="eastAsia" w:ascii="Times New Roman" w:hAnsi="Times New Roman"/>
                <w:color w:val="000000"/>
                <w:sz w:val="24"/>
                <w:highlight w:val="none"/>
                <w:lang w:val="en-US" w:eastAsia="zh-CN"/>
              </w:rPr>
              <w:t>各自处理设施</w:t>
            </w:r>
            <w:r>
              <w:rPr>
                <w:rFonts w:ascii="Times New Roman" w:hAnsi="Times New Roman"/>
                <w:color w:val="000000"/>
                <w:sz w:val="24"/>
                <w:highlight w:val="none"/>
              </w:rPr>
              <w:t>预处理后，各污染物浓度满足</w:t>
            </w:r>
            <w:r>
              <w:rPr>
                <w:rFonts w:ascii="Times New Roman" w:hAnsi="Times New Roman"/>
                <w:sz w:val="24"/>
                <w:szCs w:val="24"/>
                <w:highlight w:val="none"/>
              </w:rPr>
              <w:t>《污水综合排放标准》（GB8978-1996）</w:t>
            </w:r>
            <w:r>
              <w:rPr>
                <w:rFonts w:hint="eastAsia" w:ascii="Times New Roman" w:hAnsi="Times New Roman"/>
                <w:sz w:val="24"/>
                <w:szCs w:val="24"/>
                <w:highlight w:val="none"/>
                <w:lang w:val="en-US" w:eastAsia="zh-CN"/>
              </w:rPr>
              <w:t>表4</w:t>
            </w:r>
            <w:r>
              <w:rPr>
                <w:rFonts w:ascii="Times New Roman" w:hAnsi="Times New Roman"/>
                <w:sz w:val="24"/>
                <w:szCs w:val="24"/>
                <w:highlight w:val="none"/>
              </w:rPr>
              <w:t>中的三级标准</w:t>
            </w:r>
            <w:r>
              <w:rPr>
                <w:rFonts w:hint="eastAsia" w:ascii="Times New Roman" w:hAnsi="Times New Roman"/>
                <w:sz w:val="24"/>
                <w:szCs w:val="24"/>
                <w:highlight w:val="none"/>
                <w:lang w:eastAsia="zh-CN"/>
              </w:rPr>
              <w:t>，</w:t>
            </w:r>
            <w:r>
              <w:rPr>
                <w:rFonts w:hint="eastAsia" w:ascii="Times New Roman" w:hAnsi="Times New Roman"/>
                <w:sz w:val="24"/>
                <w:szCs w:val="24"/>
                <w:highlight w:val="none"/>
                <w:lang w:val="en-US" w:eastAsia="zh-CN"/>
              </w:rPr>
              <w:t>其中</w:t>
            </w:r>
            <w:r>
              <w:rPr>
                <w:rFonts w:ascii="Times New Roman" w:hAnsi="Times New Roman"/>
                <w:sz w:val="24"/>
                <w:szCs w:val="24"/>
                <w:highlight w:val="none"/>
              </w:rPr>
              <w:t>氨氮参照《污水排入城镇下水道水质标准》（GB/T31962-2015中的标准</w:t>
            </w:r>
            <w:r>
              <w:rPr>
                <w:rFonts w:hint="eastAsia" w:ascii="Times New Roman" w:hAnsi="Times New Roman"/>
                <w:sz w:val="24"/>
                <w:szCs w:val="24"/>
                <w:highlight w:val="none"/>
                <w:lang w:eastAsia="zh-CN"/>
              </w:rPr>
              <w:t>，</w:t>
            </w:r>
            <w:r>
              <w:rPr>
                <w:rFonts w:hint="eastAsia" w:ascii="Times New Roman" w:hAnsi="Times New Roman"/>
                <w:sz w:val="24"/>
                <w:szCs w:val="24"/>
                <w:highlight w:val="none"/>
                <w:lang w:val="en-US" w:eastAsia="zh-CN"/>
              </w:rPr>
              <w:t>六价铬执行</w:t>
            </w:r>
            <w:r>
              <w:rPr>
                <w:rFonts w:ascii="Times New Roman" w:hAnsi="Times New Roman"/>
                <w:sz w:val="24"/>
                <w:szCs w:val="24"/>
                <w:highlight w:val="none"/>
              </w:rPr>
              <w:t>《污水综合排放标准》（GB8978-1996）</w:t>
            </w:r>
            <w:r>
              <w:rPr>
                <w:rFonts w:hint="eastAsia" w:ascii="Times New Roman" w:hAnsi="Times New Roman"/>
                <w:sz w:val="24"/>
                <w:szCs w:val="24"/>
                <w:highlight w:val="none"/>
                <w:lang w:val="en-US" w:eastAsia="zh-CN"/>
              </w:rPr>
              <w:t>表1中的标准，总石油烃满足荷兰标准</w:t>
            </w:r>
            <w:r>
              <w:rPr>
                <w:rFonts w:ascii="Times New Roman" w:hAnsi="Times New Roman"/>
                <w:color w:val="000000"/>
                <w:sz w:val="24"/>
                <w:highlight w:val="none"/>
              </w:rPr>
              <w:t>，污</w:t>
            </w:r>
            <w:r>
              <w:rPr>
                <w:rFonts w:ascii="Times New Roman" w:hAnsi="Times New Roman"/>
                <w:color w:val="auto"/>
                <w:sz w:val="24"/>
                <w:highlight w:val="none"/>
              </w:rPr>
              <w:t>水经市政污水管网汇合至</w:t>
            </w:r>
            <w:r>
              <w:rPr>
                <w:rFonts w:hint="eastAsia" w:ascii="Times New Roman" w:hAnsi="Times New Roman"/>
                <w:color w:val="auto"/>
                <w:sz w:val="24"/>
                <w:highlight w:val="none"/>
                <w:lang w:eastAsia="zh-CN"/>
              </w:rPr>
              <w:t>朱家桥污水处理厂</w:t>
            </w:r>
            <w:r>
              <w:rPr>
                <w:rFonts w:ascii="Times New Roman" w:hAnsi="Times New Roman"/>
                <w:color w:val="auto"/>
                <w:sz w:val="24"/>
                <w:highlight w:val="none"/>
              </w:rPr>
              <w:t>处</w:t>
            </w:r>
            <w:r>
              <w:rPr>
                <w:rFonts w:ascii="Times New Roman" w:hAnsi="Times New Roman"/>
                <w:color w:val="auto"/>
                <w:sz w:val="24"/>
                <w:szCs w:val="24"/>
                <w:highlight w:val="none"/>
              </w:rPr>
              <w:t>置，污水处理厂尾水排放满足《城镇污水处理厂污染物排放标准》（GB18918-2002）一级标准中 A 类标准。COD和NH</w:t>
            </w:r>
            <w:r>
              <w:rPr>
                <w:rFonts w:ascii="Times New Roman" w:hAnsi="Times New Roman"/>
                <w:color w:val="auto"/>
                <w:sz w:val="24"/>
                <w:szCs w:val="24"/>
                <w:highlight w:val="none"/>
                <w:vertAlign w:val="subscript"/>
              </w:rPr>
              <w:t>3</w:t>
            </w:r>
            <w:r>
              <w:rPr>
                <w:rFonts w:ascii="Times New Roman" w:hAnsi="Times New Roman"/>
                <w:color w:val="auto"/>
                <w:sz w:val="24"/>
                <w:szCs w:val="24"/>
                <w:highlight w:val="none"/>
              </w:rPr>
              <w:t>-N排放量分别为</w:t>
            </w:r>
            <w:r>
              <w:rPr>
                <w:rFonts w:hint="eastAsia" w:ascii="Times New Roman" w:hAnsi="Times New Roman"/>
                <w:color w:val="auto"/>
                <w:sz w:val="24"/>
                <w:szCs w:val="24"/>
                <w:highlight w:val="none"/>
                <w:lang w:val="en-US" w:eastAsia="zh-CN"/>
              </w:rPr>
              <w:t>1.062</w:t>
            </w:r>
            <w:r>
              <w:rPr>
                <w:rFonts w:ascii="Times New Roman" w:hAnsi="Times New Roman"/>
                <w:color w:val="auto"/>
                <w:sz w:val="24"/>
                <w:szCs w:val="24"/>
                <w:highlight w:val="none"/>
              </w:rPr>
              <w:t>t/</w:t>
            </w:r>
            <w:r>
              <w:rPr>
                <w:rFonts w:hint="eastAsia" w:ascii="Times New Roman" w:hAnsi="Times New Roman"/>
                <w:color w:val="000000"/>
                <w:sz w:val="24"/>
                <w:szCs w:val="24"/>
                <w:lang w:val="en-US" w:eastAsia="zh-CN"/>
              </w:rPr>
              <w:t>工期</w:t>
            </w:r>
            <w:r>
              <w:rPr>
                <w:rFonts w:ascii="Times New Roman" w:hAnsi="Times New Roman"/>
                <w:color w:val="auto"/>
                <w:sz w:val="24"/>
                <w:szCs w:val="24"/>
                <w:highlight w:val="none"/>
              </w:rPr>
              <w:t>、0.0</w:t>
            </w:r>
            <w:r>
              <w:rPr>
                <w:rFonts w:hint="eastAsia" w:ascii="Times New Roman" w:hAnsi="Times New Roman"/>
                <w:color w:val="auto"/>
                <w:sz w:val="24"/>
                <w:szCs w:val="24"/>
                <w:highlight w:val="none"/>
                <w:lang w:val="en-US" w:eastAsia="zh-CN"/>
              </w:rPr>
              <w:t>047</w:t>
            </w:r>
            <w:r>
              <w:rPr>
                <w:rFonts w:ascii="Times New Roman" w:hAnsi="Times New Roman"/>
                <w:color w:val="auto"/>
                <w:sz w:val="24"/>
                <w:szCs w:val="24"/>
                <w:highlight w:val="none"/>
              </w:rPr>
              <w:t>t/</w:t>
            </w:r>
            <w:r>
              <w:rPr>
                <w:rFonts w:hint="eastAsia" w:ascii="Times New Roman" w:hAnsi="Times New Roman"/>
                <w:color w:val="000000"/>
                <w:sz w:val="24"/>
                <w:szCs w:val="24"/>
                <w:lang w:val="en-US" w:eastAsia="zh-CN"/>
              </w:rPr>
              <w:t>工期</w:t>
            </w:r>
            <w:r>
              <w:rPr>
                <w:rFonts w:ascii="Times New Roman" w:hAnsi="Times New Roman"/>
                <w:color w:val="auto"/>
                <w:sz w:val="24"/>
                <w:szCs w:val="24"/>
                <w:highlight w:val="none"/>
              </w:rPr>
              <w:t>，对受纳水体影响较小。</w:t>
            </w:r>
          </w:p>
          <w:p>
            <w:pPr>
              <w:spacing w:line="360" w:lineRule="auto"/>
              <w:ind w:firstLine="480" w:firstLineChars="200"/>
              <w:rPr>
                <w:rFonts w:ascii="Times New Roman" w:hAnsi="Times New Roman"/>
                <w:color w:val="000000"/>
                <w:sz w:val="24"/>
                <w:highlight w:val="none"/>
              </w:rPr>
            </w:pPr>
            <w:r>
              <w:rPr>
                <w:rFonts w:ascii="Times New Roman" w:hAnsi="Times New Roman"/>
                <w:color w:val="000000"/>
                <w:sz w:val="24"/>
                <w:highlight w:val="none"/>
              </w:rPr>
              <w:t>2、废水环境影响分析</w:t>
            </w:r>
          </w:p>
          <w:p>
            <w:pPr>
              <w:autoSpaceDE w:val="0"/>
              <w:autoSpaceDN w:val="0"/>
              <w:adjustRightInd w:val="0"/>
              <w:spacing w:line="360" w:lineRule="auto"/>
              <w:ind w:firstLine="480" w:firstLineChars="200"/>
              <w:jc w:val="left"/>
              <w:rPr>
                <w:rFonts w:ascii="Times New Roman" w:hAnsi="Times New Roman"/>
                <w:color w:val="000000"/>
                <w:kern w:val="0"/>
                <w:sz w:val="24"/>
                <w:highlight w:val="none"/>
              </w:rPr>
            </w:pPr>
            <w:r>
              <w:rPr>
                <w:rFonts w:ascii="Times New Roman" w:hAnsi="Times New Roman"/>
                <w:color w:val="000000"/>
                <w:kern w:val="0"/>
                <w:sz w:val="24"/>
                <w:highlight w:val="none"/>
              </w:rPr>
              <w:t>①评价等级</w:t>
            </w:r>
          </w:p>
          <w:p>
            <w:pPr>
              <w:autoSpaceDE w:val="0"/>
              <w:autoSpaceDN w:val="0"/>
              <w:adjustRightInd w:val="0"/>
              <w:spacing w:line="360" w:lineRule="auto"/>
              <w:ind w:firstLine="480" w:firstLineChars="200"/>
              <w:jc w:val="left"/>
              <w:rPr>
                <w:rFonts w:ascii="Times New Roman" w:hAnsi="Times New Roman"/>
                <w:color w:val="000000"/>
                <w:kern w:val="0"/>
                <w:sz w:val="24"/>
                <w:highlight w:val="none"/>
              </w:rPr>
            </w:pPr>
            <w:r>
              <w:rPr>
                <w:rFonts w:ascii="Times New Roman" w:hAnsi="Times New Roman"/>
                <w:color w:val="000000"/>
                <w:kern w:val="0"/>
                <w:sz w:val="24"/>
                <w:highlight w:val="none"/>
              </w:rPr>
              <w:t>根据《环境影响评价技术导则 地面水环境》（HJT2.3-2018）中的相关规定：间接排放建设项目，评级等级为三级B，本项目地表水环境影响评价等级定为三级B。</w:t>
            </w:r>
          </w:p>
          <w:p>
            <w:pPr>
              <w:spacing w:line="360" w:lineRule="auto"/>
              <w:jc w:val="center"/>
              <w:rPr>
                <w:rFonts w:ascii="Times New Roman" w:hAnsi="Times New Roman"/>
                <w:b/>
                <w:color w:val="000000"/>
                <w:sz w:val="24"/>
                <w:szCs w:val="24"/>
                <w:highlight w:val="none"/>
              </w:rPr>
            </w:pPr>
            <w:r>
              <w:rPr>
                <w:rFonts w:ascii="Times New Roman" w:hAnsi="Times New Roman"/>
                <w:b/>
                <w:color w:val="000000"/>
                <w:sz w:val="24"/>
                <w:szCs w:val="24"/>
                <w:highlight w:val="none"/>
              </w:rPr>
              <w:t>表7-</w:t>
            </w:r>
            <w:r>
              <w:rPr>
                <w:rFonts w:hint="eastAsia" w:ascii="Times New Roman" w:hAnsi="Times New Roman"/>
                <w:b/>
                <w:color w:val="000000"/>
                <w:sz w:val="24"/>
                <w:szCs w:val="24"/>
                <w:highlight w:val="none"/>
                <w:lang w:val="en-US" w:eastAsia="zh-CN"/>
              </w:rPr>
              <w:t>3</w:t>
            </w:r>
            <w:r>
              <w:rPr>
                <w:rFonts w:ascii="Times New Roman" w:hAnsi="Times New Roman"/>
                <w:b/>
                <w:color w:val="000000"/>
                <w:sz w:val="24"/>
                <w:szCs w:val="24"/>
                <w:highlight w:val="none"/>
              </w:rPr>
              <w:t xml:space="preserve">  水污染影响型建设项目评价等级判定</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9"/>
              <w:gridCol w:w="2321"/>
              <w:gridCol w:w="4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79" w:type="dxa"/>
                  <w:vMerge w:val="restart"/>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评价等级</w:t>
                  </w:r>
                </w:p>
              </w:tc>
              <w:tc>
                <w:tcPr>
                  <w:tcW w:w="6965" w:type="dxa"/>
                  <w:gridSpan w:val="2"/>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79" w:type="dxa"/>
                  <w:vMerge w:val="continue"/>
                  <w:noWrap w:val="0"/>
                  <w:vAlign w:val="center"/>
                </w:tcPr>
                <w:p>
                  <w:pPr>
                    <w:jc w:val="center"/>
                    <w:rPr>
                      <w:rFonts w:ascii="Times New Roman" w:hAnsi="Times New Roman"/>
                      <w:color w:val="000000"/>
                      <w:szCs w:val="21"/>
                      <w:highlight w:val="none"/>
                    </w:rPr>
                  </w:pPr>
                </w:p>
              </w:tc>
              <w:tc>
                <w:tcPr>
                  <w:tcW w:w="2321"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排放方式</w:t>
                  </w:r>
                </w:p>
              </w:tc>
              <w:tc>
                <w:tcPr>
                  <w:tcW w:w="4644"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废水排放量Q/（m</w:t>
                  </w:r>
                  <w:r>
                    <w:rPr>
                      <w:rFonts w:ascii="Times New Roman" w:hAnsi="Times New Roman"/>
                      <w:color w:val="000000"/>
                      <w:szCs w:val="21"/>
                      <w:highlight w:val="none"/>
                      <w:vertAlign w:val="superscript"/>
                    </w:rPr>
                    <w:t>3</w:t>
                  </w:r>
                  <w:r>
                    <w:rPr>
                      <w:rFonts w:ascii="Times New Roman" w:hAnsi="Times New Roman"/>
                      <w:color w:val="000000"/>
                      <w:szCs w:val="21"/>
                      <w:highlight w:val="none"/>
                    </w:rPr>
                    <w:t>/d）；水污染物当量W/（无量纲）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79"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一级</w:t>
                  </w:r>
                </w:p>
              </w:tc>
              <w:tc>
                <w:tcPr>
                  <w:tcW w:w="2321"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直接排放</w:t>
                  </w:r>
                </w:p>
              </w:tc>
              <w:tc>
                <w:tcPr>
                  <w:tcW w:w="4644"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Q≥20000或W≥600000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79"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二级</w:t>
                  </w:r>
                </w:p>
              </w:tc>
              <w:tc>
                <w:tcPr>
                  <w:tcW w:w="2321"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直接排放</w:t>
                  </w:r>
                </w:p>
              </w:tc>
              <w:tc>
                <w:tcPr>
                  <w:tcW w:w="4644"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79"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三级A</w:t>
                  </w:r>
                </w:p>
              </w:tc>
              <w:tc>
                <w:tcPr>
                  <w:tcW w:w="2321"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直接排放</w:t>
                  </w:r>
                </w:p>
              </w:tc>
              <w:tc>
                <w:tcPr>
                  <w:tcW w:w="4644"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Q＜200或W＜6000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79"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三级B</w:t>
                  </w:r>
                </w:p>
              </w:tc>
              <w:tc>
                <w:tcPr>
                  <w:tcW w:w="2321" w:type="dxa"/>
                  <w:noWrap w:val="0"/>
                  <w:vAlign w:val="center"/>
                </w:tcPr>
                <w:p>
                  <w:pPr>
                    <w:jc w:val="center"/>
                    <w:rPr>
                      <w:rFonts w:ascii="Times New Roman" w:hAnsi="Times New Roman"/>
                      <w:b/>
                      <w:color w:val="000000"/>
                      <w:szCs w:val="21"/>
                      <w:highlight w:val="none"/>
                    </w:rPr>
                  </w:pPr>
                  <w:r>
                    <w:rPr>
                      <w:rFonts w:ascii="Times New Roman" w:hAnsi="Times New Roman"/>
                      <w:color w:val="000000"/>
                      <w:szCs w:val="21"/>
                      <w:highlight w:val="none"/>
                    </w:rPr>
                    <w:t>间接排放</w:t>
                  </w:r>
                </w:p>
              </w:tc>
              <w:tc>
                <w:tcPr>
                  <w:tcW w:w="4644" w:type="dxa"/>
                  <w:noWrap w:val="0"/>
                  <w:vAlign w:val="center"/>
                </w:tcPr>
                <w:p>
                  <w:pPr>
                    <w:jc w:val="center"/>
                    <w:rPr>
                      <w:rFonts w:ascii="Times New Roman" w:hAnsi="Times New Roman"/>
                      <w:b/>
                      <w:color w:val="000000"/>
                      <w:szCs w:val="21"/>
                      <w:highlight w:val="none"/>
                    </w:rPr>
                  </w:pPr>
                  <w:r>
                    <w:rPr>
                      <w:rFonts w:ascii="Times New Roman" w:hAnsi="Times New Roman"/>
                      <w:color w:val="000000"/>
                      <w:szCs w:val="21"/>
                      <w:highlight w:val="none"/>
                    </w:rPr>
                    <w:t>一</w:t>
                  </w:r>
                </w:p>
              </w:tc>
            </w:tr>
          </w:tbl>
          <w:p>
            <w:pPr>
              <w:spacing w:line="360" w:lineRule="auto"/>
              <w:ind w:firstLine="480" w:firstLineChars="200"/>
              <w:rPr>
                <w:rFonts w:ascii="Times New Roman" w:hAnsi="Times New Roman"/>
                <w:bCs/>
                <w:color w:val="000000"/>
                <w:sz w:val="24"/>
                <w:highlight w:val="none"/>
              </w:rPr>
            </w:pPr>
          </w:p>
          <w:p>
            <w:pPr>
              <w:spacing w:line="360" w:lineRule="auto"/>
              <w:ind w:firstLine="482"/>
              <w:rPr>
                <w:rFonts w:ascii="Times New Roman" w:hAnsi="Times New Roman"/>
                <w:color w:val="000000"/>
                <w:sz w:val="24"/>
                <w:highlight w:val="none"/>
              </w:rPr>
            </w:pPr>
          </w:p>
          <w:p>
            <w:pPr>
              <w:spacing w:line="360" w:lineRule="auto"/>
              <w:ind w:firstLine="482"/>
              <w:rPr>
                <w:rFonts w:ascii="Times New Roman" w:hAnsi="Times New Roman"/>
                <w:color w:val="000000"/>
                <w:sz w:val="24"/>
                <w:highlight w:val="none"/>
              </w:rPr>
            </w:pPr>
          </w:p>
          <w:p>
            <w:pPr>
              <w:spacing w:line="360" w:lineRule="auto"/>
              <w:ind w:firstLine="482"/>
              <w:rPr>
                <w:rFonts w:ascii="Times New Roman" w:hAnsi="Times New Roman"/>
                <w:color w:val="000000"/>
                <w:sz w:val="24"/>
                <w:highlight w:val="none"/>
              </w:rPr>
            </w:pPr>
          </w:p>
          <w:p>
            <w:pPr>
              <w:spacing w:line="360" w:lineRule="auto"/>
              <w:ind w:firstLine="482"/>
              <w:rPr>
                <w:rFonts w:ascii="Times New Roman" w:hAnsi="Times New Roman"/>
                <w:color w:val="000000"/>
                <w:sz w:val="24"/>
                <w:highlight w:val="none"/>
              </w:rPr>
            </w:pPr>
            <w:r>
              <w:rPr>
                <w:rFonts w:ascii="Times New Roman" w:hAnsi="Times New Roman"/>
                <w:color w:val="000000"/>
                <w:sz w:val="24"/>
                <w:highlight w:val="none"/>
              </w:rPr>
              <w:t>②评价范围</w:t>
            </w:r>
          </w:p>
          <w:p>
            <w:pPr>
              <w:spacing w:line="360" w:lineRule="auto"/>
              <w:ind w:firstLine="482"/>
              <w:rPr>
                <w:rFonts w:ascii="Times New Roman" w:hAnsi="Times New Roman"/>
                <w:color w:val="000000"/>
                <w:kern w:val="0"/>
                <w:sz w:val="24"/>
                <w:highlight w:val="none"/>
              </w:rPr>
            </w:pPr>
            <w:r>
              <w:rPr>
                <w:rFonts w:ascii="Times New Roman" w:hAnsi="Times New Roman"/>
                <w:color w:val="000000"/>
                <w:kern w:val="0"/>
                <w:sz w:val="24"/>
                <w:highlight w:val="none"/>
              </w:rPr>
              <w:t>根据《环境影响评价技术导则  地表水环境》（HJ 2.3-2018）中5.3.2.2，三级B，其评价范围应符合以下要求：a) 应满足其依托污水处理设施环境可行性分析的要求；b) 涉及地表水环境风险的，应覆盖环境风险影响范围所及的水环境保护目标水域。</w:t>
            </w:r>
          </w:p>
          <w:p>
            <w:pPr>
              <w:spacing w:line="360" w:lineRule="auto"/>
              <w:ind w:firstLine="482"/>
              <w:rPr>
                <w:rFonts w:ascii="Times New Roman" w:hAnsi="Times New Roman"/>
                <w:color w:val="000000"/>
                <w:kern w:val="0"/>
                <w:sz w:val="24"/>
                <w:highlight w:val="none"/>
              </w:rPr>
            </w:pPr>
            <w:r>
              <w:rPr>
                <w:rFonts w:ascii="Times New Roman" w:hAnsi="Times New Roman"/>
                <w:color w:val="000000"/>
                <w:kern w:val="0"/>
                <w:sz w:val="24"/>
                <w:highlight w:val="none"/>
              </w:rPr>
              <w:t>本项目不涉及地表水环境风险，因此，仅需要论证项目依托污水处理设施环境可行性分析的要求；</w:t>
            </w:r>
          </w:p>
          <w:p>
            <w:pPr>
              <w:spacing w:line="360" w:lineRule="auto"/>
              <w:ind w:firstLine="482"/>
              <w:rPr>
                <w:rFonts w:ascii="Times New Roman" w:hAnsi="Times New Roman"/>
                <w:color w:val="000000"/>
                <w:sz w:val="24"/>
                <w:highlight w:val="none"/>
              </w:rPr>
            </w:pPr>
            <w:r>
              <w:rPr>
                <w:rFonts w:ascii="Times New Roman" w:hAnsi="Times New Roman"/>
                <w:color w:val="000000"/>
                <w:sz w:val="24"/>
                <w:highlight w:val="none"/>
              </w:rPr>
              <w:t>③地表水环境影响预测</w:t>
            </w:r>
          </w:p>
          <w:p>
            <w:pPr>
              <w:spacing w:line="360" w:lineRule="auto"/>
              <w:ind w:firstLine="482"/>
              <w:rPr>
                <w:rFonts w:ascii="Times New Roman" w:hAnsi="Times New Roman"/>
                <w:color w:val="000000"/>
                <w:sz w:val="24"/>
                <w:highlight w:val="none"/>
              </w:rPr>
            </w:pPr>
            <w:r>
              <w:rPr>
                <w:rFonts w:ascii="Times New Roman" w:hAnsi="Times New Roman"/>
                <w:color w:val="000000"/>
                <w:kern w:val="0"/>
                <w:sz w:val="24"/>
                <w:highlight w:val="none"/>
              </w:rPr>
              <w:t>根据《环境影响评价技术导则  地表水环境》（HJ 2.3-2018）中7.1.2，水污染影响型三级B评价可不进行水环境影响预测。</w:t>
            </w:r>
          </w:p>
          <w:p>
            <w:pPr>
              <w:spacing w:line="360" w:lineRule="auto"/>
              <w:ind w:firstLine="480" w:firstLineChars="200"/>
              <w:rPr>
                <w:rFonts w:hint="eastAsia" w:ascii="Times New Roman" w:hAnsi="Times New Roman"/>
                <w:bCs/>
                <w:color w:val="000000"/>
                <w:sz w:val="24"/>
                <w:highlight w:val="none"/>
                <w:lang w:val="en-US" w:eastAsia="zh-CN"/>
              </w:rPr>
            </w:pPr>
            <w:r>
              <w:rPr>
                <w:rFonts w:ascii="Times New Roman" w:hAnsi="Times New Roman"/>
                <w:bCs/>
                <w:color w:val="000000"/>
                <w:sz w:val="24"/>
                <w:highlight w:val="none"/>
              </w:rPr>
              <w:t>④</w:t>
            </w:r>
            <w:r>
              <w:rPr>
                <w:rFonts w:hint="eastAsia" w:ascii="Times New Roman" w:hAnsi="Times New Roman"/>
                <w:bCs/>
                <w:color w:val="000000"/>
                <w:sz w:val="24"/>
                <w:highlight w:val="none"/>
                <w:lang w:val="en-US" w:eastAsia="zh-CN"/>
              </w:rPr>
              <w:t>污水处理厂处理技术可行性分析</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sz w:val="24"/>
                <w:szCs w:val="22"/>
                <w:lang w:val="en-US" w:eastAsia="zh-CN"/>
              </w:rPr>
            </w:pPr>
            <w:r>
              <w:rPr>
                <w:rFonts w:hint="eastAsia" w:ascii="Times New Roman" w:hAnsi="Times New Roman" w:cs="Times New Roman"/>
                <w:b w:val="0"/>
                <w:bCs/>
                <w:color w:val="auto"/>
                <w:sz w:val="24"/>
                <w:lang w:val="en-US" w:eastAsia="zh-CN"/>
              </w:rPr>
              <w:t>建设单位在厂区西南侧建设一处</w:t>
            </w:r>
            <w:r>
              <w:rPr>
                <w:rFonts w:hint="default" w:ascii="Times New Roman" w:hAnsi="Times New Roman" w:cs="Times New Roman"/>
                <w:b w:val="0"/>
                <w:bCs/>
                <w:color w:val="auto"/>
                <w:sz w:val="24"/>
                <w:lang w:val="en-US" w:eastAsia="zh-CN"/>
              </w:rPr>
              <w:t>污水处理站处置，该污水处理站采用</w:t>
            </w:r>
            <w:r>
              <w:rPr>
                <w:rFonts w:hint="default" w:ascii="Times New Roman" w:hAnsi="Times New Roman" w:cs="Times New Roman"/>
                <w:color w:val="auto"/>
                <w:sz w:val="24"/>
                <w:szCs w:val="22"/>
                <w:lang w:val="en-US" w:eastAsia="zh-CN"/>
              </w:rPr>
              <w:t>“调节+破乳池+气浮+两级滤碳”工艺，污水处理工艺图如下图所示：</w:t>
            </w:r>
          </w:p>
          <w:p>
            <w:pPr>
              <w:spacing w:line="360" w:lineRule="auto"/>
            </w:pPr>
            <w:r>
              <w:drawing>
                <wp:inline distT="0" distB="0" distL="114300" distR="114300">
                  <wp:extent cx="5760720" cy="4112260"/>
                  <wp:effectExtent l="0" t="0" r="11430" b="254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32"/>
                          <a:stretch>
                            <a:fillRect/>
                          </a:stretch>
                        </pic:blipFill>
                        <pic:spPr>
                          <a:xfrm>
                            <a:off x="0" y="0"/>
                            <a:ext cx="5760720" cy="4112260"/>
                          </a:xfrm>
                          <a:prstGeom prst="rect">
                            <a:avLst/>
                          </a:prstGeom>
                          <a:noFill/>
                          <a:ln>
                            <a:noFill/>
                          </a:ln>
                        </pic:spPr>
                      </pic:pic>
                    </a:graphicData>
                  </a:graphic>
                </wp:inline>
              </w:drawing>
            </w:r>
          </w:p>
          <w:p>
            <w:pPr>
              <w:pStyle w:val="7"/>
              <w:keepNext/>
              <w:keepLines/>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default" w:eastAsia="宋体"/>
                <w:lang w:val="en-US" w:eastAsia="zh-CN"/>
              </w:rPr>
            </w:pPr>
            <w:r>
              <w:rPr>
                <w:rFonts w:hint="default" w:ascii="Times New Roman" w:hAnsi="Times New Roman" w:cs="Times New Roman"/>
                <w:lang w:val="en-US" w:eastAsia="zh-CN"/>
              </w:rPr>
              <w:t>图7-1  污水处理站处理工艺流程图</w:t>
            </w:r>
          </w:p>
          <w:p>
            <w:pPr>
              <w:spacing w:line="360" w:lineRule="auto"/>
              <w:ind w:firstLine="480" w:firstLineChars="200"/>
              <w:rPr>
                <w:rFonts w:hint="eastAsia" w:ascii="Times New Roman" w:hAnsi="Times New Roman"/>
                <w:bCs/>
                <w:color w:val="000000"/>
                <w:sz w:val="24"/>
                <w:highlight w:val="none"/>
                <w:lang w:val="en-US" w:eastAsia="zh-CN"/>
              </w:rPr>
            </w:pPr>
          </w:p>
          <w:p>
            <w:pPr>
              <w:spacing w:line="360" w:lineRule="auto"/>
              <w:ind w:firstLine="480" w:firstLineChars="200"/>
              <w:rPr>
                <w:rFonts w:hint="eastAsia" w:ascii="Times New Roman" w:hAnsi="Times New Roman"/>
                <w:bCs/>
                <w:color w:val="000000"/>
                <w:sz w:val="24"/>
                <w:highlight w:val="none"/>
                <w:lang w:val="en-US" w:eastAsia="zh-CN"/>
              </w:rPr>
            </w:pPr>
          </w:p>
          <w:p>
            <w:pPr>
              <w:numPr>
                <w:ilvl w:val="0"/>
                <w:numId w:val="8"/>
              </w:numPr>
              <w:spacing w:line="360" w:lineRule="auto"/>
              <w:ind w:firstLine="480" w:firstLineChars="200"/>
              <w:rPr>
                <w:rFonts w:hint="eastAsia" w:ascii="Times New Roman" w:hAnsi="Times New Roman"/>
                <w:bCs/>
                <w:color w:val="000000"/>
                <w:sz w:val="24"/>
                <w:highlight w:val="none"/>
                <w:lang w:val="en-US" w:eastAsia="zh-CN"/>
              </w:rPr>
            </w:pPr>
            <w:r>
              <w:rPr>
                <w:rFonts w:hint="eastAsia" w:ascii="Times New Roman" w:hAnsi="Times New Roman"/>
                <w:bCs/>
                <w:color w:val="000000"/>
                <w:sz w:val="24"/>
                <w:highlight w:val="none"/>
                <w:lang w:val="en-US" w:eastAsia="zh-CN"/>
              </w:rPr>
              <w:t>处理工艺</w:t>
            </w:r>
          </w:p>
          <w:p>
            <w:pPr>
              <w:numPr>
                <w:ilvl w:val="0"/>
                <w:numId w:val="0"/>
              </w:numPr>
              <w:spacing w:line="360" w:lineRule="auto"/>
              <w:ind w:firstLine="480" w:firstLineChars="200"/>
              <w:rPr>
                <w:rFonts w:hint="eastAsia" w:ascii="Times New Roman" w:hAnsi="Times New Roman"/>
                <w:bCs/>
                <w:color w:val="000000"/>
                <w:sz w:val="24"/>
                <w:highlight w:val="none"/>
                <w:lang w:val="en-US" w:eastAsia="zh-CN"/>
              </w:rPr>
            </w:pPr>
            <w:r>
              <w:rPr>
                <w:rFonts w:hint="eastAsia" w:ascii="Times New Roman" w:hAnsi="Times New Roman"/>
                <w:bCs/>
                <w:color w:val="000000"/>
                <w:sz w:val="24"/>
                <w:highlight w:val="none"/>
                <w:lang w:val="en-US" w:eastAsia="zh-CN"/>
              </w:rPr>
              <w:t>废水首先进入调节池，在调节池中起到均质均量的目的，同时将废水中的浮油收集进入浮油收集槽中，均质均量后的废水通过提升泵进入破乳槽中，对废水进行破乳处理，使其中的乳化油转化成为浮油，破乳后的废水自流进入气浮设备，将油和水进行分离，上部的浮油通过刮渣小车刮入浮渣收集槽中，清水通过水泵泵入两级活性炭过滤器中进行高效吸附，最终出水达标排放。</w:t>
            </w:r>
          </w:p>
          <w:p>
            <w:pPr>
              <w:spacing w:line="360" w:lineRule="auto"/>
              <w:ind w:firstLine="480" w:firstLineChars="200"/>
              <w:rPr>
                <w:rFonts w:hint="eastAsia" w:ascii="Times New Roman" w:hAnsi="Times New Roman"/>
                <w:bCs/>
                <w:color w:val="000000"/>
                <w:sz w:val="24"/>
                <w:highlight w:val="none"/>
                <w:lang w:val="en-US" w:eastAsia="zh-CN"/>
              </w:rPr>
            </w:pPr>
            <w:r>
              <w:rPr>
                <w:rFonts w:hint="eastAsia" w:ascii="Times New Roman" w:hAnsi="Times New Roman"/>
                <w:bCs/>
                <w:color w:val="000000"/>
                <w:sz w:val="24"/>
                <w:highlight w:val="none"/>
                <w:lang w:val="en-US" w:eastAsia="zh-CN"/>
              </w:rPr>
              <w:t>B、水质</w:t>
            </w:r>
          </w:p>
          <w:p>
            <w:pPr>
              <w:spacing w:line="360" w:lineRule="auto"/>
              <w:ind w:firstLine="480" w:firstLineChars="200"/>
              <w:rPr>
                <w:rFonts w:hint="eastAsia" w:ascii="Times New Roman" w:hAnsi="Times New Roman"/>
                <w:bCs/>
                <w:color w:val="000000"/>
                <w:sz w:val="24"/>
                <w:highlight w:val="none"/>
                <w:lang w:val="en-US" w:eastAsia="zh-CN"/>
              </w:rPr>
            </w:pPr>
            <w:r>
              <w:rPr>
                <w:rFonts w:hint="eastAsia" w:ascii="Times New Roman" w:hAnsi="Times New Roman"/>
                <w:bCs/>
                <w:color w:val="000000"/>
                <w:sz w:val="24"/>
                <w:highlight w:val="none"/>
                <w:lang w:val="en-US" w:eastAsia="zh-CN"/>
              </w:rPr>
              <w:t>由于本项目受污染地下水每批次水质有可能存在较大差异，建设单位在污水处理工艺气浮部分加入絮凝剂，针对重金属和总石油烃能够有效去除，本项目COD、SS进水低于污水排放标准，污染物出水水质可以满足</w:t>
            </w:r>
            <w:r>
              <w:rPr>
                <w:rFonts w:ascii="Times New Roman" w:hAnsi="Times New Roman"/>
                <w:sz w:val="24"/>
                <w:szCs w:val="24"/>
                <w:highlight w:val="none"/>
              </w:rPr>
              <w:t>《污水综合排放标准》（GB8978-1996）</w:t>
            </w:r>
            <w:r>
              <w:rPr>
                <w:rFonts w:hint="eastAsia" w:ascii="Times New Roman" w:hAnsi="Times New Roman"/>
                <w:sz w:val="24"/>
                <w:szCs w:val="24"/>
                <w:highlight w:val="none"/>
                <w:lang w:val="en-US" w:eastAsia="zh-CN"/>
              </w:rPr>
              <w:t>表4</w:t>
            </w:r>
            <w:r>
              <w:rPr>
                <w:rFonts w:ascii="Times New Roman" w:hAnsi="Times New Roman"/>
                <w:sz w:val="24"/>
                <w:szCs w:val="24"/>
                <w:highlight w:val="none"/>
              </w:rPr>
              <w:t>中的三级标准</w:t>
            </w:r>
            <w:r>
              <w:rPr>
                <w:rFonts w:hint="eastAsia" w:ascii="Times New Roman" w:hAnsi="Times New Roman"/>
                <w:sz w:val="24"/>
                <w:szCs w:val="24"/>
                <w:highlight w:val="none"/>
                <w:lang w:eastAsia="zh-CN"/>
              </w:rPr>
              <w:t>，</w:t>
            </w:r>
            <w:r>
              <w:rPr>
                <w:rFonts w:ascii="Times New Roman" w:hAnsi="Times New Roman"/>
                <w:sz w:val="24"/>
                <w:szCs w:val="24"/>
                <w:highlight w:val="none"/>
              </w:rPr>
              <w:t>氨氮参照《污水排入城镇下水道水质标准》（GB/T31962-2015中的标准</w:t>
            </w:r>
            <w:r>
              <w:rPr>
                <w:rFonts w:hint="eastAsia" w:ascii="Times New Roman" w:hAnsi="Times New Roman"/>
                <w:sz w:val="24"/>
                <w:szCs w:val="24"/>
                <w:highlight w:val="none"/>
                <w:lang w:eastAsia="zh-CN"/>
              </w:rPr>
              <w:t>，</w:t>
            </w:r>
            <w:r>
              <w:rPr>
                <w:rFonts w:hint="eastAsia" w:ascii="Times New Roman" w:hAnsi="Times New Roman"/>
                <w:sz w:val="24"/>
                <w:szCs w:val="24"/>
                <w:highlight w:val="none"/>
                <w:lang w:val="en-US" w:eastAsia="zh-CN"/>
              </w:rPr>
              <w:t>六价铬执行</w:t>
            </w:r>
            <w:r>
              <w:rPr>
                <w:rFonts w:ascii="Times New Roman" w:hAnsi="Times New Roman"/>
                <w:sz w:val="24"/>
                <w:szCs w:val="24"/>
                <w:highlight w:val="none"/>
              </w:rPr>
              <w:t>《污水综合排放标准》（GB8978-1996）</w:t>
            </w:r>
            <w:r>
              <w:rPr>
                <w:rFonts w:hint="eastAsia" w:ascii="Times New Roman" w:hAnsi="Times New Roman"/>
                <w:sz w:val="24"/>
                <w:szCs w:val="24"/>
                <w:highlight w:val="none"/>
                <w:lang w:val="en-US" w:eastAsia="zh-CN"/>
              </w:rPr>
              <w:t>表1中的标准，总石油烃满足荷兰标准</w:t>
            </w:r>
            <w:r>
              <w:rPr>
                <w:rFonts w:hint="eastAsia" w:ascii="Times New Roman" w:hAnsi="Times New Roman"/>
                <w:bCs/>
                <w:color w:val="000000"/>
                <w:sz w:val="24"/>
                <w:highlight w:val="none"/>
                <w:lang w:val="en-US" w:eastAsia="zh-CN"/>
              </w:rPr>
              <w:t>。</w:t>
            </w:r>
          </w:p>
          <w:p>
            <w:pPr>
              <w:spacing w:line="360" w:lineRule="auto"/>
              <w:ind w:firstLine="480" w:firstLineChars="200"/>
              <w:rPr>
                <w:rFonts w:hint="eastAsia" w:ascii="Times New Roman" w:hAnsi="Times New Roman"/>
                <w:bCs/>
                <w:color w:val="000000"/>
                <w:sz w:val="24"/>
                <w:highlight w:val="none"/>
                <w:lang w:val="en-US" w:eastAsia="zh-CN"/>
              </w:rPr>
            </w:pPr>
            <w:r>
              <w:rPr>
                <w:rFonts w:hint="eastAsia" w:ascii="Times New Roman" w:hAnsi="Times New Roman"/>
                <w:bCs/>
                <w:color w:val="000000"/>
                <w:sz w:val="24"/>
                <w:highlight w:val="none"/>
                <w:lang w:val="en-US" w:eastAsia="zh-CN"/>
              </w:rPr>
              <w:t>C、水量</w:t>
            </w:r>
          </w:p>
          <w:p>
            <w:pPr>
              <w:spacing w:line="360" w:lineRule="auto"/>
              <w:ind w:firstLine="480" w:firstLineChars="200"/>
              <w:rPr>
                <w:rFonts w:hint="eastAsia" w:ascii="Times New Roman" w:hAnsi="Times New Roman"/>
                <w:bCs/>
                <w:color w:val="000000"/>
                <w:sz w:val="24"/>
                <w:highlight w:val="none"/>
                <w:lang w:val="en-US" w:eastAsia="zh-CN"/>
              </w:rPr>
            </w:pPr>
            <w:r>
              <w:rPr>
                <w:rFonts w:hint="eastAsia" w:ascii="Times New Roman" w:hAnsi="Times New Roman"/>
                <w:bCs/>
                <w:color w:val="000000"/>
                <w:sz w:val="24"/>
                <w:highlight w:val="none"/>
                <w:lang w:val="en-US" w:eastAsia="zh-CN"/>
              </w:rPr>
              <w:t>建设单位新建污水处理站处理规模为80m</w:t>
            </w:r>
            <w:r>
              <w:rPr>
                <w:rFonts w:hint="eastAsia" w:ascii="Times New Roman" w:hAnsi="Times New Roman"/>
                <w:bCs/>
                <w:color w:val="000000"/>
                <w:sz w:val="24"/>
                <w:highlight w:val="none"/>
                <w:vertAlign w:val="superscript"/>
                <w:lang w:val="en-US" w:eastAsia="zh-CN"/>
              </w:rPr>
              <w:t>3</w:t>
            </w:r>
            <w:r>
              <w:rPr>
                <w:rFonts w:hint="eastAsia" w:ascii="Times New Roman" w:hAnsi="Times New Roman"/>
                <w:bCs/>
                <w:color w:val="000000"/>
                <w:sz w:val="24"/>
                <w:highlight w:val="none"/>
                <w:lang w:val="en-US" w:eastAsia="zh-CN"/>
              </w:rPr>
              <w:t>/d。该项目污水产生量为73.268m</w:t>
            </w:r>
            <w:r>
              <w:rPr>
                <w:rFonts w:hint="eastAsia" w:ascii="Times New Roman" w:hAnsi="Times New Roman"/>
                <w:bCs/>
                <w:color w:val="000000"/>
                <w:sz w:val="24"/>
                <w:highlight w:val="none"/>
                <w:vertAlign w:val="superscript"/>
                <w:lang w:val="en-US" w:eastAsia="zh-CN"/>
              </w:rPr>
              <w:t>3</w:t>
            </w:r>
            <w:r>
              <w:rPr>
                <w:rFonts w:hint="eastAsia" w:ascii="Times New Roman" w:hAnsi="Times New Roman"/>
                <w:bCs/>
                <w:color w:val="000000"/>
                <w:sz w:val="24"/>
                <w:highlight w:val="none"/>
                <w:lang w:val="en-US" w:eastAsia="zh-CN"/>
              </w:rPr>
              <w:t>，其中初期雨水可在雨水收集系统内暂存，根据污水处理站处理能力调节其进入站内的流量，因此该污水处理站能够满足本项目污水处理需求，本项目废水从水量上进入该污水处理站处理可行。综上，从水质、水量上看，本项目修复工期废水处置可行。</w:t>
            </w:r>
          </w:p>
          <w:p>
            <w:pPr>
              <w:spacing w:line="360" w:lineRule="auto"/>
              <w:ind w:firstLine="480" w:firstLineChars="200"/>
              <w:rPr>
                <w:rFonts w:ascii="Times New Roman" w:hAnsi="Times New Roman"/>
                <w:bCs/>
                <w:color w:val="000000"/>
                <w:sz w:val="24"/>
                <w:highlight w:val="none"/>
              </w:rPr>
            </w:pPr>
            <w:r>
              <w:rPr>
                <w:rFonts w:hint="eastAsia" w:ascii="Times New Roman" w:hAnsi="Times New Roman"/>
                <w:bCs/>
                <w:color w:val="000000"/>
                <w:sz w:val="24"/>
                <w:highlight w:val="none"/>
                <w:lang w:eastAsia="zh-CN"/>
              </w:rPr>
              <w:t>⑤朱家桥污水处理厂</w:t>
            </w:r>
            <w:r>
              <w:rPr>
                <w:rFonts w:ascii="Times New Roman" w:hAnsi="Times New Roman"/>
                <w:bCs/>
                <w:color w:val="000000"/>
                <w:sz w:val="24"/>
                <w:highlight w:val="none"/>
              </w:rPr>
              <w:t>的可行性分析</w:t>
            </w:r>
          </w:p>
          <w:p>
            <w:pPr>
              <w:spacing w:line="360" w:lineRule="auto"/>
              <w:ind w:firstLine="480" w:firstLineChars="200"/>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lang w:val="en-US" w:eastAsia="zh-CN"/>
              </w:rPr>
              <w:t>（1）水质可行性论证</w:t>
            </w:r>
          </w:p>
          <w:p>
            <w:pPr>
              <w:spacing w:line="360" w:lineRule="auto"/>
              <w:ind w:firstLine="480" w:firstLineChars="200"/>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lang w:val="en-US" w:eastAsia="zh-CN"/>
              </w:rPr>
              <w:t>项目淋雨试验废水经沉淀池、隔油池预处理后，可达到朱家桥污水处理厂的纳管标准，能够满足纳入市政污水管网的要求，水质纳管可行。</w:t>
            </w:r>
          </w:p>
          <w:p>
            <w:pPr>
              <w:spacing w:line="360" w:lineRule="auto"/>
              <w:ind w:firstLine="480" w:firstLineChars="200"/>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lang w:val="en-US" w:eastAsia="zh-CN"/>
              </w:rPr>
              <w:t>（2）水量可行性论证</w:t>
            </w:r>
          </w:p>
          <w:p>
            <w:pPr>
              <w:spacing w:line="360" w:lineRule="auto"/>
              <w:ind w:firstLine="480" w:firstLineChars="200"/>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lang w:val="en-US" w:eastAsia="zh-CN"/>
              </w:rPr>
              <w:t>朱家桥污水处理厂设计建设总规模40万吨/天，目前已交付使用。本项目污水主要为区内的生活污水、淋雨试验废水，水质简单。能够满足朱家桥污水处理厂的接管要求，日排放73.268m</w:t>
            </w:r>
            <w:r>
              <w:rPr>
                <w:rFonts w:hint="eastAsia" w:ascii="Times New Roman" w:hAnsi="Times New Roman"/>
                <w:color w:val="000000"/>
                <w:sz w:val="24"/>
                <w:highlight w:val="none"/>
                <w:vertAlign w:val="superscript"/>
                <w:lang w:val="en-US" w:eastAsia="zh-CN"/>
              </w:rPr>
              <w:t>3</w:t>
            </w:r>
            <w:r>
              <w:rPr>
                <w:rFonts w:hint="eastAsia" w:ascii="Times New Roman" w:hAnsi="Times New Roman"/>
                <w:color w:val="000000"/>
                <w:sz w:val="24"/>
                <w:highlight w:val="none"/>
                <w:lang w:val="en-US" w:eastAsia="zh-CN"/>
              </w:rPr>
              <w:t>废水，占污水处理厂可处理能力40万m</w:t>
            </w:r>
            <w:r>
              <w:rPr>
                <w:rFonts w:hint="eastAsia" w:ascii="Times New Roman" w:hAnsi="Times New Roman"/>
                <w:color w:val="000000"/>
                <w:sz w:val="24"/>
                <w:highlight w:val="none"/>
                <w:vertAlign w:val="superscript"/>
                <w:lang w:val="en-US" w:eastAsia="zh-CN"/>
              </w:rPr>
              <w:t>3</w:t>
            </w:r>
            <w:r>
              <w:rPr>
                <w:rFonts w:hint="eastAsia" w:ascii="Times New Roman" w:hAnsi="Times New Roman"/>
                <w:color w:val="000000"/>
                <w:sz w:val="24"/>
                <w:highlight w:val="none"/>
                <w:lang w:val="en-US" w:eastAsia="zh-CN"/>
              </w:rPr>
              <w:t>/d的0.0204%，且水质较为简单，不会对污水处理厂造成冲击影响。</w:t>
            </w:r>
          </w:p>
          <w:p>
            <w:pPr>
              <w:spacing w:line="360" w:lineRule="auto"/>
              <w:ind w:firstLine="480" w:firstLineChars="200"/>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lang w:val="en-US" w:eastAsia="zh-CN"/>
              </w:rPr>
              <w:t>（3）管网铺设可行性论证</w:t>
            </w:r>
          </w:p>
          <w:p>
            <w:pPr>
              <w:spacing w:line="360" w:lineRule="auto"/>
              <w:ind w:firstLine="480" w:firstLineChars="200"/>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lang w:val="en-US" w:eastAsia="zh-CN"/>
              </w:rPr>
              <w:t>朱家桥污水处理厂一期服务范围包括芜湖市主城区、长江大桥开发区以及芜湖经济技术开发区的部分区域；2007年，随着城市框架的拉开，为了适应城东片扁担河以西区域迅速发展的需要，完善污水收集系统，芜湖市污水处理整体规划也进行了重大调整，目前，朱家桥污水处理厂总规模将扩建至45万吨/日，朱家桥污水处理厂二期工程，已经全面启动，二期工程设计污水处理规模为12万吨/日，除了二期厂区工程外，厂外还将新建提升泵站3座、污水收集管道约87公里，总投资将达到3.09亿元，未来二期工程完成建设后，工程的服务范围东扩至扁担河，服务面积扩展为99平方公里。</w:t>
            </w:r>
          </w:p>
          <w:p>
            <w:pPr>
              <w:spacing w:line="360" w:lineRule="auto"/>
              <w:ind w:firstLine="480" w:firstLineChars="200"/>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lang w:val="en-US" w:eastAsia="zh-CN"/>
              </w:rPr>
              <w:t>本项目位于安徽省芜湖市镜湖区长江中路49号，属于朱家桥污水处理厂的服务范围，目前污水管网已铺设完备，项目污水可纳入截污管网进朱家桥污水处理厂处理。</w:t>
            </w:r>
          </w:p>
          <w:p>
            <w:pPr>
              <w:spacing w:line="360" w:lineRule="auto"/>
              <w:ind w:firstLine="480" w:firstLineChars="200"/>
              <w:rPr>
                <w:rFonts w:ascii="Times New Roman" w:hAnsi="Times New Roman"/>
                <w:bCs/>
                <w:color w:val="000000"/>
                <w:sz w:val="24"/>
                <w:highlight w:val="none"/>
              </w:rPr>
            </w:pPr>
            <w:r>
              <w:rPr>
                <w:rFonts w:hint="eastAsia" w:ascii="Times New Roman" w:hAnsi="Times New Roman"/>
                <w:color w:val="000000"/>
                <w:sz w:val="24"/>
                <w:highlight w:val="none"/>
                <w:lang w:val="en-US" w:eastAsia="zh-CN"/>
              </w:rPr>
              <w:t>故本项目新增废水从水量、水质、管道建设等方面均满足纳管要求。</w:t>
            </w:r>
            <w:r>
              <w:rPr>
                <w:rFonts w:ascii="Times New Roman" w:hAnsi="Times New Roman"/>
                <w:bCs/>
                <w:color w:val="000000"/>
                <w:sz w:val="24"/>
                <w:highlight w:val="none"/>
              </w:rPr>
              <w:t>在采取上述的处理、处置措施后，本项目废水排放对外环境的影响很小。</w:t>
            </w:r>
          </w:p>
          <w:p>
            <w:pPr>
              <w:spacing w:line="360" w:lineRule="auto"/>
              <w:ind w:firstLine="480" w:firstLineChars="200"/>
              <w:rPr>
                <w:rFonts w:ascii="Times New Roman" w:hAnsi="Times New Roman"/>
                <w:color w:val="000000"/>
                <w:sz w:val="24"/>
                <w:szCs w:val="22"/>
                <w:highlight w:val="none"/>
              </w:rPr>
            </w:pPr>
            <w:r>
              <w:rPr>
                <w:rFonts w:ascii="Times New Roman" w:hAnsi="Times New Roman"/>
                <w:color w:val="000000"/>
                <w:sz w:val="24"/>
                <w:szCs w:val="28"/>
                <w:highlight w:val="none"/>
              </w:rPr>
              <w:t>根</w:t>
            </w:r>
            <w:r>
              <w:rPr>
                <w:rFonts w:ascii="Times New Roman" w:hAnsi="Times New Roman"/>
                <w:color w:val="000000"/>
                <w:sz w:val="24"/>
                <w:szCs w:val="22"/>
                <w:highlight w:val="none"/>
              </w:rPr>
              <w:t>据国家环境保护总局《关于开展排放口规范化整治工作的通知》及《安徽省污染源排放口规范化整治管理办法》的排水体制的规定要求。</w:t>
            </w:r>
          </w:p>
          <w:p>
            <w:pPr>
              <w:spacing w:line="360" w:lineRule="auto"/>
              <w:jc w:val="center"/>
              <w:rPr>
                <w:rFonts w:ascii="Times New Roman" w:hAnsi="Times New Roman"/>
                <w:b/>
                <w:bCs/>
                <w:color w:val="000000"/>
                <w:sz w:val="24"/>
                <w:szCs w:val="22"/>
                <w:highlight w:val="none"/>
              </w:rPr>
            </w:pPr>
            <w:r>
              <w:rPr>
                <w:rFonts w:ascii="Times New Roman" w:hAnsi="Times New Roman"/>
                <w:b/>
                <w:bCs/>
                <w:color w:val="000000"/>
                <w:sz w:val="24"/>
                <w:szCs w:val="22"/>
                <w:highlight w:val="none"/>
              </w:rPr>
              <w:t>表7-</w:t>
            </w:r>
            <w:r>
              <w:rPr>
                <w:rFonts w:hint="eastAsia" w:ascii="Times New Roman" w:hAnsi="Times New Roman"/>
                <w:b/>
                <w:bCs/>
                <w:color w:val="000000"/>
                <w:sz w:val="24"/>
                <w:szCs w:val="22"/>
                <w:highlight w:val="none"/>
                <w:lang w:val="en-US" w:eastAsia="zh-CN"/>
              </w:rPr>
              <w:t>4</w:t>
            </w:r>
            <w:r>
              <w:rPr>
                <w:rFonts w:ascii="Times New Roman" w:hAnsi="Times New Roman"/>
                <w:b/>
                <w:bCs/>
                <w:color w:val="000000"/>
                <w:sz w:val="24"/>
                <w:szCs w:val="22"/>
                <w:highlight w:val="none"/>
              </w:rPr>
              <w:t xml:space="preserve"> 废水类别、污染物及治理设施信息表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6"/>
              <w:gridCol w:w="686"/>
              <w:gridCol w:w="1323"/>
              <w:gridCol w:w="945"/>
              <w:gridCol w:w="574"/>
              <w:gridCol w:w="714"/>
              <w:gridCol w:w="951"/>
              <w:gridCol w:w="991"/>
              <w:gridCol w:w="899"/>
              <w:gridCol w:w="674"/>
              <w:gridCol w:w="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56" w:type="dxa"/>
                  <w:vMerge w:val="restart"/>
                  <w:noWrap w:val="0"/>
                  <w:vAlign w:val="center"/>
                </w:tcPr>
                <w:p>
                  <w:pPr>
                    <w:spacing w:line="340" w:lineRule="exact"/>
                    <w:jc w:val="center"/>
                    <w:rPr>
                      <w:rFonts w:ascii="Times New Roman" w:hAnsi="Times New Roman"/>
                      <w:b/>
                      <w:color w:val="000000"/>
                      <w:szCs w:val="21"/>
                      <w:highlight w:val="none"/>
                    </w:rPr>
                  </w:pPr>
                  <w:r>
                    <w:rPr>
                      <w:rFonts w:ascii="Times New Roman" w:hAnsi="Times New Roman"/>
                      <w:b/>
                      <w:color w:val="000000"/>
                      <w:szCs w:val="21"/>
                      <w:highlight w:val="none"/>
                    </w:rPr>
                    <w:t>序号</w:t>
                  </w:r>
                </w:p>
              </w:tc>
              <w:tc>
                <w:tcPr>
                  <w:tcW w:w="686" w:type="dxa"/>
                  <w:vMerge w:val="restart"/>
                  <w:noWrap w:val="0"/>
                  <w:vAlign w:val="center"/>
                </w:tcPr>
                <w:p>
                  <w:pPr>
                    <w:spacing w:line="340" w:lineRule="exact"/>
                    <w:jc w:val="center"/>
                    <w:rPr>
                      <w:rFonts w:ascii="Times New Roman" w:hAnsi="Times New Roman"/>
                      <w:b/>
                      <w:color w:val="000000"/>
                      <w:szCs w:val="21"/>
                      <w:highlight w:val="none"/>
                    </w:rPr>
                  </w:pPr>
                  <w:r>
                    <w:rPr>
                      <w:rFonts w:ascii="Times New Roman" w:hAnsi="Times New Roman"/>
                      <w:b/>
                      <w:color w:val="000000"/>
                      <w:szCs w:val="21"/>
                      <w:highlight w:val="none"/>
                    </w:rPr>
                    <w:t>废水类别</w:t>
                  </w:r>
                </w:p>
              </w:tc>
              <w:tc>
                <w:tcPr>
                  <w:tcW w:w="1323" w:type="dxa"/>
                  <w:vMerge w:val="restart"/>
                  <w:noWrap w:val="0"/>
                  <w:vAlign w:val="center"/>
                </w:tcPr>
                <w:p>
                  <w:pPr>
                    <w:spacing w:line="340" w:lineRule="exact"/>
                    <w:jc w:val="center"/>
                    <w:rPr>
                      <w:rFonts w:ascii="Times New Roman" w:hAnsi="Times New Roman"/>
                      <w:b/>
                      <w:color w:val="000000"/>
                      <w:szCs w:val="21"/>
                      <w:highlight w:val="none"/>
                    </w:rPr>
                  </w:pPr>
                  <w:r>
                    <w:rPr>
                      <w:rFonts w:ascii="Times New Roman" w:hAnsi="Times New Roman"/>
                      <w:b/>
                      <w:color w:val="000000"/>
                      <w:szCs w:val="21"/>
                      <w:highlight w:val="none"/>
                    </w:rPr>
                    <w:t>污染物种类</w:t>
                  </w:r>
                </w:p>
              </w:tc>
              <w:tc>
                <w:tcPr>
                  <w:tcW w:w="945" w:type="dxa"/>
                  <w:vMerge w:val="restart"/>
                  <w:noWrap w:val="0"/>
                  <w:vAlign w:val="center"/>
                </w:tcPr>
                <w:p>
                  <w:pPr>
                    <w:spacing w:line="340" w:lineRule="exact"/>
                    <w:jc w:val="center"/>
                    <w:rPr>
                      <w:rFonts w:ascii="Times New Roman" w:hAnsi="Times New Roman"/>
                      <w:b/>
                      <w:color w:val="000000"/>
                      <w:szCs w:val="21"/>
                      <w:highlight w:val="none"/>
                    </w:rPr>
                  </w:pPr>
                  <w:r>
                    <w:rPr>
                      <w:rFonts w:ascii="Times New Roman" w:hAnsi="Times New Roman"/>
                      <w:b/>
                      <w:color w:val="000000"/>
                      <w:szCs w:val="21"/>
                      <w:highlight w:val="none"/>
                    </w:rPr>
                    <w:t>排放去向</w:t>
                  </w:r>
                </w:p>
              </w:tc>
              <w:tc>
                <w:tcPr>
                  <w:tcW w:w="574" w:type="dxa"/>
                  <w:vMerge w:val="restart"/>
                  <w:noWrap w:val="0"/>
                  <w:vAlign w:val="center"/>
                </w:tcPr>
                <w:p>
                  <w:pPr>
                    <w:spacing w:line="340" w:lineRule="exact"/>
                    <w:jc w:val="center"/>
                    <w:rPr>
                      <w:rFonts w:ascii="Times New Roman" w:hAnsi="Times New Roman"/>
                      <w:b/>
                      <w:color w:val="000000"/>
                      <w:szCs w:val="21"/>
                      <w:highlight w:val="none"/>
                    </w:rPr>
                  </w:pPr>
                  <w:r>
                    <w:rPr>
                      <w:rFonts w:ascii="Times New Roman" w:hAnsi="Times New Roman"/>
                      <w:b/>
                      <w:color w:val="000000"/>
                      <w:szCs w:val="21"/>
                      <w:highlight w:val="none"/>
                    </w:rPr>
                    <w:t>排放规律</w:t>
                  </w:r>
                </w:p>
              </w:tc>
              <w:tc>
                <w:tcPr>
                  <w:tcW w:w="2656" w:type="dxa"/>
                  <w:gridSpan w:val="3"/>
                  <w:noWrap w:val="0"/>
                  <w:vAlign w:val="center"/>
                </w:tcPr>
                <w:p>
                  <w:pPr>
                    <w:spacing w:line="34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污染治理设施</w:t>
                  </w:r>
                </w:p>
              </w:tc>
              <w:tc>
                <w:tcPr>
                  <w:tcW w:w="899" w:type="dxa"/>
                  <w:vMerge w:val="restart"/>
                  <w:noWrap w:val="0"/>
                  <w:vAlign w:val="center"/>
                </w:tcPr>
                <w:p>
                  <w:pPr>
                    <w:spacing w:line="34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排放口</w:t>
                  </w:r>
                </w:p>
                <w:p>
                  <w:pPr>
                    <w:spacing w:line="34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编号</w:t>
                  </w:r>
                </w:p>
              </w:tc>
              <w:tc>
                <w:tcPr>
                  <w:tcW w:w="674" w:type="dxa"/>
                  <w:vMerge w:val="restart"/>
                  <w:noWrap w:val="0"/>
                  <w:vAlign w:val="center"/>
                </w:tcPr>
                <w:p>
                  <w:pPr>
                    <w:spacing w:line="34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排放口</w:t>
                  </w:r>
                </w:p>
                <w:p>
                  <w:pPr>
                    <w:spacing w:line="34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设置是</w:t>
                  </w:r>
                </w:p>
                <w:p>
                  <w:pPr>
                    <w:spacing w:line="34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否符合</w:t>
                  </w:r>
                </w:p>
                <w:p>
                  <w:pPr>
                    <w:spacing w:line="34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要求</w:t>
                  </w:r>
                </w:p>
              </w:tc>
              <w:tc>
                <w:tcPr>
                  <w:tcW w:w="673" w:type="dxa"/>
                  <w:vMerge w:val="restart"/>
                  <w:noWrap w:val="0"/>
                  <w:vAlign w:val="center"/>
                </w:tcPr>
                <w:p>
                  <w:pPr>
                    <w:spacing w:line="340" w:lineRule="exact"/>
                    <w:jc w:val="center"/>
                    <w:rPr>
                      <w:rFonts w:ascii="Times New Roman" w:hAnsi="Times New Roman"/>
                      <w:b/>
                      <w:color w:val="000000"/>
                      <w:szCs w:val="21"/>
                      <w:highlight w:val="none"/>
                    </w:rPr>
                  </w:pPr>
                  <w:r>
                    <w:rPr>
                      <w:rFonts w:ascii="Times New Roman" w:hAnsi="Times New Roman"/>
                      <w:b/>
                      <w:color w:val="000000"/>
                      <w:szCs w:val="21"/>
                      <w:highlight w:val="none"/>
                    </w:rPr>
                    <w:t>排放类型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356" w:type="dxa"/>
                  <w:vMerge w:val="continue"/>
                  <w:noWrap w:val="0"/>
                  <w:vAlign w:val="center"/>
                </w:tcPr>
                <w:p>
                  <w:pPr>
                    <w:spacing w:line="340" w:lineRule="exact"/>
                    <w:jc w:val="center"/>
                    <w:rPr>
                      <w:rFonts w:ascii="Times New Roman" w:hAnsi="Times New Roman"/>
                      <w:b/>
                      <w:color w:val="000000"/>
                      <w:szCs w:val="21"/>
                      <w:highlight w:val="none"/>
                    </w:rPr>
                  </w:pPr>
                </w:p>
              </w:tc>
              <w:tc>
                <w:tcPr>
                  <w:tcW w:w="686" w:type="dxa"/>
                  <w:vMerge w:val="continue"/>
                  <w:noWrap w:val="0"/>
                  <w:vAlign w:val="center"/>
                </w:tcPr>
                <w:p>
                  <w:pPr>
                    <w:spacing w:line="340" w:lineRule="exact"/>
                    <w:jc w:val="center"/>
                    <w:rPr>
                      <w:rFonts w:ascii="Times New Roman" w:hAnsi="Times New Roman"/>
                      <w:b/>
                      <w:color w:val="000000"/>
                      <w:szCs w:val="21"/>
                      <w:highlight w:val="none"/>
                    </w:rPr>
                  </w:pPr>
                </w:p>
              </w:tc>
              <w:tc>
                <w:tcPr>
                  <w:tcW w:w="1323" w:type="dxa"/>
                  <w:vMerge w:val="continue"/>
                  <w:noWrap w:val="0"/>
                  <w:vAlign w:val="center"/>
                </w:tcPr>
                <w:p>
                  <w:pPr>
                    <w:spacing w:line="340" w:lineRule="exact"/>
                    <w:jc w:val="center"/>
                    <w:rPr>
                      <w:rFonts w:ascii="Times New Roman" w:hAnsi="Times New Roman"/>
                      <w:b/>
                      <w:color w:val="000000"/>
                      <w:szCs w:val="21"/>
                      <w:highlight w:val="none"/>
                    </w:rPr>
                  </w:pPr>
                </w:p>
              </w:tc>
              <w:tc>
                <w:tcPr>
                  <w:tcW w:w="945" w:type="dxa"/>
                  <w:vMerge w:val="continue"/>
                  <w:noWrap w:val="0"/>
                  <w:vAlign w:val="center"/>
                </w:tcPr>
                <w:p>
                  <w:pPr>
                    <w:spacing w:line="340" w:lineRule="exact"/>
                    <w:jc w:val="center"/>
                    <w:rPr>
                      <w:rFonts w:ascii="Times New Roman" w:hAnsi="Times New Roman"/>
                      <w:b/>
                      <w:color w:val="000000"/>
                      <w:szCs w:val="21"/>
                      <w:highlight w:val="none"/>
                    </w:rPr>
                  </w:pPr>
                </w:p>
              </w:tc>
              <w:tc>
                <w:tcPr>
                  <w:tcW w:w="574" w:type="dxa"/>
                  <w:vMerge w:val="continue"/>
                  <w:noWrap w:val="0"/>
                  <w:vAlign w:val="center"/>
                </w:tcPr>
                <w:p>
                  <w:pPr>
                    <w:spacing w:line="340" w:lineRule="exact"/>
                    <w:jc w:val="center"/>
                    <w:rPr>
                      <w:rFonts w:ascii="Times New Roman" w:hAnsi="Times New Roman"/>
                      <w:b/>
                      <w:color w:val="000000"/>
                      <w:szCs w:val="21"/>
                      <w:highlight w:val="none"/>
                    </w:rPr>
                  </w:pPr>
                </w:p>
              </w:tc>
              <w:tc>
                <w:tcPr>
                  <w:tcW w:w="714" w:type="dxa"/>
                  <w:noWrap w:val="0"/>
                  <w:vAlign w:val="center"/>
                </w:tcPr>
                <w:p>
                  <w:pPr>
                    <w:spacing w:line="34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污染治理设施编号</w:t>
                  </w:r>
                </w:p>
              </w:tc>
              <w:tc>
                <w:tcPr>
                  <w:tcW w:w="951" w:type="dxa"/>
                  <w:noWrap w:val="0"/>
                  <w:vAlign w:val="center"/>
                </w:tcPr>
                <w:p>
                  <w:pPr>
                    <w:spacing w:line="34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污染治理设施名称</w:t>
                  </w:r>
                </w:p>
              </w:tc>
              <w:tc>
                <w:tcPr>
                  <w:tcW w:w="991" w:type="dxa"/>
                  <w:noWrap w:val="0"/>
                  <w:vAlign w:val="center"/>
                </w:tcPr>
                <w:p>
                  <w:pPr>
                    <w:spacing w:line="34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污染治理</w:t>
                  </w:r>
                </w:p>
                <w:p>
                  <w:pPr>
                    <w:spacing w:line="34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设施工艺</w:t>
                  </w:r>
                </w:p>
              </w:tc>
              <w:tc>
                <w:tcPr>
                  <w:tcW w:w="899" w:type="dxa"/>
                  <w:vMerge w:val="continue"/>
                  <w:noWrap w:val="0"/>
                  <w:vAlign w:val="center"/>
                </w:tcPr>
                <w:p>
                  <w:pPr>
                    <w:spacing w:line="340" w:lineRule="exact"/>
                    <w:ind w:left="-105" w:leftChars="-50" w:right="-105" w:rightChars="-50"/>
                    <w:jc w:val="center"/>
                    <w:rPr>
                      <w:rFonts w:ascii="Times New Roman" w:hAnsi="Times New Roman"/>
                      <w:b/>
                      <w:color w:val="000000"/>
                      <w:szCs w:val="21"/>
                      <w:highlight w:val="none"/>
                    </w:rPr>
                  </w:pPr>
                </w:p>
              </w:tc>
              <w:tc>
                <w:tcPr>
                  <w:tcW w:w="674" w:type="dxa"/>
                  <w:vMerge w:val="continue"/>
                  <w:noWrap w:val="0"/>
                  <w:vAlign w:val="center"/>
                </w:tcPr>
                <w:p>
                  <w:pPr>
                    <w:spacing w:line="340" w:lineRule="exact"/>
                    <w:ind w:left="-105" w:leftChars="-50" w:right="-105" w:rightChars="-50"/>
                    <w:jc w:val="center"/>
                    <w:rPr>
                      <w:rFonts w:ascii="Times New Roman" w:hAnsi="Times New Roman"/>
                      <w:b/>
                      <w:color w:val="000000"/>
                      <w:szCs w:val="21"/>
                      <w:highlight w:val="none"/>
                    </w:rPr>
                  </w:pPr>
                </w:p>
              </w:tc>
              <w:tc>
                <w:tcPr>
                  <w:tcW w:w="673" w:type="dxa"/>
                  <w:vMerge w:val="continue"/>
                  <w:noWrap w:val="0"/>
                  <w:vAlign w:val="center"/>
                </w:tcPr>
                <w:p>
                  <w:pPr>
                    <w:spacing w:line="340" w:lineRule="exact"/>
                    <w:jc w:val="center"/>
                    <w:rPr>
                      <w:rFonts w:ascii="Times New Roman" w:hAnsi="Times New Roman"/>
                      <w:b/>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56" w:type="dxa"/>
                  <w:noWrap w:val="0"/>
                  <w:vAlign w:val="center"/>
                </w:tcPr>
                <w:p>
                  <w:pPr>
                    <w:spacing w:line="340" w:lineRule="exact"/>
                    <w:jc w:val="center"/>
                    <w:rPr>
                      <w:rFonts w:ascii="Times New Roman" w:hAnsi="Times New Roman"/>
                      <w:color w:val="000000"/>
                      <w:szCs w:val="21"/>
                      <w:highlight w:val="none"/>
                    </w:rPr>
                  </w:pPr>
                  <w:r>
                    <w:rPr>
                      <w:rFonts w:ascii="Times New Roman" w:hAnsi="Times New Roman"/>
                      <w:color w:val="000000"/>
                      <w:szCs w:val="21"/>
                      <w:highlight w:val="none"/>
                    </w:rPr>
                    <w:t>1</w:t>
                  </w:r>
                </w:p>
              </w:tc>
              <w:tc>
                <w:tcPr>
                  <w:tcW w:w="686" w:type="dxa"/>
                  <w:noWrap w:val="0"/>
                  <w:vAlign w:val="center"/>
                </w:tcPr>
                <w:p>
                  <w:pPr>
                    <w:spacing w:line="340" w:lineRule="exact"/>
                    <w:jc w:val="center"/>
                    <w:rPr>
                      <w:rFonts w:ascii="Times New Roman" w:hAnsi="Times New Roman"/>
                      <w:color w:val="000000"/>
                      <w:szCs w:val="21"/>
                      <w:highlight w:val="none"/>
                    </w:rPr>
                  </w:pPr>
                  <w:r>
                    <w:rPr>
                      <w:rFonts w:ascii="Times New Roman" w:hAnsi="Times New Roman"/>
                      <w:color w:val="000000"/>
                      <w:szCs w:val="21"/>
                      <w:highlight w:val="none"/>
                    </w:rPr>
                    <w:t>生活污水</w:t>
                  </w:r>
                </w:p>
              </w:tc>
              <w:tc>
                <w:tcPr>
                  <w:tcW w:w="1323" w:type="dxa"/>
                  <w:noWrap w:val="0"/>
                  <w:vAlign w:val="center"/>
                </w:tcPr>
                <w:p>
                  <w:pPr>
                    <w:spacing w:line="34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COD、SS、NH</w:t>
                  </w:r>
                  <w:r>
                    <w:rPr>
                      <w:rFonts w:ascii="Times New Roman" w:hAnsi="Times New Roman"/>
                      <w:color w:val="000000"/>
                      <w:szCs w:val="21"/>
                      <w:highlight w:val="none"/>
                      <w:vertAlign w:val="subscript"/>
                    </w:rPr>
                    <w:t>3</w:t>
                  </w:r>
                  <w:r>
                    <w:rPr>
                      <w:rFonts w:ascii="Times New Roman" w:hAnsi="Times New Roman"/>
                      <w:color w:val="000000"/>
                      <w:szCs w:val="21"/>
                      <w:highlight w:val="none"/>
                    </w:rPr>
                    <w:t>-N、BOD</w:t>
                  </w:r>
                  <w:r>
                    <w:rPr>
                      <w:rFonts w:ascii="Times New Roman" w:hAnsi="Times New Roman"/>
                      <w:color w:val="000000"/>
                      <w:szCs w:val="21"/>
                      <w:highlight w:val="none"/>
                      <w:vertAlign w:val="subscript"/>
                    </w:rPr>
                    <w:t>5</w:t>
                  </w:r>
                </w:p>
              </w:tc>
              <w:tc>
                <w:tcPr>
                  <w:tcW w:w="945" w:type="dxa"/>
                  <w:noWrap w:val="0"/>
                  <w:vAlign w:val="center"/>
                </w:tcPr>
                <w:p>
                  <w:pPr>
                    <w:spacing w:line="34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排入生活水系统</w:t>
                  </w:r>
                </w:p>
              </w:tc>
              <w:tc>
                <w:tcPr>
                  <w:tcW w:w="574" w:type="dxa"/>
                  <w:noWrap w:val="0"/>
                  <w:vAlign w:val="center"/>
                </w:tcPr>
                <w:p>
                  <w:pPr>
                    <w:spacing w:line="34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连续</w:t>
                  </w:r>
                </w:p>
                <w:p>
                  <w:pPr>
                    <w:spacing w:line="34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排放</w:t>
                  </w:r>
                </w:p>
              </w:tc>
              <w:tc>
                <w:tcPr>
                  <w:tcW w:w="714" w:type="dxa"/>
                  <w:noWrap w:val="0"/>
                  <w:vAlign w:val="center"/>
                </w:tcPr>
                <w:p>
                  <w:pPr>
                    <w:spacing w:line="340" w:lineRule="exact"/>
                    <w:jc w:val="center"/>
                    <w:rPr>
                      <w:rFonts w:ascii="Times New Roman" w:hAnsi="Times New Roman"/>
                      <w:color w:val="000000"/>
                      <w:szCs w:val="21"/>
                      <w:highlight w:val="none"/>
                    </w:rPr>
                  </w:pPr>
                  <w:r>
                    <w:rPr>
                      <w:rFonts w:ascii="Times New Roman" w:hAnsi="Times New Roman"/>
                      <w:color w:val="000000"/>
                      <w:szCs w:val="21"/>
                      <w:highlight w:val="none"/>
                    </w:rPr>
                    <w:t>1#</w:t>
                  </w:r>
                </w:p>
              </w:tc>
              <w:tc>
                <w:tcPr>
                  <w:tcW w:w="951" w:type="dxa"/>
                  <w:noWrap w:val="0"/>
                  <w:vAlign w:val="center"/>
                </w:tcPr>
                <w:p>
                  <w:pPr>
                    <w:spacing w:line="34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生活污水处理系统</w:t>
                  </w:r>
                </w:p>
              </w:tc>
              <w:tc>
                <w:tcPr>
                  <w:tcW w:w="991" w:type="dxa"/>
                  <w:noWrap w:val="0"/>
                  <w:vAlign w:val="center"/>
                </w:tcPr>
                <w:p>
                  <w:pPr>
                    <w:spacing w:line="34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化粪池</w:t>
                  </w:r>
                </w:p>
              </w:tc>
              <w:tc>
                <w:tcPr>
                  <w:tcW w:w="899" w:type="dxa"/>
                  <w:noWrap w:val="0"/>
                  <w:vAlign w:val="center"/>
                </w:tcPr>
                <w:p>
                  <w:pPr>
                    <w:spacing w:line="340" w:lineRule="exact"/>
                    <w:ind w:left="-63" w:leftChars="-30" w:right="-63" w:rightChars="-30"/>
                    <w:jc w:val="center"/>
                    <w:rPr>
                      <w:rFonts w:ascii="Times New Roman" w:hAnsi="Times New Roman"/>
                      <w:color w:val="000000"/>
                      <w:szCs w:val="21"/>
                      <w:highlight w:val="none"/>
                    </w:rPr>
                  </w:pPr>
                  <w:r>
                    <w:rPr>
                      <w:rFonts w:ascii="Times New Roman" w:hAnsi="Times New Roman"/>
                      <w:color w:val="000000"/>
                      <w:szCs w:val="21"/>
                      <w:highlight w:val="none"/>
                    </w:rPr>
                    <w:t>WS-001</w:t>
                  </w:r>
                </w:p>
              </w:tc>
              <w:tc>
                <w:tcPr>
                  <w:tcW w:w="674" w:type="dxa"/>
                  <w:noWrap w:val="0"/>
                  <w:vAlign w:val="center"/>
                </w:tcPr>
                <w:p>
                  <w:pPr>
                    <w:spacing w:line="340" w:lineRule="exact"/>
                    <w:jc w:val="center"/>
                    <w:rPr>
                      <w:rFonts w:ascii="Times New Roman" w:hAnsi="Times New Roman"/>
                      <w:color w:val="000000"/>
                      <w:szCs w:val="21"/>
                      <w:highlight w:val="none"/>
                    </w:rPr>
                  </w:pPr>
                  <w:r>
                    <w:rPr>
                      <w:rFonts w:ascii="Times New Roman" w:hAnsi="Times New Roman"/>
                      <w:color w:val="000000"/>
                      <w:szCs w:val="21"/>
                      <w:highlight w:val="none"/>
                    </w:rPr>
                    <w:t>是</w:t>
                  </w:r>
                </w:p>
              </w:tc>
              <w:tc>
                <w:tcPr>
                  <w:tcW w:w="673" w:type="dxa"/>
                  <w:noWrap w:val="0"/>
                  <w:vAlign w:val="center"/>
                </w:tcPr>
                <w:p>
                  <w:pPr>
                    <w:spacing w:line="340" w:lineRule="exact"/>
                    <w:jc w:val="center"/>
                    <w:rPr>
                      <w:rFonts w:ascii="Times New Roman" w:hAnsi="Times New Roman"/>
                      <w:color w:val="000000"/>
                      <w:szCs w:val="21"/>
                      <w:highlight w:val="none"/>
                    </w:rPr>
                  </w:pPr>
                  <w:r>
                    <w:rPr>
                      <w:rFonts w:ascii="Times New Roman" w:hAnsi="Times New Roman"/>
                      <w:color w:val="000000"/>
                      <w:szCs w:val="21"/>
                      <w:highlight w:val="none"/>
                    </w:rPr>
                    <w:t>企业总排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56" w:type="dxa"/>
                  <w:noWrap w:val="0"/>
                  <w:vAlign w:val="center"/>
                </w:tcPr>
                <w:p>
                  <w:pPr>
                    <w:spacing w:line="340" w:lineRule="exac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2</w:t>
                  </w:r>
                </w:p>
              </w:tc>
              <w:tc>
                <w:tcPr>
                  <w:tcW w:w="686" w:type="dxa"/>
                  <w:noWrap w:val="0"/>
                  <w:vAlign w:val="center"/>
                </w:tcPr>
                <w:p>
                  <w:pPr>
                    <w:spacing w:line="340" w:lineRule="exac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修复期废水</w:t>
                  </w:r>
                </w:p>
              </w:tc>
              <w:tc>
                <w:tcPr>
                  <w:tcW w:w="1323" w:type="dxa"/>
                  <w:noWrap w:val="0"/>
                  <w:vAlign w:val="center"/>
                </w:tcPr>
                <w:p>
                  <w:pPr>
                    <w:spacing w:line="340" w:lineRule="exact"/>
                    <w:ind w:left="-105" w:leftChars="-50" w:right="-105" w:rightChars="-50"/>
                    <w:jc w:val="center"/>
                    <w:rPr>
                      <w:rFonts w:hint="default" w:ascii="Times New Roman" w:hAnsi="Times New Roman" w:eastAsia="宋体"/>
                      <w:color w:val="000000"/>
                      <w:szCs w:val="21"/>
                      <w:highlight w:val="none"/>
                      <w:lang w:val="en-US" w:eastAsia="zh-CN"/>
                    </w:rPr>
                  </w:pPr>
                  <w:r>
                    <w:rPr>
                      <w:rFonts w:ascii="Times New Roman" w:hAnsi="Times New Roman"/>
                      <w:color w:val="000000"/>
                      <w:szCs w:val="21"/>
                      <w:highlight w:val="none"/>
                    </w:rPr>
                    <w:t>COD、SS、</w:t>
                  </w:r>
                  <w:r>
                    <w:rPr>
                      <w:rFonts w:hint="eastAsia" w:ascii="Times New Roman" w:hAnsi="Times New Roman"/>
                      <w:color w:val="000000"/>
                      <w:szCs w:val="21"/>
                      <w:highlight w:val="none"/>
                      <w:lang w:val="en-US" w:eastAsia="zh-CN"/>
                    </w:rPr>
                    <w:t>六价铬、总石油烃</w:t>
                  </w:r>
                </w:p>
              </w:tc>
              <w:tc>
                <w:tcPr>
                  <w:tcW w:w="945" w:type="dxa"/>
                  <w:noWrap w:val="0"/>
                  <w:vAlign w:val="center"/>
                </w:tcPr>
                <w:p>
                  <w:pPr>
                    <w:spacing w:line="34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排入自建废水处理系统</w:t>
                  </w:r>
                </w:p>
              </w:tc>
              <w:tc>
                <w:tcPr>
                  <w:tcW w:w="574" w:type="dxa"/>
                  <w:noWrap w:val="0"/>
                  <w:vAlign w:val="center"/>
                </w:tcPr>
                <w:p>
                  <w:pPr>
                    <w:spacing w:line="34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连续</w:t>
                  </w:r>
                </w:p>
                <w:p>
                  <w:pPr>
                    <w:spacing w:line="340" w:lineRule="exact"/>
                    <w:ind w:left="-105" w:leftChars="-50" w:right="-105" w:rightChars="-50"/>
                    <w:jc w:val="center"/>
                    <w:rPr>
                      <w:rFonts w:hint="eastAsia" w:ascii="Times New Roman" w:hAnsi="Times New Roman" w:eastAsia="宋体"/>
                      <w:color w:val="000000"/>
                      <w:szCs w:val="21"/>
                      <w:highlight w:val="none"/>
                      <w:lang w:val="en-US" w:eastAsia="zh-CN"/>
                    </w:rPr>
                  </w:pPr>
                  <w:r>
                    <w:rPr>
                      <w:rFonts w:ascii="Times New Roman" w:hAnsi="Times New Roman"/>
                      <w:color w:val="000000"/>
                      <w:szCs w:val="21"/>
                      <w:highlight w:val="none"/>
                    </w:rPr>
                    <w:t>排放</w:t>
                  </w:r>
                </w:p>
              </w:tc>
              <w:tc>
                <w:tcPr>
                  <w:tcW w:w="714" w:type="dxa"/>
                  <w:noWrap w:val="0"/>
                  <w:vAlign w:val="center"/>
                </w:tcPr>
                <w:p>
                  <w:pPr>
                    <w:spacing w:line="340" w:lineRule="exact"/>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2</w:t>
                  </w:r>
                  <w:r>
                    <w:rPr>
                      <w:rFonts w:ascii="Times New Roman" w:hAnsi="Times New Roman"/>
                      <w:color w:val="000000"/>
                      <w:szCs w:val="21"/>
                      <w:highlight w:val="none"/>
                    </w:rPr>
                    <w:t>#</w:t>
                  </w:r>
                </w:p>
              </w:tc>
              <w:tc>
                <w:tcPr>
                  <w:tcW w:w="951" w:type="dxa"/>
                  <w:noWrap w:val="0"/>
                  <w:vAlign w:val="center"/>
                </w:tcPr>
                <w:p>
                  <w:pPr>
                    <w:spacing w:line="340" w:lineRule="exact"/>
                    <w:ind w:left="-105" w:leftChars="-50" w:right="-105" w:rightChars="-5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修复</w:t>
                  </w:r>
                  <w:r>
                    <w:rPr>
                      <w:rFonts w:ascii="Times New Roman" w:hAnsi="Times New Roman"/>
                      <w:color w:val="000000"/>
                      <w:szCs w:val="21"/>
                      <w:highlight w:val="none"/>
                    </w:rPr>
                    <w:t>污水处理系统</w:t>
                  </w:r>
                </w:p>
              </w:tc>
              <w:tc>
                <w:tcPr>
                  <w:tcW w:w="991" w:type="dxa"/>
                  <w:noWrap w:val="0"/>
                  <w:vAlign w:val="center"/>
                </w:tcPr>
                <w:p>
                  <w:pPr>
                    <w:spacing w:line="340" w:lineRule="exact"/>
                    <w:ind w:left="-105" w:leftChars="-50" w:right="-105" w:rightChars="-50"/>
                    <w:jc w:val="center"/>
                    <w:rPr>
                      <w:rFonts w:ascii="Times New Roman" w:hAnsi="Times New Roman"/>
                      <w:color w:val="000000"/>
                      <w:szCs w:val="21"/>
                      <w:highlight w:val="none"/>
                    </w:rPr>
                  </w:pPr>
                  <w:r>
                    <w:rPr>
                      <w:rFonts w:hint="eastAsia" w:ascii="Times New Roman" w:hAnsi="Times New Roman"/>
                      <w:color w:val="000000"/>
                      <w:szCs w:val="21"/>
                      <w:highlight w:val="none"/>
                    </w:rPr>
                    <w:t>调节+破乳池+气浮+两级滤碳</w:t>
                  </w:r>
                </w:p>
              </w:tc>
              <w:tc>
                <w:tcPr>
                  <w:tcW w:w="899" w:type="dxa"/>
                  <w:noWrap w:val="0"/>
                  <w:vAlign w:val="center"/>
                </w:tcPr>
                <w:p>
                  <w:pPr>
                    <w:spacing w:line="340" w:lineRule="exact"/>
                    <w:ind w:left="-63" w:leftChars="-30" w:right="-63" w:rightChars="-30"/>
                    <w:jc w:val="center"/>
                    <w:rPr>
                      <w:rFonts w:ascii="Times New Roman" w:hAnsi="Times New Roman"/>
                      <w:color w:val="000000"/>
                      <w:szCs w:val="21"/>
                      <w:highlight w:val="none"/>
                    </w:rPr>
                  </w:pPr>
                  <w:r>
                    <w:rPr>
                      <w:rFonts w:ascii="Times New Roman" w:hAnsi="Times New Roman"/>
                      <w:color w:val="000000"/>
                      <w:szCs w:val="21"/>
                      <w:highlight w:val="none"/>
                    </w:rPr>
                    <w:t>WS-001</w:t>
                  </w:r>
                </w:p>
              </w:tc>
              <w:tc>
                <w:tcPr>
                  <w:tcW w:w="674" w:type="dxa"/>
                  <w:noWrap w:val="0"/>
                  <w:vAlign w:val="center"/>
                </w:tcPr>
                <w:p>
                  <w:pPr>
                    <w:spacing w:line="340" w:lineRule="exact"/>
                    <w:jc w:val="center"/>
                    <w:rPr>
                      <w:rFonts w:ascii="Times New Roman" w:hAnsi="Times New Roman"/>
                      <w:color w:val="000000"/>
                      <w:szCs w:val="21"/>
                      <w:highlight w:val="none"/>
                    </w:rPr>
                  </w:pPr>
                  <w:r>
                    <w:rPr>
                      <w:rFonts w:ascii="Times New Roman" w:hAnsi="Times New Roman"/>
                      <w:color w:val="000000"/>
                      <w:szCs w:val="21"/>
                      <w:highlight w:val="none"/>
                    </w:rPr>
                    <w:t>是</w:t>
                  </w:r>
                </w:p>
              </w:tc>
              <w:tc>
                <w:tcPr>
                  <w:tcW w:w="673" w:type="dxa"/>
                  <w:noWrap w:val="0"/>
                  <w:vAlign w:val="center"/>
                </w:tcPr>
                <w:p>
                  <w:pPr>
                    <w:spacing w:line="340" w:lineRule="exact"/>
                    <w:jc w:val="center"/>
                    <w:rPr>
                      <w:rFonts w:ascii="Times New Roman" w:hAnsi="Times New Roman"/>
                      <w:color w:val="000000"/>
                      <w:szCs w:val="21"/>
                      <w:highlight w:val="none"/>
                    </w:rPr>
                  </w:pPr>
                  <w:r>
                    <w:rPr>
                      <w:rFonts w:ascii="Times New Roman" w:hAnsi="Times New Roman"/>
                      <w:color w:val="000000"/>
                      <w:szCs w:val="21"/>
                      <w:highlight w:val="none"/>
                    </w:rPr>
                    <w:t>企业总排</w:t>
                  </w:r>
                </w:p>
              </w:tc>
            </w:tr>
          </w:tbl>
          <w:p>
            <w:pPr>
              <w:spacing w:line="360" w:lineRule="auto"/>
              <w:jc w:val="center"/>
              <w:rPr>
                <w:rFonts w:ascii="Times New Roman" w:hAnsi="Times New Roman"/>
                <w:b/>
                <w:bCs/>
                <w:color w:val="000000"/>
                <w:sz w:val="24"/>
                <w:szCs w:val="22"/>
                <w:highlight w:val="none"/>
              </w:rPr>
            </w:pPr>
          </w:p>
          <w:p>
            <w:pPr>
              <w:spacing w:line="360" w:lineRule="auto"/>
              <w:jc w:val="center"/>
              <w:rPr>
                <w:rFonts w:ascii="Times New Roman" w:hAnsi="Times New Roman"/>
                <w:b/>
                <w:bCs/>
                <w:color w:val="000000"/>
                <w:sz w:val="24"/>
                <w:szCs w:val="22"/>
                <w:highlight w:val="none"/>
              </w:rPr>
            </w:pPr>
          </w:p>
          <w:p>
            <w:pPr>
              <w:spacing w:line="360" w:lineRule="auto"/>
              <w:jc w:val="center"/>
              <w:rPr>
                <w:rFonts w:ascii="Times New Roman" w:hAnsi="Times New Roman"/>
                <w:b/>
                <w:bCs/>
                <w:color w:val="000000"/>
                <w:sz w:val="24"/>
                <w:szCs w:val="22"/>
                <w:highlight w:val="none"/>
              </w:rPr>
            </w:pPr>
          </w:p>
          <w:p>
            <w:pPr>
              <w:spacing w:line="360" w:lineRule="auto"/>
              <w:jc w:val="center"/>
              <w:rPr>
                <w:rFonts w:ascii="Times New Roman" w:hAnsi="Times New Roman"/>
                <w:b/>
                <w:bCs/>
                <w:color w:val="000000"/>
                <w:sz w:val="24"/>
                <w:szCs w:val="22"/>
                <w:highlight w:val="none"/>
              </w:rPr>
            </w:pPr>
          </w:p>
          <w:p>
            <w:pPr>
              <w:spacing w:line="360" w:lineRule="auto"/>
              <w:jc w:val="center"/>
              <w:rPr>
                <w:rFonts w:ascii="Times New Roman" w:hAnsi="Times New Roman"/>
                <w:b/>
                <w:bCs/>
                <w:color w:val="000000"/>
                <w:sz w:val="24"/>
                <w:szCs w:val="22"/>
                <w:highlight w:val="none"/>
              </w:rPr>
            </w:pPr>
          </w:p>
          <w:p>
            <w:pPr>
              <w:spacing w:line="360" w:lineRule="auto"/>
              <w:jc w:val="center"/>
              <w:rPr>
                <w:rFonts w:ascii="Times New Roman" w:hAnsi="Times New Roman"/>
                <w:b/>
                <w:bCs/>
                <w:color w:val="000000"/>
                <w:sz w:val="24"/>
                <w:szCs w:val="22"/>
                <w:highlight w:val="none"/>
              </w:rPr>
            </w:pPr>
          </w:p>
          <w:p>
            <w:pPr>
              <w:spacing w:line="360" w:lineRule="auto"/>
              <w:jc w:val="center"/>
              <w:rPr>
                <w:rFonts w:ascii="Times New Roman" w:hAnsi="Times New Roman"/>
                <w:b/>
                <w:bCs/>
                <w:color w:val="000000"/>
                <w:sz w:val="24"/>
                <w:szCs w:val="22"/>
                <w:highlight w:val="none"/>
              </w:rPr>
            </w:pPr>
          </w:p>
          <w:p>
            <w:pPr>
              <w:spacing w:line="360" w:lineRule="auto"/>
              <w:jc w:val="center"/>
              <w:rPr>
                <w:rFonts w:ascii="Times New Roman" w:hAnsi="Times New Roman"/>
                <w:b/>
                <w:bCs/>
                <w:color w:val="000000"/>
                <w:sz w:val="24"/>
                <w:szCs w:val="22"/>
                <w:highlight w:val="none"/>
              </w:rPr>
            </w:pPr>
          </w:p>
          <w:p>
            <w:pPr>
              <w:spacing w:line="360" w:lineRule="auto"/>
              <w:jc w:val="center"/>
              <w:rPr>
                <w:rFonts w:ascii="Times New Roman" w:hAnsi="Times New Roman"/>
                <w:b/>
                <w:bCs/>
                <w:color w:val="000000"/>
                <w:sz w:val="24"/>
                <w:szCs w:val="22"/>
                <w:highlight w:val="none"/>
              </w:rPr>
            </w:pPr>
          </w:p>
          <w:p>
            <w:pPr>
              <w:spacing w:line="360" w:lineRule="auto"/>
              <w:jc w:val="center"/>
              <w:rPr>
                <w:rFonts w:ascii="Times New Roman" w:hAnsi="Times New Roman"/>
                <w:b/>
                <w:bCs/>
                <w:color w:val="000000"/>
                <w:sz w:val="24"/>
                <w:szCs w:val="22"/>
                <w:highlight w:val="none"/>
              </w:rPr>
            </w:pPr>
            <w:r>
              <w:rPr>
                <w:rFonts w:ascii="Times New Roman" w:hAnsi="Times New Roman"/>
                <w:b/>
                <w:bCs/>
                <w:color w:val="000000"/>
                <w:sz w:val="24"/>
                <w:szCs w:val="22"/>
                <w:highlight w:val="none"/>
              </w:rPr>
              <w:t>表7-</w:t>
            </w:r>
            <w:r>
              <w:rPr>
                <w:rFonts w:hint="eastAsia" w:ascii="Times New Roman" w:hAnsi="Times New Roman"/>
                <w:b/>
                <w:bCs/>
                <w:color w:val="000000"/>
                <w:sz w:val="24"/>
                <w:szCs w:val="22"/>
                <w:highlight w:val="none"/>
                <w:lang w:val="en-US" w:eastAsia="zh-CN"/>
              </w:rPr>
              <w:t>5</w:t>
            </w:r>
            <w:r>
              <w:rPr>
                <w:rFonts w:ascii="Times New Roman" w:hAnsi="Times New Roman"/>
                <w:b/>
                <w:bCs/>
                <w:color w:val="000000"/>
                <w:sz w:val="24"/>
                <w:szCs w:val="22"/>
                <w:highlight w:val="none"/>
              </w:rPr>
              <w:t xml:space="preserve"> 废水间接排放口基本情况表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
              <w:gridCol w:w="523"/>
              <w:gridCol w:w="908"/>
              <w:gridCol w:w="910"/>
              <w:gridCol w:w="742"/>
              <w:gridCol w:w="686"/>
              <w:gridCol w:w="669"/>
              <w:gridCol w:w="783"/>
              <w:gridCol w:w="783"/>
              <w:gridCol w:w="907"/>
              <w:gridCol w:w="1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442" w:type="dxa"/>
                  <w:vMerge w:val="restart"/>
                  <w:noWrap w:val="0"/>
                  <w:vAlign w:val="center"/>
                </w:tcPr>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序号</w:t>
                  </w:r>
                </w:p>
              </w:tc>
              <w:tc>
                <w:tcPr>
                  <w:tcW w:w="523" w:type="dxa"/>
                  <w:vMerge w:val="restart"/>
                  <w:noWrap w:val="0"/>
                  <w:vAlign w:val="center"/>
                </w:tcPr>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排放</w:t>
                  </w:r>
                </w:p>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口编</w:t>
                  </w:r>
                </w:p>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号</w:t>
                  </w:r>
                </w:p>
              </w:tc>
              <w:tc>
                <w:tcPr>
                  <w:tcW w:w="1818" w:type="dxa"/>
                  <w:gridSpan w:val="2"/>
                  <w:noWrap w:val="0"/>
                  <w:vAlign w:val="center"/>
                </w:tcPr>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排放口地理坐标</w:t>
                  </w:r>
                  <w:r>
                    <w:rPr>
                      <w:rFonts w:ascii="Times New Roman" w:hAnsi="Times New Roman"/>
                      <w:b/>
                      <w:color w:val="000000"/>
                      <w:szCs w:val="21"/>
                      <w:highlight w:val="none"/>
                      <w:vertAlign w:val="superscript"/>
                    </w:rPr>
                    <w:t>（a）</w:t>
                  </w:r>
                </w:p>
              </w:tc>
              <w:tc>
                <w:tcPr>
                  <w:tcW w:w="742" w:type="dxa"/>
                  <w:vMerge w:val="restart"/>
                  <w:noWrap w:val="0"/>
                  <w:vAlign w:val="center"/>
                </w:tcPr>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废水排放量/</w:t>
                  </w:r>
                </w:p>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（万t/</w:t>
                  </w:r>
                  <w:r>
                    <w:rPr>
                      <w:rFonts w:hint="eastAsia" w:ascii="Times New Roman" w:hAnsi="Times New Roman"/>
                      <w:b/>
                      <w:color w:val="000000"/>
                      <w:szCs w:val="21"/>
                      <w:highlight w:val="none"/>
                      <w:lang w:val="en-US" w:eastAsia="zh-CN"/>
                    </w:rPr>
                    <w:t>工期</w:t>
                  </w:r>
                  <w:r>
                    <w:rPr>
                      <w:rFonts w:ascii="Times New Roman" w:hAnsi="Times New Roman"/>
                      <w:b/>
                      <w:color w:val="000000"/>
                      <w:szCs w:val="21"/>
                      <w:highlight w:val="none"/>
                    </w:rPr>
                    <w:t>）</w:t>
                  </w:r>
                </w:p>
              </w:tc>
              <w:tc>
                <w:tcPr>
                  <w:tcW w:w="686" w:type="dxa"/>
                  <w:vMerge w:val="restart"/>
                  <w:noWrap w:val="0"/>
                  <w:vAlign w:val="center"/>
                </w:tcPr>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排放</w:t>
                  </w:r>
                </w:p>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去向</w:t>
                  </w:r>
                </w:p>
              </w:tc>
              <w:tc>
                <w:tcPr>
                  <w:tcW w:w="669" w:type="dxa"/>
                  <w:vMerge w:val="restart"/>
                  <w:noWrap w:val="0"/>
                  <w:vAlign w:val="center"/>
                </w:tcPr>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排放</w:t>
                  </w:r>
                </w:p>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规律</w:t>
                  </w:r>
                </w:p>
              </w:tc>
              <w:tc>
                <w:tcPr>
                  <w:tcW w:w="783" w:type="dxa"/>
                  <w:vMerge w:val="restart"/>
                  <w:noWrap w:val="0"/>
                  <w:vAlign w:val="center"/>
                </w:tcPr>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间歇</w:t>
                  </w:r>
                </w:p>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排放</w:t>
                  </w:r>
                </w:p>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时段</w:t>
                  </w:r>
                </w:p>
              </w:tc>
              <w:tc>
                <w:tcPr>
                  <w:tcW w:w="3076" w:type="dxa"/>
                  <w:gridSpan w:val="3"/>
                  <w:noWrap w:val="0"/>
                  <w:vAlign w:val="center"/>
                </w:tcPr>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受纳污水处理厂信息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442" w:type="dxa"/>
                  <w:vMerge w:val="continue"/>
                  <w:noWrap w:val="0"/>
                  <w:vAlign w:val="center"/>
                </w:tcPr>
                <w:p>
                  <w:pPr>
                    <w:spacing w:line="320" w:lineRule="exact"/>
                    <w:ind w:left="-105" w:leftChars="-50" w:right="-105" w:rightChars="-50"/>
                    <w:jc w:val="center"/>
                    <w:rPr>
                      <w:rFonts w:ascii="Times New Roman" w:hAnsi="Times New Roman"/>
                      <w:b/>
                      <w:color w:val="000000"/>
                      <w:szCs w:val="21"/>
                      <w:highlight w:val="none"/>
                    </w:rPr>
                  </w:pPr>
                </w:p>
              </w:tc>
              <w:tc>
                <w:tcPr>
                  <w:tcW w:w="523" w:type="dxa"/>
                  <w:vMerge w:val="continue"/>
                  <w:noWrap w:val="0"/>
                  <w:vAlign w:val="center"/>
                </w:tcPr>
                <w:p>
                  <w:pPr>
                    <w:spacing w:line="320" w:lineRule="exact"/>
                    <w:ind w:left="-105" w:leftChars="-50" w:right="-105" w:rightChars="-50"/>
                    <w:jc w:val="center"/>
                    <w:rPr>
                      <w:rFonts w:ascii="Times New Roman" w:hAnsi="Times New Roman"/>
                      <w:b/>
                      <w:color w:val="000000"/>
                      <w:szCs w:val="21"/>
                      <w:highlight w:val="none"/>
                    </w:rPr>
                  </w:pPr>
                </w:p>
              </w:tc>
              <w:tc>
                <w:tcPr>
                  <w:tcW w:w="908" w:type="dxa"/>
                  <w:noWrap w:val="0"/>
                  <w:vAlign w:val="center"/>
                </w:tcPr>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经度</w:t>
                  </w:r>
                </w:p>
              </w:tc>
              <w:tc>
                <w:tcPr>
                  <w:tcW w:w="910" w:type="dxa"/>
                  <w:noWrap w:val="0"/>
                  <w:vAlign w:val="center"/>
                </w:tcPr>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纬度</w:t>
                  </w:r>
                </w:p>
              </w:tc>
              <w:tc>
                <w:tcPr>
                  <w:tcW w:w="742" w:type="dxa"/>
                  <w:vMerge w:val="continue"/>
                  <w:noWrap w:val="0"/>
                  <w:vAlign w:val="center"/>
                </w:tcPr>
                <w:p>
                  <w:pPr>
                    <w:spacing w:line="320" w:lineRule="exact"/>
                    <w:ind w:left="-105" w:leftChars="-50" w:right="-105" w:rightChars="-50"/>
                    <w:jc w:val="center"/>
                    <w:rPr>
                      <w:rFonts w:ascii="Times New Roman" w:hAnsi="Times New Roman"/>
                      <w:b/>
                      <w:color w:val="000000"/>
                      <w:szCs w:val="21"/>
                      <w:highlight w:val="none"/>
                    </w:rPr>
                  </w:pPr>
                </w:p>
              </w:tc>
              <w:tc>
                <w:tcPr>
                  <w:tcW w:w="686" w:type="dxa"/>
                  <w:vMerge w:val="continue"/>
                  <w:noWrap w:val="0"/>
                  <w:vAlign w:val="center"/>
                </w:tcPr>
                <w:p>
                  <w:pPr>
                    <w:spacing w:line="320" w:lineRule="exact"/>
                    <w:ind w:left="-105" w:leftChars="-50" w:right="-105" w:rightChars="-50"/>
                    <w:jc w:val="center"/>
                    <w:rPr>
                      <w:rFonts w:ascii="Times New Roman" w:hAnsi="Times New Roman"/>
                      <w:b/>
                      <w:color w:val="000000"/>
                      <w:szCs w:val="21"/>
                      <w:highlight w:val="none"/>
                    </w:rPr>
                  </w:pPr>
                </w:p>
              </w:tc>
              <w:tc>
                <w:tcPr>
                  <w:tcW w:w="669" w:type="dxa"/>
                  <w:vMerge w:val="continue"/>
                  <w:noWrap w:val="0"/>
                  <w:vAlign w:val="center"/>
                </w:tcPr>
                <w:p>
                  <w:pPr>
                    <w:spacing w:line="320" w:lineRule="exact"/>
                    <w:ind w:left="-105" w:leftChars="-50" w:right="-105" w:rightChars="-50"/>
                    <w:jc w:val="center"/>
                    <w:rPr>
                      <w:rFonts w:ascii="Times New Roman" w:hAnsi="Times New Roman"/>
                      <w:b/>
                      <w:color w:val="000000"/>
                      <w:szCs w:val="21"/>
                      <w:highlight w:val="none"/>
                    </w:rPr>
                  </w:pPr>
                </w:p>
              </w:tc>
              <w:tc>
                <w:tcPr>
                  <w:tcW w:w="783" w:type="dxa"/>
                  <w:vMerge w:val="continue"/>
                  <w:noWrap w:val="0"/>
                  <w:vAlign w:val="center"/>
                </w:tcPr>
                <w:p>
                  <w:pPr>
                    <w:spacing w:line="320" w:lineRule="exact"/>
                    <w:ind w:left="-105" w:leftChars="-50" w:right="-105" w:rightChars="-50"/>
                    <w:jc w:val="center"/>
                    <w:rPr>
                      <w:rFonts w:ascii="Times New Roman" w:hAnsi="Times New Roman"/>
                      <w:b/>
                      <w:color w:val="000000"/>
                      <w:szCs w:val="21"/>
                      <w:highlight w:val="none"/>
                    </w:rPr>
                  </w:pPr>
                </w:p>
              </w:tc>
              <w:tc>
                <w:tcPr>
                  <w:tcW w:w="783" w:type="dxa"/>
                  <w:noWrap w:val="0"/>
                  <w:vAlign w:val="center"/>
                </w:tcPr>
                <w:p>
                  <w:pPr>
                    <w:spacing w:line="320" w:lineRule="exact"/>
                    <w:ind w:left="-105" w:leftChars="-50" w:right="-105" w:rightChars="-50"/>
                    <w:jc w:val="center"/>
                    <w:rPr>
                      <w:rFonts w:ascii="Times New Roman" w:hAnsi="Times New Roman"/>
                      <w:b/>
                      <w:color w:val="000000"/>
                      <w:szCs w:val="21"/>
                      <w:highlight w:val="none"/>
                      <w:vertAlign w:val="superscript"/>
                    </w:rPr>
                  </w:pPr>
                  <w:r>
                    <w:rPr>
                      <w:rFonts w:ascii="Times New Roman" w:hAnsi="Times New Roman"/>
                      <w:b/>
                      <w:color w:val="000000"/>
                      <w:szCs w:val="21"/>
                      <w:highlight w:val="none"/>
                    </w:rPr>
                    <w:t>名称</w:t>
                  </w:r>
                  <w:r>
                    <w:rPr>
                      <w:rFonts w:ascii="Times New Roman" w:hAnsi="Times New Roman"/>
                      <w:b/>
                      <w:color w:val="000000"/>
                      <w:szCs w:val="21"/>
                      <w:highlight w:val="none"/>
                      <w:vertAlign w:val="superscript"/>
                    </w:rPr>
                    <w:t>（b）</w:t>
                  </w:r>
                </w:p>
              </w:tc>
              <w:tc>
                <w:tcPr>
                  <w:tcW w:w="907" w:type="dxa"/>
                  <w:noWrap w:val="0"/>
                  <w:vAlign w:val="center"/>
                </w:tcPr>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污染物</w:t>
                  </w:r>
                </w:p>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种类</w:t>
                  </w:r>
                </w:p>
              </w:tc>
              <w:tc>
                <w:tcPr>
                  <w:tcW w:w="1386" w:type="dxa"/>
                  <w:noWrap w:val="0"/>
                  <w:vAlign w:val="center"/>
                </w:tcPr>
                <w:p>
                  <w:pPr>
                    <w:spacing w:line="320" w:lineRule="exact"/>
                    <w:ind w:left="-105" w:leftChars="-50" w:right="-105" w:rightChars="-50"/>
                    <w:jc w:val="center"/>
                    <w:rPr>
                      <w:rFonts w:ascii="Times New Roman" w:hAnsi="Times New Roman"/>
                      <w:b/>
                      <w:color w:val="000000"/>
                      <w:szCs w:val="21"/>
                      <w:highlight w:val="none"/>
                    </w:rPr>
                  </w:pPr>
                  <w:r>
                    <w:rPr>
                      <w:rFonts w:ascii="Times New Roman" w:hAnsi="Times New Roman"/>
                      <w:b/>
                      <w:color w:val="000000"/>
                      <w:szCs w:val="21"/>
                      <w:highlight w:val="none"/>
                    </w:rPr>
                    <w:t>国家或地方污染物排放标准浓度限值/(mg/L)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442" w:type="dxa"/>
                  <w:vMerge w:val="restart"/>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1</w:t>
                  </w:r>
                </w:p>
              </w:tc>
              <w:tc>
                <w:tcPr>
                  <w:tcW w:w="523" w:type="dxa"/>
                  <w:vMerge w:val="restart"/>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WS- 001</w:t>
                  </w:r>
                </w:p>
              </w:tc>
              <w:tc>
                <w:tcPr>
                  <w:tcW w:w="908" w:type="dxa"/>
                  <w:vMerge w:val="restart"/>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hint="eastAsia" w:ascii="Times New Roman" w:hAnsi="Times New Roman"/>
                      <w:color w:val="000000"/>
                      <w:szCs w:val="21"/>
                      <w:highlight w:val="none"/>
                    </w:rPr>
                    <w:t>118.352441631</w:t>
                  </w:r>
                </w:p>
              </w:tc>
              <w:tc>
                <w:tcPr>
                  <w:tcW w:w="910" w:type="dxa"/>
                  <w:vMerge w:val="restart"/>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hint="eastAsia" w:ascii="Times New Roman" w:hAnsi="Times New Roman"/>
                      <w:color w:val="000000"/>
                      <w:szCs w:val="21"/>
                      <w:highlight w:val="none"/>
                    </w:rPr>
                    <w:t>31.345218767</w:t>
                  </w:r>
                </w:p>
              </w:tc>
              <w:tc>
                <w:tcPr>
                  <w:tcW w:w="742" w:type="dxa"/>
                  <w:vMerge w:val="restart"/>
                  <w:noWrap w:val="0"/>
                  <w:vAlign w:val="center"/>
                </w:tcPr>
                <w:p>
                  <w:pPr>
                    <w:spacing w:line="32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2.124</w:t>
                  </w:r>
                </w:p>
              </w:tc>
              <w:tc>
                <w:tcPr>
                  <w:tcW w:w="686" w:type="dxa"/>
                  <w:vMerge w:val="restart"/>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市政污</w:t>
                  </w:r>
                </w:p>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水管网</w:t>
                  </w:r>
                </w:p>
              </w:tc>
              <w:tc>
                <w:tcPr>
                  <w:tcW w:w="669" w:type="dxa"/>
                  <w:vMerge w:val="restart"/>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连续</w:t>
                  </w:r>
                </w:p>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排放</w:t>
                  </w:r>
                </w:p>
              </w:tc>
              <w:tc>
                <w:tcPr>
                  <w:tcW w:w="783" w:type="dxa"/>
                  <w:vMerge w:val="restart"/>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08:00~</w:t>
                  </w:r>
                </w:p>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18:00</w:t>
                  </w:r>
                </w:p>
              </w:tc>
              <w:tc>
                <w:tcPr>
                  <w:tcW w:w="783" w:type="dxa"/>
                  <w:vMerge w:val="restart"/>
                  <w:noWrap w:val="0"/>
                  <w:vAlign w:val="center"/>
                </w:tcPr>
                <w:p>
                  <w:pPr>
                    <w:spacing w:line="320" w:lineRule="exact"/>
                    <w:ind w:left="-105" w:leftChars="-50" w:right="-105" w:rightChars="-5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eastAsia="zh-CN"/>
                    </w:rPr>
                    <w:t>朱家桥污水处理厂</w:t>
                  </w:r>
                </w:p>
              </w:tc>
              <w:tc>
                <w:tcPr>
                  <w:tcW w:w="907" w:type="dxa"/>
                  <w:noWrap w:val="0"/>
                  <w:vAlign w:val="center"/>
                </w:tcPr>
                <w:p>
                  <w:pPr>
                    <w:pStyle w:val="79"/>
                    <w:spacing w:line="320" w:lineRule="exact"/>
                    <w:ind w:left="-105" w:leftChars="-50" w:right="-105" w:rightChars="-50"/>
                    <w:rPr>
                      <w:rFonts w:ascii="Times New Roman" w:hAnsi="Times New Roman" w:eastAsia="宋体"/>
                      <w:color w:val="000000"/>
                      <w:szCs w:val="21"/>
                      <w:highlight w:val="none"/>
                    </w:rPr>
                  </w:pPr>
                  <w:r>
                    <w:rPr>
                      <w:rFonts w:ascii="Times New Roman" w:hAnsi="Times New Roman" w:eastAsia="宋体"/>
                      <w:color w:val="000000"/>
                      <w:szCs w:val="21"/>
                      <w:highlight w:val="none"/>
                    </w:rPr>
                    <w:t>COD</w:t>
                  </w:r>
                  <w:r>
                    <w:rPr>
                      <w:rFonts w:ascii="Times New Roman" w:hAnsi="Times New Roman" w:eastAsia="宋体"/>
                      <w:color w:val="000000"/>
                      <w:szCs w:val="21"/>
                      <w:highlight w:val="none"/>
                      <w:vertAlign w:val="subscript"/>
                    </w:rPr>
                    <w:t>Cr</w:t>
                  </w:r>
                </w:p>
              </w:tc>
              <w:tc>
                <w:tcPr>
                  <w:tcW w:w="1386" w:type="dxa"/>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442"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52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08"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10"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42"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686"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669"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8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8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07" w:type="dxa"/>
                  <w:noWrap w:val="0"/>
                  <w:vAlign w:val="center"/>
                </w:tcPr>
                <w:p>
                  <w:pPr>
                    <w:adjustRightInd w:val="0"/>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BOD</w:t>
                  </w:r>
                  <w:r>
                    <w:rPr>
                      <w:rFonts w:ascii="Times New Roman" w:hAnsi="Times New Roman"/>
                      <w:color w:val="000000"/>
                      <w:szCs w:val="21"/>
                      <w:highlight w:val="none"/>
                      <w:vertAlign w:val="subscript"/>
                    </w:rPr>
                    <w:t>5</w:t>
                  </w:r>
                </w:p>
              </w:tc>
              <w:tc>
                <w:tcPr>
                  <w:tcW w:w="1386" w:type="dxa"/>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442"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52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08"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10"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42"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686"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669"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8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8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07" w:type="dxa"/>
                  <w:noWrap w:val="0"/>
                  <w:vAlign w:val="center"/>
                </w:tcPr>
                <w:p>
                  <w:pPr>
                    <w:adjustRightInd w:val="0"/>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SS</w:t>
                  </w:r>
                </w:p>
              </w:tc>
              <w:tc>
                <w:tcPr>
                  <w:tcW w:w="1386" w:type="dxa"/>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442"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52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08"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10"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42"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686"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669"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8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8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07" w:type="dxa"/>
                  <w:noWrap w:val="0"/>
                  <w:vAlign w:val="center"/>
                </w:tcPr>
                <w:p>
                  <w:pPr>
                    <w:pStyle w:val="79"/>
                    <w:spacing w:line="320" w:lineRule="exact"/>
                    <w:ind w:left="-105" w:leftChars="-50" w:right="-105" w:rightChars="-50"/>
                    <w:rPr>
                      <w:rFonts w:ascii="Times New Roman" w:hAnsi="Times New Roman" w:eastAsia="宋体"/>
                      <w:color w:val="000000"/>
                      <w:szCs w:val="21"/>
                      <w:highlight w:val="none"/>
                    </w:rPr>
                  </w:pPr>
                  <w:r>
                    <w:rPr>
                      <w:rFonts w:ascii="Times New Roman" w:hAnsi="Times New Roman" w:eastAsia="宋体"/>
                      <w:color w:val="000000"/>
                      <w:szCs w:val="21"/>
                      <w:highlight w:val="none"/>
                    </w:rPr>
                    <w:t>NH</w:t>
                  </w:r>
                  <w:r>
                    <w:rPr>
                      <w:rFonts w:ascii="Times New Roman" w:hAnsi="Times New Roman" w:eastAsia="宋体"/>
                      <w:color w:val="000000"/>
                      <w:szCs w:val="21"/>
                      <w:highlight w:val="none"/>
                      <w:vertAlign w:val="subscript"/>
                    </w:rPr>
                    <w:t>3</w:t>
                  </w:r>
                  <w:r>
                    <w:rPr>
                      <w:rFonts w:ascii="Times New Roman" w:hAnsi="Times New Roman" w:eastAsia="宋体"/>
                      <w:color w:val="000000"/>
                      <w:szCs w:val="21"/>
                      <w:highlight w:val="none"/>
                    </w:rPr>
                    <w:t>-N</w:t>
                  </w:r>
                </w:p>
              </w:tc>
              <w:tc>
                <w:tcPr>
                  <w:tcW w:w="1386" w:type="dxa"/>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442"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52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08"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10"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42"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686"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669"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8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8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07" w:type="dxa"/>
                  <w:noWrap w:val="0"/>
                  <w:vAlign w:val="center"/>
                </w:tcPr>
                <w:p>
                  <w:pPr>
                    <w:pStyle w:val="79"/>
                    <w:spacing w:line="320" w:lineRule="exact"/>
                    <w:ind w:left="-105" w:leftChars="-50" w:right="-105" w:rightChars="-50"/>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六价铬</w:t>
                  </w:r>
                </w:p>
              </w:tc>
              <w:tc>
                <w:tcPr>
                  <w:tcW w:w="1386" w:type="dxa"/>
                  <w:noWrap w:val="0"/>
                  <w:vAlign w:val="center"/>
                </w:tcPr>
                <w:p>
                  <w:pPr>
                    <w:spacing w:line="32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442"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52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08"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10"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42"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686"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669"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8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783" w:type="dxa"/>
                  <w:vMerge w:val="continue"/>
                  <w:noWrap w:val="0"/>
                  <w:vAlign w:val="center"/>
                </w:tcPr>
                <w:p>
                  <w:pPr>
                    <w:spacing w:line="320" w:lineRule="exact"/>
                    <w:ind w:left="-105" w:leftChars="-50" w:right="-105" w:rightChars="-50"/>
                    <w:jc w:val="center"/>
                    <w:rPr>
                      <w:rFonts w:ascii="Times New Roman" w:hAnsi="Times New Roman"/>
                      <w:color w:val="000000"/>
                      <w:szCs w:val="21"/>
                      <w:highlight w:val="none"/>
                    </w:rPr>
                  </w:pPr>
                </w:p>
              </w:tc>
              <w:tc>
                <w:tcPr>
                  <w:tcW w:w="907" w:type="dxa"/>
                  <w:noWrap w:val="0"/>
                  <w:vAlign w:val="center"/>
                </w:tcPr>
                <w:p>
                  <w:pPr>
                    <w:pStyle w:val="79"/>
                    <w:spacing w:line="320" w:lineRule="exact"/>
                    <w:ind w:left="-105" w:leftChars="-50" w:right="-105" w:rightChars="-50"/>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总石油烃</w:t>
                  </w:r>
                </w:p>
              </w:tc>
              <w:tc>
                <w:tcPr>
                  <w:tcW w:w="1386" w:type="dxa"/>
                  <w:noWrap w:val="0"/>
                  <w:vAlign w:val="center"/>
                </w:tcPr>
                <w:p>
                  <w:pPr>
                    <w:spacing w:line="32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0.6</w:t>
                  </w:r>
                </w:p>
              </w:tc>
            </w:tr>
          </w:tbl>
          <w:p>
            <w:pPr>
              <w:spacing w:line="360" w:lineRule="auto"/>
              <w:jc w:val="center"/>
              <w:rPr>
                <w:rFonts w:ascii="Times New Roman" w:hAnsi="Times New Roman"/>
                <w:b/>
                <w:bCs/>
                <w:color w:val="000000"/>
                <w:sz w:val="24"/>
                <w:szCs w:val="22"/>
                <w:highlight w:val="none"/>
              </w:rPr>
            </w:pPr>
          </w:p>
          <w:p>
            <w:pPr>
              <w:spacing w:line="360" w:lineRule="auto"/>
              <w:jc w:val="center"/>
              <w:rPr>
                <w:rFonts w:ascii="Times New Roman" w:hAnsi="Times New Roman"/>
                <w:b/>
                <w:bCs/>
                <w:color w:val="000000"/>
                <w:sz w:val="24"/>
                <w:szCs w:val="22"/>
                <w:highlight w:val="none"/>
              </w:rPr>
            </w:pPr>
            <w:r>
              <w:rPr>
                <w:rFonts w:ascii="Times New Roman" w:hAnsi="Times New Roman"/>
                <w:b/>
                <w:bCs/>
                <w:color w:val="000000"/>
                <w:sz w:val="24"/>
                <w:szCs w:val="22"/>
                <w:highlight w:val="none"/>
              </w:rPr>
              <w:t>表7-</w:t>
            </w:r>
            <w:r>
              <w:rPr>
                <w:rFonts w:hint="eastAsia" w:ascii="Times New Roman" w:hAnsi="Times New Roman"/>
                <w:b/>
                <w:bCs/>
                <w:color w:val="000000"/>
                <w:sz w:val="24"/>
                <w:szCs w:val="22"/>
                <w:highlight w:val="none"/>
                <w:lang w:val="en-US" w:eastAsia="zh-CN"/>
              </w:rPr>
              <w:t>6</w:t>
            </w:r>
            <w:r>
              <w:rPr>
                <w:rFonts w:ascii="Times New Roman" w:hAnsi="Times New Roman"/>
                <w:b/>
                <w:bCs/>
                <w:color w:val="000000"/>
                <w:sz w:val="24"/>
                <w:szCs w:val="22"/>
                <w:highlight w:val="none"/>
              </w:rPr>
              <w:t xml:space="preserve">   废水污染物排放执行标准表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8"/>
              <w:gridCol w:w="1155"/>
              <w:gridCol w:w="1343"/>
              <w:gridCol w:w="3248"/>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608" w:type="dxa"/>
                  <w:vMerge w:val="restart"/>
                  <w:noWrap w:val="0"/>
                  <w:vAlign w:val="center"/>
                </w:tcPr>
                <w:p>
                  <w:pPr>
                    <w:spacing w:line="300" w:lineRule="exact"/>
                    <w:jc w:val="center"/>
                    <w:rPr>
                      <w:rFonts w:ascii="Times New Roman" w:hAnsi="Times New Roman"/>
                      <w:b/>
                      <w:color w:val="000000"/>
                      <w:szCs w:val="21"/>
                      <w:highlight w:val="none"/>
                    </w:rPr>
                  </w:pPr>
                  <w:r>
                    <w:rPr>
                      <w:rFonts w:ascii="Times New Roman" w:hAnsi="Times New Roman"/>
                      <w:b/>
                      <w:color w:val="000000"/>
                      <w:szCs w:val="21"/>
                      <w:highlight w:val="none"/>
                    </w:rPr>
                    <w:t>序号</w:t>
                  </w:r>
                </w:p>
              </w:tc>
              <w:tc>
                <w:tcPr>
                  <w:tcW w:w="1155" w:type="dxa"/>
                  <w:vMerge w:val="restart"/>
                  <w:noWrap w:val="0"/>
                  <w:vAlign w:val="center"/>
                </w:tcPr>
                <w:p>
                  <w:pPr>
                    <w:spacing w:line="300" w:lineRule="exact"/>
                    <w:jc w:val="center"/>
                    <w:rPr>
                      <w:rFonts w:ascii="Times New Roman" w:hAnsi="Times New Roman"/>
                      <w:b/>
                      <w:color w:val="000000"/>
                      <w:szCs w:val="21"/>
                      <w:highlight w:val="none"/>
                    </w:rPr>
                  </w:pPr>
                  <w:r>
                    <w:rPr>
                      <w:rFonts w:ascii="Times New Roman" w:hAnsi="Times New Roman"/>
                      <w:b/>
                      <w:color w:val="000000"/>
                      <w:szCs w:val="21"/>
                      <w:highlight w:val="none"/>
                    </w:rPr>
                    <w:t>排放口编号</w:t>
                  </w:r>
                </w:p>
              </w:tc>
              <w:tc>
                <w:tcPr>
                  <w:tcW w:w="1343" w:type="dxa"/>
                  <w:vMerge w:val="restart"/>
                  <w:noWrap w:val="0"/>
                  <w:vAlign w:val="center"/>
                </w:tcPr>
                <w:p>
                  <w:pPr>
                    <w:spacing w:line="300" w:lineRule="exact"/>
                    <w:jc w:val="center"/>
                    <w:rPr>
                      <w:rFonts w:ascii="Times New Roman" w:hAnsi="Times New Roman"/>
                      <w:b/>
                      <w:color w:val="000000"/>
                      <w:szCs w:val="21"/>
                      <w:highlight w:val="none"/>
                    </w:rPr>
                  </w:pPr>
                  <w:r>
                    <w:rPr>
                      <w:rFonts w:ascii="Times New Roman" w:hAnsi="Times New Roman"/>
                      <w:b/>
                      <w:color w:val="000000"/>
                      <w:szCs w:val="21"/>
                      <w:highlight w:val="none"/>
                    </w:rPr>
                    <w:t>污染物种类</w:t>
                  </w:r>
                </w:p>
              </w:tc>
              <w:tc>
                <w:tcPr>
                  <w:tcW w:w="5652" w:type="dxa"/>
                  <w:gridSpan w:val="2"/>
                  <w:noWrap w:val="0"/>
                  <w:vAlign w:val="center"/>
                </w:tcPr>
                <w:p>
                  <w:pPr>
                    <w:spacing w:line="300" w:lineRule="exact"/>
                    <w:jc w:val="center"/>
                    <w:rPr>
                      <w:rFonts w:ascii="Times New Roman" w:hAnsi="Times New Roman"/>
                      <w:b/>
                      <w:color w:val="000000"/>
                      <w:szCs w:val="21"/>
                      <w:highlight w:val="none"/>
                    </w:rPr>
                  </w:pPr>
                  <w:r>
                    <w:rPr>
                      <w:rFonts w:ascii="Times New Roman" w:hAnsi="Times New Roman"/>
                      <w:b/>
                      <w:color w:val="000000"/>
                      <w:szCs w:val="21"/>
                      <w:highlight w:val="none"/>
                    </w:rPr>
                    <w:t>国家或地方污染物排放标准及其他按规定商定的排放协议</w:t>
                  </w:r>
                  <w:r>
                    <w:rPr>
                      <w:rFonts w:ascii="Times New Roman" w:hAnsi="Times New Roman"/>
                      <w:b/>
                      <w:color w:val="000000"/>
                      <w:szCs w:val="21"/>
                      <w:highlight w:val="none"/>
                      <w:vertAlign w:val="superscript"/>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608" w:type="dxa"/>
                  <w:vMerge w:val="continue"/>
                  <w:noWrap w:val="0"/>
                  <w:vAlign w:val="center"/>
                </w:tcPr>
                <w:p>
                  <w:pPr>
                    <w:spacing w:line="300" w:lineRule="exact"/>
                    <w:jc w:val="center"/>
                    <w:rPr>
                      <w:rFonts w:ascii="Times New Roman" w:hAnsi="Times New Roman"/>
                      <w:b/>
                      <w:color w:val="000000"/>
                      <w:szCs w:val="21"/>
                      <w:highlight w:val="none"/>
                    </w:rPr>
                  </w:pPr>
                </w:p>
              </w:tc>
              <w:tc>
                <w:tcPr>
                  <w:tcW w:w="1155" w:type="dxa"/>
                  <w:vMerge w:val="continue"/>
                  <w:noWrap w:val="0"/>
                  <w:vAlign w:val="center"/>
                </w:tcPr>
                <w:p>
                  <w:pPr>
                    <w:spacing w:line="300" w:lineRule="exact"/>
                    <w:jc w:val="center"/>
                    <w:rPr>
                      <w:rFonts w:ascii="Times New Roman" w:hAnsi="Times New Roman"/>
                      <w:b/>
                      <w:color w:val="000000"/>
                      <w:szCs w:val="21"/>
                      <w:highlight w:val="none"/>
                    </w:rPr>
                  </w:pPr>
                </w:p>
              </w:tc>
              <w:tc>
                <w:tcPr>
                  <w:tcW w:w="1343" w:type="dxa"/>
                  <w:vMerge w:val="continue"/>
                  <w:noWrap w:val="0"/>
                  <w:vAlign w:val="center"/>
                </w:tcPr>
                <w:p>
                  <w:pPr>
                    <w:spacing w:line="300" w:lineRule="exact"/>
                    <w:jc w:val="center"/>
                    <w:rPr>
                      <w:rFonts w:ascii="Times New Roman" w:hAnsi="Times New Roman"/>
                      <w:b/>
                      <w:color w:val="000000"/>
                      <w:szCs w:val="21"/>
                      <w:highlight w:val="none"/>
                    </w:rPr>
                  </w:pPr>
                </w:p>
              </w:tc>
              <w:tc>
                <w:tcPr>
                  <w:tcW w:w="3248" w:type="dxa"/>
                  <w:noWrap w:val="0"/>
                  <w:vAlign w:val="center"/>
                </w:tcPr>
                <w:p>
                  <w:pPr>
                    <w:spacing w:line="300" w:lineRule="exact"/>
                    <w:jc w:val="center"/>
                    <w:rPr>
                      <w:rFonts w:ascii="Times New Roman" w:hAnsi="Times New Roman"/>
                      <w:b/>
                      <w:color w:val="000000"/>
                      <w:szCs w:val="21"/>
                      <w:highlight w:val="none"/>
                    </w:rPr>
                  </w:pPr>
                  <w:r>
                    <w:rPr>
                      <w:rFonts w:ascii="Times New Roman" w:hAnsi="Times New Roman"/>
                      <w:b/>
                      <w:color w:val="000000"/>
                      <w:szCs w:val="21"/>
                      <w:highlight w:val="none"/>
                    </w:rPr>
                    <w:t>名称</w:t>
                  </w:r>
                </w:p>
              </w:tc>
              <w:tc>
                <w:tcPr>
                  <w:tcW w:w="2404" w:type="dxa"/>
                  <w:noWrap w:val="0"/>
                  <w:vAlign w:val="center"/>
                </w:tcPr>
                <w:p>
                  <w:pPr>
                    <w:spacing w:line="300" w:lineRule="exact"/>
                    <w:jc w:val="center"/>
                    <w:rPr>
                      <w:rFonts w:ascii="Times New Roman" w:hAnsi="Times New Roman"/>
                      <w:b/>
                      <w:color w:val="000000"/>
                      <w:szCs w:val="21"/>
                      <w:highlight w:val="none"/>
                    </w:rPr>
                  </w:pPr>
                  <w:r>
                    <w:rPr>
                      <w:rFonts w:ascii="Times New Roman" w:hAnsi="Times New Roman"/>
                      <w:b/>
                      <w:color w:val="000000"/>
                      <w:szCs w:val="21"/>
                      <w:highlight w:val="none"/>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jc w:val="center"/>
              </w:trPr>
              <w:tc>
                <w:tcPr>
                  <w:tcW w:w="608" w:type="dxa"/>
                  <w:vMerge w:val="restart"/>
                  <w:noWrap w:val="0"/>
                  <w:vAlign w:val="center"/>
                </w:tcPr>
                <w:p>
                  <w:pPr>
                    <w:spacing w:line="300" w:lineRule="exact"/>
                    <w:jc w:val="center"/>
                    <w:rPr>
                      <w:rFonts w:ascii="Times New Roman" w:hAnsi="Times New Roman"/>
                      <w:color w:val="000000"/>
                      <w:szCs w:val="21"/>
                      <w:highlight w:val="none"/>
                    </w:rPr>
                  </w:pPr>
                  <w:r>
                    <w:rPr>
                      <w:rFonts w:ascii="Times New Roman" w:hAnsi="Times New Roman"/>
                      <w:color w:val="000000"/>
                      <w:szCs w:val="21"/>
                      <w:highlight w:val="none"/>
                    </w:rPr>
                    <w:t>1</w:t>
                  </w:r>
                </w:p>
              </w:tc>
              <w:tc>
                <w:tcPr>
                  <w:tcW w:w="1155" w:type="dxa"/>
                  <w:vMerge w:val="restart"/>
                  <w:noWrap w:val="0"/>
                  <w:vAlign w:val="center"/>
                </w:tcPr>
                <w:p>
                  <w:pPr>
                    <w:spacing w:line="300" w:lineRule="exact"/>
                    <w:jc w:val="center"/>
                    <w:rPr>
                      <w:rFonts w:ascii="Times New Roman" w:hAnsi="Times New Roman"/>
                      <w:color w:val="000000"/>
                      <w:szCs w:val="21"/>
                      <w:highlight w:val="none"/>
                    </w:rPr>
                  </w:pPr>
                  <w:r>
                    <w:rPr>
                      <w:rFonts w:ascii="Times New Roman" w:hAnsi="Times New Roman"/>
                      <w:color w:val="000000"/>
                      <w:szCs w:val="21"/>
                      <w:highlight w:val="none"/>
                    </w:rPr>
                    <w:t>WS-001</w:t>
                  </w:r>
                </w:p>
              </w:tc>
              <w:tc>
                <w:tcPr>
                  <w:tcW w:w="1343" w:type="dxa"/>
                  <w:noWrap w:val="0"/>
                  <w:vAlign w:val="center"/>
                </w:tcPr>
                <w:p>
                  <w:pPr>
                    <w:pStyle w:val="79"/>
                    <w:spacing w:line="300" w:lineRule="exact"/>
                    <w:rPr>
                      <w:rFonts w:ascii="Times New Roman" w:hAnsi="Times New Roman" w:eastAsia="宋体"/>
                      <w:color w:val="000000"/>
                      <w:szCs w:val="21"/>
                      <w:highlight w:val="none"/>
                    </w:rPr>
                  </w:pPr>
                  <w:r>
                    <w:rPr>
                      <w:rFonts w:ascii="Times New Roman" w:hAnsi="Times New Roman" w:eastAsia="宋体"/>
                      <w:color w:val="000000"/>
                      <w:szCs w:val="21"/>
                      <w:highlight w:val="none"/>
                    </w:rPr>
                    <w:t>COD</w:t>
                  </w:r>
                  <w:r>
                    <w:rPr>
                      <w:rFonts w:ascii="Times New Roman" w:hAnsi="Times New Roman" w:eastAsia="宋体"/>
                      <w:color w:val="000000"/>
                      <w:szCs w:val="21"/>
                      <w:highlight w:val="none"/>
                      <w:vertAlign w:val="subscript"/>
                    </w:rPr>
                    <w:t>Cr</w:t>
                  </w:r>
                </w:p>
              </w:tc>
              <w:tc>
                <w:tcPr>
                  <w:tcW w:w="3248" w:type="dxa"/>
                  <w:vMerge w:val="restart"/>
                  <w:noWrap w:val="0"/>
                  <w:vAlign w:val="center"/>
                </w:tcPr>
                <w:p>
                  <w:pPr>
                    <w:spacing w:line="300" w:lineRule="exact"/>
                    <w:jc w:val="center"/>
                    <w:rPr>
                      <w:rFonts w:ascii="Times New Roman" w:hAnsi="Times New Roman"/>
                      <w:b/>
                      <w:color w:val="000000"/>
                      <w:szCs w:val="21"/>
                      <w:highlight w:val="none"/>
                    </w:rPr>
                  </w:pPr>
                  <w:r>
                    <w:rPr>
                      <w:rFonts w:ascii="Times New Roman" w:hAnsi="Times New Roman"/>
                      <w:color w:val="000000"/>
                      <w:szCs w:val="21"/>
                      <w:highlight w:val="none"/>
                    </w:rPr>
                    <w:t>《城镇污水处理厂污染物排放标准》（GB18918-2002）一级标准中 A 类标准</w:t>
                  </w:r>
                </w:p>
              </w:tc>
              <w:tc>
                <w:tcPr>
                  <w:tcW w:w="2404" w:type="dxa"/>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608" w:type="dxa"/>
                  <w:vMerge w:val="continue"/>
                  <w:noWrap w:val="0"/>
                  <w:vAlign w:val="center"/>
                </w:tcPr>
                <w:p>
                  <w:pPr>
                    <w:spacing w:line="300" w:lineRule="exact"/>
                    <w:jc w:val="center"/>
                    <w:rPr>
                      <w:rFonts w:ascii="Times New Roman" w:hAnsi="Times New Roman"/>
                      <w:b/>
                      <w:color w:val="000000"/>
                      <w:szCs w:val="21"/>
                      <w:highlight w:val="none"/>
                    </w:rPr>
                  </w:pPr>
                </w:p>
              </w:tc>
              <w:tc>
                <w:tcPr>
                  <w:tcW w:w="1155" w:type="dxa"/>
                  <w:vMerge w:val="continue"/>
                  <w:noWrap w:val="0"/>
                  <w:vAlign w:val="center"/>
                </w:tcPr>
                <w:p>
                  <w:pPr>
                    <w:spacing w:line="300" w:lineRule="exact"/>
                    <w:jc w:val="center"/>
                    <w:rPr>
                      <w:rFonts w:ascii="Times New Roman" w:hAnsi="Times New Roman"/>
                      <w:b/>
                      <w:color w:val="000000"/>
                      <w:szCs w:val="21"/>
                      <w:highlight w:val="none"/>
                    </w:rPr>
                  </w:pPr>
                </w:p>
              </w:tc>
              <w:tc>
                <w:tcPr>
                  <w:tcW w:w="1343" w:type="dxa"/>
                  <w:noWrap w:val="0"/>
                  <w:vAlign w:val="center"/>
                </w:tcPr>
                <w:p>
                  <w:pPr>
                    <w:adjustRightInd w:val="0"/>
                    <w:spacing w:line="300" w:lineRule="exact"/>
                    <w:jc w:val="center"/>
                    <w:rPr>
                      <w:rFonts w:ascii="Times New Roman" w:hAnsi="Times New Roman"/>
                      <w:color w:val="000000"/>
                      <w:szCs w:val="21"/>
                      <w:highlight w:val="none"/>
                    </w:rPr>
                  </w:pPr>
                  <w:r>
                    <w:rPr>
                      <w:rFonts w:ascii="Times New Roman" w:hAnsi="Times New Roman"/>
                      <w:color w:val="000000"/>
                      <w:szCs w:val="21"/>
                      <w:highlight w:val="none"/>
                    </w:rPr>
                    <w:t>BOD</w:t>
                  </w:r>
                  <w:r>
                    <w:rPr>
                      <w:rFonts w:ascii="Times New Roman" w:hAnsi="Times New Roman"/>
                      <w:color w:val="000000"/>
                      <w:szCs w:val="21"/>
                      <w:highlight w:val="none"/>
                      <w:vertAlign w:val="subscript"/>
                    </w:rPr>
                    <w:t>5</w:t>
                  </w:r>
                </w:p>
              </w:tc>
              <w:tc>
                <w:tcPr>
                  <w:tcW w:w="3248" w:type="dxa"/>
                  <w:vMerge w:val="continue"/>
                  <w:noWrap w:val="0"/>
                  <w:vAlign w:val="center"/>
                </w:tcPr>
                <w:p>
                  <w:pPr>
                    <w:spacing w:line="300" w:lineRule="exact"/>
                    <w:jc w:val="center"/>
                    <w:rPr>
                      <w:rFonts w:ascii="Times New Roman" w:hAnsi="Times New Roman"/>
                      <w:b/>
                      <w:color w:val="000000"/>
                      <w:szCs w:val="21"/>
                      <w:highlight w:val="none"/>
                    </w:rPr>
                  </w:pPr>
                </w:p>
              </w:tc>
              <w:tc>
                <w:tcPr>
                  <w:tcW w:w="2404" w:type="dxa"/>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608" w:type="dxa"/>
                  <w:vMerge w:val="continue"/>
                  <w:noWrap w:val="0"/>
                  <w:vAlign w:val="center"/>
                </w:tcPr>
                <w:p>
                  <w:pPr>
                    <w:spacing w:line="300" w:lineRule="exact"/>
                    <w:jc w:val="center"/>
                    <w:rPr>
                      <w:rFonts w:ascii="Times New Roman" w:hAnsi="Times New Roman"/>
                      <w:b/>
                      <w:color w:val="000000"/>
                      <w:szCs w:val="21"/>
                      <w:highlight w:val="none"/>
                    </w:rPr>
                  </w:pPr>
                </w:p>
              </w:tc>
              <w:tc>
                <w:tcPr>
                  <w:tcW w:w="1155" w:type="dxa"/>
                  <w:vMerge w:val="continue"/>
                  <w:noWrap w:val="0"/>
                  <w:vAlign w:val="center"/>
                </w:tcPr>
                <w:p>
                  <w:pPr>
                    <w:spacing w:line="300" w:lineRule="exact"/>
                    <w:jc w:val="center"/>
                    <w:rPr>
                      <w:rFonts w:ascii="Times New Roman" w:hAnsi="Times New Roman"/>
                      <w:b/>
                      <w:color w:val="000000"/>
                      <w:szCs w:val="21"/>
                      <w:highlight w:val="none"/>
                    </w:rPr>
                  </w:pPr>
                </w:p>
              </w:tc>
              <w:tc>
                <w:tcPr>
                  <w:tcW w:w="1343" w:type="dxa"/>
                  <w:noWrap w:val="0"/>
                  <w:vAlign w:val="center"/>
                </w:tcPr>
                <w:p>
                  <w:pPr>
                    <w:adjustRightInd w:val="0"/>
                    <w:spacing w:line="300" w:lineRule="exact"/>
                    <w:jc w:val="center"/>
                    <w:rPr>
                      <w:rFonts w:ascii="Times New Roman" w:hAnsi="Times New Roman"/>
                      <w:color w:val="000000"/>
                      <w:szCs w:val="21"/>
                      <w:highlight w:val="none"/>
                    </w:rPr>
                  </w:pPr>
                  <w:r>
                    <w:rPr>
                      <w:rFonts w:ascii="Times New Roman" w:hAnsi="Times New Roman"/>
                      <w:color w:val="000000"/>
                      <w:szCs w:val="21"/>
                      <w:highlight w:val="none"/>
                    </w:rPr>
                    <w:t>SS</w:t>
                  </w:r>
                </w:p>
              </w:tc>
              <w:tc>
                <w:tcPr>
                  <w:tcW w:w="3248" w:type="dxa"/>
                  <w:vMerge w:val="continue"/>
                  <w:noWrap w:val="0"/>
                  <w:vAlign w:val="center"/>
                </w:tcPr>
                <w:p>
                  <w:pPr>
                    <w:spacing w:line="300" w:lineRule="exact"/>
                    <w:jc w:val="center"/>
                    <w:rPr>
                      <w:rFonts w:ascii="Times New Roman" w:hAnsi="Times New Roman"/>
                      <w:b/>
                      <w:color w:val="000000"/>
                      <w:szCs w:val="21"/>
                      <w:highlight w:val="none"/>
                    </w:rPr>
                  </w:pPr>
                </w:p>
              </w:tc>
              <w:tc>
                <w:tcPr>
                  <w:tcW w:w="2404" w:type="dxa"/>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608" w:type="dxa"/>
                  <w:vMerge w:val="continue"/>
                  <w:noWrap w:val="0"/>
                  <w:vAlign w:val="center"/>
                </w:tcPr>
                <w:p>
                  <w:pPr>
                    <w:spacing w:line="300" w:lineRule="exact"/>
                    <w:jc w:val="center"/>
                    <w:rPr>
                      <w:rFonts w:ascii="Times New Roman" w:hAnsi="Times New Roman"/>
                      <w:b/>
                      <w:color w:val="000000"/>
                      <w:szCs w:val="21"/>
                      <w:highlight w:val="none"/>
                    </w:rPr>
                  </w:pPr>
                </w:p>
              </w:tc>
              <w:tc>
                <w:tcPr>
                  <w:tcW w:w="1155" w:type="dxa"/>
                  <w:vMerge w:val="continue"/>
                  <w:noWrap w:val="0"/>
                  <w:vAlign w:val="center"/>
                </w:tcPr>
                <w:p>
                  <w:pPr>
                    <w:spacing w:line="300" w:lineRule="exact"/>
                    <w:jc w:val="center"/>
                    <w:rPr>
                      <w:rFonts w:ascii="Times New Roman" w:hAnsi="Times New Roman"/>
                      <w:b/>
                      <w:color w:val="000000"/>
                      <w:szCs w:val="21"/>
                      <w:highlight w:val="none"/>
                    </w:rPr>
                  </w:pPr>
                </w:p>
              </w:tc>
              <w:tc>
                <w:tcPr>
                  <w:tcW w:w="1343" w:type="dxa"/>
                  <w:noWrap w:val="0"/>
                  <w:vAlign w:val="center"/>
                </w:tcPr>
                <w:p>
                  <w:pPr>
                    <w:pStyle w:val="79"/>
                    <w:spacing w:line="300" w:lineRule="exact"/>
                    <w:rPr>
                      <w:rFonts w:ascii="Times New Roman" w:hAnsi="Times New Roman" w:eastAsia="宋体"/>
                      <w:color w:val="000000"/>
                      <w:szCs w:val="21"/>
                      <w:highlight w:val="none"/>
                    </w:rPr>
                  </w:pPr>
                  <w:r>
                    <w:rPr>
                      <w:rFonts w:ascii="Times New Roman" w:hAnsi="Times New Roman" w:eastAsia="宋体"/>
                      <w:color w:val="000000"/>
                      <w:szCs w:val="21"/>
                      <w:highlight w:val="none"/>
                    </w:rPr>
                    <w:t>NH</w:t>
                  </w:r>
                  <w:r>
                    <w:rPr>
                      <w:rFonts w:ascii="Times New Roman" w:hAnsi="Times New Roman" w:eastAsia="宋体"/>
                      <w:color w:val="000000"/>
                      <w:szCs w:val="21"/>
                      <w:highlight w:val="none"/>
                      <w:vertAlign w:val="subscript"/>
                    </w:rPr>
                    <w:t>3</w:t>
                  </w:r>
                  <w:r>
                    <w:rPr>
                      <w:rFonts w:ascii="Times New Roman" w:hAnsi="Times New Roman" w:eastAsia="宋体"/>
                      <w:color w:val="000000"/>
                      <w:szCs w:val="21"/>
                      <w:highlight w:val="none"/>
                    </w:rPr>
                    <w:t>-N</w:t>
                  </w:r>
                </w:p>
              </w:tc>
              <w:tc>
                <w:tcPr>
                  <w:tcW w:w="3248" w:type="dxa"/>
                  <w:vMerge w:val="continue"/>
                  <w:noWrap w:val="0"/>
                  <w:vAlign w:val="center"/>
                </w:tcPr>
                <w:p>
                  <w:pPr>
                    <w:spacing w:line="300" w:lineRule="exact"/>
                    <w:jc w:val="center"/>
                    <w:rPr>
                      <w:rFonts w:ascii="Times New Roman" w:hAnsi="Times New Roman"/>
                      <w:b/>
                      <w:color w:val="000000"/>
                      <w:szCs w:val="21"/>
                      <w:highlight w:val="none"/>
                    </w:rPr>
                  </w:pPr>
                </w:p>
              </w:tc>
              <w:tc>
                <w:tcPr>
                  <w:tcW w:w="2404" w:type="dxa"/>
                  <w:noWrap w:val="0"/>
                  <w:vAlign w:val="center"/>
                </w:tcPr>
                <w:p>
                  <w:pPr>
                    <w:spacing w:line="320" w:lineRule="exact"/>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608" w:type="dxa"/>
                  <w:vMerge w:val="continue"/>
                  <w:noWrap w:val="0"/>
                  <w:vAlign w:val="center"/>
                </w:tcPr>
                <w:p>
                  <w:pPr>
                    <w:spacing w:line="300" w:lineRule="exact"/>
                    <w:jc w:val="center"/>
                    <w:rPr>
                      <w:rFonts w:ascii="Times New Roman" w:hAnsi="Times New Roman"/>
                      <w:b/>
                      <w:color w:val="000000"/>
                      <w:szCs w:val="21"/>
                      <w:highlight w:val="none"/>
                    </w:rPr>
                  </w:pPr>
                </w:p>
              </w:tc>
              <w:tc>
                <w:tcPr>
                  <w:tcW w:w="1155" w:type="dxa"/>
                  <w:vMerge w:val="continue"/>
                  <w:noWrap w:val="0"/>
                  <w:vAlign w:val="center"/>
                </w:tcPr>
                <w:p>
                  <w:pPr>
                    <w:spacing w:line="300" w:lineRule="exact"/>
                    <w:jc w:val="center"/>
                    <w:rPr>
                      <w:rFonts w:ascii="Times New Roman" w:hAnsi="Times New Roman"/>
                      <w:b/>
                      <w:color w:val="000000"/>
                      <w:szCs w:val="21"/>
                      <w:highlight w:val="none"/>
                    </w:rPr>
                  </w:pPr>
                </w:p>
              </w:tc>
              <w:tc>
                <w:tcPr>
                  <w:tcW w:w="1343" w:type="dxa"/>
                  <w:noWrap w:val="0"/>
                  <w:vAlign w:val="center"/>
                </w:tcPr>
                <w:p>
                  <w:pPr>
                    <w:pStyle w:val="79"/>
                    <w:spacing w:line="300" w:lineRule="exact"/>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六价铬</w:t>
                  </w:r>
                </w:p>
              </w:tc>
              <w:tc>
                <w:tcPr>
                  <w:tcW w:w="3248" w:type="dxa"/>
                  <w:noWrap w:val="0"/>
                  <w:vAlign w:val="center"/>
                </w:tcPr>
                <w:p>
                  <w:pPr>
                    <w:spacing w:line="300" w:lineRule="exact"/>
                    <w:jc w:val="center"/>
                    <w:rPr>
                      <w:rFonts w:ascii="Times New Roman" w:hAnsi="Times New Roman"/>
                      <w:b/>
                      <w:color w:val="000000"/>
                      <w:szCs w:val="21"/>
                      <w:highlight w:val="none"/>
                    </w:rPr>
                  </w:pPr>
                  <w:r>
                    <w:rPr>
                      <w:rFonts w:hint="eastAsia" w:ascii="Times New Roman" w:hAnsi="Times New Roman"/>
                      <w:b w:val="0"/>
                      <w:bCs/>
                      <w:color w:val="000000"/>
                      <w:szCs w:val="21"/>
                      <w:highlight w:val="none"/>
                    </w:rPr>
                    <w:t>《城镇污水处理厂污染物排放标准》（GB18918-2002）表2中最高允许排放浓度</w:t>
                  </w:r>
                </w:p>
              </w:tc>
              <w:tc>
                <w:tcPr>
                  <w:tcW w:w="2404" w:type="dxa"/>
                  <w:noWrap w:val="0"/>
                  <w:vAlign w:val="center"/>
                </w:tcPr>
                <w:p>
                  <w:pPr>
                    <w:spacing w:line="32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8758" w:type="dxa"/>
                  <w:gridSpan w:val="5"/>
                  <w:noWrap w:val="0"/>
                  <w:vAlign w:val="top"/>
                </w:tcPr>
                <w:p>
                  <w:pPr>
                    <w:spacing w:line="300" w:lineRule="exact"/>
                    <w:rPr>
                      <w:rFonts w:ascii="Times New Roman" w:hAnsi="Times New Roman"/>
                      <w:b/>
                      <w:color w:val="000000"/>
                      <w:sz w:val="18"/>
                      <w:szCs w:val="18"/>
                      <w:highlight w:val="none"/>
                    </w:rPr>
                  </w:pPr>
                  <w:r>
                    <w:rPr>
                      <w:rFonts w:ascii="Times New Roman" w:hAnsi="Times New Roman"/>
                      <w:color w:val="000000"/>
                      <w:sz w:val="18"/>
                      <w:szCs w:val="18"/>
                      <w:highlight w:val="none"/>
                      <w:vertAlign w:val="superscript"/>
                    </w:rPr>
                    <w:t>a</w:t>
                  </w:r>
                  <w:r>
                    <w:rPr>
                      <w:rFonts w:ascii="Times New Roman" w:hAnsi="Times New Roman"/>
                      <w:color w:val="000000"/>
                      <w:sz w:val="18"/>
                      <w:szCs w:val="18"/>
                      <w:highlight w:val="none"/>
                    </w:rPr>
                    <w:t>指对应排放口须执行的国家或地方污染物排放标准以及其他按规定商定建设项目水污染物排放控制要求的协议，据此确定的排放浓度限值。</w:t>
                  </w:r>
                </w:p>
              </w:tc>
            </w:tr>
          </w:tbl>
          <w:p>
            <w:pPr>
              <w:spacing w:line="360" w:lineRule="auto"/>
              <w:jc w:val="center"/>
              <w:rPr>
                <w:rFonts w:ascii="Times New Roman" w:hAnsi="Times New Roman"/>
                <w:b/>
                <w:color w:val="000000"/>
                <w:sz w:val="24"/>
                <w:highlight w:val="none"/>
              </w:rPr>
            </w:pPr>
          </w:p>
          <w:p>
            <w:pPr>
              <w:spacing w:line="360" w:lineRule="auto"/>
              <w:jc w:val="center"/>
              <w:rPr>
                <w:rFonts w:ascii="Times New Roman" w:hAnsi="Times New Roman"/>
                <w:b/>
                <w:color w:val="000000"/>
                <w:sz w:val="24"/>
                <w:highlight w:val="none"/>
              </w:rPr>
            </w:pPr>
            <w:r>
              <w:rPr>
                <w:rFonts w:ascii="Times New Roman" w:hAnsi="Times New Roman"/>
                <w:b/>
                <w:color w:val="000000"/>
                <w:sz w:val="24"/>
                <w:highlight w:val="none"/>
              </w:rPr>
              <w:t>表7-</w:t>
            </w:r>
            <w:r>
              <w:rPr>
                <w:rFonts w:hint="eastAsia" w:ascii="Times New Roman" w:hAnsi="Times New Roman"/>
                <w:b/>
                <w:color w:val="000000"/>
                <w:sz w:val="24"/>
                <w:highlight w:val="none"/>
                <w:lang w:val="en-US" w:eastAsia="zh-CN"/>
              </w:rPr>
              <w:t>7</w:t>
            </w:r>
            <w:r>
              <w:rPr>
                <w:rFonts w:ascii="Times New Roman" w:hAnsi="Times New Roman"/>
                <w:b/>
                <w:color w:val="000000"/>
                <w:sz w:val="24"/>
                <w:highlight w:val="none"/>
              </w:rPr>
              <w:t xml:space="preserve">  废水污染物排放信息表（新建项目）</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1558"/>
              <w:gridCol w:w="1497"/>
              <w:gridCol w:w="1226"/>
              <w:gridCol w:w="1943"/>
              <w:gridCol w:w="1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624" w:type="dxa"/>
                  <w:noWrap w:val="0"/>
                  <w:vAlign w:val="center"/>
                </w:tcPr>
                <w:p>
                  <w:pPr>
                    <w:spacing w:line="320" w:lineRule="exact"/>
                    <w:jc w:val="center"/>
                    <w:rPr>
                      <w:rFonts w:ascii="Times New Roman" w:hAnsi="Times New Roman"/>
                      <w:b/>
                      <w:color w:val="000000"/>
                      <w:szCs w:val="21"/>
                      <w:highlight w:val="none"/>
                    </w:rPr>
                  </w:pPr>
                  <w:r>
                    <w:rPr>
                      <w:rFonts w:ascii="Times New Roman" w:hAnsi="Times New Roman"/>
                      <w:b/>
                      <w:color w:val="000000"/>
                      <w:szCs w:val="21"/>
                      <w:highlight w:val="none"/>
                    </w:rPr>
                    <w:t>序号</w:t>
                  </w:r>
                </w:p>
              </w:tc>
              <w:tc>
                <w:tcPr>
                  <w:tcW w:w="1558" w:type="dxa"/>
                  <w:noWrap w:val="0"/>
                  <w:vAlign w:val="center"/>
                </w:tcPr>
                <w:p>
                  <w:pPr>
                    <w:spacing w:line="320" w:lineRule="exact"/>
                    <w:jc w:val="center"/>
                    <w:rPr>
                      <w:rFonts w:ascii="Times New Roman" w:hAnsi="Times New Roman"/>
                      <w:b/>
                      <w:color w:val="000000"/>
                      <w:szCs w:val="21"/>
                      <w:highlight w:val="none"/>
                    </w:rPr>
                  </w:pPr>
                  <w:r>
                    <w:rPr>
                      <w:rFonts w:ascii="Times New Roman" w:hAnsi="Times New Roman"/>
                      <w:b/>
                      <w:color w:val="000000"/>
                      <w:szCs w:val="21"/>
                      <w:highlight w:val="none"/>
                    </w:rPr>
                    <w:t>排放口编号</w:t>
                  </w:r>
                </w:p>
              </w:tc>
              <w:tc>
                <w:tcPr>
                  <w:tcW w:w="1497" w:type="dxa"/>
                  <w:noWrap w:val="0"/>
                  <w:vAlign w:val="center"/>
                </w:tcPr>
                <w:p>
                  <w:pPr>
                    <w:spacing w:line="320" w:lineRule="exact"/>
                    <w:jc w:val="center"/>
                    <w:rPr>
                      <w:rFonts w:ascii="Times New Roman" w:hAnsi="Times New Roman"/>
                      <w:b/>
                      <w:color w:val="000000"/>
                      <w:szCs w:val="21"/>
                      <w:highlight w:val="none"/>
                    </w:rPr>
                  </w:pPr>
                  <w:r>
                    <w:rPr>
                      <w:rFonts w:ascii="Times New Roman" w:hAnsi="Times New Roman"/>
                      <w:b/>
                      <w:color w:val="000000"/>
                      <w:szCs w:val="21"/>
                      <w:highlight w:val="none"/>
                    </w:rPr>
                    <w:t>污染物种类</w:t>
                  </w:r>
                </w:p>
              </w:tc>
              <w:tc>
                <w:tcPr>
                  <w:tcW w:w="1226" w:type="dxa"/>
                  <w:noWrap w:val="0"/>
                  <w:vAlign w:val="center"/>
                </w:tcPr>
                <w:p>
                  <w:pPr>
                    <w:spacing w:line="320" w:lineRule="exact"/>
                    <w:jc w:val="center"/>
                    <w:rPr>
                      <w:rFonts w:ascii="Times New Roman" w:hAnsi="Times New Roman"/>
                      <w:b/>
                      <w:color w:val="000000"/>
                      <w:szCs w:val="21"/>
                      <w:highlight w:val="none"/>
                    </w:rPr>
                  </w:pPr>
                  <w:r>
                    <w:rPr>
                      <w:rFonts w:ascii="Times New Roman" w:hAnsi="Times New Roman"/>
                      <w:b/>
                      <w:color w:val="000000"/>
                      <w:szCs w:val="21"/>
                      <w:highlight w:val="none"/>
                    </w:rPr>
                    <w:t>排放浓度（mg/L）</w:t>
                  </w:r>
                </w:p>
              </w:tc>
              <w:tc>
                <w:tcPr>
                  <w:tcW w:w="1943" w:type="dxa"/>
                  <w:noWrap w:val="0"/>
                  <w:vAlign w:val="center"/>
                </w:tcPr>
                <w:p>
                  <w:pPr>
                    <w:spacing w:line="320" w:lineRule="exact"/>
                    <w:jc w:val="center"/>
                    <w:rPr>
                      <w:rFonts w:ascii="Times New Roman" w:hAnsi="Times New Roman"/>
                      <w:b/>
                      <w:color w:val="000000"/>
                      <w:szCs w:val="21"/>
                      <w:highlight w:val="none"/>
                    </w:rPr>
                  </w:pPr>
                  <w:r>
                    <w:rPr>
                      <w:rFonts w:ascii="Times New Roman" w:hAnsi="Times New Roman"/>
                      <w:b/>
                      <w:color w:val="000000"/>
                      <w:szCs w:val="21"/>
                      <w:highlight w:val="none"/>
                    </w:rPr>
                    <w:t>日排放量/（t/d）</w:t>
                  </w:r>
                </w:p>
              </w:tc>
              <w:tc>
                <w:tcPr>
                  <w:tcW w:w="1931" w:type="dxa"/>
                  <w:noWrap w:val="0"/>
                  <w:vAlign w:val="center"/>
                </w:tcPr>
                <w:p>
                  <w:pPr>
                    <w:spacing w:line="320" w:lineRule="exact"/>
                    <w:jc w:val="center"/>
                    <w:rPr>
                      <w:rFonts w:ascii="Times New Roman" w:hAnsi="Times New Roman"/>
                      <w:b/>
                      <w:color w:val="000000"/>
                      <w:szCs w:val="21"/>
                      <w:highlight w:val="none"/>
                    </w:rPr>
                  </w:pPr>
                  <w:r>
                    <w:rPr>
                      <w:rFonts w:ascii="Times New Roman" w:hAnsi="Times New Roman"/>
                      <w:b/>
                      <w:color w:val="000000"/>
                      <w:szCs w:val="21"/>
                      <w:highlight w:val="none"/>
                    </w:rPr>
                    <w:t>年排放量/（t/a）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624" w:type="dxa"/>
                  <w:vMerge w:val="restart"/>
                  <w:noWrap w:val="0"/>
                  <w:vAlign w:val="center"/>
                </w:tcPr>
                <w:p>
                  <w:pPr>
                    <w:adjustRightInd w:val="0"/>
                    <w:spacing w:line="320" w:lineRule="exact"/>
                    <w:jc w:val="center"/>
                    <w:rPr>
                      <w:rFonts w:ascii="Times New Roman" w:hAnsi="Times New Roman"/>
                      <w:color w:val="000000"/>
                      <w:szCs w:val="21"/>
                      <w:highlight w:val="none"/>
                    </w:rPr>
                  </w:pPr>
                  <w:r>
                    <w:rPr>
                      <w:rFonts w:ascii="Times New Roman" w:hAnsi="Times New Roman"/>
                      <w:color w:val="000000"/>
                      <w:szCs w:val="21"/>
                      <w:highlight w:val="none"/>
                    </w:rPr>
                    <w:t>1</w:t>
                  </w:r>
                </w:p>
              </w:tc>
              <w:tc>
                <w:tcPr>
                  <w:tcW w:w="1558" w:type="dxa"/>
                  <w:vMerge w:val="restart"/>
                  <w:noWrap w:val="0"/>
                  <w:vAlign w:val="center"/>
                </w:tcPr>
                <w:p>
                  <w:pPr>
                    <w:adjustRightInd w:val="0"/>
                    <w:spacing w:line="320" w:lineRule="exact"/>
                    <w:jc w:val="center"/>
                    <w:rPr>
                      <w:rFonts w:ascii="Times New Roman" w:hAnsi="Times New Roman"/>
                      <w:color w:val="000000"/>
                      <w:szCs w:val="21"/>
                      <w:highlight w:val="none"/>
                    </w:rPr>
                  </w:pPr>
                  <w:r>
                    <w:rPr>
                      <w:rFonts w:ascii="Times New Roman" w:hAnsi="Times New Roman"/>
                      <w:color w:val="000000"/>
                      <w:szCs w:val="21"/>
                      <w:highlight w:val="none"/>
                    </w:rPr>
                    <w:t>WS- 001</w:t>
                  </w:r>
                </w:p>
              </w:tc>
              <w:tc>
                <w:tcPr>
                  <w:tcW w:w="1497" w:type="dxa"/>
                  <w:noWrap w:val="0"/>
                  <w:vAlign w:val="center"/>
                </w:tcPr>
                <w:p>
                  <w:pPr>
                    <w:pStyle w:val="94"/>
                    <w:spacing w:before="53" w:line="240" w:lineRule="atLeast"/>
                    <w:jc w:val="center"/>
                    <w:rPr>
                      <w:rFonts w:ascii="Times New Roman" w:hAnsi="Times New Roman"/>
                      <w:color w:val="000000"/>
                      <w:sz w:val="21"/>
                      <w:szCs w:val="21"/>
                      <w:highlight w:val="none"/>
                      <w:lang w:eastAsia="zh-CN"/>
                    </w:rPr>
                  </w:pPr>
                  <w:r>
                    <w:rPr>
                      <w:rFonts w:ascii="Times New Roman" w:hAnsi="Times New Roman"/>
                      <w:color w:val="000000"/>
                      <w:sz w:val="21"/>
                      <w:szCs w:val="21"/>
                      <w:highlight w:val="none"/>
                      <w:lang w:eastAsia="zh-CN"/>
                    </w:rPr>
                    <w:t>COD</w:t>
                  </w:r>
                </w:p>
              </w:tc>
              <w:tc>
                <w:tcPr>
                  <w:tcW w:w="1226" w:type="dxa"/>
                  <w:noWrap w:val="0"/>
                  <w:vAlign w:val="center"/>
                </w:tcPr>
                <w:p>
                  <w:pPr>
                    <w:widowControl/>
                    <w:jc w:val="center"/>
                    <w:textAlignment w:val="center"/>
                    <w:rPr>
                      <w:rFonts w:ascii="Times New Roman" w:hAnsi="Times New Roman"/>
                      <w:color w:val="000000"/>
                      <w:szCs w:val="21"/>
                      <w:highlight w:val="none"/>
                    </w:rPr>
                  </w:pPr>
                  <w:r>
                    <w:rPr>
                      <w:rFonts w:hint="eastAsia" w:ascii="Times New Roman" w:hAnsi="Times New Roman"/>
                      <w:kern w:val="0"/>
                      <w:szCs w:val="21"/>
                      <w:highlight w:val="none"/>
                      <w:lang w:val="en-US" w:eastAsia="zh-CN" w:bidi="ar"/>
                    </w:rPr>
                    <w:t>32</w:t>
                  </w:r>
                  <w:r>
                    <w:rPr>
                      <w:rFonts w:ascii="Times New Roman" w:hAnsi="Times New Roman"/>
                      <w:kern w:val="0"/>
                      <w:szCs w:val="21"/>
                      <w:highlight w:val="none"/>
                      <w:lang w:bidi="ar"/>
                    </w:rPr>
                    <w:t>0</w:t>
                  </w:r>
                </w:p>
              </w:tc>
              <w:tc>
                <w:tcPr>
                  <w:tcW w:w="1943" w:type="dxa"/>
                  <w:noWrap w:val="0"/>
                  <w:vAlign w:val="center"/>
                </w:tcPr>
                <w:p>
                  <w:pPr>
                    <w:widowControl/>
                    <w:jc w:val="center"/>
                    <w:textAlignment w:val="center"/>
                    <w:rPr>
                      <w:rFonts w:hint="eastAsia" w:ascii="Times New Roman" w:hAnsi="Times New Roman" w:eastAsia="宋体" w:cs="Times New Roman"/>
                      <w:kern w:val="0"/>
                      <w:szCs w:val="21"/>
                      <w:highlight w:val="none"/>
                      <w:lang w:val="en-US" w:eastAsia="zh-CN" w:bidi="ar"/>
                    </w:rPr>
                  </w:pPr>
                  <w:r>
                    <w:rPr>
                      <w:rFonts w:hint="eastAsia" w:ascii="Times New Roman" w:hAnsi="Times New Roman" w:eastAsia="宋体" w:cs="Times New Roman"/>
                      <w:kern w:val="0"/>
                      <w:szCs w:val="21"/>
                      <w:highlight w:val="none"/>
                      <w:lang w:val="en-US" w:eastAsia="zh-CN" w:bidi="ar"/>
                    </w:rPr>
                    <w:t>0.001128</w:t>
                  </w:r>
                </w:p>
              </w:tc>
              <w:tc>
                <w:tcPr>
                  <w:tcW w:w="1931"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kern w:val="0"/>
                      <w:szCs w:val="21"/>
                      <w:highlight w:val="none"/>
                      <w:lang w:val="en-US" w:eastAsia="zh-CN" w:bidi="ar"/>
                    </w:rPr>
                    <w:t>0.3384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624" w:type="dxa"/>
                  <w:vMerge w:val="continue"/>
                  <w:noWrap w:val="0"/>
                  <w:vAlign w:val="center"/>
                </w:tcPr>
                <w:p>
                  <w:pPr>
                    <w:adjustRightInd w:val="0"/>
                    <w:spacing w:line="320" w:lineRule="exact"/>
                    <w:jc w:val="center"/>
                    <w:rPr>
                      <w:rFonts w:ascii="Times New Roman" w:hAnsi="Times New Roman"/>
                      <w:color w:val="000000"/>
                      <w:szCs w:val="21"/>
                      <w:highlight w:val="none"/>
                    </w:rPr>
                  </w:pPr>
                </w:p>
              </w:tc>
              <w:tc>
                <w:tcPr>
                  <w:tcW w:w="1558" w:type="dxa"/>
                  <w:vMerge w:val="continue"/>
                  <w:noWrap w:val="0"/>
                  <w:vAlign w:val="center"/>
                </w:tcPr>
                <w:p>
                  <w:pPr>
                    <w:adjustRightInd w:val="0"/>
                    <w:spacing w:line="320" w:lineRule="exact"/>
                    <w:jc w:val="center"/>
                    <w:rPr>
                      <w:rFonts w:ascii="Times New Roman" w:hAnsi="Times New Roman"/>
                      <w:color w:val="000000"/>
                      <w:szCs w:val="21"/>
                      <w:highlight w:val="none"/>
                    </w:rPr>
                  </w:pPr>
                </w:p>
              </w:tc>
              <w:tc>
                <w:tcPr>
                  <w:tcW w:w="1497" w:type="dxa"/>
                  <w:noWrap w:val="0"/>
                  <w:vAlign w:val="center"/>
                </w:tcPr>
                <w:p>
                  <w:pPr>
                    <w:pStyle w:val="94"/>
                    <w:spacing w:before="53" w:line="240" w:lineRule="atLeast"/>
                    <w:jc w:val="center"/>
                    <w:rPr>
                      <w:rFonts w:ascii="Times New Roman" w:hAnsi="Times New Roman"/>
                      <w:color w:val="000000"/>
                      <w:sz w:val="21"/>
                      <w:szCs w:val="21"/>
                      <w:highlight w:val="none"/>
                      <w:vertAlign w:val="subscript"/>
                      <w:lang w:eastAsia="zh-CN"/>
                    </w:rPr>
                  </w:pPr>
                  <w:r>
                    <w:rPr>
                      <w:rFonts w:ascii="Times New Roman" w:hAnsi="Times New Roman"/>
                      <w:color w:val="000000"/>
                      <w:sz w:val="21"/>
                      <w:szCs w:val="21"/>
                      <w:highlight w:val="none"/>
                      <w:lang w:eastAsia="zh-CN"/>
                    </w:rPr>
                    <w:t>SS</w:t>
                  </w:r>
                </w:p>
              </w:tc>
              <w:tc>
                <w:tcPr>
                  <w:tcW w:w="1226" w:type="dxa"/>
                  <w:noWrap w:val="0"/>
                  <w:vAlign w:val="center"/>
                </w:tcPr>
                <w:p>
                  <w:pPr>
                    <w:widowControl/>
                    <w:jc w:val="center"/>
                    <w:textAlignment w:val="center"/>
                    <w:rPr>
                      <w:rFonts w:ascii="Times New Roman" w:hAnsi="Times New Roman"/>
                      <w:color w:val="000000"/>
                      <w:szCs w:val="21"/>
                      <w:highlight w:val="none"/>
                    </w:rPr>
                  </w:pPr>
                  <w:r>
                    <w:rPr>
                      <w:rFonts w:ascii="Times New Roman" w:hAnsi="Times New Roman"/>
                      <w:kern w:val="0"/>
                      <w:szCs w:val="21"/>
                      <w:highlight w:val="none"/>
                      <w:lang w:bidi="ar"/>
                    </w:rPr>
                    <w:t>160</w:t>
                  </w:r>
                </w:p>
              </w:tc>
              <w:tc>
                <w:tcPr>
                  <w:tcW w:w="1943" w:type="dxa"/>
                  <w:noWrap w:val="0"/>
                  <w:vAlign w:val="center"/>
                </w:tcPr>
                <w:p>
                  <w:pPr>
                    <w:widowControl/>
                    <w:jc w:val="center"/>
                    <w:textAlignment w:val="center"/>
                    <w:rPr>
                      <w:rFonts w:hint="eastAsia" w:ascii="Times New Roman" w:hAnsi="Times New Roman" w:eastAsia="宋体" w:cs="Times New Roman"/>
                      <w:kern w:val="0"/>
                      <w:szCs w:val="21"/>
                      <w:highlight w:val="none"/>
                      <w:lang w:val="en-US" w:eastAsia="zh-CN" w:bidi="ar"/>
                    </w:rPr>
                  </w:pPr>
                  <w:r>
                    <w:rPr>
                      <w:rFonts w:hint="eastAsia" w:ascii="Times New Roman" w:hAnsi="Times New Roman" w:eastAsia="宋体" w:cs="Times New Roman"/>
                      <w:kern w:val="0"/>
                      <w:szCs w:val="21"/>
                      <w:highlight w:val="none"/>
                      <w:lang w:val="en-US" w:eastAsia="zh-CN" w:bidi="ar"/>
                    </w:rPr>
                    <w:t>0.000501333</w:t>
                  </w:r>
                </w:p>
              </w:tc>
              <w:tc>
                <w:tcPr>
                  <w:tcW w:w="1931"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kern w:val="0"/>
                      <w:szCs w:val="21"/>
                      <w:highlight w:val="none"/>
                      <w:lang w:val="en-US" w:eastAsia="zh-CN" w:bidi="ar"/>
                    </w:rPr>
                    <w:t>0.1504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624" w:type="dxa"/>
                  <w:vMerge w:val="continue"/>
                  <w:noWrap w:val="0"/>
                  <w:vAlign w:val="center"/>
                </w:tcPr>
                <w:p>
                  <w:pPr>
                    <w:adjustRightInd w:val="0"/>
                    <w:spacing w:line="320" w:lineRule="exact"/>
                    <w:jc w:val="center"/>
                    <w:rPr>
                      <w:rFonts w:ascii="Times New Roman" w:hAnsi="Times New Roman"/>
                      <w:color w:val="000000"/>
                      <w:szCs w:val="21"/>
                      <w:highlight w:val="none"/>
                    </w:rPr>
                  </w:pPr>
                </w:p>
              </w:tc>
              <w:tc>
                <w:tcPr>
                  <w:tcW w:w="1558" w:type="dxa"/>
                  <w:vMerge w:val="continue"/>
                  <w:noWrap w:val="0"/>
                  <w:vAlign w:val="center"/>
                </w:tcPr>
                <w:p>
                  <w:pPr>
                    <w:adjustRightInd w:val="0"/>
                    <w:spacing w:line="320" w:lineRule="exact"/>
                    <w:jc w:val="center"/>
                    <w:rPr>
                      <w:rFonts w:ascii="Times New Roman" w:hAnsi="Times New Roman"/>
                      <w:color w:val="000000"/>
                      <w:szCs w:val="21"/>
                      <w:highlight w:val="none"/>
                    </w:rPr>
                  </w:pPr>
                </w:p>
              </w:tc>
              <w:tc>
                <w:tcPr>
                  <w:tcW w:w="1497" w:type="dxa"/>
                  <w:noWrap w:val="0"/>
                  <w:vAlign w:val="center"/>
                </w:tcPr>
                <w:p>
                  <w:pPr>
                    <w:pStyle w:val="94"/>
                    <w:spacing w:before="53" w:line="240" w:lineRule="atLeast"/>
                    <w:jc w:val="center"/>
                    <w:rPr>
                      <w:rFonts w:ascii="Times New Roman" w:hAnsi="Times New Roman"/>
                      <w:color w:val="000000"/>
                      <w:sz w:val="21"/>
                      <w:szCs w:val="21"/>
                      <w:highlight w:val="none"/>
                      <w:lang w:eastAsia="zh-CN"/>
                    </w:rPr>
                  </w:pPr>
                  <w:r>
                    <w:rPr>
                      <w:rFonts w:ascii="Times New Roman" w:hAnsi="Times New Roman"/>
                      <w:color w:val="000000"/>
                      <w:sz w:val="21"/>
                      <w:szCs w:val="21"/>
                      <w:highlight w:val="none"/>
                      <w:lang w:eastAsia="zh-CN"/>
                    </w:rPr>
                    <w:t>氨氮</w:t>
                  </w:r>
                </w:p>
              </w:tc>
              <w:tc>
                <w:tcPr>
                  <w:tcW w:w="1226" w:type="dxa"/>
                  <w:noWrap w:val="0"/>
                  <w:vAlign w:val="center"/>
                </w:tcPr>
                <w:p>
                  <w:pPr>
                    <w:widowControl/>
                    <w:jc w:val="center"/>
                    <w:textAlignment w:val="center"/>
                    <w:rPr>
                      <w:rFonts w:ascii="Times New Roman" w:hAnsi="Times New Roman"/>
                      <w:color w:val="000000"/>
                      <w:szCs w:val="21"/>
                      <w:highlight w:val="none"/>
                    </w:rPr>
                  </w:pPr>
                  <w:r>
                    <w:rPr>
                      <w:rFonts w:hint="eastAsia" w:ascii="Times New Roman" w:hAnsi="Times New Roman"/>
                      <w:kern w:val="0"/>
                      <w:szCs w:val="21"/>
                      <w:highlight w:val="none"/>
                      <w:lang w:val="en-US" w:eastAsia="zh-CN" w:bidi="ar"/>
                    </w:rPr>
                    <w:t>3</w:t>
                  </w:r>
                  <w:r>
                    <w:rPr>
                      <w:rFonts w:ascii="Times New Roman" w:hAnsi="Times New Roman"/>
                      <w:kern w:val="0"/>
                      <w:szCs w:val="21"/>
                      <w:highlight w:val="none"/>
                      <w:lang w:bidi="ar"/>
                    </w:rPr>
                    <w:t>5</w:t>
                  </w:r>
                </w:p>
              </w:tc>
              <w:tc>
                <w:tcPr>
                  <w:tcW w:w="1943" w:type="dxa"/>
                  <w:noWrap w:val="0"/>
                  <w:vAlign w:val="center"/>
                </w:tcPr>
                <w:p>
                  <w:pPr>
                    <w:widowControl/>
                    <w:jc w:val="center"/>
                    <w:textAlignment w:val="center"/>
                    <w:rPr>
                      <w:rFonts w:hint="eastAsia" w:ascii="Times New Roman" w:hAnsi="Times New Roman" w:eastAsia="宋体" w:cs="Times New Roman"/>
                      <w:kern w:val="0"/>
                      <w:szCs w:val="21"/>
                      <w:highlight w:val="none"/>
                      <w:lang w:val="en-US" w:eastAsia="zh-CN" w:bidi="ar"/>
                    </w:rPr>
                  </w:pPr>
                  <w:r>
                    <w:rPr>
                      <w:rFonts w:hint="eastAsia" w:ascii="Times New Roman" w:hAnsi="Times New Roman" w:eastAsia="宋体" w:cs="Times New Roman"/>
                      <w:kern w:val="0"/>
                      <w:szCs w:val="21"/>
                      <w:highlight w:val="none"/>
                      <w:lang w:val="en-US" w:eastAsia="zh-CN" w:bidi="ar"/>
                    </w:rPr>
                    <w:t>0.000109667</w:t>
                  </w:r>
                </w:p>
              </w:tc>
              <w:tc>
                <w:tcPr>
                  <w:tcW w:w="1931"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kern w:val="0"/>
                      <w:szCs w:val="21"/>
                      <w:highlight w:val="none"/>
                      <w:lang w:val="en-US" w:eastAsia="zh-CN" w:bidi="ar"/>
                    </w:rPr>
                    <w:t>0.0329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624" w:type="dxa"/>
                  <w:vMerge w:val="continue"/>
                  <w:noWrap w:val="0"/>
                  <w:vAlign w:val="center"/>
                </w:tcPr>
                <w:p>
                  <w:pPr>
                    <w:adjustRightInd w:val="0"/>
                    <w:spacing w:line="320" w:lineRule="exact"/>
                    <w:jc w:val="center"/>
                    <w:rPr>
                      <w:rFonts w:ascii="Times New Roman" w:hAnsi="Times New Roman"/>
                      <w:color w:val="000000"/>
                      <w:szCs w:val="21"/>
                      <w:highlight w:val="none"/>
                    </w:rPr>
                  </w:pPr>
                </w:p>
              </w:tc>
              <w:tc>
                <w:tcPr>
                  <w:tcW w:w="1558" w:type="dxa"/>
                  <w:vMerge w:val="continue"/>
                  <w:noWrap w:val="0"/>
                  <w:vAlign w:val="center"/>
                </w:tcPr>
                <w:p>
                  <w:pPr>
                    <w:adjustRightInd w:val="0"/>
                    <w:spacing w:line="320" w:lineRule="exact"/>
                    <w:jc w:val="center"/>
                    <w:rPr>
                      <w:rFonts w:ascii="Times New Roman" w:hAnsi="Times New Roman"/>
                      <w:color w:val="000000"/>
                      <w:szCs w:val="21"/>
                      <w:highlight w:val="none"/>
                    </w:rPr>
                  </w:pPr>
                </w:p>
              </w:tc>
              <w:tc>
                <w:tcPr>
                  <w:tcW w:w="1497" w:type="dxa"/>
                  <w:noWrap w:val="0"/>
                  <w:vAlign w:val="center"/>
                </w:tcPr>
                <w:p>
                  <w:pPr>
                    <w:pStyle w:val="94"/>
                    <w:spacing w:before="53" w:line="240" w:lineRule="atLeast"/>
                    <w:jc w:val="center"/>
                    <w:rPr>
                      <w:rFonts w:ascii="Times New Roman" w:hAnsi="Times New Roman"/>
                      <w:color w:val="000000"/>
                      <w:sz w:val="21"/>
                      <w:szCs w:val="21"/>
                      <w:highlight w:val="none"/>
                      <w:lang w:eastAsia="zh-CN"/>
                    </w:rPr>
                  </w:pPr>
                  <w:r>
                    <w:rPr>
                      <w:rFonts w:ascii="Times New Roman" w:hAnsi="Times New Roman"/>
                      <w:color w:val="000000"/>
                      <w:sz w:val="21"/>
                      <w:szCs w:val="21"/>
                      <w:highlight w:val="none"/>
                      <w:lang w:eastAsia="zh-CN"/>
                    </w:rPr>
                    <w:t>BOD</w:t>
                  </w:r>
                  <w:r>
                    <w:rPr>
                      <w:rFonts w:ascii="Times New Roman" w:hAnsi="Times New Roman"/>
                      <w:color w:val="000000"/>
                      <w:sz w:val="21"/>
                      <w:szCs w:val="21"/>
                      <w:highlight w:val="none"/>
                      <w:vertAlign w:val="subscript"/>
                      <w:lang w:eastAsia="zh-CN"/>
                    </w:rPr>
                    <w:t>5</w:t>
                  </w:r>
                </w:p>
              </w:tc>
              <w:tc>
                <w:tcPr>
                  <w:tcW w:w="1226" w:type="dxa"/>
                  <w:noWrap w:val="0"/>
                  <w:vAlign w:val="center"/>
                </w:tcPr>
                <w:p>
                  <w:pPr>
                    <w:widowControl/>
                    <w:jc w:val="center"/>
                    <w:textAlignment w:val="center"/>
                    <w:rPr>
                      <w:rFonts w:ascii="Times New Roman" w:hAnsi="Times New Roman"/>
                      <w:color w:val="000000"/>
                      <w:szCs w:val="21"/>
                      <w:highlight w:val="none"/>
                    </w:rPr>
                  </w:pPr>
                  <w:r>
                    <w:rPr>
                      <w:rFonts w:ascii="Times New Roman" w:hAnsi="Times New Roman"/>
                      <w:kern w:val="0"/>
                      <w:szCs w:val="21"/>
                      <w:highlight w:val="none"/>
                      <w:lang w:bidi="ar"/>
                    </w:rPr>
                    <w:t>225</w:t>
                  </w:r>
                </w:p>
              </w:tc>
              <w:tc>
                <w:tcPr>
                  <w:tcW w:w="1943" w:type="dxa"/>
                  <w:noWrap w:val="0"/>
                  <w:vAlign w:val="center"/>
                </w:tcPr>
                <w:p>
                  <w:pPr>
                    <w:widowControl/>
                    <w:jc w:val="center"/>
                    <w:textAlignment w:val="center"/>
                    <w:rPr>
                      <w:rFonts w:hint="eastAsia" w:ascii="Times New Roman" w:hAnsi="Times New Roman" w:eastAsia="宋体" w:cs="Times New Roman"/>
                      <w:kern w:val="0"/>
                      <w:szCs w:val="21"/>
                      <w:highlight w:val="none"/>
                      <w:lang w:val="en-US" w:eastAsia="zh-CN" w:bidi="ar"/>
                    </w:rPr>
                  </w:pPr>
                  <w:r>
                    <w:rPr>
                      <w:rFonts w:hint="eastAsia" w:ascii="Times New Roman" w:hAnsi="Times New Roman" w:eastAsia="宋体" w:cs="Times New Roman"/>
                      <w:kern w:val="0"/>
                      <w:szCs w:val="21"/>
                      <w:highlight w:val="none"/>
                      <w:lang w:val="en-US" w:eastAsia="zh-CN" w:bidi="ar"/>
                    </w:rPr>
                    <w:t>0.000705</w:t>
                  </w:r>
                </w:p>
              </w:tc>
              <w:tc>
                <w:tcPr>
                  <w:tcW w:w="1931"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kern w:val="0"/>
                      <w:szCs w:val="21"/>
                      <w:highlight w:val="none"/>
                      <w:lang w:val="en-US" w:eastAsia="zh-CN" w:bidi="ar"/>
                    </w:rPr>
                    <w:t>0.2115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624" w:type="dxa"/>
                  <w:vMerge w:val="restart"/>
                  <w:noWrap w:val="0"/>
                  <w:vAlign w:val="center"/>
                </w:tcPr>
                <w:p>
                  <w:pPr>
                    <w:adjustRightInd w:val="0"/>
                    <w:spacing w:line="320" w:lineRule="exac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2</w:t>
                  </w:r>
                </w:p>
              </w:tc>
              <w:tc>
                <w:tcPr>
                  <w:tcW w:w="1558" w:type="dxa"/>
                  <w:vMerge w:val="restart"/>
                  <w:noWrap w:val="0"/>
                  <w:vAlign w:val="center"/>
                </w:tcPr>
                <w:p>
                  <w:pPr>
                    <w:adjustRightInd w:val="0"/>
                    <w:spacing w:line="320" w:lineRule="exact"/>
                    <w:jc w:val="center"/>
                    <w:rPr>
                      <w:rFonts w:ascii="Times New Roman" w:hAnsi="Times New Roman"/>
                      <w:color w:val="000000"/>
                      <w:szCs w:val="21"/>
                      <w:highlight w:val="none"/>
                    </w:rPr>
                  </w:pPr>
                  <w:r>
                    <w:rPr>
                      <w:rFonts w:ascii="Times New Roman" w:hAnsi="Times New Roman"/>
                      <w:color w:val="000000"/>
                      <w:szCs w:val="21"/>
                      <w:highlight w:val="none"/>
                    </w:rPr>
                    <w:t>WS- 001</w:t>
                  </w:r>
                </w:p>
              </w:tc>
              <w:tc>
                <w:tcPr>
                  <w:tcW w:w="1497" w:type="dxa"/>
                  <w:noWrap w:val="0"/>
                  <w:vAlign w:val="center"/>
                </w:tcPr>
                <w:p>
                  <w:pPr>
                    <w:pStyle w:val="94"/>
                    <w:spacing w:before="53" w:line="240" w:lineRule="atLeast"/>
                    <w:jc w:val="center"/>
                    <w:rPr>
                      <w:rFonts w:hint="default" w:ascii="Times New Roman" w:hAnsi="Times New Roman"/>
                      <w:color w:val="000000"/>
                      <w:sz w:val="21"/>
                      <w:szCs w:val="21"/>
                      <w:highlight w:val="none"/>
                      <w:lang w:val="en-US" w:eastAsia="zh-CN"/>
                    </w:rPr>
                  </w:pPr>
                  <w:r>
                    <w:rPr>
                      <w:rFonts w:hint="eastAsia" w:ascii="Times New Roman" w:hAnsi="Times New Roman"/>
                      <w:color w:val="000000"/>
                      <w:sz w:val="21"/>
                      <w:szCs w:val="21"/>
                      <w:highlight w:val="none"/>
                      <w:lang w:val="en-US" w:eastAsia="zh-CN"/>
                    </w:rPr>
                    <w:t>COD</w:t>
                  </w:r>
                </w:p>
              </w:tc>
              <w:tc>
                <w:tcPr>
                  <w:tcW w:w="1226"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kern w:val="0"/>
                      <w:szCs w:val="21"/>
                      <w:highlight w:val="none"/>
                      <w:lang w:val="en-US" w:eastAsia="zh-CN" w:bidi="ar"/>
                    </w:rPr>
                    <w:t>350</w:t>
                  </w:r>
                </w:p>
              </w:tc>
              <w:tc>
                <w:tcPr>
                  <w:tcW w:w="1943" w:type="dxa"/>
                  <w:noWrap w:val="0"/>
                  <w:vAlign w:val="center"/>
                </w:tcPr>
                <w:p>
                  <w:pPr>
                    <w:widowControl/>
                    <w:jc w:val="center"/>
                    <w:textAlignment w:val="center"/>
                    <w:rPr>
                      <w:rFonts w:hint="eastAsia" w:ascii="Times New Roman" w:hAnsi="Times New Roman" w:eastAsia="宋体" w:cs="Times New Roman"/>
                      <w:kern w:val="0"/>
                      <w:szCs w:val="21"/>
                      <w:highlight w:val="none"/>
                      <w:lang w:val="en-US" w:eastAsia="zh-CN" w:bidi="ar"/>
                    </w:rPr>
                  </w:pPr>
                  <w:r>
                    <w:rPr>
                      <w:rFonts w:hint="eastAsia" w:ascii="Times New Roman" w:hAnsi="Times New Roman" w:eastAsia="宋体" w:cs="Times New Roman"/>
                      <w:kern w:val="0"/>
                      <w:szCs w:val="21"/>
                      <w:highlight w:val="none"/>
                      <w:lang w:val="en-US" w:eastAsia="zh-CN" w:bidi="ar"/>
                    </w:rPr>
                    <w:t>0.023676667</w:t>
                  </w:r>
                </w:p>
              </w:tc>
              <w:tc>
                <w:tcPr>
                  <w:tcW w:w="1931"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color w:val="auto"/>
                      <w:szCs w:val="21"/>
                      <w:lang w:val="en-US" w:eastAsia="zh-CN"/>
                    </w:rPr>
                    <w:t>7.103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624" w:type="dxa"/>
                  <w:vMerge w:val="continue"/>
                  <w:noWrap w:val="0"/>
                  <w:vAlign w:val="center"/>
                </w:tcPr>
                <w:p>
                  <w:pPr>
                    <w:adjustRightInd w:val="0"/>
                    <w:spacing w:line="320" w:lineRule="exact"/>
                    <w:jc w:val="center"/>
                    <w:rPr>
                      <w:rFonts w:ascii="Times New Roman" w:hAnsi="Times New Roman"/>
                      <w:color w:val="000000"/>
                      <w:szCs w:val="21"/>
                      <w:highlight w:val="none"/>
                    </w:rPr>
                  </w:pPr>
                </w:p>
              </w:tc>
              <w:tc>
                <w:tcPr>
                  <w:tcW w:w="1558" w:type="dxa"/>
                  <w:vMerge w:val="continue"/>
                  <w:noWrap w:val="0"/>
                  <w:vAlign w:val="center"/>
                </w:tcPr>
                <w:p>
                  <w:pPr>
                    <w:adjustRightInd w:val="0"/>
                    <w:spacing w:line="320" w:lineRule="exact"/>
                    <w:jc w:val="center"/>
                    <w:rPr>
                      <w:rFonts w:ascii="Times New Roman" w:hAnsi="Times New Roman"/>
                      <w:color w:val="000000"/>
                      <w:szCs w:val="21"/>
                      <w:highlight w:val="none"/>
                    </w:rPr>
                  </w:pPr>
                </w:p>
              </w:tc>
              <w:tc>
                <w:tcPr>
                  <w:tcW w:w="1497" w:type="dxa"/>
                  <w:noWrap w:val="0"/>
                  <w:vAlign w:val="center"/>
                </w:tcPr>
                <w:p>
                  <w:pPr>
                    <w:pStyle w:val="94"/>
                    <w:spacing w:before="53" w:line="240" w:lineRule="atLeast"/>
                    <w:jc w:val="center"/>
                    <w:rPr>
                      <w:rFonts w:hint="default" w:ascii="Times New Roman" w:hAnsi="Times New Roman"/>
                      <w:color w:val="000000"/>
                      <w:sz w:val="21"/>
                      <w:szCs w:val="21"/>
                      <w:highlight w:val="none"/>
                      <w:lang w:val="en-US" w:eastAsia="zh-CN"/>
                    </w:rPr>
                  </w:pPr>
                  <w:r>
                    <w:rPr>
                      <w:rFonts w:hint="eastAsia" w:ascii="Times New Roman" w:hAnsi="Times New Roman"/>
                      <w:color w:val="000000"/>
                      <w:sz w:val="21"/>
                      <w:szCs w:val="21"/>
                      <w:highlight w:val="none"/>
                      <w:lang w:val="en-US" w:eastAsia="zh-CN"/>
                    </w:rPr>
                    <w:t>SS</w:t>
                  </w:r>
                </w:p>
              </w:tc>
              <w:tc>
                <w:tcPr>
                  <w:tcW w:w="1226"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kern w:val="0"/>
                      <w:szCs w:val="21"/>
                      <w:highlight w:val="none"/>
                      <w:lang w:val="en-US" w:eastAsia="zh-CN" w:bidi="ar"/>
                    </w:rPr>
                    <w:t>260</w:t>
                  </w:r>
                </w:p>
              </w:tc>
              <w:tc>
                <w:tcPr>
                  <w:tcW w:w="1943" w:type="dxa"/>
                  <w:noWrap w:val="0"/>
                  <w:vAlign w:val="center"/>
                </w:tcPr>
                <w:p>
                  <w:pPr>
                    <w:widowControl/>
                    <w:jc w:val="center"/>
                    <w:textAlignment w:val="center"/>
                    <w:rPr>
                      <w:rFonts w:hint="eastAsia" w:ascii="Times New Roman" w:hAnsi="Times New Roman" w:eastAsia="宋体" w:cs="Times New Roman"/>
                      <w:kern w:val="0"/>
                      <w:szCs w:val="21"/>
                      <w:highlight w:val="none"/>
                      <w:lang w:val="en-US" w:eastAsia="zh-CN" w:bidi="ar"/>
                    </w:rPr>
                  </w:pPr>
                  <w:r>
                    <w:rPr>
                      <w:rFonts w:hint="eastAsia" w:ascii="Times New Roman" w:hAnsi="Times New Roman" w:eastAsia="宋体" w:cs="Times New Roman"/>
                      <w:kern w:val="0"/>
                      <w:szCs w:val="21"/>
                      <w:highlight w:val="none"/>
                      <w:lang w:val="en-US" w:eastAsia="zh-CN" w:bidi="ar"/>
                    </w:rPr>
                    <w:t>0.01759</w:t>
                  </w:r>
                </w:p>
              </w:tc>
              <w:tc>
                <w:tcPr>
                  <w:tcW w:w="1931"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cs="Times New Roman"/>
                      <w:kern w:val="0"/>
                      <w:szCs w:val="21"/>
                      <w:highlight w:val="none"/>
                      <w:lang w:val="en-US" w:eastAsia="zh-CN" w:bidi="ar"/>
                    </w:rPr>
                    <w:t>5.277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624" w:type="dxa"/>
                  <w:vMerge w:val="continue"/>
                  <w:noWrap w:val="0"/>
                  <w:vAlign w:val="center"/>
                </w:tcPr>
                <w:p>
                  <w:pPr>
                    <w:adjustRightInd w:val="0"/>
                    <w:spacing w:line="320" w:lineRule="exact"/>
                    <w:jc w:val="center"/>
                    <w:rPr>
                      <w:rFonts w:ascii="Times New Roman" w:hAnsi="Times New Roman"/>
                      <w:color w:val="000000"/>
                      <w:szCs w:val="21"/>
                      <w:highlight w:val="none"/>
                    </w:rPr>
                  </w:pPr>
                </w:p>
              </w:tc>
              <w:tc>
                <w:tcPr>
                  <w:tcW w:w="1558" w:type="dxa"/>
                  <w:vMerge w:val="continue"/>
                  <w:noWrap w:val="0"/>
                  <w:vAlign w:val="center"/>
                </w:tcPr>
                <w:p>
                  <w:pPr>
                    <w:adjustRightInd w:val="0"/>
                    <w:spacing w:line="320" w:lineRule="exact"/>
                    <w:jc w:val="center"/>
                    <w:rPr>
                      <w:rFonts w:ascii="Times New Roman" w:hAnsi="Times New Roman"/>
                      <w:color w:val="000000"/>
                      <w:szCs w:val="21"/>
                      <w:highlight w:val="none"/>
                    </w:rPr>
                  </w:pPr>
                </w:p>
              </w:tc>
              <w:tc>
                <w:tcPr>
                  <w:tcW w:w="1497" w:type="dxa"/>
                  <w:noWrap w:val="0"/>
                  <w:vAlign w:val="center"/>
                </w:tcPr>
                <w:p>
                  <w:pPr>
                    <w:pStyle w:val="94"/>
                    <w:spacing w:before="53" w:line="240" w:lineRule="atLeast"/>
                    <w:jc w:val="center"/>
                    <w:rPr>
                      <w:rFonts w:hint="default" w:ascii="Times New Roman" w:hAnsi="Times New Roman"/>
                      <w:color w:val="000000"/>
                      <w:sz w:val="21"/>
                      <w:szCs w:val="21"/>
                      <w:highlight w:val="none"/>
                      <w:lang w:val="en-US" w:eastAsia="zh-CN"/>
                    </w:rPr>
                  </w:pPr>
                  <w:r>
                    <w:rPr>
                      <w:rFonts w:hint="eastAsia" w:ascii="Times New Roman" w:hAnsi="Times New Roman"/>
                      <w:color w:val="000000"/>
                      <w:sz w:val="21"/>
                      <w:szCs w:val="21"/>
                      <w:highlight w:val="none"/>
                      <w:lang w:val="en-US" w:eastAsia="zh-CN"/>
                    </w:rPr>
                    <w:t>六价铬</w:t>
                  </w:r>
                </w:p>
              </w:tc>
              <w:tc>
                <w:tcPr>
                  <w:tcW w:w="1226" w:type="dxa"/>
                  <w:noWrap w:val="0"/>
                  <w:vAlign w:val="center"/>
                </w:tcPr>
                <w:p>
                  <w:pPr>
                    <w:widowControl/>
                    <w:jc w:val="center"/>
                    <w:textAlignment w:val="center"/>
                    <w:rPr>
                      <w:rFonts w:ascii="Times New Roman" w:hAnsi="Times New Roman"/>
                      <w:color w:val="000000"/>
                      <w:kern w:val="0"/>
                      <w:szCs w:val="21"/>
                      <w:highlight w:val="none"/>
                      <w:lang w:bidi="ar"/>
                    </w:rPr>
                  </w:pPr>
                  <w:r>
                    <w:rPr>
                      <w:rFonts w:hint="eastAsia" w:ascii="Times New Roman" w:hAnsi="Times New Roman"/>
                      <w:kern w:val="0"/>
                      <w:szCs w:val="21"/>
                      <w:highlight w:val="none"/>
                      <w:lang w:val="en-US" w:eastAsia="zh-CN" w:bidi="ar"/>
                    </w:rPr>
                    <w:t>0.1</w:t>
                  </w:r>
                </w:p>
              </w:tc>
              <w:tc>
                <w:tcPr>
                  <w:tcW w:w="1943" w:type="dxa"/>
                  <w:noWrap w:val="0"/>
                  <w:vAlign w:val="center"/>
                </w:tcPr>
                <w:p>
                  <w:pPr>
                    <w:widowControl/>
                    <w:jc w:val="center"/>
                    <w:textAlignment w:val="center"/>
                    <w:rPr>
                      <w:rFonts w:hint="eastAsia" w:ascii="Times New Roman" w:hAnsi="Times New Roman" w:eastAsia="宋体" w:cs="Times New Roman"/>
                      <w:kern w:val="0"/>
                      <w:szCs w:val="21"/>
                      <w:highlight w:val="none"/>
                      <w:lang w:val="en-US" w:eastAsia="zh-CN" w:bidi="ar"/>
                    </w:rPr>
                  </w:pPr>
                  <w:r>
                    <w:rPr>
                      <w:rFonts w:hint="eastAsia" w:ascii="Times New Roman" w:hAnsi="Times New Roman" w:eastAsia="宋体" w:cs="Times New Roman"/>
                      <w:kern w:val="0"/>
                      <w:szCs w:val="21"/>
                      <w:highlight w:val="none"/>
                      <w:lang w:val="en-US" w:eastAsia="zh-CN" w:bidi="ar"/>
                    </w:rPr>
                    <w:t>6.66667E-05</w:t>
                  </w:r>
                </w:p>
              </w:tc>
              <w:tc>
                <w:tcPr>
                  <w:tcW w:w="1931"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cs="Times New Roman"/>
                      <w:kern w:val="0"/>
                      <w:szCs w:val="21"/>
                      <w:highlight w:val="none"/>
                      <w:lang w:val="en-US" w:eastAsia="zh-CN"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624" w:type="dxa"/>
                  <w:vMerge w:val="continue"/>
                  <w:noWrap w:val="0"/>
                  <w:vAlign w:val="center"/>
                </w:tcPr>
                <w:p>
                  <w:pPr>
                    <w:adjustRightInd w:val="0"/>
                    <w:spacing w:line="320" w:lineRule="exact"/>
                    <w:jc w:val="center"/>
                    <w:rPr>
                      <w:rFonts w:ascii="Times New Roman" w:hAnsi="Times New Roman"/>
                      <w:color w:val="000000"/>
                      <w:szCs w:val="21"/>
                      <w:highlight w:val="none"/>
                    </w:rPr>
                  </w:pPr>
                </w:p>
              </w:tc>
              <w:tc>
                <w:tcPr>
                  <w:tcW w:w="1558" w:type="dxa"/>
                  <w:vMerge w:val="continue"/>
                  <w:noWrap w:val="0"/>
                  <w:vAlign w:val="center"/>
                </w:tcPr>
                <w:p>
                  <w:pPr>
                    <w:adjustRightInd w:val="0"/>
                    <w:spacing w:line="320" w:lineRule="exact"/>
                    <w:jc w:val="center"/>
                    <w:rPr>
                      <w:rFonts w:ascii="Times New Roman" w:hAnsi="Times New Roman"/>
                      <w:color w:val="000000"/>
                      <w:szCs w:val="21"/>
                      <w:highlight w:val="none"/>
                    </w:rPr>
                  </w:pPr>
                </w:p>
              </w:tc>
              <w:tc>
                <w:tcPr>
                  <w:tcW w:w="1497" w:type="dxa"/>
                  <w:noWrap w:val="0"/>
                  <w:vAlign w:val="center"/>
                </w:tcPr>
                <w:p>
                  <w:pPr>
                    <w:pStyle w:val="94"/>
                    <w:spacing w:before="53" w:line="240" w:lineRule="atLeast"/>
                    <w:jc w:val="center"/>
                    <w:rPr>
                      <w:rFonts w:hint="default" w:ascii="Times New Roman" w:hAnsi="Times New Roman"/>
                      <w:color w:val="000000"/>
                      <w:sz w:val="21"/>
                      <w:szCs w:val="21"/>
                      <w:highlight w:val="none"/>
                      <w:lang w:val="en-US" w:eastAsia="zh-CN"/>
                    </w:rPr>
                  </w:pPr>
                  <w:r>
                    <w:rPr>
                      <w:rFonts w:hint="eastAsia" w:ascii="Times New Roman" w:hAnsi="Times New Roman"/>
                      <w:color w:val="000000"/>
                      <w:sz w:val="21"/>
                      <w:szCs w:val="21"/>
                      <w:highlight w:val="none"/>
                      <w:lang w:val="en-US" w:eastAsia="zh-CN"/>
                    </w:rPr>
                    <w:t>总石油烃</w:t>
                  </w:r>
                </w:p>
              </w:tc>
              <w:tc>
                <w:tcPr>
                  <w:tcW w:w="1226"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kern w:val="0"/>
                      <w:szCs w:val="21"/>
                      <w:highlight w:val="none"/>
                      <w:lang w:val="en-US" w:eastAsia="zh-CN" w:bidi="ar"/>
                    </w:rPr>
                    <w:t>0.2</w:t>
                  </w:r>
                </w:p>
              </w:tc>
              <w:tc>
                <w:tcPr>
                  <w:tcW w:w="1943" w:type="dxa"/>
                  <w:noWrap w:val="0"/>
                  <w:vAlign w:val="center"/>
                </w:tcPr>
                <w:p>
                  <w:pPr>
                    <w:widowControl/>
                    <w:jc w:val="center"/>
                    <w:textAlignment w:val="center"/>
                    <w:rPr>
                      <w:rFonts w:hint="eastAsia" w:ascii="Times New Roman" w:hAnsi="Times New Roman" w:eastAsia="宋体" w:cs="Times New Roman"/>
                      <w:kern w:val="0"/>
                      <w:szCs w:val="21"/>
                      <w:highlight w:val="none"/>
                      <w:lang w:val="en-US" w:eastAsia="zh-CN" w:bidi="ar"/>
                    </w:rPr>
                  </w:pPr>
                  <w:r>
                    <w:rPr>
                      <w:rFonts w:hint="eastAsia" w:ascii="Times New Roman" w:hAnsi="Times New Roman" w:eastAsia="宋体" w:cs="Times New Roman"/>
                      <w:kern w:val="0"/>
                      <w:szCs w:val="21"/>
                      <w:highlight w:val="none"/>
                      <w:lang w:val="en-US" w:eastAsia="zh-CN" w:bidi="ar"/>
                    </w:rPr>
                    <w:t>0.000133333</w:t>
                  </w:r>
                </w:p>
              </w:tc>
              <w:tc>
                <w:tcPr>
                  <w:tcW w:w="1931"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cs="Times New Roman"/>
                      <w:kern w:val="0"/>
                      <w:szCs w:val="21"/>
                      <w:highlight w:val="none"/>
                      <w:lang w:val="en-US" w:eastAsia="zh-CN" w:bidi="ar"/>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2182" w:type="dxa"/>
                  <w:gridSpan w:val="2"/>
                  <w:vMerge w:val="restart"/>
                  <w:noWrap w:val="0"/>
                  <w:vAlign w:val="center"/>
                </w:tcPr>
                <w:p>
                  <w:pPr>
                    <w:spacing w:line="320" w:lineRule="exact"/>
                    <w:jc w:val="center"/>
                    <w:rPr>
                      <w:rFonts w:ascii="Times New Roman" w:hAnsi="Times New Roman"/>
                      <w:color w:val="000000"/>
                      <w:szCs w:val="21"/>
                      <w:highlight w:val="none"/>
                    </w:rPr>
                  </w:pPr>
                  <w:r>
                    <w:rPr>
                      <w:rFonts w:ascii="Times New Roman" w:hAnsi="Times New Roman"/>
                      <w:color w:val="000000"/>
                      <w:szCs w:val="21"/>
                      <w:highlight w:val="none"/>
                    </w:rPr>
                    <w:t>全厂排放口合计</w:t>
                  </w:r>
                </w:p>
              </w:tc>
              <w:tc>
                <w:tcPr>
                  <w:tcW w:w="4666" w:type="dxa"/>
                  <w:gridSpan w:val="3"/>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cs="Times New Roman"/>
                      <w:color w:val="000000"/>
                      <w:kern w:val="0"/>
                      <w:szCs w:val="21"/>
                      <w:highlight w:val="none"/>
                      <w:lang w:val="en-US" w:eastAsia="zh-CN"/>
                    </w:rPr>
                    <w:t>COD</w:t>
                  </w:r>
                </w:p>
              </w:tc>
              <w:tc>
                <w:tcPr>
                  <w:tcW w:w="1931" w:type="dxa"/>
                  <w:noWrap w:val="0"/>
                  <w:vAlign w:val="center"/>
                </w:tcPr>
                <w:p>
                  <w:pPr>
                    <w:widowControl/>
                    <w:jc w:val="center"/>
                    <w:textAlignment w:val="center"/>
                    <w:rPr>
                      <w:rFonts w:hint="eastAsia" w:ascii="Times New Roman" w:hAnsi="Times New Roman" w:eastAsia="宋体" w:cs="Times New Roman"/>
                      <w:kern w:val="0"/>
                      <w:szCs w:val="21"/>
                      <w:highlight w:val="none"/>
                      <w:lang w:val="en-US" w:eastAsia="zh-CN" w:bidi="ar"/>
                    </w:rPr>
                  </w:pPr>
                  <w:r>
                    <w:rPr>
                      <w:rFonts w:hint="eastAsia" w:ascii="Times New Roman" w:hAnsi="Times New Roman" w:eastAsia="宋体" w:cs="Times New Roman"/>
                      <w:kern w:val="0"/>
                      <w:szCs w:val="21"/>
                      <w:highlight w:val="none"/>
                      <w:lang w:val="en-US" w:eastAsia="zh-CN" w:bidi="ar"/>
                    </w:rPr>
                    <w:t>7.4414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2182" w:type="dxa"/>
                  <w:gridSpan w:val="2"/>
                  <w:vMerge w:val="continue"/>
                  <w:noWrap w:val="0"/>
                  <w:vAlign w:val="center"/>
                </w:tcPr>
                <w:p>
                  <w:pPr>
                    <w:spacing w:line="320" w:lineRule="exact"/>
                    <w:jc w:val="center"/>
                    <w:rPr>
                      <w:rFonts w:ascii="Times New Roman" w:hAnsi="Times New Roman"/>
                      <w:color w:val="000000"/>
                      <w:szCs w:val="21"/>
                      <w:highlight w:val="none"/>
                    </w:rPr>
                  </w:pPr>
                </w:p>
              </w:tc>
              <w:tc>
                <w:tcPr>
                  <w:tcW w:w="4666" w:type="dxa"/>
                  <w:gridSpan w:val="3"/>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cs="Times New Roman"/>
                      <w:color w:val="000000"/>
                      <w:kern w:val="0"/>
                      <w:szCs w:val="21"/>
                      <w:highlight w:val="none"/>
                      <w:lang w:val="en-US" w:eastAsia="zh-CN"/>
                    </w:rPr>
                    <w:t>SS</w:t>
                  </w:r>
                </w:p>
              </w:tc>
              <w:tc>
                <w:tcPr>
                  <w:tcW w:w="1931" w:type="dxa"/>
                  <w:noWrap w:val="0"/>
                  <w:vAlign w:val="center"/>
                </w:tcPr>
                <w:p>
                  <w:pPr>
                    <w:widowControl/>
                    <w:jc w:val="center"/>
                    <w:textAlignment w:val="center"/>
                    <w:rPr>
                      <w:rFonts w:hint="eastAsia" w:ascii="Times New Roman" w:hAnsi="Times New Roman" w:eastAsia="宋体" w:cs="Times New Roman"/>
                      <w:kern w:val="0"/>
                      <w:szCs w:val="21"/>
                      <w:highlight w:val="none"/>
                      <w:lang w:val="en-US" w:eastAsia="zh-CN" w:bidi="ar"/>
                    </w:rPr>
                  </w:pPr>
                  <w:r>
                    <w:rPr>
                      <w:rFonts w:hint="eastAsia" w:ascii="Times New Roman" w:hAnsi="Times New Roman" w:eastAsia="宋体" w:cs="Times New Roman"/>
                      <w:kern w:val="0"/>
                      <w:szCs w:val="21"/>
                      <w:highlight w:val="none"/>
                      <w:lang w:val="en-US" w:eastAsia="zh-CN" w:bidi="ar"/>
                    </w:rPr>
                    <w:t>5.4274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2182" w:type="dxa"/>
                  <w:gridSpan w:val="2"/>
                  <w:vMerge w:val="continue"/>
                  <w:noWrap w:val="0"/>
                  <w:vAlign w:val="center"/>
                </w:tcPr>
                <w:p>
                  <w:pPr>
                    <w:spacing w:line="320" w:lineRule="exact"/>
                    <w:jc w:val="center"/>
                    <w:rPr>
                      <w:rFonts w:ascii="Times New Roman" w:hAnsi="Times New Roman"/>
                      <w:color w:val="000000"/>
                      <w:szCs w:val="21"/>
                      <w:highlight w:val="none"/>
                    </w:rPr>
                  </w:pPr>
                </w:p>
              </w:tc>
              <w:tc>
                <w:tcPr>
                  <w:tcW w:w="4666" w:type="dxa"/>
                  <w:gridSpan w:val="3"/>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cs="Times New Roman"/>
                      <w:color w:val="000000"/>
                      <w:kern w:val="0"/>
                      <w:szCs w:val="21"/>
                      <w:highlight w:val="none"/>
                      <w:lang w:val="en-US" w:eastAsia="zh-CN"/>
                    </w:rPr>
                    <w:t>氨氮</w:t>
                  </w:r>
                </w:p>
              </w:tc>
              <w:tc>
                <w:tcPr>
                  <w:tcW w:w="1931"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kern w:val="0"/>
                      <w:szCs w:val="21"/>
                      <w:highlight w:val="none"/>
                      <w:lang w:val="en-US" w:eastAsia="zh-CN" w:bidi="ar"/>
                    </w:rPr>
                    <w:t>0.0329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2182" w:type="dxa"/>
                  <w:gridSpan w:val="2"/>
                  <w:vMerge w:val="continue"/>
                  <w:noWrap w:val="0"/>
                  <w:vAlign w:val="center"/>
                </w:tcPr>
                <w:p>
                  <w:pPr>
                    <w:spacing w:line="320" w:lineRule="exact"/>
                    <w:jc w:val="center"/>
                    <w:rPr>
                      <w:rFonts w:ascii="Times New Roman" w:hAnsi="Times New Roman"/>
                      <w:color w:val="000000"/>
                      <w:szCs w:val="21"/>
                      <w:highlight w:val="none"/>
                    </w:rPr>
                  </w:pPr>
                </w:p>
              </w:tc>
              <w:tc>
                <w:tcPr>
                  <w:tcW w:w="4666" w:type="dxa"/>
                  <w:gridSpan w:val="3"/>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cs="Times New Roman"/>
                      <w:color w:val="000000"/>
                      <w:kern w:val="0"/>
                      <w:szCs w:val="21"/>
                      <w:highlight w:val="none"/>
                      <w:lang w:val="en-US" w:eastAsia="zh-CN"/>
                    </w:rPr>
                    <w:t>BOD</w:t>
                  </w:r>
                  <w:r>
                    <w:rPr>
                      <w:rFonts w:hint="eastAsia" w:ascii="Times New Roman" w:hAnsi="Times New Roman" w:cs="Times New Roman"/>
                      <w:color w:val="000000"/>
                      <w:kern w:val="0"/>
                      <w:szCs w:val="21"/>
                      <w:highlight w:val="none"/>
                      <w:vertAlign w:val="subscript"/>
                      <w:lang w:val="en-US" w:eastAsia="zh-CN"/>
                    </w:rPr>
                    <w:t>5</w:t>
                  </w:r>
                </w:p>
              </w:tc>
              <w:tc>
                <w:tcPr>
                  <w:tcW w:w="1931"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kern w:val="0"/>
                      <w:szCs w:val="21"/>
                      <w:highlight w:val="none"/>
                      <w:lang w:val="en-US" w:eastAsia="zh-CN" w:bidi="ar"/>
                    </w:rPr>
                    <w:t>0.2115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2182" w:type="dxa"/>
                  <w:gridSpan w:val="2"/>
                  <w:vMerge w:val="continue"/>
                  <w:noWrap w:val="0"/>
                  <w:vAlign w:val="center"/>
                </w:tcPr>
                <w:p>
                  <w:pPr>
                    <w:spacing w:line="320" w:lineRule="exact"/>
                    <w:jc w:val="center"/>
                    <w:rPr>
                      <w:rFonts w:ascii="Times New Roman" w:hAnsi="Times New Roman"/>
                      <w:color w:val="000000"/>
                      <w:szCs w:val="21"/>
                      <w:highlight w:val="none"/>
                    </w:rPr>
                  </w:pPr>
                </w:p>
              </w:tc>
              <w:tc>
                <w:tcPr>
                  <w:tcW w:w="4666" w:type="dxa"/>
                  <w:gridSpan w:val="3"/>
                  <w:noWrap w:val="0"/>
                  <w:vAlign w:val="center"/>
                </w:tcPr>
                <w:p>
                  <w:pPr>
                    <w:pStyle w:val="94"/>
                    <w:spacing w:before="53" w:line="240" w:lineRule="atLeast"/>
                    <w:jc w:val="center"/>
                    <w:rPr>
                      <w:rFonts w:hint="eastAsia" w:ascii="Times New Roman" w:hAnsi="Times New Roman" w:cs="Times New Roman"/>
                      <w:color w:val="000000"/>
                      <w:kern w:val="0"/>
                      <w:szCs w:val="21"/>
                      <w:highlight w:val="none"/>
                      <w:lang w:val="en-US" w:eastAsia="zh-CN"/>
                    </w:rPr>
                  </w:pPr>
                  <w:r>
                    <w:rPr>
                      <w:rFonts w:hint="eastAsia" w:ascii="Times New Roman" w:hAnsi="Times New Roman"/>
                      <w:color w:val="000000"/>
                      <w:sz w:val="21"/>
                      <w:szCs w:val="21"/>
                      <w:highlight w:val="none"/>
                      <w:lang w:val="en-US" w:eastAsia="zh-CN"/>
                    </w:rPr>
                    <w:t>六价铬</w:t>
                  </w:r>
                </w:p>
              </w:tc>
              <w:tc>
                <w:tcPr>
                  <w:tcW w:w="1931"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cs="Times New Roman"/>
                      <w:kern w:val="0"/>
                      <w:szCs w:val="21"/>
                      <w:highlight w:val="none"/>
                      <w:lang w:val="en-US" w:eastAsia="zh-CN"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2182" w:type="dxa"/>
                  <w:gridSpan w:val="2"/>
                  <w:vMerge w:val="continue"/>
                  <w:noWrap w:val="0"/>
                  <w:vAlign w:val="center"/>
                </w:tcPr>
                <w:p>
                  <w:pPr>
                    <w:spacing w:line="320" w:lineRule="exact"/>
                    <w:jc w:val="center"/>
                    <w:rPr>
                      <w:rFonts w:ascii="Times New Roman" w:hAnsi="Times New Roman"/>
                      <w:color w:val="000000"/>
                      <w:szCs w:val="21"/>
                      <w:highlight w:val="none"/>
                    </w:rPr>
                  </w:pPr>
                </w:p>
              </w:tc>
              <w:tc>
                <w:tcPr>
                  <w:tcW w:w="4666" w:type="dxa"/>
                  <w:gridSpan w:val="3"/>
                  <w:noWrap w:val="0"/>
                  <w:vAlign w:val="center"/>
                </w:tcPr>
                <w:p>
                  <w:pPr>
                    <w:pStyle w:val="94"/>
                    <w:spacing w:before="53" w:line="240" w:lineRule="atLeast"/>
                    <w:jc w:val="center"/>
                    <w:rPr>
                      <w:rFonts w:hint="eastAsia" w:ascii="Times New Roman" w:hAnsi="Times New Roman" w:cs="Times New Roman"/>
                      <w:color w:val="000000"/>
                      <w:kern w:val="0"/>
                      <w:szCs w:val="21"/>
                      <w:highlight w:val="none"/>
                      <w:lang w:val="en-US" w:eastAsia="zh-CN"/>
                    </w:rPr>
                  </w:pPr>
                  <w:r>
                    <w:rPr>
                      <w:rFonts w:hint="eastAsia" w:ascii="Times New Roman" w:hAnsi="Times New Roman"/>
                      <w:color w:val="000000"/>
                      <w:sz w:val="21"/>
                      <w:szCs w:val="21"/>
                      <w:highlight w:val="none"/>
                      <w:lang w:val="en-US" w:eastAsia="zh-CN"/>
                    </w:rPr>
                    <w:t>总石油烃</w:t>
                  </w:r>
                </w:p>
              </w:tc>
              <w:tc>
                <w:tcPr>
                  <w:tcW w:w="1931" w:type="dxa"/>
                  <w:noWrap w:val="0"/>
                  <w:vAlign w:val="center"/>
                </w:tcPr>
                <w:p>
                  <w:pPr>
                    <w:widowControl/>
                    <w:jc w:val="center"/>
                    <w:textAlignment w:val="center"/>
                    <w:rPr>
                      <w:rFonts w:hint="eastAsia" w:ascii="Times New Roman" w:hAnsi="Times New Roman" w:cs="Times New Roman"/>
                      <w:color w:val="000000"/>
                      <w:kern w:val="0"/>
                      <w:szCs w:val="21"/>
                      <w:highlight w:val="none"/>
                      <w:lang w:val="en-US" w:eastAsia="zh-CN"/>
                    </w:rPr>
                  </w:pPr>
                  <w:r>
                    <w:rPr>
                      <w:rFonts w:hint="eastAsia" w:ascii="Times New Roman" w:hAnsi="Times New Roman" w:cs="Times New Roman"/>
                      <w:kern w:val="0"/>
                      <w:szCs w:val="21"/>
                      <w:highlight w:val="none"/>
                      <w:lang w:val="en-US" w:eastAsia="zh-CN" w:bidi="ar"/>
                    </w:rPr>
                    <w:t>0.04</w:t>
                  </w:r>
                </w:p>
              </w:tc>
            </w:tr>
          </w:tbl>
          <w:p>
            <w:pPr>
              <w:spacing w:line="360" w:lineRule="auto"/>
              <w:ind w:firstLine="480" w:firstLineChars="200"/>
              <w:rPr>
                <w:rFonts w:ascii="Times New Roman" w:hAnsi="Times New Roman"/>
                <w:color w:val="000000"/>
                <w:sz w:val="24"/>
                <w:highlight w:val="none"/>
              </w:rPr>
            </w:pPr>
          </w:p>
          <w:p>
            <w:pPr>
              <w:spacing w:line="360" w:lineRule="auto"/>
              <w:jc w:val="center"/>
              <w:rPr>
                <w:rFonts w:ascii="Times New Roman" w:hAnsi="Times New Roman"/>
                <w:b/>
                <w:color w:val="000000"/>
                <w:sz w:val="24"/>
                <w:szCs w:val="24"/>
                <w:highlight w:val="none"/>
              </w:rPr>
            </w:pPr>
            <w:r>
              <w:rPr>
                <w:rFonts w:ascii="Times New Roman" w:hAnsi="Times New Roman"/>
                <w:b/>
                <w:color w:val="000000"/>
                <w:sz w:val="24"/>
                <w:szCs w:val="24"/>
                <w:highlight w:val="none"/>
              </w:rPr>
              <w:t>表7-</w:t>
            </w:r>
            <w:r>
              <w:rPr>
                <w:rFonts w:hint="eastAsia" w:ascii="Times New Roman" w:hAnsi="Times New Roman"/>
                <w:b/>
                <w:color w:val="000000"/>
                <w:sz w:val="24"/>
                <w:szCs w:val="24"/>
                <w:highlight w:val="none"/>
                <w:lang w:val="en-US" w:eastAsia="zh-CN"/>
              </w:rPr>
              <w:t>8</w:t>
            </w:r>
            <w:r>
              <w:rPr>
                <w:rFonts w:ascii="Times New Roman" w:hAnsi="Times New Roman"/>
                <w:b/>
                <w:color w:val="000000"/>
                <w:sz w:val="24"/>
                <w:szCs w:val="24"/>
                <w:highlight w:val="none"/>
              </w:rPr>
              <w:t xml:space="preserve">  地表水环境影响评价自查表</w:t>
            </w:r>
          </w:p>
          <w:tbl>
            <w:tblPr>
              <w:tblStyle w:val="27"/>
              <w:tblW w:w="0" w:type="auto"/>
              <w:jc w:val="center"/>
              <w:tblLayout w:type="fixed"/>
              <w:tblCellMar>
                <w:top w:w="0" w:type="dxa"/>
                <w:left w:w="108" w:type="dxa"/>
                <w:bottom w:w="0" w:type="dxa"/>
                <w:right w:w="108" w:type="dxa"/>
              </w:tblCellMar>
            </w:tblPr>
            <w:tblGrid>
              <w:gridCol w:w="453"/>
              <w:gridCol w:w="1592"/>
              <w:gridCol w:w="1435"/>
              <w:gridCol w:w="515"/>
              <w:gridCol w:w="78"/>
              <w:gridCol w:w="172"/>
              <w:gridCol w:w="655"/>
              <w:gridCol w:w="811"/>
              <w:gridCol w:w="515"/>
              <w:gridCol w:w="187"/>
              <w:gridCol w:w="281"/>
              <w:gridCol w:w="374"/>
              <w:gridCol w:w="593"/>
              <w:gridCol w:w="218"/>
              <w:gridCol w:w="965"/>
            </w:tblGrid>
            <w:tr>
              <w:tblPrEx>
                <w:tblCellMar>
                  <w:top w:w="0" w:type="dxa"/>
                  <w:left w:w="108" w:type="dxa"/>
                  <w:bottom w:w="0" w:type="dxa"/>
                  <w:right w:w="108" w:type="dxa"/>
                </w:tblCellMar>
              </w:tblPrEx>
              <w:trPr>
                <w:trHeight w:val="272" w:hRule="atLeast"/>
                <w:jc w:val="center"/>
              </w:trPr>
              <w:tc>
                <w:tcPr>
                  <w:tcW w:w="2045" w:type="dxa"/>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工作内容</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自查项目</w:t>
                  </w:r>
                </w:p>
              </w:tc>
            </w:tr>
            <w:tr>
              <w:tblPrEx>
                <w:tblCellMar>
                  <w:top w:w="0" w:type="dxa"/>
                  <w:left w:w="108" w:type="dxa"/>
                  <w:bottom w:w="0" w:type="dxa"/>
                  <w:right w:w="108" w:type="dxa"/>
                </w:tblCellMar>
              </w:tblPrEx>
              <w:trPr>
                <w:trHeight w:val="272" w:hRule="atLeast"/>
                <w:jc w:val="center"/>
              </w:trPr>
              <w:tc>
                <w:tcPr>
                  <w:tcW w:w="453" w:type="dxa"/>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影</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响</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识</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别</w:t>
                  </w:r>
                </w:p>
              </w:tc>
              <w:tc>
                <w:tcPr>
                  <w:tcW w:w="159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影响类型</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xml:space="preserve">水污染影响型 </w:t>
                  </w:r>
                  <w:r>
                    <w:rPr>
                      <w:rFonts w:ascii="Times New Roman" w:hAnsi="Times New Roman"/>
                      <w:color w:val="000000"/>
                      <w:kern w:val="0"/>
                      <w:szCs w:val="21"/>
                      <w:highlight w:val="none"/>
                    </w:rPr>
                    <w:sym w:font="Wingdings 2" w:char="0052"/>
                  </w:r>
                  <w:r>
                    <w:rPr>
                      <w:rFonts w:ascii="Times New Roman" w:hAnsi="Times New Roman"/>
                      <w:color w:val="000000"/>
                      <w:kern w:val="0"/>
                      <w:szCs w:val="21"/>
                      <w:highlight w:val="none"/>
                    </w:rPr>
                    <w:t>；水文要素影响型 □</w:t>
                  </w:r>
                </w:p>
              </w:tc>
            </w:tr>
            <w:tr>
              <w:tblPrEx>
                <w:tblCellMar>
                  <w:top w:w="0" w:type="dxa"/>
                  <w:left w:w="108" w:type="dxa"/>
                  <w:bottom w:w="0" w:type="dxa"/>
                  <w:right w:w="108" w:type="dxa"/>
                </w:tblCellMar>
              </w:tblPrEx>
              <w:trPr>
                <w:trHeight w:val="272"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水环境保护目标</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饮用水水源保护区□；饮用水取水口□；涉水的自然保护区□；重要湿地□；重点保护与珍稀水生生物的栖息地□；重要水生生物的自然产卵场及索饵场、越冬场和洄游通道、天然渔场等渔业水体□；涉水的风景名胜区□；其他□</w:t>
                  </w:r>
                </w:p>
              </w:tc>
            </w:tr>
            <w:tr>
              <w:tblPrEx>
                <w:tblCellMar>
                  <w:top w:w="0" w:type="dxa"/>
                  <w:left w:w="108" w:type="dxa"/>
                  <w:bottom w:w="0" w:type="dxa"/>
                  <w:right w:w="108" w:type="dxa"/>
                </w:tblCellMar>
              </w:tblPrEx>
              <w:trPr>
                <w:trHeight w:val="201"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影响途径</w:t>
                  </w: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水污染影响型</w:t>
                  </w:r>
                </w:p>
              </w:tc>
              <w:tc>
                <w:tcPr>
                  <w:tcW w:w="3133" w:type="dxa"/>
                  <w:gridSpan w:val="7"/>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水文要素影响型</w:t>
                  </w:r>
                </w:p>
              </w:tc>
            </w:tr>
            <w:tr>
              <w:tblPrEx>
                <w:tblCellMar>
                  <w:top w:w="0" w:type="dxa"/>
                  <w:left w:w="108" w:type="dxa"/>
                  <w:bottom w:w="0" w:type="dxa"/>
                  <w:right w:w="108" w:type="dxa"/>
                </w:tblCellMar>
              </w:tblPrEx>
              <w:trPr>
                <w:trHeight w:val="131"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直接排放</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；间接排放</w:t>
                  </w:r>
                  <w:r>
                    <w:rPr>
                      <w:rFonts w:ascii="Times New Roman" w:hAnsi="Times New Roman"/>
                      <w:color w:val="000000"/>
                      <w:kern w:val="0"/>
                      <w:szCs w:val="21"/>
                      <w:highlight w:val="none"/>
                    </w:rPr>
                    <w:sym w:font="Wingdings 2" w:char="0052"/>
                  </w:r>
                  <w:r>
                    <w:rPr>
                      <w:rFonts w:ascii="Times New Roman" w:hAnsi="Times New Roman"/>
                      <w:color w:val="000000"/>
                      <w:kern w:val="0"/>
                      <w:szCs w:val="21"/>
                      <w:highlight w:val="none"/>
                    </w:rPr>
                    <w:t>；其他□</w:t>
                  </w:r>
                </w:p>
              </w:tc>
              <w:tc>
                <w:tcPr>
                  <w:tcW w:w="3133" w:type="dxa"/>
                  <w:gridSpan w:val="7"/>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水温 □；径流 □；水域面积 □</w:t>
                  </w:r>
                </w:p>
              </w:tc>
            </w:tr>
            <w:tr>
              <w:tblPrEx>
                <w:tblCellMar>
                  <w:top w:w="0" w:type="dxa"/>
                  <w:left w:w="108" w:type="dxa"/>
                  <w:bottom w:w="0" w:type="dxa"/>
                  <w:right w:w="108" w:type="dxa"/>
                </w:tblCellMar>
              </w:tblPrEx>
              <w:trPr>
                <w:trHeight w:val="272"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影响因子</w:t>
                  </w: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持久性污染物</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；有毒有害污染物□；非持久性污染物</w:t>
                  </w:r>
                  <w:r>
                    <w:rPr>
                      <w:rFonts w:ascii="Times New Roman" w:hAnsi="Times New Roman"/>
                      <w:color w:val="000000"/>
                      <w:kern w:val="0"/>
                      <w:szCs w:val="21"/>
                      <w:highlight w:val="none"/>
                    </w:rPr>
                    <w:sym w:font="Wingdings 2" w:char="0052"/>
                  </w:r>
                  <w:r>
                    <w:rPr>
                      <w:rFonts w:ascii="Times New Roman" w:hAnsi="Times New Roman"/>
                      <w:color w:val="000000"/>
                      <w:kern w:val="0"/>
                      <w:szCs w:val="21"/>
                      <w:highlight w:val="none"/>
                    </w:rPr>
                    <w:t>；pH值</w:t>
                  </w:r>
                  <w:r>
                    <w:rPr>
                      <w:rFonts w:ascii="Times New Roman" w:hAnsi="Times New Roman"/>
                      <w:color w:val="000000"/>
                      <w:kern w:val="0"/>
                      <w:szCs w:val="21"/>
                      <w:highlight w:val="none"/>
                    </w:rPr>
                    <w:sym w:font="Wingdings 2" w:char="0052"/>
                  </w:r>
                  <w:r>
                    <w:rPr>
                      <w:rFonts w:ascii="Times New Roman" w:hAnsi="Times New Roman"/>
                      <w:color w:val="000000"/>
                      <w:kern w:val="0"/>
                      <w:szCs w:val="21"/>
                      <w:highlight w:val="none"/>
                    </w:rPr>
                    <w:t>；热污染□；富营养化□；其他□</w:t>
                  </w:r>
                </w:p>
              </w:tc>
              <w:tc>
                <w:tcPr>
                  <w:tcW w:w="3133" w:type="dxa"/>
                  <w:gridSpan w:val="7"/>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水温 □；水位（水深） □；流速 □；流量 □；其他 □</w:t>
                  </w:r>
                </w:p>
              </w:tc>
            </w:tr>
            <w:tr>
              <w:tblPrEx>
                <w:tblCellMar>
                  <w:top w:w="0" w:type="dxa"/>
                  <w:left w:w="108" w:type="dxa"/>
                  <w:bottom w:w="0" w:type="dxa"/>
                  <w:right w:w="108" w:type="dxa"/>
                </w:tblCellMar>
              </w:tblPrEx>
              <w:trPr>
                <w:trHeight w:val="175" w:hRule="atLeast"/>
                <w:jc w:val="center"/>
              </w:trPr>
              <w:tc>
                <w:tcPr>
                  <w:tcW w:w="2045" w:type="dxa"/>
                  <w:gridSpan w:val="2"/>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评价等级</w:t>
                  </w: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水污染影响型</w:t>
                  </w:r>
                </w:p>
              </w:tc>
              <w:tc>
                <w:tcPr>
                  <w:tcW w:w="3133" w:type="dxa"/>
                  <w:gridSpan w:val="7"/>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水文要素影响型</w:t>
                  </w:r>
                </w:p>
              </w:tc>
            </w:tr>
            <w:tr>
              <w:tblPrEx>
                <w:tblCellMar>
                  <w:top w:w="0" w:type="dxa"/>
                  <w:left w:w="108" w:type="dxa"/>
                  <w:bottom w:w="0" w:type="dxa"/>
                  <w:right w:w="108" w:type="dxa"/>
                </w:tblCellMar>
              </w:tblPrEx>
              <w:trPr>
                <w:trHeight w:val="157" w:hRule="atLeast"/>
                <w:jc w:val="center"/>
              </w:trPr>
              <w:tc>
                <w:tcPr>
                  <w:tcW w:w="2045" w:type="dxa"/>
                  <w:gridSpan w:val="2"/>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一级</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 xml:space="preserve">；二级□；三级A </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 xml:space="preserve">；三级B </w:t>
                  </w:r>
                  <w:r>
                    <w:rPr>
                      <w:rFonts w:ascii="Times New Roman" w:hAnsi="Times New Roman"/>
                      <w:color w:val="000000"/>
                      <w:kern w:val="0"/>
                      <w:szCs w:val="21"/>
                      <w:highlight w:val="none"/>
                    </w:rPr>
                    <w:sym w:font="Wingdings 2" w:char="0052"/>
                  </w:r>
                </w:p>
              </w:tc>
              <w:tc>
                <w:tcPr>
                  <w:tcW w:w="3133" w:type="dxa"/>
                  <w:gridSpan w:val="7"/>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一级 □；二级 □；三级 □</w:t>
                  </w:r>
                </w:p>
              </w:tc>
            </w:tr>
            <w:tr>
              <w:tblPrEx>
                <w:tblCellMar>
                  <w:top w:w="0" w:type="dxa"/>
                  <w:left w:w="108" w:type="dxa"/>
                  <w:bottom w:w="0" w:type="dxa"/>
                  <w:right w:w="108" w:type="dxa"/>
                </w:tblCellMar>
              </w:tblPrEx>
              <w:trPr>
                <w:trHeight w:val="157" w:hRule="atLeast"/>
                <w:jc w:val="center"/>
              </w:trPr>
              <w:tc>
                <w:tcPr>
                  <w:tcW w:w="453" w:type="dxa"/>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现</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状</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调</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查</w:t>
                  </w:r>
                </w:p>
              </w:tc>
              <w:tc>
                <w:tcPr>
                  <w:tcW w:w="1592" w:type="dxa"/>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区域污染源</w:t>
                  </w: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调查项目</w:t>
                  </w:r>
                </w:p>
              </w:tc>
              <w:tc>
                <w:tcPr>
                  <w:tcW w:w="3133" w:type="dxa"/>
                  <w:gridSpan w:val="7"/>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数据来源</w:t>
                  </w:r>
                </w:p>
              </w:tc>
            </w:tr>
            <w:tr>
              <w:tblPrEx>
                <w:tblCellMar>
                  <w:top w:w="0" w:type="dxa"/>
                  <w:left w:w="108" w:type="dxa"/>
                  <w:bottom w:w="0" w:type="dxa"/>
                  <w:right w:w="108" w:type="dxa"/>
                </w:tblCellMar>
              </w:tblPrEx>
              <w:trPr>
                <w:trHeight w:val="175"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2028" w:type="dxa"/>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已建□；在建□；拟建</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；其他□</w:t>
                  </w:r>
                </w:p>
              </w:tc>
              <w:tc>
                <w:tcPr>
                  <w:tcW w:w="1638" w:type="dxa"/>
                  <w:gridSpan w:val="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拟替代的污染源</w:t>
                  </w:r>
                  <w:r>
                    <w:rPr>
                      <w:rFonts w:ascii="Times New Roman" w:hAnsi="Times New Roman"/>
                      <w:color w:val="000000"/>
                      <w:kern w:val="0"/>
                      <w:szCs w:val="21"/>
                      <w:highlight w:val="none"/>
                    </w:rPr>
                    <w:sym w:font="Wingdings 2" w:char="00A3"/>
                  </w:r>
                </w:p>
              </w:tc>
              <w:tc>
                <w:tcPr>
                  <w:tcW w:w="3133" w:type="dxa"/>
                  <w:gridSpan w:val="7"/>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排污许可证□；环评□；环保验收□；既有实测</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；现场监测 □；入河排放口数据 □；其他 □</w:t>
                  </w:r>
                </w:p>
              </w:tc>
            </w:tr>
            <w:tr>
              <w:tblPrEx>
                <w:tblCellMar>
                  <w:top w:w="0" w:type="dxa"/>
                  <w:left w:w="108" w:type="dxa"/>
                  <w:bottom w:w="0" w:type="dxa"/>
                  <w:right w:w="108" w:type="dxa"/>
                </w:tblCellMar>
              </w:tblPrEx>
              <w:trPr>
                <w:trHeight w:val="184"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受影响水体水环境质量</w:t>
                  </w: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调查时期</w:t>
                  </w:r>
                </w:p>
              </w:tc>
              <w:tc>
                <w:tcPr>
                  <w:tcW w:w="3133" w:type="dxa"/>
                  <w:gridSpan w:val="7"/>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数据来源</w:t>
                  </w:r>
                </w:p>
              </w:tc>
            </w:tr>
            <w:tr>
              <w:tblPrEx>
                <w:tblCellMar>
                  <w:top w:w="0" w:type="dxa"/>
                  <w:left w:w="108" w:type="dxa"/>
                  <w:bottom w:w="0" w:type="dxa"/>
                  <w:right w:w="108" w:type="dxa"/>
                </w:tblCellMar>
              </w:tblPrEx>
              <w:trPr>
                <w:trHeight w:val="90"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丰水期□；平水期□；枯水期</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；冰封期□；春季□；夏季□；秋季□；冬季□</w:t>
                  </w:r>
                </w:p>
              </w:tc>
              <w:tc>
                <w:tcPr>
                  <w:tcW w:w="3133" w:type="dxa"/>
                  <w:gridSpan w:val="7"/>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生态环境保护主管部门 □；补充监测 □；其他</w:t>
                  </w:r>
                  <w:r>
                    <w:rPr>
                      <w:rFonts w:ascii="Times New Roman" w:hAnsi="Times New Roman"/>
                      <w:color w:val="000000"/>
                      <w:kern w:val="0"/>
                      <w:szCs w:val="21"/>
                      <w:highlight w:val="none"/>
                    </w:rPr>
                    <w:sym w:font="Wingdings 2" w:char="0052"/>
                  </w:r>
                </w:p>
              </w:tc>
            </w:tr>
            <w:tr>
              <w:tblPrEx>
                <w:tblCellMar>
                  <w:top w:w="0" w:type="dxa"/>
                  <w:left w:w="108" w:type="dxa"/>
                  <w:bottom w:w="0" w:type="dxa"/>
                  <w:right w:w="108" w:type="dxa"/>
                </w:tblCellMar>
              </w:tblPrEx>
              <w:trPr>
                <w:trHeight w:val="614"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区域水资源开发利用状况</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xml:space="preserve">未开发 □；开发量40%以下 </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；开发量 40%以上 □</w:t>
                  </w:r>
                </w:p>
              </w:tc>
            </w:tr>
            <w:tr>
              <w:tblPrEx>
                <w:tblCellMar>
                  <w:top w:w="0" w:type="dxa"/>
                  <w:left w:w="108" w:type="dxa"/>
                  <w:bottom w:w="0" w:type="dxa"/>
                  <w:right w:w="108" w:type="dxa"/>
                </w:tblCellMar>
              </w:tblPrEx>
              <w:trPr>
                <w:trHeight w:val="248"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restar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水文情势调查</w:t>
                  </w: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调查时期</w:t>
                  </w:r>
                </w:p>
              </w:tc>
              <w:tc>
                <w:tcPr>
                  <w:tcW w:w="3133" w:type="dxa"/>
                  <w:gridSpan w:val="7"/>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数据来源</w:t>
                  </w:r>
                </w:p>
              </w:tc>
            </w:tr>
            <w:tr>
              <w:tblPrEx>
                <w:tblCellMar>
                  <w:top w:w="0" w:type="dxa"/>
                  <w:left w:w="108" w:type="dxa"/>
                  <w:bottom w:w="0" w:type="dxa"/>
                  <w:right w:w="108" w:type="dxa"/>
                </w:tblCellMar>
              </w:tblPrEx>
              <w:trPr>
                <w:trHeight w:val="328" w:hRule="atLeast"/>
                <w:jc w:val="center"/>
              </w:trPr>
              <w:tc>
                <w:tcPr>
                  <w:tcW w:w="453"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continue"/>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丰水期□；平水期□；枯水期</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；冰封期□；春季□；夏季□；秋季□；冬季□</w:t>
                  </w:r>
                </w:p>
              </w:tc>
              <w:tc>
                <w:tcPr>
                  <w:tcW w:w="3133" w:type="dxa"/>
                  <w:gridSpan w:val="7"/>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水行政主管部门 □；补充监测 □；其他 □</w:t>
                  </w:r>
                </w:p>
              </w:tc>
            </w:tr>
            <w:tr>
              <w:tblPrEx>
                <w:tblCellMar>
                  <w:top w:w="0" w:type="dxa"/>
                  <w:left w:w="108" w:type="dxa"/>
                  <w:bottom w:w="0" w:type="dxa"/>
                  <w:right w:w="108" w:type="dxa"/>
                </w:tblCellMar>
              </w:tblPrEx>
              <w:trPr>
                <w:trHeight w:val="119" w:hRule="atLeast"/>
                <w:jc w:val="center"/>
              </w:trPr>
              <w:tc>
                <w:tcPr>
                  <w:tcW w:w="453" w:type="dxa"/>
                  <w:vMerge w:val="continue"/>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restart"/>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补充监测</w:t>
                  </w: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监测时期</w:t>
                  </w:r>
                </w:p>
              </w:tc>
              <w:tc>
                <w:tcPr>
                  <w:tcW w:w="1357" w:type="dxa"/>
                  <w:gridSpan w:val="4"/>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监测因子</w:t>
                  </w:r>
                </w:p>
              </w:tc>
              <w:tc>
                <w:tcPr>
                  <w:tcW w:w="1776" w:type="dxa"/>
                  <w:gridSpan w:val="3"/>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监测断面或点位</w:t>
                  </w:r>
                </w:p>
              </w:tc>
            </w:tr>
            <w:tr>
              <w:tblPrEx>
                <w:tblCellMar>
                  <w:top w:w="0" w:type="dxa"/>
                  <w:left w:w="108" w:type="dxa"/>
                  <w:bottom w:w="0" w:type="dxa"/>
                  <w:right w:w="108" w:type="dxa"/>
                </w:tblCellMar>
              </w:tblPrEx>
              <w:trPr>
                <w:trHeight w:val="217" w:hRule="atLeast"/>
                <w:jc w:val="center"/>
              </w:trPr>
              <w:tc>
                <w:tcPr>
                  <w:tcW w:w="453" w:type="dxa"/>
                  <w:vMerge w:val="continue"/>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continue"/>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3666" w:type="dxa"/>
                  <w:gridSpan w:val="6"/>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丰水期□；平水期□；枯水期</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；冰封期□；春季□；夏季□；秋季□；冬季□</w:t>
                  </w:r>
                </w:p>
              </w:tc>
              <w:tc>
                <w:tcPr>
                  <w:tcW w:w="1357" w:type="dxa"/>
                  <w:gridSpan w:val="4"/>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w:t>
                  </w:r>
                </w:p>
              </w:tc>
              <w:tc>
                <w:tcPr>
                  <w:tcW w:w="1776" w:type="dxa"/>
                  <w:gridSpan w:val="3"/>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监测断面或点位个数（0）个</w:t>
                  </w:r>
                </w:p>
              </w:tc>
            </w:tr>
            <w:tr>
              <w:tblPrEx>
                <w:tblCellMar>
                  <w:top w:w="0" w:type="dxa"/>
                  <w:left w:w="108" w:type="dxa"/>
                  <w:bottom w:w="0" w:type="dxa"/>
                  <w:right w:w="108" w:type="dxa"/>
                </w:tblCellMar>
              </w:tblPrEx>
              <w:trPr>
                <w:trHeight w:val="272" w:hRule="atLeast"/>
                <w:jc w:val="center"/>
              </w:trPr>
              <w:tc>
                <w:tcPr>
                  <w:tcW w:w="453" w:type="dxa"/>
                  <w:vMerge w:val="restart"/>
                  <w:tcBorders>
                    <w:top w:val="single" w:color="000000" w:sz="8" w:space="0"/>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现</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状</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评</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价</w:t>
                  </w:r>
                </w:p>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评价范围</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河流：长度（）km；湖库、河口及近岸海域：面积（ ）km</w:t>
                  </w:r>
                  <w:r>
                    <w:rPr>
                      <w:rFonts w:ascii="Times New Roman" w:hAnsi="Times New Roman"/>
                      <w:color w:val="000000"/>
                      <w:kern w:val="0"/>
                      <w:szCs w:val="21"/>
                      <w:highlight w:val="none"/>
                      <w:vertAlign w:val="superscript"/>
                    </w:rPr>
                    <w:t>2</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评价因子</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评价标准</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 xml:space="preserve">河流、湖库、河口：Ⅰ类 □；Ⅱ类 □；Ⅲ类 </w:t>
                  </w:r>
                  <w:r>
                    <w:rPr>
                      <w:rFonts w:ascii="Times New Roman" w:hAnsi="Times New Roman"/>
                      <w:color w:val="000000"/>
                      <w:kern w:val="0"/>
                      <w:szCs w:val="21"/>
                      <w:highlight w:val="none"/>
                    </w:rPr>
                    <w:sym w:font="Wingdings 2" w:char="0052"/>
                  </w:r>
                  <w:r>
                    <w:rPr>
                      <w:rFonts w:ascii="Times New Roman" w:hAnsi="Times New Roman"/>
                      <w:color w:val="000000"/>
                      <w:kern w:val="0"/>
                      <w:szCs w:val="21"/>
                      <w:highlight w:val="none"/>
                    </w:rPr>
                    <w:t xml:space="preserve">；Ⅳ类 □；Ⅴ类 </w:t>
                  </w:r>
                  <w:r>
                    <w:rPr>
                      <w:rFonts w:ascii="Times New Roman" w:hAnsi="Times New Roman"/>
                      <w:color w:val="000000"/>
                      <w:kern w:val="0"/>
                      <w:szCs w:val="21"/>
                      <w:highlight w:val="none"/>
                    </w:rPr>
                    <w:sym w:font="Wingdings 2" w:char="00A3"/>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 xml:space="preserve">近岸海域：第一类 □；第二类 □；第三类 □；第四类 </w:t>
                  </w:r>
                  <w:r>
                    <w:rPr>
                      <w:rFonts w:ascii="Times New Roman" w:hAnsi="Times New Roman"/>
                      <w:color w:val="000000"/>
                      <w:kern w:val="0"/>
                      <w:szCs w:val="21"/>
                      <w:highlight w:val="none"/>
                    </w:rPr>
                    <w:sym w:font="Wingdings 2" w:char="00A3"/>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规划年评价标准（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评价时期</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xml:space="preserve">丰水期 □；平水期 □；枯水期 </w:t>
                  </w:r>
                  <w:r>
                    <w:rPr>
                      <w:rFonts w:ascii="Times New Roman" w:hAnsi="Times New Roman"/>
                      <w:color w:val="000000"/>
                      <w:kern w:val="0"/>
                      <w:szCs w:val="21"/>
                      <w:highlight w:val="none"/>
                    </w:rPr>
                    <w:sym w:font="Wingdings 2" w:char="0052"/>
                  </w:r>
                  <w:r>
                    <w:rPr>
                      <w:rFonts w:ascii="Times New Roman" w:hAnsi="Times New Roman"/>
                      <w:color w:val="000000"/>
                      <w:kern w:val="0"/>
                      <w:szCs w:val="21"/>
                      <w:highlight w:val="none"/>
                    </w:rPr>
                    <w:t>；冰封期 □</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春季 □；夏季 □；秋季 □；冬季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评价结论</w:t>
                  </w:r>
                </w:p>
                <w:p>
                  <w:pPr>
                    <w:widowControl/>
                    <w:jc w:val="center"/>
                    <w:rPr>
                      <w:rFonts w:ascii="Times New Roman" w:hAnsi="Times New Roman"/>
                      <w:color w:val="000000"/>
                      <w:kern w:val="0"/>
                      <w:szCs w:val="21"/>
                      <w:highlight w:val="none"/>
                    </w:rPr>
                  </w:pPr>
                </w:p>
              </w:tc>
              <w:tc>
                <w:tcPr>
                  <w:tcW w:w="5834" w:type="dxa"/>
                  <w:gridSpan w:val="12"/>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水环境功能区或水功能区、近岸海域环境功能区水质达标状况</w:t>
                  </w:r>
                  <w:r>
                    <w:rPr>
                      <w:rFonts w:ascii="Times New Roman" w:hAnsi="Times New Roman"/>
                      <w:color w:val="000000"/>
                      <w:kern w:val="0"/>
                      <w:szCs w:val="21"/>
                      <w:highlight w:val="none"/>
                    </w:rPr>
                    <w:sym w:font="Wingdings 2" w:char="0052"/>
                  </w:r>
                  <w:r>
                    <w:rPr>
                      <w:rFonts w:ascii="Times New Roman" w:hAnsi="Times New Roman"/>
                      <w:color w:val="000000"/>
                      <w:kern w:val="0"/>
                      <w:szCs w:val="21"/>
                      <w:highlight w:val="none"/>
                    </w:rPr>
                    <w:t xml:space="preserve">：达标 </w:t>
                  </w:r>
                  <w:r>
                    <w:rPr>
                      <w:rFonts w:ascii="Times New Roman" w:hAnsi="Times New Roman"/>
                      <w:color w:val="000000"/>
                      <w:kern w:val="0"/>
                      <w:szCs w:val="21"/>
                      <w:highlight w:val="none"/>
                    </w:rPr>
                    <w:sym w:font="Wingdings 2" w:char="0052"/>
                  </w:r>
                  <w:r>
                    <w:rPr>
                      <w:rFonts w:ascii="Times New Roman" w:hAnsi="Times New Roman"/>
                      <w:color w:val="000000"/>
                      <w:kern w:val="0"/>
                      <w:szCs w:val="21"/>
                      <w:highlight w:val="none"/>
                    </w:rPr>
                    <w:t>；不达标 □</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水环境控制单元或断面水质达标状况</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：达标</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；不达标 □</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水环境保护目标质量状况</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：达标</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；不达标 □</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对照断面、控制断面等代表性断面的水质状况□：达标 □；不达标 □</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底泥污染评价□</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水资源与开发利用程度及其水文情势评价□</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水环境质量回顾评价□</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流域（区域）水资源（包括水能资源）与开发利用总体状况、生态流量管理要求与现状满足程度、建设项目占用水域空间的水流状况与河湖演变状况□</w:t>
                  </w:r>
                </w:p>
              </w:tc>
              <w:tc>
                <w:tcPr>
                  <w:tcW w:w="965"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达标区</w:t>
                  </w:r>
                  <w:r>
                    <w:rPr>
                      <w:rFonts w:ascii="Times New Roman" w:hAnsi="Times New Roman"/>
                      <w:color w:val="000000"/>
                      <w:kern w:val="0"/>
                      <w:szCs w:val="21"/>
                      <w:highlight w:val="none"/>
                    </w:rPr>
                    <w:sym w:font="Wingdings 2" w:char="0052"/>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不达标区□</w:t>
                  </w:r>
                </w:p>
              </w:tc>
            </w:tr>
            <w:tr>
              <w:tblPrEx>
                <w:tblCellMar>
                  <w:top w:w="0" w:type="dxa"/>
                  <w:left w:w="108" w:type="dxa"/>
                  <w:bottom w:w="0" w:type="dxa"/>
                  <w:right w:w="108" w:type="dxa"/>
                </w:tblCellMar>
              </w:tblPrEx>
              <w:trPr>
                <w:trHeight w:val="272" w:hRule="atLeast"/>
                <w:jc w:val="center"/>
              </w:trPr>
              <w:tc>
                <w:tcPr>
                  <w:tcW w:w="453" w:type="dxa"/>
                  <w:vMerge w:val="restart"/>
                  <w:tcBorders>
                    <w:top w:val="single" w:color="000000" w:sz="8" w:space="0"/>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影</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响</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预</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测</w:t>
                  </w: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预测范围</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河流：长度（）km；湖库、河口及近岸海域：面积（ ）km</w:t>
                  </w:r>
                  <w:r>
                    <w:rPr>
                      <w:rFonts w:ascii="Times New Roman" w:hAnsi="Times New Roman"/>
                      <w:color w:val="000000"/>
                      <w:kern w:val="0"/>
                      <w:szCs w:val="21"/>
                      <w:highlight w:val="none"/>
                      <w:vertAlign w:val="superscript"/>
                    </w:rPr>
                    <w:t>2</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预测因子</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预测时期</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xml:space="preserve">丰水期 □；平水期 □；枯水期 </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；冰封期 □春季 □；夏季 □；秋季 □；冬季 □设计水文条件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预测情景</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 xml:space="preserve">建设期 □；生产运行期 </w:t>
                  </w:r>
                  <w:r>
                    <w:rPr>
                      <w:rFonts w:ascii="Times New Roman" w:hAnsi="Times New Roman"/>
                      <w:color w:val="000000"/>
                      <w:kern w:val="0"/>
                      <w:szCs w:val="21"/>
                      <w:highlight w:val="none"/>
                    </w:rPr>
                    <w:sym w:font="Wingdings 2" w:char="0052"/>
                  </w:r>
                  <w:r>
                    <w:rPr>
                      <w:rFonts w:ascii="Times New Roman" w:hAnsi="Times New Roman"/>
                      <w:color w:val="000000"/>
                      <w:kern w:val="0"/>
                      <w:szCs w:val="21"/>
                      <w:highlight w:val="none"/>
                    </w:rPr>
                    <w:t>；服务期满后 □</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 xml:space="preserve">正常工况 □；非正常工况 </w:t>
                  </w:r>
                  <w:r>
                    <w:rPr>
                      <w:rFonts w:ascii="Times New Roman" w:hAnsi="Times New Roman"/>
                      <w:color w:val="000000"/>
                      <w:kern w:val="0"/>
                      <w:szCs w:val="21"/>
                      <w:highlight w:val="none"/>
                    </w:rPr>
                    <w:sym w:font="Wingdings 2" w:char="00A3"/>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污染控制和减缓措施方案 □</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区（流）域环境质量改善目标要求情景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预测方法</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数值解 □：解析解 □；其他 □</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xml:space="preserve">导则推荐模式 </w:t>
                  </w:r>
                  <w:r>
                    <w:rPr>
                      <w:rFonts w:ascii="Times New Roman" w:hAnsi="Times New Roman"/>
                      <w:color w:val="000000"/>
                      <w:kern w:val="0"/>
                      <w:szCs w:val="21"/>
                      <w:highlight w:val="none"/>
                    </w:rPr>
                    <w:sym w:font="Wingdings 2" w:char="0052"/>
                  </w:r>
                  <w:r>
                    <w:rPr>
                      <w:rFonts w:ascii="Times New Roman" w:hAnsi="Times New Roman"/>
                      <w:color w:val="000000"/>
                      <w:kern w:val="0"/>
                      <w:szCs w:val="21"/>
                      <w:highlight w:val="none"/>
                    </w:rPr>
                    <w:t>：其他 □</w:t>
                  </w:r>
                </w:p>
              </w:tc>
            </w:tr>
            <w:tr>
              <w:tblPrEx>
                <w:tblCellMar>
                  <w:top w:w="0" w:type="dxa"/>
                  <w:left w:w="108" w:type="dxa"/>
                  <w:bottom w:w="0" w:type="dxa"/>
                  <w:right w:w="108" w:type="dxa"/>
                </w:tblCellMar>
              </w:tblPrEx>
              <w:trPr>
                <w:trHeight w:val="272" w:hRule="atLeast"/>
                <w:jc w:val="center"/>
              </w:trPr>
              <w:tc>
                <w:tcPr>
                  <w:tcW w:w="453" w:type="dxa"/>
                  <w:vMerge w:val="restart"/>
                  <w:tcBorders>
                    <w:top w:val="single" w:color="000000" w:sz="8" w:space="0"/>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影</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响</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评</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价</w:t>
                  </w: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水污染控制和水环境影响减缓措施有效性评价</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xml:space="preserve">区（流）域水环境质量改善目标 </w:t>
                  </w:r>
                  <w:r>
                    <w:rPr>
                      <w:rFonts w:ascii="Times New Roman" w:hAnsi="Times New Roman"/>
                      <w:color w:val="000000"/>
                      <w:kern w:val="0"/>
                      <w:szCs w:val="21"/>
                      <w:highlight w:val="none"/>
                    </w:rPr>
                    <w:sym w:font="Wingdings 2" w:char="0052"/>
                  </w:r>
                  <w:r>
                    <w:rPr>
                      <w:rFonts w:ascii="Times New Roman" w:hAnsi="Times New Roman"/>
                      <w:color w:val="000000"/>
                      <w:kern w:val="0"/>
                      <w:szCs w:val="21"/>
                      <w:highlight w:val="none"/>
                    </w:rPr>
                    <w:t>；替代削减源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水环境影响评价</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 xml:space="preserve">排放口混合区外满足水环境管理要求 </w:t>
                  </w:r>
                  <w:r>
                    <w:rPr>
                      <w:rFonts w:ascii="Times New Roman" w:hAnsi="Times New Roman"/>
                      <w:color w:val="000000"/>
                      <w:kern w:val="0"/>
                      <w:szCs w:val="21"/>
                      <w:highlight w:val="none"/>
                    </w:rPr>
                    <w:sym w:font="Wingdings 2" w:char="0052"/>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水环境功能区或水功能区、近岸海域环境功能区水质达标 □</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满足水环境保护目标水域水环境质量要求 □</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水环境控制单元或断面水质达标 □</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满足重点水污染物排放总量控制指标要求，重点行业建设项目， 主要污染物排放满足等量或减量替代要求 □</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满足区（流）域水环境质量改善目标要求 □</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水文要素影响型建设项目同时应包括水文情势变化评价、主要水文特征值影响评价、生态流量符合性评价 □</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对于新设或调整入河（湖库、近岸海域）排放口的建设项目，应包括排放口设置的环境合理性评价 □</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满足生态保护红线、水环境质量底线、资源利用上线和环境准入清单管理要求 □</w:t>
                  </w:r>
                </w:p>
              </w:tc>
            </w:tr>
            <w:tr>
              <w:tblPrEx>
                <w:tblCellMar>
                  <w:top w:w="0" w:type="dxa"/>
                  <w:left w:w="108" w:type="dxa"/>
                  <w:bottom w:w="0" w:type="dxa"/>
                  <w:right w:w="108" w:type="dxa"/>
                </w:tblCellMar>
              </w:tblPrEx>
              <w:trPr>
                <w:trHeight w:val="245"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restart"/>
                  <w:tcBorders>
                    <w:top w:val="single" w:color="000000" w:sz="8" w:space="0"/>
                    <w:left w:val="single" w:color="auto" w:sz="4"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污染源排放量核算</w:t>
                  </w:r>
                </w:p>
              </w:tc>
              <w:tc>
                <w:tcPr>
                  <w:tcW w:w="1950" w:type="dxa"/>
                  <w:gridSpan w:val="2"/>
                  <w:tcBorders>
                    <w:top w:val="single" w:color="000000" w:sz="8" w:space="0"/>
                    <w:left w:val="single" w:color="000000" w:sz="8" w:space="0"/>
                    <w:bottom w:val="single" w:color="auto" w:sz="4"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污染物名称</w:t>
                  </w:r>
                </w:p>
              </w:tc>
              <w:tc>
                <w:tcPr>
                  <w:tcW w:w="2699" w:type="dxa"/>
                  <w:gridSpan w:val="7"/>
                  <w:tcBorders>
                    <w:top w:val="single" w:color="000000" w:sz="8" w:space="0"/>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排放量/（t/a）</w:t>
                  </w:r>
                </w:p>
              </w:tc>
              <w:tc>
                <w:tcPr>
                  <w:tcW w:w="2150" w:type="dxa"/>
                  <w:gridSpan w:val="4"/>
                  <w:tcBorders>
                    <w:top w:val="single" w:color="000000" w:sz="8" w:space="0"/>
                    <w:left w:val="single" w:color="auto" w:sz="4" w:space="0"/>
                    <w:bottom w:val="single" w:color="auto" w:sz="4"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排放浓度/（mg/L）</w:t>
                  </w:r>
                </w:p>
              </w:tc>
            </w:tr>
            <w:tr>
              <w:tblPrEx>
                <w:tblCellMar>
                  <w:top w:w="0" w:type="dxa"/>
                  <w:left w:w="108" w:type="dxa"/>
                  <w:bottom w:w="0" w:type="dxa"/>
                  <w:right w:w="108" w:type="dxa"/>
                </w:tblCellMar>
              </w:tblPrEx>
              <w:trPr>
                <w:trHeight w:val="87"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continue"/>
                  <w:tcBorders>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950" w:type="dxa"/>
                  <w:gridSpan w:val="2"/>
                  <w:tcBorders>
                    <w:top w:val="single" w:color="auto" w:sz="4" w:space="0"/>
                    <w:left w:val="single" w:color="000000" w:sz="8"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w:t>
                  </w:r>
                </w:p>
              </w:tc>
              <w:tc>
                <w:tcPr>
                  <w:tcW w:w="2699" w:type="dxa"/>
                  <w:gridSpan w:val="7"/>
                  <w:tcBorders>
                    <w:top w:val="single" w:color="auto" w:sz="4" w:space="0"/>
                    <w:left w:val="single" w:color="auto" w:sz="4"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w:t>
                  </w:r>
                  <w:r>
                    <w:rPr>
                      <w:rFonts w:hint="eastAsia" w:ascii="Times New Roman" w:hAnsi="Times New Roman"/>
                      <w:color w:val="000000"/>
                      <w:kern w:val="0"/>
                      <w:szCs w:val="21"/>
                      <w:highlight w:val="none"/>
                      <w:lang w:val="en-US" w:eastAsia="zh-CN"/>
                    </w:rPr>
                    <w:t>0</w:t>
                  </w:r>
                  <w:r>
                    <w:rPr>
                      <w:rFonts w:ascii="Times New Roman" w:hAnsi="Times New Roman"/>
                      <w:color w:val="000000"/>
                      <w:kern w:val="0"/>
                      <w:szCs w:val="21"/>
                      <w:highlight w:val="none"/>
                    </w:rPr>
                    <w:t>）</w:t>
                  </w:r>
                </w:p>
              </w:tc>
              <w:tc>
                <w:tcPr>
                  <w:tcW w:w="2150" w:type="dxa"/>
                  <w:gridSpan w:val="4"/>
                  <w:tcBorders>
                    <w:top w:val="single" w:color="auto" w:sz="4"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w:t>
                  </w:r>
                </w:p>
              </w:tc>
            </w:tr>
            <w:tr>
              <w:tblPrEx>
                <w:tblCellMar>
                  <w:top w:w="0" w:type="dxa"/>
                  <w:left w:w="108" w:type="dxa"/>
                  <w:bottom w:w="0" w:type="dxa"/>
                  <w:right w:w="108" w:type="dxa"/>
                </w:tblCellMar>
              </w:tblPrEx>
              <w:trPr>
                <w:trHeight w:val="90"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restart"/>
                  <w:tcBorders>
                    <w:top w:val="single" w:color="000000" w:sz="8" w:space="0"/>
                    <w:left w:val="single" w:color="auto" w:sz="4"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替代源排放情况</w:t>
                  </w:r>
                </w:p>
              </w:tc>
              <w:tc>
                <w:tcPr>
                  <w:tcW w:w="1435" w:type="dxa"/>
                  <w:tcBorders>
                    <w:top w:val="single" w:color="000000" w:sz="8" w:space="0"/>
                    <w:left w:val="single" w:color="000000" w:sz="8" w:space="0"/>
                    <w:bottom w:val="single" w:color="auto" w:sz="4"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污染源名称</w:t>
                  </w:r>
                </w:p>
              </w:tc>
              <w:tc>
                <w:tcPr>
                  <w:tcW w:w="1420" w:type="dxa"/>
                  <w:gridSpan w:val="4"/>
                  <w:tcBorders>
                    <w:top w:val="single" w:color="000000" w:sz="8" w:space="0"/>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排污许可证编号</w:t>
                  </w:r>
                </w:p>
              </w:tc>
              <w:tc>
                <w:tcPr>
                  <w:tcW w:w="1326" w:type="dxa"/>
                  <w:gridSpan w:val="2"/>
                  <w:tcBorders>
                    <w:top w:val="single" w:color="000000" w:sz="8" w:space="0"/>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污染物名称</w:t>
                  </w:r>
                </w:p>
              </w:tc>
              <w:tc>
                <w:tcPr>
                  <w:tcW w:w="1435" w:type="dxa"/>
                  <w:gridSpan w:val="4"/>
                  <w:tcBorders>
                    <w:top w:val="single" w:color="000000" w:sz="8" w:space="0"/>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排放量/（t/a）</w:t>
                  </w:r>
                </w:p>
              </w:tc>
              <w:tc>
                <w:tcPr>
                  <w:tcW w:w="1183" w:type="dxa"/>
                  <w:gridSpan w:val="2"/>
                  <w:tcBorders>
                    <w:top w:val="single" w:color="000000" w:sz="8" w:space="0"/>
                    <w:left w:val="single" w:color="auto" w:sz="4" w:space="0"/>
                    <w:bottom w:val="single" w:color="auto" w:sz="4"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排放浓度/（mg/L）</w:t>
                  </w:r>
                </w:p>
              </w:tc>
            </w:tr>
            <w:tr>
              <w:tblPrEx>
                <w:tblCellMar>
                  <w:top w:w="0" w:type="dxa"/>
                  <w:left w:w="108" w:type="dxa"/>
                  <w:bottom w:w="0" w:type="dxa"/>
                  <w:right w:w="108" w:type="dxa"/>
                </w:tblCellMar>
              </w:tblPrEx>
              <w:trPr>
                <w:trHeight w:val="228"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continue"/>
                  <w:tcBorders>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435" w:type="dxa"/>
                  <w:tcBorders>
                    <w:top w:val="single" w:color="auto" w:sz="4" w:space="0"/>
                    <w:left w:val="single" w:color="000000" w:sz="8"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w:t>
                  </w:r>
                </w:p>
              </w:tc>
              <w:tc>
                <w:tcPr>
                  <w:tcW w:w="1420" w:type="dxa"/>
                  <w:gridSpan w:val="4"/>
                  <w:tcBorders>
                    <w:top w:val="single" w:color="auto" w:sz="4" w:space="0"/>
                    <w:left w:val="single" w:color="auto" w:sz="4"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w:t>
                  </w:r>
                </w:p>
              </w:tc>
              <w:tc>
                <w:tcPr>
                  <w:tcW w:w="1326" w:type="dxa"/>
                  <w:gridSpan w:val="2"/>
                  <w:tcBorders>
                    <w:top w:val="single" w:color="auto" w:sz="4" w:space="0"/>
                    <w:left w:val="single" w:color="auto" w:sz="4"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w:t>
                  </w:r>
                </w:p>
              </w:tc>
              <w:tc>
                <w:tcPr>
                  <w:tcW w:w="1435" w:type="dxa"/>
                  <w:gridSpan w:val="4"/>
                  <w:tcBorders>
                    <w:top w:val="single" w:color="auto" w:sz="4" w:space="0"/>
                    <w:left w:val="single" w:color="auto" w:sz="4"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w:t>
                  </w:r>
                </w:p>
              </w:tc>
              <w:tc>
                <w:tcPr>
                  <w:tcW w:w="1183" w:type="dxa"/>
                  <w:gridSpan w:val="2"/>
                  <w:tcBorders>
                    <w:top w:val="single" w:color="auto" w:sz="4"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生态流量确定</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生态流量：一般水期（ ）m</w:t>
                  </w:r>
                  <w:r>
                    <w:rPr>
                      <w:rFonts w:ascii="Times New Roman" w:hAnsi="Times New Roman"/>
                      <w:color w:val="000000"/>
                      <w:kern w:val="0"/>
                      <w:szCs w:val="21"/>
                      <w:highlight w:val="none"/>
                      <w:vertAlign w:val="superscript"/>
                    </w:rPr>
                    <w:t>3</w:t>
                  </w:r>
                  <w:r>
                    <w:rPr>
                      <w:rFonts w:ascii="Times New Roman" w:hAnsi="Times New Roman"/>
                      <w:color w:val="000000"/>
                      <w:kern w:val="0"/>
                      <w:szCs w:val="21"/>
                      <w:highlight w:val="none"/>
                    </w:rPr>
                    <w:t>/s；鱼类繁殖期（ ）m</w:t>
                  </w:r>
                  <w:r>
                    <w:rPr>
                      <w:rFonts w:ascii="Times New Roman" w:hAnsi="Times New Roman"/>
                      <w:color w:val="000000"/>
                      <w:kern w:val="0"/>
                      <w:szCs w:val="21"/>
                      <w:highlight w:val="none"/>
                      <w:vertAlign w:val="superscript"/>
                    </w:rPr>
                    <w:t>3</w:t>
                  </w:r>
                  <w:r>
                    <w:rPr>
                      <w:rFonts w:ascii="Times New Roman" w:hAnsi="Times New Roman"/>
                      <w:color w:val="000000"/>
                      <w:kern w:val="0"/>
                      <w:szCs w:val="21"/>
                      <w:highlight w:val="none"/>
                    </w:rPr>
                    <w:t>/s；其他（ ）m</w:t>
                  </w:r>
                  <w:r>
                    <w:rPr>
                      <w:rFonts w:ascii="Times New Roman" w:hAnsi="Times New Roman"/>
                      <w:color w:val="000000"/>
                      <w:kern w:val="0"/>
                      <w:szCs w:val="21"/>
                      <w:highlight w:val="none"/>
                      <w:vertAlign w:val="superscript"/>
                    </w:rPr>
                    <w:t>3</w:t>
                  </w:r>
                  <w:r>
                    <w:rPr>
                      <w:rFonts w:ascii="Times New Roman" w:hAnsi="Times New Roman"/>
                      <w:color w:val="000000"/>
                      <w:kern w:val="0"/>
                      <w:szCs w:val="21"/>
                      <w:highlight w:val="none"/>
                    </w:rPr>
                    <w:t>/s</w:t>
                  </w:r>
                </w:p>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生态水位：一般水期（ ）m；鱼类繁殖期（ ）m；其他（ ）m</w:t>
                  </w:r>
                </w:p>
              </w:tc>
            </w:tr>
            <w:tr>
              <w:tblPrEx>
                <w:tblCellMar>
                  <w:top w:w="0" w:type="dxa"/>
                  <w:left w:w="108" w:type="dxa"/>
                  <w:bottom w:w="0" w:type="dxa"/>
                  <w:right w:w="108" w:type="dxa"/>
                </w:tblCellMar>
              </w:tblPrEx>
              <w:trPr>
                <w:trHeight w:val="272" w:hRule="atLeast"/>
                <w:jc w:val="center"/>
              </w:trPr>
              <w:tc>
                <w:tcPr>
                  <w:tcW w:w="453" w:type="dxa"/>
                  <w:vMerge w:val="restart"/>
                  <w:tcBorders>
                    <w:top w:val="single" w:color="000000" w:sz="8" w:space="0"/>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防</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治</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措</w:t>
                  </w:r>
                </w:p>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施</w:t>
                  </w: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环保措施</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left"/>
                    <w:rPr>
                      <w:rFonts w:ascii="Times New Roman" w:hAnsi="Times New Roman"/>
                      <w:color w:val="000000"/>
                      <w:kern w:val="0"/>
                      <w:szCs w:val="21"/>
                      <w:highlight w:val="none"/>
                    </w:rPr>
                  </w:pPr>
                  <w:r>
                    <w:rPr>
                      <w:rFonts w:ascii="Times New Roman" w:hAnsi="Times New Roman"/>
                      <w:color w:val="000000"/>
                      <w:kern w:val="0"/>
                      <w:szCs w:val="21"/>
                      <w:highlight w:val="none"/>
                    </w:rPr>
                    <w:t xml:space="preserve">污水处理设施 </w:t>
                  </w:r>
                  <w:r>
                    <w:rPr>
                      <w:rFonts w:ascii="Times New Roman" w:hAnsi="Times New Roman"/>
                      <w:color w:val="000000"/>
                      <w:kern w:val="0"/>
                      <w:szCs w:val="21"/>
                      <w:highlight w:val="none"/>
                    </w:rPr>
                    <w:sym w:font="Wingdings 2" w:char="0052"/>
                  </w:r>
                  <w:r>
                    <w:rPr>
                      <w:rFonts w:ascii="Times New Roman" w:hAnsi="Times New Roman"/>
                      <w:color w:val="000000"/>
                      <w:kern w:val="0"/>
                      <w:szCs w:val="21"/>
                      <w:highlight w:val="none"/>
                    </w:rPr>
                    <w:t>；水文减缓设施 □；生态流量保障设施 □；区域削减 □；依托其他工程措施 □；其他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restart"/>
                  <w:tcBorders>
                    <w:top w:val="single" w:color="000000" w:sz="8" w:space="0"/>
                    <w:left w:val="single" w:color="auto" w:sz="4"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监测计划</w:t>
                  </w:r>
                </w:p>
              </w:tc>
              <w:tc>
                <w:tcPr>
                  <w:tcW w:w="2200" w:type="dxa"/>
                  <w:gridSpan w:val="4"/>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2168" w:type="dxa"/>
                  <w:gridSpan w:val="4"/>
                  <w:tcBorders>
                    <w:top w:val="single" w:color="000000" w:sz="8" w:space="0"/>
                    <w:left w:val="single" w:color="auto" w:sz="4"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环境质量</w:t>
                  </w:r>
                </w:p>
              </w:tc>
              <w:tc>
                <w:tcPr>
                  <w:tcW w:w="2431" w:type="dxa"/>
                  <w:gridSpan w:val="5"/>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污染源</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continue"/>
                  <w:tcBorders>
                    <w:left w:val="single" w:color="auto" w:sz="4"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2200" w:type="dxa"/>
                  <w:gridSpan w:val="4"/>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监测方式</w:t>
                  </w:r>
                </w:p>
              </w:tc>
              <w:tc>
                <w:tcPr>
                  <w:tcW w:w="2168" w:type="dxa"/>
                  <w:gridSpan w:val="4"/>
                  <w:tcBorders>
                    <w:top w:val="single" w:color="000000" w:sz="8" w:space="0"/>
                    <w:left w:val="single" w:color="auto" w:sz="4"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xml:space="preserve">手动 </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 xml:space="preserve">；自动 </w:t>
                  </w:r>
                  <w:r>
                    <w:rPr>
                      <w:rFonts w:ascii="Times New Roman" w:hAnsi="Times New Roman"/>
                      <w:color w:val="000000"/>
                      <w:kern w:val="0"/>
                      <w:szCs w:val="21"/>
                      <w:highlight w:val="none"/>
                    </w:rPr>
                    <w:sym w:font="Wingdings 2" w:char="00A3"/>
                  </w:r>
                  <w:r>
                    <w:rPr>
                      <w:rFonts w:ascii="Times New Roman" w:hAnsi="Times New Roman"/>
                      <w:color w:val="000000"/>
                      <w:kern w:val="0"/>
                      <w:szCs w:val="21"/>
                      <w:highlight w:val="none"/>
                    </w:rPr>
                    <w:t xml:space="preserve">；无监测 </w:t>
                  </w:r>
                  <w:r>
                    <w:rPr>
                      <w:rFonts w:ascii="Times New Roman" w:hAnsi="Times New Roman"/>
                      <w:color w:val="000000"/>
                      <w:kern w:val="0"/>
                      <w:szCs w:val="21"/>
                      <w:highlight w:val="none"/>
                    </w:rPr>
                    <w:sym w:font="Wingdings 2" w:char="0052"/>
                  </w:r>
                </w:p>
              </w:tc>
              <w:tc>
                <w:tcPr>
                  <w:tcW w:w="2431" w:type="dxa"/>
                  <w:gridSpan w:val="5"/>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xml:space="preserve">手动 </w:t>
                  </w:r>
                  <w:r>
                    <w:rPr>
                      <w:rFonts w:ascii="Times New Roman" w:hAnsi="Times New Roman"/>
                      <w:color w:val="000000"/>
                      <w:kern w:val="0"/>
                      <w:szCs w:val="21"/>
                      <w:highlight w:val="none"/>
                    </w:rPr>
                    <w:sym w:font="Wingdings 2" w:char="0052"/>
                  </w:r>
                  <w:r>
                    <w:rPr>
                      <w:rFonts w:ascii="Times New Roman" w:hAnsi="Times New Roman"/>
                      <w:color w:val="000000"/>
                      <w:kern w:val="0"/>
                      <w:szCs w:val="21"/>
                      <w:highlight w:val="none"/>
                    </w:rPr>
                    <w:t>；自动 □；无监测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continue"/>
                  <w:tcBorders>
                    <w:left w:val="single" w:color="auto" w:sz="4"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2200" w:type="dxa"/>
                  <w:gridSpan w:val="4"/>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监测点位</w:t>
                  </w:r>
                </w:p>
              </w:tc>
              <w:tc>
                <w:tcPr>
                  <w:tcW w:w="2168" w:type="dxa"/>
                  <w:gridSpan w:val="4"/>
                  <w:tcBorders>
                    <w:top w:val="single" w:color="000000" w:sz="8" w:space="0"/>
                    <w:left w:val="single" w:color="auto" w:sz="4"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w:t>
                  </w:r>
                </w:p>
              </w:tc>
              <w:tc>
                <w:tcPr>
                  <w:tcW w:w="2431" w:type="dxa"/>
                  <w:gridSpan w:val="5"/>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（1）</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vMerge w:val="continue"/>
                  <w:tcBorders>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2200" w:type="dxa"/>
                  <w:gridSpan w:val="4"/>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监测因子</w:t>
                  </w:r>
                </w:p>
              </w:tc>
              <w:tc>
                <w:tcPr>
                  <w:tcW w:w="2168" w:type="dxa"/>
                  <w:gridSpan w:val="4"/>
                  <w:tcBorders>
                    <w:top w:val="single" w:color="000000" w:sz="8" w:space="0"/>
                    <w:left w:val="single" w:color="auto" w:sz="4"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w:t>
                  </w:r>
                </w:p>
              </w:tc>
              <w:tc>
                <w:tcPr>
                  <w:tcW w:w="2431" w:type="dxa"/>
                  <w:gridSpan w:val="5"/>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w:t>
                  </w:r>
                  <w:r>
                    <w:rPr>
                      <w:rFonts w:ascii="Times New Roman" w:hAnsi="Times New Roman"/>
                      <w:color w:val="000000"/>
                      <w:szCs w:val="21"/>
                      <w:highlight w:val="none"/>
                    </w:rPr>
                    <w:t>COD、BOD</w:t>
                  </w:r>
                  <w:r>
                    <w:rPr>
                      <w:rFonts w:ascii="Times New Roman" w:hAnsi="Times New Roman"/>
                      <w:color w:val="000000"/>
                      <w:szCs w:val="21"/>
                      <w:highlight w:val="none"/>
                      <w:vertAlign w:val="subscript"/>
                    </w:rPr>
                    <w:t>5</w:t>
                  </w:r>
                  <w:r>
                    <w:rPr>
                      <w:rFonts w:ascii="Times New Roman" w:hAnsi="Times New Roman"/>
                      <w:color w:val="000000"/>
                      <w:szCs w:val="21"/>
                      <w:highlight w:val="none"/>
                    </w:rPr>
                    <w:t>、SS、NH</w:t>
                  </w:r>
                  <w:r>
                    <w:rPr>
                      <w:rFonts w:ascii="Times New Roman" w:hAnsi="Times New Roman"/>
                      <w:color w:val="000000"/>
                      <w:szCs w:val="21"/>
                      <w:highlight w:val="none"/>
                      <w:vertAlign w:val="subscript"/>
                    </w:rPr>
                    <w:t>3</w:t>
                  </w:r>
                  <w:r>
                    <w:rPr>
                      <w:rFonts w:ascii="Times New Roman" w:hAnsi="Times New Roman"/>
                      <w:color w:val="000000"/>
                      <w:szCs w:val="21"/>
                      <w:highlight w:val="none"/>
                    </w:rPr>
                    <w:t>-N</w:t>
                  </w:r>
                  <w:r>
                    <w:rPr>
                      <w:rFonts w:ascii="Times New Roman" w:hAnsi="Times New Roman"/>
                      <w:color w:val="000000"/>
                      <w:kern w:val="0"/>
                      <w:szCs w:val="21"/>
                      <w:highlight w:val="none"/>
                    </w:rPr>
                    <w:t xml:space="preserve"> ）</w:t>
                  </w:r>
                </w:p>
              </w:tc>
            </w:tr>
            <w:tr>
              <w:tblPrEx>
                <w:tblCellMar>
                  <w:top w:w="0" w:type="dxa"/>
                  <w:left w:w="108" w:type="dxa"/>
                  <w:bottom w:w="0" w:type="dxa"/>
                  <w:right w:w="108" w:type="dxa"/>
                </w:tblCellMar>
              </w:tblPrEx>
              <w:trPr>
                <w:trHeight w:val="272" w:hRule="atLeast"/>
                <w:jc w:val="center"/>
              </w:trPr>
              <w:tc>
                <w:tcPr>
                  <w:tcW w:w="453" w:type="dxa"/>
                  <w:vMerge w:val="continue"/>
                  <w:tcBorders>
                    <w:left w:val="single" w:color="000000" w:sz="8" w:space="0"/>
                    <w:bottom w:val="single" w:color="000000" w:sz="8" w:space="0"/>
                    <w:right w:val="single" w:color="auto" w:sz="4" w:space="0"/>
                  </w:tcBorders>
                  <w:shd w:val="clear" w:color="auto" w:fill="FFFFFF"/>
                  <w:noWrap w:val="0"/>
                  <w:vAlign w:val="center"/>
                </w:tcPr>
                <w:p>
                  <w:pPr>
                    <w:widowControl/>
                    <w:jc w:val="center"/>
                    <w:rPr>
                      <w:rFonts w:ascii="Times New Roman" w:hAnsi="Times New Roman"/>
                      <w:color w:val="000000"/>
                      <w:kern w:val="0"/>
                      <w:szCs w:val="21"/>
                      <w:highlight w:val="none"/>
                    </w:rPr>
                  </w:pPr>
                </w:p>
              </w:tc>
              <w:tc>
                <w:tcPr>
                  <w:tcW w:w="1592"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污染物排放清单</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sym w:font="Wingdings 2" w:char="0052"/>
                  </w:r>
                </w:p>
              </w:tc>
            </w:tr>
            <w:tr>
              <w:tblPrEx>
                <w:tblCellMar>
                  <w:top w:w="0" w:type="dxa"/>
                  <w:left w:w="108" w:type="dxa"/>
                  <w:bottom w:w="0" w:type="dxa"/>
                  <w:right w:w="108" w:type="dxa"/>
                </w:tblCellMar>
              </w:tblPrEx>
              <w:trPr>
                <w:trHeight w:val="272" w:hRule="atLeast"/>
                <w:jc w:val="center"/>
              </w:trPr>
              <w:tc>
                <w:tcPr>
                  <w:tcW w:w="2045" w:type="dxa"/>
                  <w:gridSpan w:val="2"/>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评价结论</w:t>
                  </w:r>
                </w:p>
              </w:tc>
              <w:tc>
                <w:tcPr>
                  <w:tcW w:w="6799" w:type="dxa"/>
                  <w:gridSpan w:val="13"/>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 xml:space="preserve">可以接受 </w:t>
                  </w:r>
                  <w:r>
                    <w:rPr>
                      <w:rFonts w:ascii="Times New Roman" w:hAnsi="Times New Roman"/>
                      <w:color w:val="000000"/>
                      <w:kern w:val="0"/>
                      <w:szCs w:val="21"/>
                      <w:highlight w:val="none"/>
                    </w:rPr>
                    <w:sym w:font="Wingdings 2" w:char="0052"/>
                  </w:r>
                  <w:r>
                    <w:rPr>
                      <w:rFonts w:ascii="Times New Roman" w:hAnsi="Times New Roman"/>
                      <w:color w:val="000000"/>
                      <w:kern w:val="0"/>
                      <w:szCs w:val="21"/>
                      <w:highlight w:val="none"/>
                    </w:rPr>
                    <w:t>；不可以接受 □</w:t>
                  </w:r>
                </w:p>
              </w:tc>
            </w:tr>
            <w:tr>
              <w:tblPrEx>
                <w:tblCellMar>
                  <w:top w:w="0" w:type="dxa"/>
                  <w:left w:w="108" w:type="dxa"/>
                  <w:bottom w:w="0" w:type="dxa"/>
                  <w:right w:w="108" w:type="dxa"/>
                </w:tblCellMar>
              </w:tblPrEx>
              <w:trPr>
                <w:trHeight w:val="247" w:hRule="atLeast"/>
                <w:jc w:val="center"/>
              </w:trPr>
              <w:tc>
                <w:tcPr>
                  <w:tcW w:w="8844" w:type="dxa"/>
                  <w:gridSpan w:val="15"/>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widowControl/>
                    <w:jc w:val="center"/>
                    <w:rPr>
                      <w:rFonts w:ascii="Times New Roman" w:hAnsi="Times New Roman"/>
                      <w:color w:val="000000"/>
                      <w:kern w:val="0"/>
                      <w:szCs w:val="21"/>
                      <w:highlight w:val="none"/>
                    </w:rPr>
                  </w:pPr>
                  <w:r>
                    <w:rPr>
                      <w:rFonts w:ascii="Times New Roman" w:hAnsi="Times New Roman"/>
                      <w:color w:val="000000"/>
                      <w:kern w:val="0"/>
                      <w:szCs w:val="21"/>
                      <w:highlight w:val="none"/>
                    </w:rPr>
                    <w:t>注：“□”为勾选项，可√；“（ ）”为内容填写项；“备注”为其他补充内容</w:t>
                  </w:r>
                </w:p>
              </w:tc>
            </w:tr>
          </w:tbl>
          <w:p>
            <w:pPr>
              <w:spacing w:line="360" w:lineRule="auto"/>
              <w:ind w:firstLine="480" w:firstLineChars="200"/>
              <w:rPr>
                <w:rFonts w:ascii="Times New Roman" w:hAnsi="Times New Roman"/>
                <w:color w:val="000000"/>
                <w:sz w:val="24"/>
                <w:szCs w:val="24"/>
                <w:highlight w:val="none"/>
              </w:rPr>
            </w:pPr>
          </w:p>
          <w:p>
            <w:pPr>
              <w:spacing w:line="360" w:lineRule="auto"/>
              <w:ind w:firstLine="480" w:firstLineChars="200"/>
              <w:rPr>
                <w:rFonts w:ascii="Times New Roman" w:hAnsi="Times New Roman"/>
                <w:color w:val="000000"/>
                <w:sz w:val="24"/>
                <w:szCs w:val="22"/>
                <w:highlight w:val="none"/>
              </w:rPr>
            </w:pPr>
            <w:r>
              <w:rPr>
                <w:rFonts w:ascii="Times New Roman" w:hAnsi="Times New Roman"/>
                <w:color w:val="000000"/>
                <w:sz w:val="24"/>
                <w:szCs w:val="22"/>
                <w:highlight w:val="none"/>
              </w:rPr>
              <w:t>二、大气环境影响分析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lang w:val="en-US" w:eastAsia="zh-CN"/>
              </w:rPr>
            </w:pPr>
            <w:bookmarkStart w:id="6" w:name="_Toc234318280"/>
            <w:r>
              <w:rPr>
                <w:rFonts w:hint="eastAsia" w:ascii="Times New Roman" w:hAnsi="Times New Roman"/>
                <w:color w:val="000000"/>
                <w:sz w:val="24"/>
                <w:szCs w:val="22"/>
                <w:highlight w:val="none"/>
                <w:lang w:val="en-US" w:eastAsia="zh-CN"/>
              </w:rPr>
              <w:t>1、影响分析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本项目废气主要为来自污染土开挖过程</w:t>
            </w:r>
            <w:r>
              <w:rPr>
                <w:rFonts w:hint="eastAsia" w:ascii="Times New Roman" w:hAnsi="Times New Roman"/>
                <w:color w:val="000000"/>
                <w:sz w:val="24"/>
                <w:szCs w:val="22"/>
                <w:highlight w:val="none"/>
                <w:lang w:eastAsia="zh-CN"/>
              </w:rPr>
              <w:t>、</w:t>
            </w:r>
            <w:r>
              <w:rPr>
                <w:rFonts w:hint="eastAsia" w:ascii="Times New Roman" w:hAnsi="Times New Roman"/>
                <w:color w:val="000000"/>
                <w:sz w:val="24"/>
                <w:szCs w:val="22"/>
                <w:highlight w:val="none"/>
              </w:rPr>
              <w:t>污染物转运过程</w:t>
            </w:r>
            <w:r>
              <w:rPr>
                <w:rFonts w:hint="eastAsia" w:ascii="Times New Roman" w:hAnsi="Times New Roman"/>
                <w:color w:val="000000"/>
                <w:sz w:val="24"/>
                <w:szCs w:val="22"/>
                <w:highlight w:val="none"/>
                <w:lang w:eastAsia="zh-CN"/>
              </w:rPr>
              <w:t>、</w:t>
            </w:r>
            <w:r>
              <w:rPr>
                <w:rFonts w:hint="eastAsia" w:ascii="Times New Roman" w:hAnsi="Times New Roman"/>
                <w:color w:val="000000"/>
                <w:sz w:val="24"/>
                <w:szCs w:val="22"/>
                <w:highlight w:val="none"/>
                <w:lang w:val="en-US" w:eastAsia="zh-CN"/>
              </w:rPr>
              <w:t>厂房拆迁过程</w:t>
            </w:r>
            <w:r>
              <w:rPr>
                <w:rFonts w:hint="eastAsia" w:ascii="Times New Roman" w:hAnsi="Times New Roman"/>
                <w:color w:val="000000"/>
                <w:sz w:val="24"/>
                <w:szCs w:val="22"/>
                <w:highlight w:val="none"/>
              </w:rPr>
              <w:t>中产生的少量粉尘和异味</w:t>
            </w:r>
            <w:r>
              <w:rPr>
                <w:rFonts w:hint="eastAsia" w:ascii="Times New Roman" w:hAnsi="Times New Roman"/>
                <w:color w:val="000000"/>
                <w:sz w:val="24"/>
                <w:szCs w:val="22"/>
                <w:highlight w:val="none"/>
                <w:lang w:eastAsia="zh-CN"/>
              </w:rPr>
              <w:t>，</w:t>
            </w:r>
            <w:r>
              <w:rPr>
                <w:rFonts w:hint="eastAsia" w:ascii="Times New Roman" w:hAnsi="Times New Roman"/>
                <w:color w:val="000000"/>
                <w:sz w:val="24"/>
                <w:szCs w:val="22"/>
                <w:highlight w:val="none"/>
                <w:lang w:val="en-US" w:eastAsia="zh-CN"/>
              </w:rPr>
              <w:t>营地油烟等</w:t>
            </w:r>
            <w:r>
              <w:rPr>
                <w:rFonts w:hint="eastAsia" w:ascii="Times New Roman" w:hAnsi="Times New Roman"/>
                <w:color w:val="000000"/>
                <w:sz w:val="24"/>
                <w:szCs w:val="22"/>
                <w:highlight w:val="none"/>
              </w:rPr>
              <w:t>，为进一步控制施工过程中的粉尘和异味对周边大气环境的影响，根据施工修复方案的资料，拟采取的主要措施如下：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（1）污染土壤清挖过程中，挖掘机铲斗平稳操作，禁止远距离抛扔污染土壤或者从高处将污染土壤抛扔到运输车上；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000000"/>
                <w:sz w:val="24"/>
                <w:szCs w:val="22"/>
                <w:highlight w:val="none"/>
                <w:lang w:eastAsia="zh-CN"/>
              </w:rPr>
            </w:pPr>
            <w:r>
              <w:rPr>
                <w:rFonts w:hint="eastAsia" w:ascii="Times New Roman" w:hAnsi="Times New Roman"/>
                <w:color w:val="000000"/>
                <w:sz w:val="24"/>
                <w:szCs w:val="22"/>
                <w:highlight w:val="none"/>
              </w:rPr>
              <w:t>（2）向运输车上装污染土壤时，尽量使挖掘机铲斗贴着车身进行装卸</w:t>
            </w:r>
            <w:r>
              <w:rPr>
                <w:rFonts w:hint="eastAsia" w:ascii="Times New Roman" w:hAnsi="Times New Roman"/>
                <w:color w:val="000000"/>
                <w:sz w:val="24"/>
                <w:szCs w:val="22"/>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（3）作业面和土堆适当喷水，使其保持一定湿度，以减少扬尘量；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（4）场内运输道路每天按照规定时间清扫并洒水，保证现场干净，不起灰。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（5）同一时间尽量不进行过大工作面的开挖，确保将气味逸散保持在可控范围之内。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（6）在开挖工作面喷洒气味抑制剂，气味抑制剂无毒、具有生物降解性，能有效控制污染物的挥发。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（7）对于污染土壤的堆置暴露，则采取用塑料布苦盖，并喷洒气味抑制剂，达到阻止目标污染挥发的目的。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（8）规范化管理建筑材料，禁止乱堆乱放，采用抑尘网对建筑材料进行覆盖，减少扬尘来源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（9）所有运载污染土壤的车辆均须覆盖防护，且车厢四周完全密封，并将场内车速控制在15km/h以内，场外运输控制在30km/h以内，以减少扬尘和气味逸散；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（10）污染土壤运输过程中，采取洒水降尘措施，安排洒水设备进行定期洒水作业，并在期间安排专人不定期洒水；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（1</w:t>
            </w:r>
            <w:r>
              <w:rPr>
                <w:rFonts w:hint="eastAsia" w:ascii="Times New Roman" w:hAnsi="Times New Roman"/>
                <w:color w:val="000000"/>
                <w:sz w:val="24"/>
                <w:szCs w:val="22"/>
                <w:highlight w:val="none"/>
                <w:lang w:val="en-US" w:eastAsia="zh-CN"/>
              </w:rPr>
              <w:t>1</w:t>
            </w:r>
            <w:r>
              <w:rPr>
                <w:rFonts w:hint="eastAsia" w:ascii="Times New Roman" w:hAnsi="Times New Roman"/>
                <w:color w:val="000000"/>
                <w:sz w:val="24"/>
                <w:szCs w:val="22"/>
                <w:highlight w:val="none"/>
              </w:rPr>
              <w:t>）运输道路，至少是主干道应硬底化，减少运输过程中的</w:t>
            </w:r>
            <w:r>
              <w:rPr>
                <w:rFonts w:hint="eastAsia" w:ascii="Times New Roman" w:hAnsi="Times New Roman"/>
                <w:color w:val="000000"/>
                <w:sz w:val="24"/>
                <w:szCs w:val="22"/>
                <w:highlight w:val="none"/>
                <w:lang w:val="en-US" w:eastAsia="zh-CN"/>
              </w:rPr>
              <w:t>扬尘</w:t>
            </w:r>
            <w:r>
              <w:rPr>
                <w:rFonts w:hint="eastAsia" w:ascii="Times New Roman" w:hAnsi="Times New Roman"/>
                <w:color w:val="000000"/>
                <w:sz w:val="24"/>
                <w:szCs w:val="22"/>
                <w:highlight w:val="none"/>
              </w:rPr>
              <w:t>，同时期对运输道路进行洒水降尘；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（12）运输车辆需将污染土壤运至专门的堆置场地或指定位置后方能解除遮盖措施，并卸至指定位置。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lang w:val="en-US" w:eastAsia="zh-CN"/>
              </w:rPr>
            </w:pPr>
            <w:r>
              <w:rPr>
                <w:rFonts w:hint="eastAsia" w:ascii="Times New Roman" w:hAnsi="Times New Roman"/>
                <w:color w:val="000000"/>
                <w:sz w:val="24"/>
                <w:szCs w:val="22"/>
                <w:highlight w:val="none"/>
                <w:lang w:val="en-US" w:eastAsia="zh-CN"/>
              </w:rPr>
              <w:t>2、污染治理具体措施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在施工现场对污染土壤进行修复处理等过程中都有可能导致粉尘产生或扩散到空气中。针对该情况，拟采用以下处理措施。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①移动式喷雾除尘机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当施工现场因修复处置不当或其他原因产生局部范围内的扬尘时，可采用强雾化水汽喷射装置进行快速降尘处理。该装置可以喷射大量雾化水汽，从而使大气中的颗粒性物质和扬尘快速沉降，降低局部地区严重扬尘现象对周围人体和环境所造成的风险。</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3343275" cy="2276475"/>
                  <wp:effectExtent l="0" t="0" r="9525" b="9525"/>
                  <wp:docPr id="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pic:cNvPicPr>
                            <a:picLocks noChangeAspect="1"/>
                          </pic:cNvPicPr>
                        </pic:nvPicPr>
                        <pic:blipFill>
                          <a:blip r:embed="rId33"/>
                          <a:stretch>
                            <a:fillRect/>
                          </a:stretch>
                        </pic:blipFill>
                        <pic:spPr>
                          <a:xfrm>
                            <a:off x="0" y="0"/>
                            <a:ext cx="3343275" cy="22764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eastAsia="宋体"/>
                <w:lang w:val="en-US" w:eastAsia="zh-CN"/>
              </w:rPr>
            </w:pPr>
            <w:r>
              <w:rPr>
                <w:rFonts w:hint="default" w:ascii="Times New Roman" w:hAnsi="Times New Roman" w:cs="Times New Roman"/>
                <w:b/>
                <w:bCs/>
                <w:sz w:val="24"/>
                <w:szCs w:val="24"/>
                <w:lang w:val="en-US" w:eastAsia="zh-CN"/>
              </w:rPr>
              <w:t>图7-2  雾炮工作示意图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②定时洒水降尘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对施工现场采取定时洒水的方式降尘，如遇大风等天气导致扬尘浓度过大时，适当增加洒水频次。密切关注国家气象局天气预报，提前做好施工进展安排，遇4级以上风时停止施工，现场停止施工作业，并做好</w:t>
            </w:r>
            <w:r>
              <w:rPr>
                <w:rFonts w:hint="eastAsia" w:ascii="Times New Roman" w:hAnsi="Times New Roman"/>
                <w:color w:val="000000"/>
                <w:sz w:val="24"/>
                <w:szCs w:val="22"/>
                <w:highlight w:val="none"/>
                <w:lang w:val="en-US" w:eastAsia="zh-CN"/>
              </w:rPr>
              <w:t>覆</w:t>
            </w:r>
            <w:r>
              <w:rPr>
                <w:rFonts w:hint="eastAsia" w:ascii="Times New Roman" w:hAnsi="Times New Roman"/>
                <w:color w:val="000000"/>
                <w:sz w:val="24"/>
                <w:szCs w:val="22"/>
                <w:highlight w:val="none"/>
              </w:rPr>
              <w:t>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3076575" cy="1762125"/>
                  <wp:effectExtent l="0" t="0" r="9525" b="9525"/>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pic:cNvPicPr>
                        </pic:nvPicPr>
                        <pic:blipFill>
                          <a:blip r:embed="rId34"/>
                          <a:stretch>
                            <a:fillRect/>
                          </a:stretch>
                        </pic:blipFill>
                        <pic:spPr>
                          <a:xfrm>
                            <a:off x="0" y="0"/>
                            <a:ext cx="3076575" cy="1762125"/>
                          </a:xfrm>
                          <a:prstGeom prst="rect">
                            <a:avLst/>
                          </a:prstGeom>
                          <a:noFill/>
                          <a:ln>
                            <a:noFill/>
                          </a:ln>
                        </pic:spPr>
                      </pic:pic>
                    </a:graphicData>
                  </a:graphic>
                </wp:inline>
              </w:drawing>
            </w:r>
          </w:p>
          <w:p>
            <w:pPr>
              <w:pStyle w:val="7"/>
              <w:keepNext/>
              <w:keepLines/>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default" w:eastAsia="宋体"/>
                <w:lang w:val="en-US" w:eastAsia="zh-CN"/>
              </w:rPr>
            </w:pPr>
            <w:r>
              <w:rPr>
                <w:rFonts w:hint="default" w:ascii="Times New Roman" w:hAnsi="Times New Roman" w:cs="Times New Roman"/>
                <w:lang w:val="en-US" w:eastAsia="zh-CN"/>
              </w:rPr>
              <w:t>图7-3  洒水车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③建设车辆清洗台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在施工现场的车辆出入口需建设车辆清洗台，以免车辆出入带泥，引起扬尘污染，同时安排专人负责出口外道路的清洁维护。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3171825" cy="2095500"/>
                  <wp:effectExtent l="0" t="0" r="9525" b="0"/>
                  <wp:docPr id="3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4"/>
                          <pic:cNvPicPr>
                            <a:picLocks noChangeAspect="1"/>
                          </pic:cNvPicPr>
                        </pic:nvPicPr>
                        <pic:blipFill>
                          <a:blip r:embed="rId35"/>
                          <a:stretch>
                            <a:fillRect/>
                          </a:stretch>
                        </pic:blipFill>
                        <pic:spPr>
                          <a:xfrm>
                            <a:off x="0" y="0"/>
                            <a:ext cx="3171825" cy="2095500"/>
                          </a:xfrm>
                          <a:prstGeom prst="rect">
                            <a:avLst/>
                          </a:prstGeom>
                          <a:noFill/>
                          <a:ln>
                            <a:noFill/>
                          </a:ln>
                        </pic:spPr>
                      </pic:pic>
                    </a:graphicData>
                  </a:graphic>
                </wp:inline>
              </w:drawing>
            </w:r>
          </w:p>
          <w:p>
            <w:pPr>
              <w:pStyle w:val="7"/>
              <w:keepNext/>
              <w:keepLines/>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default" w:eastAsia="宋体"/>
                <w:lang w:val="en-US" w:eastAsia="zh-CN"/>
              </w:rPr>
            </w:pPr>
            <w:r>
              <w:rPr>
                <w:rFonts w:hint="default" w:ascii="Times New Roman" w:hAnsi="Times New Roman" w:cs="Times New Roman"/>
                <w:lang w:val="en-US" w:eastAsia="zh-CN"/>
              </w:rPr>
              <w:t>图7-4  车辆清洗平台示意图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④设置围挡墙、防尘网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设置围挡墙、防尘网等进行有效的防尘，防止颗粒物逸散。严禁在施工现场焚烧废弃物，防止烟尘和有毒气体产生。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通过以上一系列措施可有效抑制扬尘，减少扬尘对环境敏感点的影响。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⑤对施工机械产生的尾气的控制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由于现场施工中需要用到的机械设备众多，易产生尾气污染周边大气环境，因此需要对其进行合理控制。为防止施工机械产生尾气污染大气环境，本工程全部使用满足国家第三阶段排放标准（即《车用压燃式、气体燃料点燃式发动机与汽车排气污染物排放限值及测量方法（中国11、Nv、V阶段）》（GB17691-2005）中的第三阶段排放控制要求）要求的施工机械，降低尾气排放。施工机械产生的尾气对周围空气环境有一定的影响，特别是距离较近时，影响更大。由于施工期是暂时的，影响也是短暂的，随着建设期的竣工运营，施工期大气环境影响也将随之消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⑥建造封闭设施对废水进行暂存和处理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项目场地中建设污水池对施工现场车辆清洗产生的废水、地下污水等进行暂存。污水暂存设施为封闭设施，可有效防止污水中有机物向大气中的挥发。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本项目产生废气量较小，且工期短。在落实上述防治措施的情况下，项目废气对周围环境及敏感点空气质量不会造成大的影响。</w:t>
            </w:r>
          </w:p>
          <w:bookmarkEnd w:id="6"/>
          <w:p>
            <w:pPr>
              <w:spacing w:line="360" w:lineRule="auto"/>
              <w:jc w:val="center"/>
              <w:rPr>
                <w:rFonts w:ascii="Times New Roman" w:hAnsi="Times New Roman"/>
                <w:b/>
                <w:bCs/>
                <w:color w:val="000000"/>
                <w:sz w:val="24"/>
                <w:szCs w:val="24"/>
                <w:highlight w:val="none"/>
              </w:rPr>
            </w:pPr>
            <w:r>
              <w:rPr>
                <w:rFonts w:ascii="Times New Roman" w:hAnsi="Times New Roman"/>
                <w:b/>
                <w:bCs/>
                <w:color w:val="000000"/>
                <w:sz w:val="24"/>
                <w:szCs w:val="24"/>
                <w:highlight w:val="none"/>
              </w:rPr>
              <w:t>7-</w:t>
            </w:r>
            <w:r>
              <w:rPr>
                <w:rFonts w:hint="eastAsia" w:ascii="Times New Roman" w:hAnsi="Times New Roman"/>
                <w:b/>
                <w:bCs/>
                <w:color w:val="000000"/>
                <w:sz w:val="24"/>
                <w:szCs w:val="24"/>
                <w:highlight w:val="none"/>
                <w:lang w:val="en-US" w:eastAsia="zh-CN"/>
              </w:rPr>
              <w:t>9</w:t>
            </w:r>
            <w:r>
              <w:rPr>
                <w:rFonts w:ascii="Times New Roman" w:hAnsi="Times New Roman"/>
                <w:b/>
                <w:bCs/>
                <w:color w:val="000000"/>
                <w:sz w:val="24"/>
                <w:szCs w:val="24"/>
                <w:highlight w:val="none"/>
              </w:rPr>
              <w:t xml:space="preserve">  建设项目大气环境影响评价自查表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1878"/>
              <w:gridCol w:w="847"/>
              <w:gridCol w:w="123"/>
              <w:gridCol w:w="323"/>
              <w:gridCol w:w="185"/>
              <w:gridCol w:w="323"/>
              <w:gridCol w:w="170"/>
              <w:gridCol w:w="108"/>
              <w:gridCol w:w="92"/>
              <w:gridCol w:w="477"/>
              <w:gridCol w:w="216"/>
              <w:gridCol w:w="369"/>
              <w:gridCol w:w="31"/>
              <w:gridCol w:w="262"/>
              <w:gridCol w:w="493"/>
              <w:gridCol w:w="15"/>
              <w:gridCol w:w="354"/>
              <w:gridCol w:w="216"/>
              <w:gridCol w:w="138"/>
              <w:gridCol w:w="123"/>
              <w:gridCol w:w="493"/>
              <w:gridCol w:w="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工作内容</w:t>
                  </w:r>
                </w:p>
              </w:tc>
              <w:tc>
                <w:tcPr>
                  <w:tcW w:w="7847" w:type="dxa"/>
                  <w:gridSpan w:val="22"/>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自查项目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restart"/>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评价等级与范围</w:t>
                  </w: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评价等级</w:t>
                  </w:r>
                </w:p>
              </w:tc>
              <w:tc>
                <w:tcPr>
                  <w:tcW w:w="2171" w:type="dxa"/>
                  <w:gridSpan w:val="8"/>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一级□</w:t>
                  </w:r>
                </w:p>
              </w:tc>
              <w:tc>
                <w:tcPr>
                  <w:tcW w:w="1848" w:type="dxa"/>
                  <w:gridSpan w:val="6"/>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二级</w:t>
                  </w:r>
                  <w:r>
                    <w:rPr>
                      <w:rFonts w:ascii="Times New Roman" w:hAnsi="Times New Roman"/>
                      <w:color w:val="000000"/>
                      <w:sz w:val="18"/>
                      <w:szCs w:val="18"/>
                      <w:highlight w:val="none"/>
                    </w:rPr>
                    <w:sym w:font="Wingdings 2" w:char="00A3"/>
                  </w:r>
                </w:p>
              </w:tc>
              <w:tc>
                <w:tcPr>
                  <w:tcW w:w="1950" w:type="dxa"/>
                  <w:gridSpan w:val="7"/>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三级</w:t>
                  </w:r>
                  <w:r>
                    <w:rPr>
                      <w:rFonts w:ascii="Times New Roman" w:hAnsi="Times New Roman"/>
                      <w:color w:val="000000"/>
                      <w:sz w:val="18"/>
                      <w:szCs w:val="18"/>
                      <w:highlight w:val="none"/>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评价范围</w:t>
                  </w:r>
                </w:p>
              </w:tc>
              <w:tc>
                <w:tcPr>
                  <w:tcW w:w="2171" w:type="dxa"/>
                  <w:gridSpan w:val="8"/>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边长=50km□</w:t>
                  </w:r>
                </w:p>
              </w:tc>
              <w:tc>
                <w:tcPr>
                  <w:tcW w:w="1848" w:type="dxa"/>
                  <w:gridSpan w:val="6"/>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边长5～50km□</w:t>
                  </w:r>
                </w:p>
              </w:tc>
              <w:tc>
                <w:tcPr>
                  <w:tcW w:w="1950" w:type="dxa"/>
                  <w:gridSpan w:val="7"/>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边长=5 km</w:t>
                  </w:r>
                  <w:r>
                    <w:rPr>
                      <w:rFonts w:ascii="Times New Roman" w:hAnsi="Times New Roman"/>
                      <w:color w:val="000000"/>
                      <w:sz w:val="18"/>
                      <w:szCs w:val="18"/>
                      <w:highlight w:val="none"/>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restart"/>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评价因子</w:t>
                  </w: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SO</w:t>
                  </w:r>
                  <w:r>
                    <w:rPr>
                      <w:rFonts w:ascii="Times New Roman" w:hAnsi="Times New Roman"/>
                      <w:color w:val="000000"/>
                      <w:sz w:val="18"/>
                      <w:szCs w:val="18"/>
                      <w:highlight w:val="none"/>
                      <w:vertAlign w:val="subscript"/>
                    </w:rPr>
                    <w:t>2</w:t>
                  </w:r>
                  <w:r>
                    <w:rPr>
                      <w:rFonts w:ascii="Times New Roman" w:hAnsi="Times New Roman"/>
                      <w:color w:val="000000"/>
                      <w:sz w:val="18"/>
                      <w:szCs w:val="18"/>
                      <w:highlight w:val="none"/>
                    </w:rPr>
                    <w:t xml:space="preserve"> +NOx 排放量</w:t>
                  </w:r>
                </w:p>
              </w:tc>
              <w:tc>
                <w:tcPr>
                  <w:tcW w:w="2171" w:type="dxa"/>
                  <w:gridSpan w:val="8"/>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2000t/a□</w:t>
                  </w:r>
                </w:p>
              </w:tc>
              <w:tc>
                <w:tcPr>
                  <w:tcW w:w="1848" w:type="dxa"/>
                  <w:gridSpan w:val="6"/>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500 ~ 2000t/a□</w:t>
                  </w:r>
                </w:p>
              </w:tc>
              <w:tc>
                <w:tcPr>
                  <w:tcW w:w="1950" w:type="dxa"/>
                  <w:gridSpan w:val="7"/>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＜500 t/a</w:t>
                  </w:r>
                  <w:r>
                    <w:rPr>
                      <w:rFonts w:ascii="Times New Roman" w:hAnsi="Times New Roman"/>
                      <w:color w:val="000000"/>
                      <w:sz w:val="18"/>
                      <w:szCs w:val="18"/>
                      <w:highlight w:val="none"/>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评价因子</w:t>
                  </w:r>
                </w:p>
              </w:tc>
              <w:tc>
                <w:tcPr>
                  <w:tcW w:w="3264" w:type="dxa"/>
                  <w:gridSpan w:val="12"/>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基本污染物 ()</w:t>
                  </w:r>
                </w:p>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其他污染物 (TSP)</w:t>
                  </w:r>
                </w:p>
              </w:tc>
              <w:tc>
                <w:tcPr>
                  <w:tcW w:w="2705" w:type="dxa"/>
                  <w:gridSpan w:val="9"/>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包括二次PM2.5□</w:t>
                  </w:r>
                </w:p>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不包括二次PM2.5</w:t>
                  </w:r>
                  <w:r>
                    <w:rPr>
                      <w:rFonts w:ascii="Times New Roman" w:hAnsi="Times New Roman"/>
                      <w:color w:val="000000"/>
                      <w:sz w:val="18"/>
                      <w:szCs w:val="18"/>
                      <w:highlight w:val="none"/>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评价标准</w:t>
                  </w: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评价标准</w:t>
                  </w:r>
                </w:p>
              </w:tc>
              <w:tc>
                <w:tcPr>
                  <w:tcW w:w="1971" w:type="dxa"/>
                  <w:gridSpan w:val="6"/>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国家标准</w:t>
                  </w:r>
                  <w:r>
                    <w:rPr>
                      <w:rFonts w:ascii="Times New Roman" w:hAnsi="Times New Roman"/>
                      <w:color w:val="000000"/>
                      <w:sz w:val="18"/>
                      <w:szCs w:val="18"/>
                      <w:highlight w:val="none"/>
                    </w:rPr>
                    <w:sym w:font="Wingdings 2" w:char="0052"/>
                  </w:r>
                </w:p>
              </w:tc>
              <w:tc>
                <w:tcPr>
                  <w:tcW w:w="1293" w:type="dxa"/>
                  <w:gridSpan w:val="6"/>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地方标准□</w:t>
                  </w:r>
                </w:p>
              </w:tc>
              <w:tc>
                <w:tcPr>
                  <w:tcW w:w="1601" w:type="dxa"/>
                  <w:gridSpan w:val="7"/>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xml:space="preserve">附录D </w:t>
                  </w:r>
                  <w:r>
                    <w:rPr>
                      <w:rFonts w:ascii="Times New Roman" w:hAnsi="Times New Roman"/>
                      <w:color w:val="000000"/>
                      <w:sz w:val="18"/>
                      <w:szCs w:val="18"/>
                      <w:highlight w:val="none"/>
                    </w:rPr>
                    <w:sym w:font="Wingdings 2" w:char="00A3"/>
                  </w:r>
                </w:p>
              </w:tc>
              <w:tc>
                <w:tcPr>
                  <w:tcW w:w="1104" w:type="dxa"/>
                  <w:gridSpan w:val="2"/>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其他标准□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restart"/>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现状评价</w:t>
                  </w: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环境功能区</w:t>
                  </w:r>
                </w:p>
              </w:tc>
              <w:tc>
                <w:tcPr>
                  <w:tcW w:w="2171" w:type="dxa"/>
                  <w:gridSpan w:val="8"/>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一类区□</w:t>
                  </w:r>
                </w:p>
              </w:tc>
              <w:tc>
                <w:tcPr>
                  <w:tcW w:w="1848" w:type="dxa"/>
                  <w:gridSpan w:val="6"/>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二类区</w:t>
                  </w:r>
                  <w:r>
                    <w:rPr>
                      <w:rFonts w:ascii="Times New Roman" w:hAnsi="Times New Roman"/>
                      <w:color w:val="000000"/>
                      <w:sz w:val="18"/>
                      <w:szCs w:val="18"/>
                      <w:highlight w:val="none"/>
                    </w:rPr>
                    <w:sym w:font="Wingdings 2" w:char="0052"/>
                  </w:r>
                </w:p>
              </w:tc>
              <w:tc>
                <w:tcPr>
                  <w:tcW w:w="1950" w:type="dxa"/>
                  <w:gridSpan w:val="7"/>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一类区和二类区□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评价基准年</w:t>
                  </w:r>
                </w:p>
              </w:tc>
              <w:tc>
                <w:tcPr>
                  <w:tcW w:w="5969" w:type="dxa"/>
                  <w:gridSpan w:val="21"/>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（20</w:t>
                  </w:r>
                  <w:r>
                    <w:rPr>
                      <w:rFonts w:hint="eastAsia" w:ascii="Times New Roman" w:hAnsi="Times New Roman"/>
                      <w:color w:val="000000"/>
                      <w:sz w:val="18"/>
                      <w:szCs w:val="18"/>
                      <w:highlight w:val="none"/>
                      <w:lang w:val="en-US" w:eastAsia="zh-CN"/>
                    </w:rPr>
                    <w:t>19</w:t>
                  </w:r>
                  <w:r>
                    <w:rPr>
                      <w:rFonts w:ascii="Times New Roman" w:hAnsi="Times New Roman"/>
                      <w:color w:val="000000"/>
                      <w:sz w:val="18"/>
                      <w:szCs w:val="18"/>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环境空气质量现状调查数据来源</w:t>
                  </w:r>
                </w:p>
              </w:tc>
              <w:tc>
                <w:tcPr>
                  <w:tcW w:w="2171" w:type="dxa"/>
                  <w:gridSpan w:val="8"/>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长期例行监测数据□</w:t>
                  </w:r>
                </w:p>
              </w:tc>
              <w:tc>
                <w:tcPr>
                  <w:tcW w:w="1848" w:type="dxa"/>
                  <w:gridSpan w:val="6"/>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主管部门发布的数据</w:t>
                  </w:r>
                  <w:r>
                    <w:rPr>
                      <w:rFonts w:ascii="Times New Roman" w:hAnsi="Times New Roman"/>
                      <w:color w:val="000000"/>
                      <w:sz w:val="18"/>
                      <w:szCs w:val="18"/>
                      <w:highlight w:val="none"/>
                    </w:rPr>
                    <w:sym w:font="Wingdings 2" w:char="0052"/>
                  </w:r>
                </w:p>
              </w:tc>
              <w:tc>
                <w:tcPr>
                  <w:tcW w:w="1950" w:type="dxa"/>
                  <w:gridSpan w:val="7"/>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现状补充监测</w:t>
                  </w:r>
                  <w:r>
                    <w:rPr>
                      <w:rFonts w:ascii="Times New Roman" w:hAnsi="Times New Roman"/>
                      <w:color w:val="000000"/>
                      <w:sz w:val="18"/>
                      <w:szCs w:val="18"/>
                      <w:highlight w:val="none"/>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现状评价</w:t>
                  </w:r>
                </w:p>
              </w:tc>
              <w:tc>
                <w:tcPr>
                  <w:tcW w:w="2171" w:type="dxa"/>
                  <w:gridSpan w:val="8"/>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达标区</w:t>
                  </w:r>
                  <w:r>
                    <w:rPr>
                      <w:rFonts w:ascii="Times New Roman" w:hAnsi="Times New Roman"/>
                      <w:color w:val="000000"/>
                      <w:sz w:val="18"/>
                      <w:szCs w:val="18"/>
                      <w:highlight w:val="none"/>
                    </w:rPr>
                    <w:sym w:font="Wingdings 2" w:char="00A3"/>
                  </w:r>
                </w:p>
              </w:tc>
              <w:tc>
                <w:tcPr>
                  <w:tcW w:w="3798" w:type="dxa"/>
                  <w:gridSpan w:val="13"/>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不达标区</w:t>
                  </w:r>
                  <w:r>
                    <w:rPr>
                      <w:rFonts w:ascii="Times New Roman" w:hAnsi="Times New Roman"/>
                      <w:color w:val="000000"/>
                      <w:sz w:val="18"/>
                      <w:szCs w:val="18"/>
                      <w:highlight w:val="none"/>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污染源调查</w:t>
                  </w: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调查内容</w:t>
                  </w:r>
                </w:p>
              </w:tc>
              <w:tc>
                <w:tcPr>
                  <w:tcW w:w="2171" w:type="dxa"/>
                  <w:gridSpan w:val="8"/>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xml:space="preserve">本项目正常排放源 </w:t>
                  </w:r>
                  <w:r>
                    <w:rPr>
                      <w:rFonts w:ascii="Times New Roman" w:hAnsi="Times New Roman"/>
                      <w:color w:val="000000"/>
                      <w:sz w:val="18"/>
                      <w:szCs w:val="18"/>
                      <w:highlight w:val="none"/>
                    </w:rPr>
                    <w:sym w:font="Wingdings 2" w:char="0052"/>
                  </w:r>
                </w:p>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xml:space="preserve">本项目非正常排放源 </w:t>
                  </w:r>
                  <w:r>
                    <w:rPr>
                      <w:rFonts w:ascii="Times New Roman" w:hAnsi="Times New Roman"/>
                      <w:color w:val="000000"/>
                      <w:sz w:val="18"/>
                      <w:szCs w:val="18"/>
                      <w:highlight w:val="none"/>
                    </w:rPr>
                    <w:sym w:font="Wingdings 2" w:char="00A3"/>
                  </w:r>
                </w:p>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现有污染源</w:t>
                  </w:r>
                  <w:r>
                    <w:rPr>
                      <w:rFonts w:ascii="Times New Roman" w:hAnsi="Times New Roman"/>
                      <w:color w:val="000000"/>
                      <w:sz w:val="18"/>
                      <w:szCs w:val="18"/>
                      <w:highlight w:val="none"/>
                    </w:rPr>
                    <w:sym w:font="Wingdings 2" w:char="0052"/>
                  </w:r>
                </w:p>
              </w:tc>
              <w:tc>
                <w:tcPr>
                  <w:tcW w:w="1062" w:type="dxa"/>
                  <w:gridSpan w:val="3"/>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拟替代的污染源□</w:t>
                  </w:r>
                </w:p>
              </w:tc>
              <w:tc>
                <w:tcPr>
                  <w:tcW w:w="1509" w:type="dxa"/>
                  <w:gridSpan w:val="7"/>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其他在建、拟建项目污染源□</w:t>
                  </w:r>
                </w:p>
              </w:tc>
              <w:tc>
                <w:tcPr>
                  <w:tcW w:w="1227" w:type="dxa"/>
                  <w:gridSpan w:val="3"/>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区域污染源□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restart"/>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大气环境影响预测与评价</w:t>
                  </w: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预测模型</w:t>
                  </w:r>
                </w:p>
              </w:tc>
              <w:tc>
                <w:tcPr>
                  <w:tcW w:w="970" w:type="dxa"/>
                  <w:gridSpan w:val="2"/>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AERMOD</w:t>
                  </w:r>
                  <w:r>
                    <w:rPr>
                      <w:rFonts w:ascii="Times New Roman" w:hAnsi="Times New Roman"/>
                      <w:color w:val="000000"/>
                      <w:sz w:val="18"/>
                      <w:szCs w:val="18"/>
                      <w:highlight w:val="none"/>
                    </w:rPr>
                    <w:sym w:font="Wingdings 2" w:char="0052"/>
                  </w:r>
                </w:p>
              </w:tc>
              <w:tc>
                <w:tcPr>
                  <w:tcW w:w="831" w:type="dxa"/>
                  <w:gridSpan w:val="3"/>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ADMS□</w:t>
                  </w:r>
                </w:p>
              </w:tc>
              <w:tc>
                <w:tcPr>
                  <w:tcW w:w="847" w:type="dxa"/>
                  <w:gridSpan w:val="4"/>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AUSTAL2000□</w:t>
                  </w:r>
                </w:p>
              </w:tc>
              <w:tc>
                <w:tcPr>
                  <w:tcW w:w="878" w:type="dxa"/>
                  <w:gridSpan w:val="4"/>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EDMS/AEDT□</w:t>
                  </w:r>
                </w:p>
              </w:tc>
              <w:tc>
                <w:tcPr>
                  <w:tcW w:w="1078" w:type="dxa"/>
                  <w:gridSpan w:val="4"/>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CALPUFF□</w:t>
                  </w:r>
                </w:p>
              </w:tc>
              <w:tc>
                <w:tcPr>
                  <w:tcW w:w="754" w:type="dxa"/>
                  <w:gridSpan w:val="3"/>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网格模型□</w:t>
                  </w:r>
                </w:p>
              </w:tc>
              <w:tc>
                <w:tcPr>
                  <w:tcW w:w="611"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其他</w:t>
                  </w:r>
                </w:p>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预测范围</w:t>
                  </w:r>
                </w:p>
              </w:tc>
              <w:tc>
                <w:tcPr>
                  <w:tcW w:w="1801" w:type="dxa"/>
                  <w:gridSpan w:val="5"/>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边长≥ 50km□</w:t>
                  </w:r>
                </w:p>
              </w:tc>
              <w:tc>
                <w:tcPr>
                  <w:tcW w:w="2218" w:type="dxa"/>
                  <w:gridSpan w:val="9"/>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边长 5～50km □</w:t>
                  </w:r>
                </w:p>
              </w:tc>
              <w:tc>
                <w:tcPr>
                  <w:tcW w:w="1950" w:type="dxa"/>
                  <w:gridSpan w:val="7"/>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xml:space="preserve">边长 = 5 km </w:t>
                  </w:r>
                  <w:r>
                    <w:rPr>
                      <w:rFonts w:ascii="Times New Roman" w:hAnsi="Times New Roman"/>
                      <w:color w:val="000000"/>
                      <w:sz w:val="18"/>
                      <w:szCs w:val="18"/>
                      <w:highlight w:val="none"/>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预测因子</w:t>
                  </w:r>
                </w:p>
              </w:tc>
              <w:tc>
                <w:tcPr>
                  <w:tcW w:w="4019" w:type="dxa"/>
                  <w:gridSpan w:val="14"/>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预测因子 ()</w:t>
                  </w:r>
                </w:p>
              </w:tc>
              <w:tc>
                <w:tcPr>
                  <w:tcW w:w="1950" w:type="dxa"/>
                  <w:gridSpan w:val="7"/>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包括二次 PM2.5 □</w:t>
                  </w:r>
                </w:p>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xml:space="preserve">不包括二次PM2.5 </w:t>
                  </w:r>
                  <w:r>
                    <w:rPr>
                      <w:rFonts w:ascii="Times New Roman" w:hAnsi="Times New Roman"/>
                      <w:color w:val="000000"/>
                      <w:sz w:val="18"/>
                      <w:szCs w:val="18"/>
                      <w:highlight w:val="none"/>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正常排放短期浓度贡献值</w:t>
                  </w:r>
                </w:p>
              </w:tc>
              <w:tc>
                <w:tcPr>
                  <w:tcW w:w="3233" w:type="dxa"/>
                  <w:gridSpan w:val="11"/>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本项目最大占标率≤100%</w:t>
                  </w:r>
                  <w:r>
                    <w:rPr>
                      <w:rFonts w:ascii="Times New Roman" w:hAnsi="Times New Roman"/>
                      <w:color w:val="000000"/>
                      <w:sz w:val="18"/>
                      <w:szCs w:val="18"/>
                      <w:highlight w:val="none"/>
                    </w:rPr>
                    <w:sym w:font="Wingdings 2" w:char="00A3"/>
                  </w:r>
                </w:p>
              </w:tc>
              <w:tc>
                <w:tcPr>
                  <w:tcW w:w="2736" w:type="dxa"/>
                  <w:gridSpan w:val="10"/>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本项目最大占标率＞100%</w:t>
                  </w:r>
                  <w:r>
                    <w:rPr>
                      <w:rFonts w:ascii="Times New Roman" w:hAnsi="Times New Roman"/>
                      <w:color w:val="000000"/>
                      <w:sz w:val="18"/>
                      <w:szCs w:val="18"/>
                      <w:highlight w:val="none"/>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vMerge w:val="restart"/>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正常排放年均浓度贡献值</w:t>
                  </w:r>
                </w:p>
              </w:tc>
              <w:tc>
                <w:tcPr>
                  <w:tcW w:w="847"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一类区</w:t>
                  </w:r>
                </w:p>
              </w:tc>
              <w:tc>
                <w:tcPr>
                  <w:tcW w:w="2386" w:type="dxa"/>
                  <w:gridSpan w:val="10"/>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本项目最大占标率≤10%□</w:t>
                  </w:r>
                </w:p>
              </w:tc>
              <w:tc>
                <w:tcPr>
                  <w:tcW w:w="2736" w:type="dxa"/>
                  <w:gridSpan w:val="10"/>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本项目最大占标率＞≤10%□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vMerge w:val="continue"/>
                  <w:noWrap w:val="0"/>
                  <w:vAlign w:val="center"/>
                </w:tcPr>
                <w:p>
                  <w:pPr>
                    <w:jc w:val="center"/>
                    <w:rPr>
                      <w:rFonts w:ascii="Times New Roman" w:hAnsi="Times New Roman"/>
                      <w:color w:val="000000"/>
                      <w:sz w:val="18"/>
                      <w:szCs w:val="18"/>
                      <w:highlight w:val="none"/>
                    </w:rPr>
                  </w:pPr>
                </w:p>
              </w:tc>
              <w:tc>
                <w:tcPr>
                  <w:tcW w:w="847"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二类区</w:t>
                  </w:r>
                </w:p>
              </w:tc>
              <w:tc>
                <w:tcPr>
                  <w:tcW w:w="2386" w:type="dxa"/>
                  <w:gridSpan w:val="10"/>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本项目最大占标率≤30%</w:t>
                  </w:r>
                  <w:r>
                    <w:rPr>
                      <w:rFonts w:ascii="Times New Roman" w:hAnsi="Times New Roman"/>
                      <w:color w:val="000000"/>
                      <w:sz w:val="18"/>
                      <w:szCs w:val="18"/>
                      <w:highlight w:val="none"/>
                    </w:rPr>
                    <w:sym w:font="Wingdings 2" w:char="00A3"/>
                  </w:r>
                </w:p>
              </w:tc>
              <w:tc>
                <w:tcPr>
                  <w:tcW w:w="2736" w:type="dxa"/>
                  <w:gridSpan w:val="10"/>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本项目最大占标率＞30%□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非正常排放1h浓度贡献值</w:t>
                  </w:r>
                </w:p>
              </w:tc>
              <w:tc>
                <w:tcPr>
                  <w:tcW w:w="1293" w:type="dxa"/>
                  <w:gridSpan w:val="3"/>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非正常持续时长（）h</w:t>
                  </w:r>
                </w:p>
              </w:tc>
              <w:tc>
                <w:tcPr>
                  <w:tcW w:w="1940" w:type="dxa"/>
                  <w:gridSpan w:val="8"/>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xml:space="preserve">非正常占标率≤100% </w:t>
                  </w:r>
                  <w:r>
                    <w:rPr>
                      <w:rFonts w:ascii="Times New Roman" w:hAnsi="Times New Roman"/>
                      <w:color w:val="000000"/>
                      <w:sz w:val="18"/>
                      <w:szCs w:val="18"/>
                      <w:highlight w:val="none"/>
                    </w:rPr>
                    <w:sym w:font="Wingdings 2" w:char="00A3"/>
                  </w:r>
                </w:p>
              </w:tc>
              <w:tc>
                <w:tcPr>
                  <w:tcW w:w="2736" w:type="dxa"/>
                  <w:gridSpan w:val="10"/>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xml:space="preserve">非正常占标率＞100% </w:t>
                  </w:r>
                  <w:r>
                    <w:rPr>
                      <w:rFonts w:ascii="Times New Roman" w:hAnsi="Times New Roman"/>
                      <w:color w:val="000000"/>
                      <w:sz w:val="18"/>
                      <w:szCs w:val="18"/>
                      <w:highlight w:val="none"/>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保证率日平均浓度和年平均浓度叠加值</w:t>
                  </w:r>
                </w:p>
              </w:tc>
              <w:tc>
                <w:tcPr>
                  <w:tcW w:w="3233" w:type="dxa"/>
                  <w:gridSpan w:val="11"/>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xml:space="preserve">叠加达标 </w:t>
                  </w:r>
                  <w:r>
                    <w:rPr>
                      <w:rFonts w:ascii="Times New Roman" w:hAnsi="Times New Roman"/>
                      <w:color w:val="000000"/>
                      <w:sz w:val="18"/>
                      <w:szCs w:val="18"/>
                      <w:highlight w:val="none"/>
                    </w:rPr>
                    <w:sym w:font="Wingdings 2" w:char="00A3"/>
                  </w:r>
                </w:p>
              </w:tc>
              <w:tc>
                <w:tcPr>
                  <w:tcW w:w="2736" w:type="dxa"/>
                  <w:gridSpan w:val="10"/>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叠加不达标</w:t>
                  </w:r>
                  <w:r>
                    <w:rPr>
                      <w:rFonts w:ascii="Times New Roman" w:hAnsi="Times New Roman"/>
                      <w:color w:val="000000"/>
                      <w:sz w:val="18"/>
                      <w:szCs w:val="18"/>
                      <w:highlight w:val="none"/>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区域环境质量的整体变化情况</w:t>
                  </w:r>
                </w:p>
              </w:tc>
              <w:tc>
                <w:tcPr>
                  <w:tcW w:w="3233" w:type="dxa"/>
                  <w:gridSpan w:val="11"/>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xml:space="preserve"> k ≤-20% </w:t>
                  </w:r>
                  <w:r>
                    <w:rPr>
                      <w:rFonts w:ascii="Times New Roman" w:hAnsi="Times New Roman"/>
                      <w:color w:val="000000"/>
                      <w:sz w:val="18"/>
                      <w:szCs w:val="18"/>
                      <w:highlight w:val="none"/>
                    </w:rPr>
                    <w:sym w:font="Wingdings 2" w:char="00A3"/>
                  </w:r>
                </w:p>
              </w:tc>
              <w:tc>
                <w:tcPr>
                  <w:tcW w:w="2736" w:type="dxa"/>
                  <w:gridSpan w:val="10"/>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k ＞-20%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restart"/>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环境监测计划</w:t>
                  </w: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污染源监测</w:t>
                  </w:r>
                </w:p>
              </w:tc>
              <w:tc>
                <w:tcPr>
                  <w:tcW w:w="2079" w:type="dxa"/>
                  <w:gridSpan w:val="7"/>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color w:val="000000"/>
                      <w:sz w:val="18"/>
                      <w:szCs w:val="18"/>
                      <w:highlight w:val="none"/>
                    </w:rPr>
                    <w:t>监测因子：（TSP</w:t>
                  </w:r>
                  <w:r>
                    <w:rPr>
                      <w:rFonts w:hint="eastAsia" w:ascii="Times New Roman" w:hAnsi="Times New Roman"/>
                      <w:color w:val="000000"/>
                      <w:sz w:val="18"/>
                      <w:szCs w:val="18"/>
                      <w:highlight w:val="none"/>
                      <w:lang w:eastAsia="zh-CN"/>
                    </w:rPr>
                    <w:t>）</w:t>
                  </w:r>
                  <w:bookmarkStart w:id="8" w:name="_GoBack"/>
                  <w:bookmarkEnd w:id="8"/>
                </w:p>
              </w:tc>
              <w:tc>
                <w:tcPr>
                  <w:tcW w:w="1955" w:type="dxa"/>
                  <w:gridSpan w:val="8"/>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xml:space="preserve">有组织废气监测 </w:t>
                  </w:r>
                  <w:r>
                    <w:rPr>
                      <w:rFonts w:ascii="Times New Roman" w:hAnsi="Times New Roman"/>
                      <w:color w:val="000000"/>
                      <w:sz w:val="18"/>
                      <w:szCs w:val="18"/>
                      <w:highlight w:val="none"/>
                    </w:rPr>
                    <w:sym w:font="Wingdings 2" w:char="00A3"/>
                  </w:r>
                </w:p>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xml:space="preserve">无组织废气监测 </w:t>
                  </w:r>
                  <w:r>
                    <w:rPr>
                      <w:rFonts w:ascii="Times New Roman" w:hAnsi="Times New Roman"/>
                      <w:color w:val="000000"/>
                      <w:sz w:val="18"/>
                      <w:szCs w:val="18"/>
                      <w:highlight w:val="none"/>
                    </w:rPr>
                    <w:sym w:font="Wingdings 2" w:char="0052"/>
                  </w:r>
                </w:p>
              </w:tc>
              <w:tc>
                <w:tcPr>
                  <w:tcW w:w="1935" w:type="dxa"/>
                  <w:gridSpan w:val="6"/>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无监测□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环境质量监测</w:t>
                  </w:r>
                </w:p>
              </w:tc>
              <w:tc>
                <w:tcPr>
                  <w:tcW w:w="2079" w:type="dxa"/>
                  <w:gridSpan w:val="7"/>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监测因子：（）</w:t>
                  </w:r>
                </w:p>
              </w:tc>
              <w:tc>
                <w:tcPr>
                  <w:tcW w:w="1955" w:type="dxa"/>
                  <w:gridSpan w:val="8"/>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监测点位数（ ）</w:t>
                  </w:r>
                </w:p>
              </w:tc>
              <w:tc>
                <w:tcPr>
                  <w:tcW w:w="1935" w:type="dxa"/>
                  <w:gridSpan w:val="6"/>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无监测</w:t>
                  </w:r>
                  <w:r>
                    <w:rPr>
                      <w:rFonts w:ascii="Times New Roman" w:hAnsi="Times New Roman"/>
                      <w:color w:val="000000"/>
                      <w:sz w:val="18"/>
                      <w:szCs w:val="18"/>
                      <w:highlight w:val="none"/>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restart"/>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评价结论</w:t>
                  </w: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环境影响</w:t>
                  </w:r>
                </w:p>
              </w:tc>
              <w:tc>
                <w:tcPr>
                  <w:tcW w:w="5969" w:type="dxa"/>
                  <w:gridSpan w:val="21"/>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xml:space="preserve">可以接受 </w:t>
                  </w:r>
                  <w:r>
                    <w:rPr>
                      <w:rFonts w:ascii="Times New Roman" w:hAnsi="Times New Roman"/>
                      <w:color w:val="000000"/>
                      <w:sz w:val="18"/>
                      <w:szCs w:val="18"/>
                      <w:highlight w:val="none"/>
                    </w:rPr>
                    <w:sym w:font="Wingdings 2" w:char="0052"/>
                  </w:r>
                  <w:r>
                    <w:rPr>
                      <w:rFonts w:ascii="Times New Roman" w:hAnsi="Times New Roman"/>
                      <w:color w:val="000000"/>
                      <w:sz w:val="18"/>
                      <w:szCs w:val="18"/>
                      <w:highlight w:val="none"/>
                    </w:rPr>
                    <w:t>不可以接受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大气环境防护距离</w:t>
                  </w:r>
                </w:p>
              </w:tc>
              <w:tc>
                <w:tcPr>
                  <w:tcW w:w="5969" w:type="dxa"/>
                  <w:gridSpan w:val="21"/>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距（ ）厂界最远（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8" w:type="dxa"/>
                  <w:vMerge w:val="continue"/>
                  <w:noWrap w:val="0"/>
                  <w:vAlign w:val="center"/>
                </w:tcPr>
                <w:p>
                  <w:pPr>
                    <w:jc w:val="center"/>
                    <w:rPr>
                      <w:rFonts w:ascii="Times New Roman" w:hAnsi="Times New Roman"/>
                      <w:color w:val="000000"/>
                      <w:sz w:val="18"/>
                      <w:szCs w:val="18"/>
                      <w:highlight w:val="none"/>
                    </w:rPr>
                  </w:pPr>
                </w:p>
              </w:tc>
              <w:tc>
                <w:tcPr>
                  <w:tcW w:w="1878" w:type="dxa"/>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污染源年排放量</w:t>
                  </w:r>
                </w:p>
              </w:tc>
              <w:tc>
                <w:tcPr>
                  <w:tcW w:w="1478" w:type="dxa"/>
                  <w:gridSpan w:val="4"/>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xml:space="preserve"> SO</w:t>
                  </w:r>
                  <w:r>
                    <w:rPr>
                      <w:rFonts w:ascii="Times New Roman" w:hAnsi="Times New Roman"/>
                      <w:color w:val="000000"/>
                      <w:sz w:val="18"/>
                      <w:szCs w:val="18"/>
                      <w:highlight w:val="none"/>
                      <w:vertAlign w:val="subscript"/>
                    </w:rPr>
                    <w:t>2</w:t>
                  </w:r>
                  <w:r>
                    <w:rPr>
                      <w:rFonts w:ascii="Times New Roman" w:hAnsi="Times New Roman"/>
                      <w:color w:val="000000"/>
                      <w:sz w:val="18"/>
                      <w:szCs w:val="18"/>
                      <w:highlight w:val="none"/>
                    </w:rPr>
                    <w:t>:（</w:t>
                  </w:r>
                  <w:r>
                    <w:rPr>
                      <w:rFonts w:hint="eastAsia" w:ascii="Times New Roman" w:hAnsi="Times New Roman"/>
                      <w:color w:val="000000"/>
                      <w:sz w:val="18"/>
                      <w:szCs w:val="18"/>
                      <w:highlight w:val="none"/>
                      <w:lang w:val="en-US" w:eastAsia="zh-CN"/>
                    </w:rPr>
                    <w:t>0</w:t>
                  </w:r>
                  <w:r>
                    <w:rPr>
                      <w:rFonts w:ascii="Times New Roman" w:hAnsi="Times New Roman"/>
                      <w:color w:val="000000"/>
                      <w:sz w:val="18"/>
                      <w:szCs w:val="18"/>
                      <w:highlight w:val="none"/>
                    </w:rPr>
                    <w:t>）t/a</w:t>
                  </w:r>
                </w:p>
              </w:tc>
              <w:tc>
                <w:tcPr>
                  <w:tcW w:w="1386" w:type="dxa"/>
                  <w:gridSpan w:val="6"/>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 xml:space="preserve"> NOx:（</w:t>
                  </w:r>
                  <w:r>
                    <w:rPr>
                      <w:rFonts w:hint="eastAsia" w:ascii="Times New Roman" w:hAnsi="Times New Roman"/>
                      <w:color w:val="000000"/>
                      <w:sz w:val="18"/>
                      <w:szCs w:val="18"/>
                      <w:highlight w:val="none"/>
                      <w:lang w:val="en-US" w:eastAsia="zh-CN"/>
                    </w:rPr>
                    <w:t>0</w:t>
                  </w:r>
                  <w:r>
                    <w:rPr>
                      <w:rFonts w:ascii="Times New Roman" w:hAnsi="Times New Roman"/>
                      <w:color w:val="000000"/>
                      <w:sz w:val="18"/>
                      <w:szCs w:val="18"/>
                      <w:highlight w:val="none"/>
                    </w:rPr>
                    <w:t>）t/a</w:t>
                  </w:r>
                </w:p>
              </w:tc>
              <w:tc>
                <w:tcPr>
                  <w:tcW w:w="1524" w:type="dxa"/>
                  <w:gridSpan w:val="6"/>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颗粒物:（</w:t>
                  </w:r>
                  <w:r>
                    <w:rPr>
                      <w:rFonts w:hint="eastAsia" w:ascii="Times New Roman" w:hAnsi="Times New Roman"/>
                      <w:color w:val="000000"/>
                      <w:sz w:val="18"/>
                      <w:szCs w:val="18"/>
                      <w:highlight w:val="none"/>
                      <w:lang w:val="en-US" w:eastAsia="zh-CN"/>
                    </w:rPr>
                    <w:t>0</w:t>
                  </w:r>
                  <w:r>
                    <w:rPr>
                      <w:rFonts w:ascii="Times New Roman" w:hAnsi="Times New Roman"/>
                      <w:color w:val="000000"/>
                      <w:sz w:val="18"/>
                      <w:szCs w:val="18"/>
                      <w:highlight w:val="none"/>
                    </w:rPr>
                    <w:t>）</w:t>
                  </w:r>
                  <w:r>
                    <w:rPr>
                      <w:rFonts w:hint="eastAsia" w:ascii="Times New Roman" w:hAnsi="Times New Roman"/>
                      <w:color w:val="000000"/>
                      <w:sz w:val="18"/>
                      <w:szCs w:val="18"/>
                      <w:highlight w:val="none"/>
                      <w:lang w:val="en-US" w:eastAsia="zh-CN"/>
                    </w:rPr>
                    <w:t>t</w:t>
                  </w:r>
                  <w:r>
                    <w:rPr>
                      <w:rFonts w:ascii="Times New Roman" w:hAnsi="Times New Roman"/>
                      <w:color w:val="000000"/>
                      <w:sz w:val="18"/>
                      <w:szCs w:val="18"/>
                      <w:highlight w:val="none"/>
                    </w:rPr>
                    <w:t>/a</w:t>
                  </w:r>
                </w:p>
              </w:tc>
              <w:tc>
                <w:tcPr>
                  <w:tcW w:w="1581" w:type="dxa"/>
                  <w:gridSpan w:val="5"/>
                  <w:noWrap w:val="0"/>
                  <w:vAlign w:val="center"/>
                </w:tcPr>
                <w:p>
                  <w:pPr>
                    <w:jc w:val="center"/>
                    <w:rPr>
                      <w:rFonts w:ascii="Times New Roman" w:hAnsi="Times New Roman"/>
                      <w:color w:val="000000"/>
                      <w:sz w:val="18"/>
                      <w:szCs w:val="18"/>
                      <w:highlight w:val="none"/>
                    </w:rPr>
                  </w:pPr>
                  <w:r>
                    <w:rPr>
                      <w:rFonts w:ascii="Times New Roman" w:hAnsi="Times New Roman"/>
                      <w:color w:val="000000"/>
                      <w:sz w:val="18"/>
                      <w:szCs w:val="18"/>
                      <w:highlight w:val="none"/>
                    </w:rPr>
                    <w:t>VOCs:（</w:t>
                  </w:r>
                  <w:r>
                    <w:rPr>
                      <w:rFonts w:hint="eastAsia" w:ascii="Times New Roman" w:hAnsi="Times New Roman"/>
                      <w:color w:val="000000"/>
                      <w:sz w:val="18"/>
                      <w:szCs w:val="18"/>
                      <w:highlight w:val="none"/>
                      <w:lang w:val="en-US" w:eastAsia="zh-CN"/>
                    </w:rPr>
                    <w:t>0</w:t>
                  </w:r>
                  <w:r>
                    <w:rPr>
                      <w:rFonts w:ascii="Times New Roman" w:hAnsi="Times New Roman"/>
                      <w:color w:val="000000"/>
                      <w:sz w:val="18"/>
                      <w:szCs w:val="18"/>
                      <w:highlight w:val="none"/>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45" w:type="dxa"/>
                  <w:gridSpan w:val="23"/>
                  <w:noWrap w:val="0"/>
                  <w:vAlign w:val="center"/>
                </w:tcPr>
                <w:p>
                  <w:pPr>
                    <w:jc w:val="left"/>
                    <w:rPr>
                      <w:rFonts w:ascii="Times New Roman" w:hAnsi="Times New Roman"/>
                      <w:color w:val="000000"/>
                      <w:sz w:val="18"/>
                      <w:szCs w:val="18"/>
                      <w:highlight w:val="none"/>
                    </w:rPr>
                  </w:pPr>
                  <w:r>
                    <w:rPr>
                      <w:rFonts w:ascii="Times New Roman" w:hAnsi="Times New Roman"/>
                      <w:color w:val="000000"/>
                      <w:sz w:val="18"/>
                      <w:szCs w:val="18"/>
                      <w:highlight w:val="none"/>
                    </w:rPr>
                    <w:t>注：“□” 为勾选项 ，填“√” ；“（ ）” 为内容填写项</w:t>
                  </w:r>
                </w:p>
              </w:tc>
            </w:tr>
          </w:tbl>
          <w:p>
            <w:pPr>
              <w:spacing w:line="360" w:lineRule="auto"/>
              <w:jc w:val="center"/>
              <w:rPr>
                <w:rFonts w:ascii="Times New Roman" w:hAnsi="Times New Roman"/>
                <w:b/>
                <w:bCs/>
                <w:color w:val="000000"/>
                <w:sz w:val="24"/>
                <w:highlight w:val="none"/>
              </w:rPr>
            </w:pPr>
          </w:p>
          <w:p>
            <w:pPr>
              <w:autoSpaceDE w:val="0"/>
              <w:autoSpaceDN w:val="0"/>
              <w:adjustRightInd w:val="0"/>
              <w:spacing w:line="360" w:lineRule="auto"/>
              <w:rPr>
                <w:rFonts w:ascii="Times New Roman" w:hAnsi="Times New Roman"/>
                <w:bCs/>
                <w:color w:val="000000"/>
                <w:sz w:val="24"/>
                <w:highlight w:val="none"/>
              </w:rPr>
            </w:pPr>
            <w:r>
              <w:rPr>
                <w:rFonts w:ascii="Times New Roman" w:hAnsi="Times New Roman"/>
                <w:bCs/>
                <w:color w:val="000000"/>
                <w:sz w:val="24"/>
                <w:highlight w:val="none"/>
              </w:rPr>
              <w:t xml:space="preserve">    三、声环境影响分析</w:t>
            </w:r>
          </w:p>
          <w:p>
            <w:pPr>
              <w:spacing w:line="360" w:lineRule="auto"/>
              <w:ind w:firstLine="480" w:firstLineChars="200"/>
              <w:rPr>
                <w:rFonts w:ascii="Times New Roman" w:hAnsi="Times New Roman"/>
                <w:color w:val="000000"/>
                <w:sz w:val="24"/>
                <w:highlight w:val="none"/>
              </w:rPr>
            </w:pPr>
            <w:r>
              <w:rPr>
                <w:rFonts w:hint="eastAsia" w:ascii="Times New Roman" w:hAnsi="Times New Roman"/>
                <w:color w:val="000000"/>
                <w:sz w:val="24"/>
                <w:highlight w:val="none"/>
                <w:lang w:val="en-US" w:eastAsia="zh-CN"/>
              </w:rPr>
              <w:t>1、</w:t>
            </w:r>
            <w:r>
              <w:rPr>
                <w:rFonts w:ascii="Times New Roman" w:hAnsi="Times New Roman"/>
                <w:color w:val="000000"/>
                <w:sz w:val="24"/>
                <w:highlight w:val="none"/>
              </w:rPr>
              <w:t>建设项目噪声</w:t>
            </w:r>
            <w:r>
              <w:rPr>
                <w:rFonts w:hint="eastAsia" w:ascii="Times New Roman" w:hAnsi="Times New Roman"/>
                <w:color w:val="000000"/>
                <w:sz w:val="24"/>
                <w:highlight w:val="none"/>
                <w:lang w:val="en-US" w:eastAsia="zh-CN"/>
              </w:rPr>
              <w:t>影响</w:t>
            </w:r>
            <w:r>
              <w:rPr>
                <w:rFonts w:ascii="Times New Roman" w:hAnsi="Times New Roman"/>
                <w:color w:val="000000"/>
                <w:sz w:val="24"/>
                <w:highlight w:val="none"/>
              </w:rPr>
              <w:t>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color w:val="000000"/>
                <w:kern w:val="2"/>
                <w:sz w:val="24"/>
                <w:szCs w:val="24"/>
                <w:lang w:val="en-US" w:eastAsia="zh-CN" w:bidi="ar-SA"/>
              </w:rPr>
            </w:pPr>
            <w:r>
              <w:rPr>
                <w:rFonts w:hint="eastAsia" w:ascii="Times New Roman" w:hAnsi="Times New Roman" w:cs="Times New Roman"/>
                <w:color w:val="000000"/>
                <w:kern w:val="2"/>
                <w:sz w:val="24"/>
                <w:szCs w:val="24"/>
                <w:lang w:val="en-US" w:eastAsia="zh-CN" w:bidi="ar-SA"/>
              </w:rPr>
              <w:t>①噪声源强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000000"/>
                <w:kern w:val="2"/>
                <w:sz w:val="24"/>
                <w:szCs w:val="24"/>
                <w:lang w:val="en-US" w:eastAsia="zh-CN" w:bidi="ar-SA"/>
              </w:rPr>
            </w:pPr>
            <w:r>
              <w:rPr>
                <w:rFonts w:hint="eastAsia" w:ascii="Times New Roman" w:hAnsi="Times New Roman" w:cs="Times New Roman"/>
                <w:color w:val="000000"/>
                <w:kern w:val="2"/>
                <w:sz w:val="24"/>
                <w:szCs w:val="24"/>
                <w:lang w:val="en-US" w:eastAsia="zh-CN" w:bidi="ar-SA"/>
              </w:rPr>
              <w:t>修复</w:t>
            </w:r>
            <w:r>
              <w:rPr>
                <w:rFonts w:hint="default" w:ascii="Times New Roman" w:hAnsi="Times New Roman" w:cs="Times New Roman"/>
                <w:color w:val="000000"/>
                <w:kern w:val="2"/>
                <w:sz w:val="24"/>
                <w:szCs w:val="24"/>
                <w:lang w:val="en-US" w:eastAsia="zh-CN" w:bidi="ar-SA"/>
              </w:rPr>
              <w:t>期的噪声主要来源于现场的各类机械设备和</w:t>
            </w:r>
            <w:r>
              <w:rPr>
                <w:rFonts w:hint="eastAsia" w:ascii="Times New Roman" w:hAnsi="Times New Roman" w:cs="Times New Roman"/>
                <w:color w:val="000000"/>
                <w:kern w:val="2"/>
                <w:sz w:val="24"/>
                <w:szCs w:val="24"/>
                <w:lang w:val="en-US" w:eastAsia="zh-CN" w:bidi="ar-SA"/>
              </w:rPr>
              <w:t>污染土壤</w:t>
            </w:r>
            <w:r>
              <w:rPr>
                <w:rFonts w:hint="default" w:ascii="Times New Roman" w:hAnsi="Times New Roman" w:cs="Times New Roman"/>
                <w:color w:val="000000"/>
                <w:kern w:val="2"/>
                <w:sz w:val="24"/>
                <w:szCs w:val="24"/>
                <w:lang w:val="en-US" w:eastAsia="zh-CN" w:bidi="ar-SA"/>
              </w:rPr>
              <w:t>运输的交通噪声。施工场地噪声主要是施工机械设备噪声，</w:t>
            </w:r>
            <w:r>
              <w:rPr>
                <w:rFonts w:hint="eastAsia" w:ascii="Times New Roman" w:hAnsi="Times New Roman" w:cs="Times New Roman"/>
                <w:color w:val="000000"/>
                <w:kern w:val="2"/>
                <w:sz w:val="24"/>
                <w:szCs w:val="24"/>
                <w:lang w:val="en-US" w:eastAsia="zh-CN" w:bidi="ar-SA"/>
              </w:rPr>
              <w:t>土壤</w:t>
            </w:r>
            <w:r>
              <w:rPr>
                <w:rFonts w:hint="default" w:ascii="Times New Roman" w:hAnsi="Times New Roman" w:cs="Times New Roman"/>
                <w:color w:val="000000"/>
                <w:kern w:val="2"/>
                <w:sz w:val="24"/>
                <w:szCs w:val="24"/>
                <w:lang w:val="en-US" w:eastAsia="zh-CN" w:bidi="ar-SA"/>
              </w:rPr>
              <w:t>装卸碰撞噪声及施工人员的活动噪声，各施工阶段的主要噪声源及其声级见下表：</w:t>
            </w:r>
          </w:p>
          <w:p>
            <w:pPr>
              <w:pStyle w:val="102"/>
              <w:keepNext w:val="0"/>
              <w:keepLines w:val="0"/>
              <w:pageBreakBefore w:val="0"/>
              <w:widowControl w:val="0"/>
              <w:kinsoku/>
              <w:wordWrap/>
              <w:overflowPunct/>
              <w:topLinePunct w:val="0"/>
              <w:autoSpaceDE w:val="0"/>
              <w:autoSpaceDN w:val="0"/>
              <w:bidi w:val="0"/>
              <w:adjustRightInd w:val="0"/>
              <w:snapToGrid/>
              <w:spacing w:line="360" w:lineRule="auto"/>
              <w:ind w:firstLine="476"/>
              <w:jc w:val="center"/>
              <w:textAlignment w:val="baseline"/>
              <w:outlineLvl w:val="9"/>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w:t>
            </w:r>
            <w:r>
              <w:rPr>
                <w:rFonts w:hint="eastAsia" w:ascii="Times New Roman" w:hAnsi="Times New Roman" w:cs="Times New Roman"/>
                <w:b/>
                <w:color w:val="auto"/>
                <w:sz w:val="24"/>
                <w:szCs w:val="24"/>
                <w:lang w:val="en-US" w:eastAsia="zh-CN"/>
              </w:rPr>
              <w:t>7-10</w:t>
            </w:r>
            <w:r>
              <w:rPr>
                <w:rFonts w:hint="default" w:ascii="Times New Roman" w:hAnsi="Times New Roman" w:cs="Times New Roman"/>
                <w:b/>
                <w:color w:val="auto"/>
                <w:sz w:val="24"/>
                <w:szCs w:val="24"/>
              </w:rPr>
              <w:tab/>
            </w:r>
            <w:r>
              <w:rPr>
                <w:rFonts w:hint="eastAsia" w:ascii="Times New Roman" w:hAnsi="Times New Roman" w:cs="Times New Roman"/>
                <w:b/>
                <w:color w:val="auto"/>
                <w:sz w:val="24"/>
                <w:szCs w:val="24"/>
                <w:lang w:val="en-US" w:eastAsia="zh-CN"/>
              </w:rPr>
              <w:t>修复</w:t>
            </w:r>
            <w:r>
              <w:rPr>
                <w:rFonts w:hint="default" w:ascii="Times New Roman" w:hAnsi="Times New Roman" w:cs="Times New Roman"/>
                <w:b/>
                <w:color w:val="auto"/>
                <w:sz w:val="24"/>
                <w:szCs w:val="24"/>
              </w:rPr>
              <w:t>阶段的主要噪声源及其声级（单位：dB（A））</w:t>
            </w:r>
          </w:p>
          <w:tbl>
            <w:tblPr>
              <w:tblStyle w:val="27"/>
              <w:tblW w:w="0" w:type="auto"/>
              <w:jc w:val="center"/>
              <w:tblLayout w:type="fixed"/>
              <w:tblCellMar>
                <w:top w:w="0" w:type="dxa"/>
                <w:left w:w="108" w:type="dxa"/>
                <w:bottom w:w="0" w:type="dxa"/>
                <w:right w:w="108" w:type="dxa"/>
              </w:tblCellMar>
            </w:tblPr>
            <w:tblGrid>
              <w:gridCol w:w="2469"/>
              <w:gridCol w:w="1953"/>
              <w:gridCol w:w="2470"/>
              <w:gridCol w:w="1953"/>
            </w:tblGrid>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施工设备名称</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距声源5m</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施工设备名称</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距声源5m</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液压挖掘机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ind w:right="1"/>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运输车</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ind w:right="1"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电动挖掘机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ind w:right="1"/>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86</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轮式装载机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ind w:right="1"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95</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移动式发电机</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ind w:right="1"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102</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电锤</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105</w:t>
                  </w:r>
                </w:p>
              </w:tc>
            </w:tr>
            <w:tr>
              <w:tblPrEx>
                <w:tblCellMar>
                  <w:top w:w="0" w:type="dxa"/>
                  <w:left w:w="108" w:type="dxa"/>
                  <w:bottom w:w="0" w:type="dxa"/>
                  <w:right w:w="108" w:type="dxa"/>
                </w:tblCellMar>
              </w:tblPrEx>
              <w:trPr>
                <w:trHeight w:val="407" w:hRule="exact"/>
                <w:jc w:val="center"/>
              </w:trPr>
              <w:tc>
                <w:tcPr>
                  <w:tcW w:w="2469"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水泵</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90</w:t>
                  </w:r>
                </w:p>
              </w:tc>
              <w:tc>
                <w:tcPr>
                  <w:tcW w:w="2470"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污水处理站</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pStyle w:val="94"/>
                    <w:kinsoku w:val="0"/>
                    <w:overflowPunct w:val="0"/>
                    <w:spacing w:line="24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80</w:t>
                  </w:r>
                </w:p>
              </w:tc>
            </w:tr>
          </w:tbl>
          <w:p>
            <w:pPr>
              <w:pStyle w:val="12"/>
              <w:kinsoku w:val="0"/>
              <w:overflowPunct w:val="0"/>
              <w:spacing w:line="257" w:lineRule="exact"/>
              <w:ind w:right="232"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注：以上数值取自《环境噪声与振动控制工程技术导则》（</w:t>
            </w:r>
            <w:r>
              <w:rPr>
                <w:rFonts w:hint="default" w:ascii="Times New Roman" w:hAnsi="Times New Roman" w:eastAsia="Times New Roman" w:cs="Times New Roman"/>
                <w:color w:val="auto"/>
                <w:sz w:val="21"/>
                <w:szCs w:val="21"/>
              </w:rPr>
              <w:t>HJ2034-2013</w:t>
            </w:r>
            <w:r>
              <w:rPr>
                <w:rFonts w:hint="default" w:ascii="Times New Roman" w:hAnsi="Times New Roman" w:cs="Times New Roman"/>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000000"/>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outlineLvl w:val="9"/>
              <w:rPr>
                <w:rFonts w:hint="default" w:ascii="Times New Roman" w:hAnsi="Times New Roman" w:eastAsia="宋体" w:cs="Times New Roman"/>
                <w:b/>
                <w:bCs/>
                <w:color w:val="000000"/>
                <w:kern w:val="2"/>
                <w:sz w:val="24"/>
                <w:szCs w:val="24"/>
                <w:lang w:val="en-US" w:eastAsia="zh-CN" w:bidi="ar-SA"/>
              </w:rPr>
            </w:pPr>
            <w:r>
              <w:rPr>
                <w:rFonts w:hint="default" w:ascii="Times New Roman" w:hAnsi="Times New Roman" w:eastAsia="宋体" w:cs="Times New Roman"/>
                <w:b/>
                <w:bCs/>
                <w:color w:val="000000"/>
                <w:kern w:val="2"/>
                <w:sz w:val="24"/>
                <w:szCs w:val="24"/>
                <w:lang w:val="en-US" w:eastAsia="zh-CN" w:bidi="ar-SA"/>
              </w:rPr>
              <w:t>表7-</w:t>
            </w:r>
            <w:r>
              <w:rPr>
                <w:rFonts w:hint="eastAsia" w:ascii="Times New Roman" w:hAnsi="Times New Roman" w:eastAsia="宋体" w:cs="Times New Roman"/>
                <w:b/>
                <w:bCs/>
                <w:color w:val="000000"/>
                <w:kern w:val="2"/>
                <w:sz w:val="24"/>
                <w:szCs w:val="24"/>
                <w:lang w:val="en-US" w:eastAsia="zh-CN" w:bidi="ar-SA"/>
              </w:rPr>
              <w:t>11</w:t>
            </w:r>
            <w:r>
              <w:rPr>
                <w:rFonts w:hint="default" w:ascii="Times New Roman" w:hAnsi="Times New Roman" w:eastAsia="宋体" w:cs="Times New Roman"/>
                <w:b/>
                <w:bCs/>
                <w:color w:val="000000"/>
                <w:kern w:val="2"/>
                <w:sz w:val="24"/>
                <w:szCs w:val="24"/>
                <w:lang w:val="en-US" w:eastAsia="zh-CN" w:bidi="ar-SA"/>
              </w:rPr>
              <w:t xml:space="preserve">    施工设备噪声随距离衰减预测结果一览表   (单位：dB（A）)</w:t>
            </w:r>
          </w:p>
          <w:tbl>
            <w:tblPr>
              <w:tblStyle w:val="27"/>
              <w:tblW w:w="8277" w:type="dxa"/>
              <w:jc w:val="center"/>
              <w:tblLayout w:type="fixed"/>
              <w:tblCellMar>
                <w:top w:w="0" w:type="dxa"/>
                <w:left w:w="0" w:type="dxa"/>
                <w:bottom w:w="0" w:type="dxa"/>
                <w:right w:w="0" w:type="dxa"/>
              </w:tblCellMar>
            </w:tblPr>
            <w:tblGrid>
              <w:gridCol w:w="1654"/>
              <w:gridCol w:w="693"/>
              <w:gridCol w:w="697"/>
              <w:gridCol w:w="693"/>
              <w:gridCol w:w="697"/>
              <w:gridCol w:w="694"/>
              <w:gridCol w:w="695"/>
              <w:gridCol w:w="702"/>
              <w:gridCol w:w="596"/>
              <w:gridCol w:w="605"/>
              <w:gridCol w:w="551"/>
            </w:tblGrid>
            <w:tr>
              <w:tblPrEx>
                <w:tblCellMar>
                  <w:top w:w="0" w:type="dxa"/>
                  <w:left w:w="0" w:type="dxa"/>
                  <w:bottom w:w="0" w:type="dxa"/>
                  <w:right w:w="0" w:type="dxa"/>
                </w:tblCellMar>
              </w:tblPrEx>
              <w:trPr>
                <w:trHeight w:val="567" w:hRule="atLeast"/>
                <w:jc w:val="center"/>
              </w:trPr>
              <w:tc>
                <w:tcPr>
                  <w:tcW w:w="1654" w:type="dxa"/>
                  <w:tcBorders>
                    <w:top w:val="single" w:color="auto" w:sz="6" w:space="0"/>
                    <w:left w:val="single" w:color="auto" w:sz="6" w:space="0"/>
                    <w:bottom w:val="single" w:color="auto" w:sz="6" w:space="0"/>
                    <w:right w:val="single" w:color="auto" w:sz="6" w:space="0"/>
                    <w:tl2br w:val="single" w:color="auto" w:sz="4" w:space="0"/>
                  </w:tcBorders>
                  <w:noWrap w:val="0"/>
                  <w:vAlign w:val="center"/>
                </w:tcPr>
                <w:p>
                  <w:pPr>
                    <w:jc w:val="right"/>
                    <w:rPr>
                      <w:rFonts w:hint="default" w:ascii="Times New Roman" w:hAnsi="Times New Roman" w:cs="Times New Roman"/>
                      <w:color w:val="auto"/>
                    </w:rPr>
                  </w:pPr>
                  <w:r>
                    <w:rPr>
                      <w:rFonts w:hint="default" w:ascii="Times New Roman" w:hAnsi="Times New Roman" w:cs="Times New Roman"/>
                      <w:color w:val="auto"/>
                    </w:rPr>
                    <w:t>距离（m）</w:t>
                  </w:r>
                </w:p>
                <w:p>
                  <w:pPr>
                    <w:jc w:val="center"/>
                    <w:rPr>
                      <w:rFonts w:hint="default" w:ascii="Times New Roman" w:hAnsi="Times New Roman" w:cs="Times New Roman"/>
                      <w:color w:val="auto"/>
                    </w:rPr>
                  </w:pPr>
                </w:p>
                <w:p>
                  <w:pPr>
                    <w:ind w:left="86" w:leftChars="41"/>
                    <w:rPr>
                      <w:rFonts w:hint="default" w:ascii="Times New Roman" w:hAnsi="Times New Roman" w:cs="Times New Roman"/>
                      <w:color w:val="auto"/>
                    </w:rPr>
                  </w:pPr>
                  <w:r>
                    <w:rPr>
                      <w:rFonts w:hint="default" w:ascii="Times New Roman" w:hAnsi="Times New Roman" w:cs="Times New Roman"/>
                      <w:color w:val="auto"/>
                    </w:rPr>
                    <w:t>施工设备</w:t>
                  </w:r>
                </w:p>
              </w:tc>
              <w:tc>
                <w:tcPr>
                  <w:tcW w:w="693"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697"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w:t>
                  </w:r>
                </w:p>
              </w:tc>
              <w:tc>
                <w:tcPr>
                  <w:tcW w:w="693"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30</w:t>
                  </w:r>
                </w:p>
              </w:tc>
              <w:tc>
                <w:tcPr>
                  <w:tcW w:w="697"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40</w:t>
                  </w:r>
                </w:p>
              </w:tc>
              <w:tc>
                <w:tcPr>
                  <w:tcW w:w="694"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60</w:t>
                  </w:r>
                </w:p>
              </w:tc>
              <w:tc>
                <w:tcPr>
                  <w:tcW w:w="695"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80</w:t>
                  </w:r>
                </w:p>
              </w:tc>
              <w:tc>
                <w:tcPr>
                  <w:tcW w:w="702"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100</w:t>
                  </w:r>
                </w:p>
              </w:tc>
              <w:tc>
                <w:tcPr>
                  <w:tcW w:w="596"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150</w:t>
                  </w:r>
                </w:p>
              </w:tc>
              <w:tc>
                <w:tcPr>
                  <w:tcW w:w="605"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200</w:t>
                  </w:r>
                </w:p>
              </w:tc>
              <w:tc>
                <w:tcPr>
                  <w:tcW w:w="551"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250</w:t>
                  </w:r>
                </w:p>
              </w:tc>
            </w:tr>
            <w:tr>
              <w:tblPrEx>
                <w:tblCellMar>
                  <w:top w:w="0" w:type="dxa"/>
                  <w:left w:w="0" w:type="dxa"/>
                  <w:bottom w:w="0" w:type="dxa"/>
                  <w:right w:w="0" w:type="dxa"/>
                </w:tblCellMar>
              </w:tblPrEx>
              <w:trPr>
                <w:trHeight w:val="340" w:hRule="atLeast"/>
                <w:jc w:val="center"/>
              </w:trPr>
              <w:tc>
                <w:tcPr>
                  <w:tcW w:w="165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液压挖掘机</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78</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72</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66</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61</w:t>
                  </w:r>
                </w:p>
              </w:tc>
              <w:tc>
                <w:tcPr>
                  <w:tcW w:w="69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57</w:t>
                  </w:r>
                </w:p>
              </w:tc>
              <w:tc>
                <w:tcPr>
                  <w:tcW w:w="69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54</w:t>
                  </w:r>
                </w:p>
              </w:tc>
              <w:tc>
                <w:tcPr>
                  <w:tcW w:w="70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51</w:t>
                  </w:r>
                </w:p>
              </w:tc>
              <w:tc>
                <w:tcPr>
                  <w:tcW w:w="596"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60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551"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r>
            <w:tr>
              <w:tblPrEx>
                <w:tblCellMar>
                  <w:top w:w="0" w:type="dxa"/>
                  <w:left w:w="0" w:type="dxa"/>
                  <w:bottom w:w="0" w:type="dxa"/>
                  <w:right w:w="0" w:type="dxa"/>
                </w:tblCellMar>
              </w:tblPrEx>
              <w:trPr>
                <w:trHeight w:val="340" w:hRule="atLeast"/>
                <w:jc w:val="center"/>
              </w:trPr>
              <w:tc>
                <w:tcPr>
                  <w:tcW w:w="165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电动挖掘机</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85</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79</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73</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68</w:t>
                  </w:r>
                </w:p>
              </w:tc>
              <w:tc>
                <w:tcPr>
                  <w:tcW w:w="69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63</w:t>
                  </w:r>
                </w:p>
              </w:tc>
              <w:tc>
                <w:tcPr>
                  <w:tcW w:w="69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59</w:t>
                  </w:r>
                </w:p>
              </w:tc>
              <w:tc>
                <w:tcPr>
                  <w:tcW w:w="70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54</w:t>
                  </w:r>
                </w:p>
              </w:tc>
              <w:tc>
                <w:tcPr>
                  <w:tcW w:w="596"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60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551"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r>
            <w:tr>
              <w:tblPrEx>
                <w:tblCellMar>
                  <w:top w:w="0" w:type="dxa"/>
                  <w:left w:w="0" w:type="dxa"/>
                  <w:bottom w:w="0" w:type="dxa"/>
                  <w:right w:w="0" w:type="dxa"/>
                </w:tblCellMar>
              </w:tblPrEx>
              <w:trPr>
                <w:trHeight w:val="340" w:hRule="atLeast"/>
                <w:jc w:val="center"/>
              </w:trPr>
              <w:tc>
                <w:tcPr>
                  <w:tcW w:w="165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轮胎式装载机</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90</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84</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78</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72</w:t>
                  </w:r>
                </w:p>
              </w:tc>
              <w:tc>
                <w:tcPr>
                  <w:tcW w:w="69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68</w:t>
                  </w:r>
                </w:p>
              </w:tc>
              <w:tc>
                <w:tcPr>
                  <w:tcW w:w="69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62</w:t>
                  </w:r>
                </w:p>
              </w:tc>
              <w:tc>
                <w:tcPr>
                  <w:tcW w:w="70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57</w:t>
                  </w:r>
                </w:p>
              </w:tc>
              <w:tc>
                <w:tcPr>
                  <w:tcW w:w="596"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53</w:t>
                  </w:r>
                </w:p>
              </w:tc>
              <w:tc>
                <w:tcPr>
                  <w:tcW w:w="60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551"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r>
            <w:tr>
              <w:tblPrEx>
                <w:tblCellMar>
                  <w:top w:w="0" w:type="dxa"/>
                  <w:left w:w="0" w:type="dxa"/>
                  <w:bottom w:w="0" w:type="dxa"/>
                  <w:right w:w="0" w:type="dxa"/>
                </w:tblCellMar>
              </w:tblPrEx>
              <w:trPr>
                <w:trHeight w:val="340" w:hRule="atLeast"/>
                <w:jc w:val="center"/>
              </w:trPr>
              <w:tc>
                <w:tcPr>
                  <w:tcW w:w="165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运输车辆</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79</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72</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68</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64</w:t>
                  </w:r>
                </w:p>
              </w:tc>
              <w:tc>
                <w:tcPr>
                  <w:tcW w:w="69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60</w:t>
                  </w:r>
                </w:p>
              </w:tc>
              <w:tc>
                <w:tcPr>
                  <w:tcW w:w="69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57</w:t>
                  </w:r>
                </w:p>
              </w:tc>
              <w:tc>
                <w:tcPr>
                  <w:tcW w:w="70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54</w:t>
                  </w:r>
                </w:p>
              </w:tc>
              <w:tc>
                <w:tcPr>
                  <w:tcW w:w="596"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60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551"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r>
            <w:tr>
              <w:tblPrEx>
                <w:tblCellMar>
                  <w:top w:w="0" w:type="dxa"/>
                  <w:left w:w="0" w:type="dxa"/>
                  <w:bottom w:w="0" w:type="dxa"/>
                  <w:right w:w="0" w:type="dxa"/>
                </w:tblCellMar>
              </w:tblPrEx>
              <w:trPr>
                <w:trHeight w:val="340" w:hRule="atLeast"/>
                <w:jc w:val="center"/>
              </w:trPr>
              <w:tc>
                <w:tcPr>
                  <w:tcW w:w="165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发电机组</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95</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90</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85</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79</w:t>
                  </w:r>
                </w:p>
              </w:tc>
              <w:tc>
                <w:tcPr>
                  <w:tcW w:w="69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73</w:t>
                  </w:r>
                </w:p>
              </w:tc>
              <w:tc>
                <w:tcPr>
                  <w:tcW w:w="69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eastAsia" w:ascii="Times New Roman" w:hAnsi="Times New Roman" w:eastAsia="宋体" w:cs="Times New Roman"/>
                      <w:color w:val="auto"/>
                      <w:lang w:eastAsia="zh-CN"/>
                    </w:rPr>
                  </w:pPr>
                  <w:r>
                    <w:rPr>
                      <w:rFonts w:hint="default" w:ascii="Times New Roman" w:hAnsi="Times New Roman" w:cs="Times New Roman"/>
                      <w:color w:val="auto"/>
                    </w:rPr>
                    <w:t>6</w:t>
                  </w:r>
                  <w:r>
                    <w:rPr>
                      <w:rFonts w:hint="eastAsia" w:ascii="Times New Roman" w:hAnsi="Times New Roman" w:cs="Times New Roman"/>
                      <w:color w:val="auto"/>
                      <w:lang w:val="en-US" w:eastAsia="zh-CN"/>
                    </w:rPr>
                    <w:t>5</w:t>
                  </w:r>
                </w:p>
              </w:tc>
              <w:tc>
                <w:tcPr>
                  <w:tcW w:w="70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60</w:t>
                  </w:r>
                </w:p>
              </w:tc>
              <w:tc>
                <w:tcPr>
                  <w:tcW w:w="596"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58</w:t>
                  </w:r>
                </w:p>
              </w:tc>
              <w:tc>
                <w:tcPr>
                  <w:tcW w:w="60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53</w:t>
                  </w:r>
                </w:p>
              </w:tc>
              <w:tc>
                <w:tcPr>
                  <w:tcW w:w="551"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r>
            <w:tr>
              <w:tblPrEx>
                <w:tblCellMar>
                  <w:top w:w="0" w:type="dxa"/>
                  <w:left w:w="0" w:type="dxa"/>
                  <w:bottom w:w="0" w:type="dxa"/>
                  <w:right w:w="0" w:type="dxa"/>
                </w:tblCellMar>
              </w:tblPrEx>
              <w:trPr>
                <w:trHeight w:val="340" w:hRule="atLeast"/>
                <w:jc w:val="center"/>
              </w:trPr>
              <w:tc>
                <w:tcPr>
                  <w:tcW w:w="165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水泵</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86</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80</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75</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70</w:t>
                  </w:r>
                </w:p>
              </w:tc>
              <w:tc>
                <w:tcPr>
                  <w:tcW w:w="69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71</w:t>
                  </w:r>
                </w:p>
              </w:tc>
              <w:tc>
                <w:tcPr>
                  <w:tcW w:w="69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eastAsia" w:ascii="Times New Roman" w:hAnsi="Times New Roman" w:eastAsia="宋体" w:cs="Times New Roman"/>
                      <w:color w:val="auto"/>
                      <w:lang w:eastAsia="zh-CN"/>
                    </w:rPr>
                  </w:pPr>
                  <w:r>
                    <w:rPr>
                      <w:rFonts w:hint="default" w:ascii="Times New Roman" w:hAnsi="Times New Roman" w:cs="Times New Roman"/>
                      <w:color w:val="auto"/>
                    </w:rPr>
                    <w:t>6</w:t>
                  </w:r>
                  <w:r>
                    <w:rPr>
                      <w:rFonts w:hint="eastAsia" w:ascii="Times New Roman" w:hAnsi="Times New Roman" w:cs="Times New Roman"/>
                      <w:color w:val="auto"/>
                      <w:lang w:val="en-US" w:eastAsia="zh-CN"/>
                    </w:rPr>
                    <w:t>5</w:t>
                  </w:r>
                </w:p>
              </w:tc>
              <w:tc>
                <w:tcPr>
                  <w:tcW w:w="70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60</w:t>
                  </w:r>
                </w:p>
              </w:tc>
              <w:tc>
                <w:tcPr>
                  <w:tcW w:w="596"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58</w:t>
                  </w:r>
                </w:p>
              </w:tc>
              <w:tc>
                <w:tcPr>
                  <w:tcW w:w="60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53</w:t>
                  </w:r>
                </w:p>
              </w:tc>
              <w:tc>
                <w:tcPr>
                  <w:tcW w:w="551"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r>
            <w:tr>
              <w:tblPrEx>
                <w:tblCellMar>
                  <w:top w:w="0" w:type="dxa"/>
                  <w:left w:w="0" w:type="dxa"/>
                  <w:bottom w:w="0" w:type="dxa"/>
                  <w:right w:w="0" w:type="dxa"/>
                </w:tblCellMar>
              </w:tblPrEx>
              <w:trPr>
                <w:trHeight w:val="340" w:hRule="atLeast"/>
                <w:jc w:val="center"/>
              </w:trPr>
              <w:tc>
                <w:tcPr>
                  <w:tcW w:w="165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eastAsia" w:ascii="Times New Roman" w:hAnsi="Times New Roman" w:cs="Times New Roman"/>
                      <w:color w:val="auto"/>
                      <w:lang w:val="en-US" w:eastAsia="zh-CN"/>
                    </w:rPr>
                    <w:t>污水处理站</w:t>
                  </w:r>
                  <w:r>
                    <w:rPr>
                      <w:rFonts w:hint="default" w:ascii="Times New Roman" w:hAnsi="Times New Roman" w:cs="Times New Roman"/>
                      <w:color w:val="auto"/>
                    </w:rPr>
                    <w:t>机</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76</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70</w:t>
                  </w:r>
                </w:p>
              </w:tc>
              <w:tc>
                <w:tcPr>
                  <w:tcW w:w="693"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65</w:t>
                  </w:r>
                </w:p>
              </w:tc>
              <w:tc>
                <w:tcPr>
                  <w:tcW w:w="697"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61</w:t>
                  </w:r>
                </w:p>
              </w:tc>
              <w:tc>
                <w:tcPr>
                  <w:tcW w:w="694"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57</w:t>
                  </w:r>
                </w:p>
              </w:tc>
              <w:tc>
                <w:tcPr>
                  <w:tcW w:w="69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54</w:t>
                  </w:r>
                </w:p>
              </w:tc>
              <w:tc>
                <w:tcPr>
                  <w:tcW w:w="70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51</w:t>
                  </w:r>
                </w:p>
              </w:tc>
              <w:tc>
                <w:tcPr>
                  <w:tcW w:w="596"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605"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c>
                <w:tcPr>
                  <w:tcW w:w="551"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default" w:ascii="Times New Roman" w:hAnsi="Times New Roman" w:cs="Times New Roman"/>
                      <w:color w:val="auto"/>
                    </w:rPr>
                  </w:pPr>
                </w:p>
              </w:tc>
            </w:tr>
          </w:tbl>
          <w:p>
            <w:pPr>
              <w:spacing w:line="360" w:lineRule="auto"/>
              <w:ind w:firstLine="480" w:firstLineChars="200"/>
              <w:rPr>
                <w:rFonts w:ascii="Times New Roman" w:hAnsi="Times New Roman"/>
                <w:color w:val="000000"/>
                <w:sz w:val="24"/>
                <w:highlight w:val="none"/>
              </w:rPr>
            </w:pPr>
          </w:p>
          <w:p>
            <w:pPr>
              <w:pStyle w:val="36"/>
              <w:rPr>
                <w:rFonts w:ascii="Times New Roman" w:hAnsi="Times New Roman"/>
                <w:color w:val="000000"/>
                <w:sz w:val="24"/>
                <w:highlight w:val="none"/>
              </w:rPr>
            </w:pPr>
          </w:p>
          <w:p>
            <w:pPr>
              <w:pStyle w:val="15"/>
              <w:rPr>
                <w:rFonts w:ascii="Times New Roman" w:hAnsi="Times New Roman"/>
                <w:color w:val="000000"/>
                <w:sz w:val="24"/>
                <w:highlight w:val="none"/>
              </w:rPr>
            </w:pPr>
          </w:p>
          <w:p>
            <w:pPr>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根据上表，各施工机械单独连续作业时，距声源40m处噪声可满足施工场界昼间75dB（A）标准要求；夜间施工机械在100m以外满足</w:t>
            </w:r>
            <w:r>
              <w:rPr>
                <w:rFonts w:hint="eastAsia" w:ascii="Times New Roman" w:hAnsi="Times New Roman" w:cs="Times New Roman"/>
                <w:bCs/>
                <w:color w:val="auto"/>
                <w:sz w:val="24"/>
                <w:lang w:val="en-US" w:eastAsia="zh-CN"/>
              </w:rPr>
              <w:t xml:space="preserve"> </w:t>
            </w:r>
            <w:r>
              <w:rPr>
                <w:rFonts w:hint="default" w:ascii="Times New Roman" w:hAnsi="Times New Roman" w:cs="Times New Roman"/>
                <w:bCs/>
                <w:color w:val="auto"/>
                <w:sz w:val="24"/>
              </w:rPr>
              <w:t>夜间60dB（A）标准要求，所有施工机械在200m外可满足夜间55dB（A）标准要求。</w:t>
            </w:r>
          </w:p>
          <w:p>
            <w:pPr>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根据上表可知，各施工阶段中，所有该阶段使用的机械同时施工时，在</w:t>
            </w:r>
            <w:r>
              <w:rPr>
                <w:rFonts w:hint="default" w:ascii="Times New Roman" w:hAnsi="Times New Roman" w:cs="Times New Roman"/>
                <w:bCs/>
                <w:color w:val="auto"/>
                <w:sz w:val="24"/>
                <w:lang w:val="en-US" w:eastAsia="zh-CN"/>
              </w:rPr>
              <w:t>拆迁</w:t>
            </w:r>
            <w:r>
              <w:rPr>
                <w:rFonts w:hint="default" w:ascii="Times New Roman" w:hAnsi="Times New Roman" w:cs="Times New Roman"/>
                <w:bCs/>
                <w:color w:val="auto"/>
                <w:sz w:val="24"/>
              </w:rPr>
              <w:t>阶段，昼间应使所有施工机械距施工场界保持60m，夜间应使所有施工机械距施工场界保持200m，方可使施工场界噪声达标；在基础阶段，昼间应使所有施工机械距施工场界保持80m，夜间应禁止施工；在结构阶段，昼间应使所有施工机械距施工场界保持60m，夜间应使所有施工机械距施工场界保持200m，方可使施工场界噪声达标。</w:t>
            </w:r>
          </w:p>
          <w:p>
            <w:pPr>
              <w:snapToGrid w:val="0"/>
              <w:spacing w:line="360" w:lineRule="auto"/>
              <w:ind w:firstLine="480" w:firstLineChars="200"/>
              <w:rPr>
                <w:rFonts w:hint="eastAsia" w:ascii="Times New Roman" w:hAnsi="Times New Roman" w:cs="Times New Roman"/>
                <w:bCs/>
                <w:color w:val="auto"/>
                <w:sz w:val="24"/>
                <w:lang w:val="en-US" w:eastAsia="zh-CN"/>
              </w:rPr>
            </w:pPr>
            <w:r>
              <w:rPr>
                <w:rFonts w:hint="default" w:ascii="Times New Roman" w:hAnsi="Times New Roman" w:cs="Times New Roman"/>
                <w:bCs/>
                <w:color w:val="auto"/>
                <w:sz w:val="24"/>
              </w:rPr>
              <w:t>②</w:t>
            </w:r>
            <w:r>
              <w:rPr>
                <w:rFonts w:hint="eastAsia" w:ascii="Times New Roman" w:hAnsi="Times New Roman" w:cs="Times New Roman"/>
                <w:bCs/>
                <w:color w:val="auto"/>
                <w:sz w:val="24"/>
                <w:lang w:val="en-US" w:eastAsia="zh-CN"/>
              </w:rPr>
              <w:t>预测公式</w:t>
            </w:r>
          </w:p>
          <w:p>
            <w:pPr>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根据《环境影响评价技术导则声环境》（HJ2.4-2009）8.4.5施工场地、调车场、停车场等噪声预测中规定的预测模型，选取附录A中A.1.2单个室外的点声源在预测点产生的声级计算基本公式和A.1.5噪声贡献值计算。</w:t>
            </w:r>
          </w:p>
          <w:p>
            <w:pPr>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如已知声源的倍频带声功率级（从63Hz到8KHz标称频带中心频率的8个倍频带），预测点位置的倍频带声压级Lp(r)可按公式（A.1）计算：</w:t>
            </w:r>
          </w:p>
          <w:p>
            <w:pPr>
              <w:snapToGrid w:val="0"/>
              <w:ind w:firstLine="200" w:firstLineChars="200"/>
              <w:rPr>
                <w:rFonts w:hint="default" w:ascii="Times New Roman" w:hAnsi="Times New Roman" w:cs="Times New Roman"/>
                <w:bCs/>
                <w:color w:val="auto"/>
                <w:sz w:val="10"/>
                <w:szCs w:val="10"/>
              </w:rPr>
            </w:pPr>
          </w:p>
          <w:p>
            <w:pPr>
              <w:snapToGrid w:val="0"/>
              <w:spacing w:line="360" w:lineRule="auto"/>
              <w:ind w:firstLine="1440" w:firstLineChars="600"/>
              <w:rPr>
                <w:rFonts w:hint="default" w:ascii="Times New Roman" w:hAnsi="Times New Roman" w:cs="Times New Roman"/>
                <w:bCs/>
                <w:color w:val="auto"/>
                <w:sz w:val="24"/>
              </w:rPr>
            </w:pPr>
            <w:r>
              <w:rPr>
                <w:rFonts w:hint="default" w:ascii="Times New Roman" w:hAnsi="Times New Roman" w:cs="Times New Roman"/>
                <w:bCs/>
                <w:color w:val="auto"/>
                <w:sz w:val="24"/>
              </w:rPr>
              <w:t>Lp(r)＝L</w:t>
            </w:r>
            <w:r>
              <w:rPr>
                <w:rFonts w:hint="default" w:ascii="Times New Roman" w:hAnsi="Times New Roman" w:cs="Times New Roman"/>
                <w:bCs/>
                <w:color w:val="auto"/>
                <w:sz w:val="24"/>
                <w:vertAlign w:val="subscript"/>
              </w:rPr>
              <w:t>w</w:t>
            </w:r>
            <w:r>
              <w:rPr>
                <w:rFonts w:hint="default" w:ascii="Times New Roman" w:hAnsi="Times New Roman" w:cs="Times New Roman"/>
                <w:bCs/>
                <w:color w:val="auto"/>
                <w:sz w:val="24"/>
              </w:rPr>
              <w:t>＋D</w:t>
            </w:r>
            <w:r>
              <w:rPr>
                <w:rFonts w:hint="default" w:ascii="Times New Roman" w:hAnsi="Times New Roman" w:cs="Times New Roman"/>
                <w:bCs/>
                <w:color w:val="auto"/>
                <w:sz w:val="24"/>
                <w:vertAlign w:val="subscript"/>
              </w:rPr>
              <w:t>c</w:t>
            </w:r>
            <w:r>
              <w:rPr>
                <w:rFonts w:hint="default" w:ascii="Times New Roman" w:hAnsi="Times New Roman" w:cs="Times New Roman"/>
                <w:bCs/>
                <w:color w:val="auto"/>
                <w:sz w:val="24"/>
              </w:rPr>
              <w:t>－A（A.1）</w:t>
            </w:r>
          </w:p>
          <w:p>
            <w:pPr>
              <w:snapToGrid w:val="0"/>
              <w:spacing w:line="360" w:lineRule="auto"/>
              <w:ind w:firstLine="1440" w:firstLineChars="600"/>
              <w:rPr>
                <w:rFonts w:hint="default" w:ascii="Times New Roman" w:hAnsi="Times New Roman" w:cs="Times New Roman"/>
                <w:bCs/>
                <w:color w:val="auto"/>
                <w:sz w:val="24"/>
              </w:rPr>
            </w:pPr>
            <w:r>
              <w:rPr>
                <w:rFonts w:hint="default" w:ascii="Times New Roman" w:hAnsi="Times New Roman" w:cs="Times New Roman"/>
                <w:bCs/>
                <w:color w:val="auto"/>
                <w:sz w:val="24"/>
              </w:rPr>
              <w:t>A＝A</w:t>
            </w:r>
            <w:r>
              <w:rPr>
                <w:rFonts w:hint="default" w:ascii="Times New Roman" w:hAnsi="Times New Roman" w:cs="Times New Roman"/>
                <w:bCs/>
                <w:color w:val="auto"/>
                <w:sz w:val="24"/>
                <w:vertAlign w:val="subscript"/>
              </w:rPr>
              <w:t>div</w:t>
            </w: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atm</w:t>
            </w: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gr</w:t>
            </w: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bar</w:t>
            </w: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misc</w:t>
            </w:r>
          </w:p>
          <w:p>
            <w:pPr>
              <w:snapToGrid w:val="0"/>
              <w:ind w:firstLine="200" w:firstLineChars="200"/>
              <w:rPr>
                <w:rFonts w:hint="default" w:ascii="Times New Roman" w:hAnsi="Times New Roman" w:cs="Times New Roman"/>
                <w:bCs/>
                <w:color w:val="auto"/>
                <w:sz w:val="10"/>
                <w:szCs w:val="10"/>
              </w:rPr>
            </w:pPr>
          </w:p>
          <w:p>
            <w:pPr>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式中：</w:t>
            </w:r>
          </w:p>
          <w:p>
            <w:pPr>
              <w:snapToGrid w:val="0"/>
              <w:spacing w:line="360" w:lineRule="auto"/>
              <w:ind w:firstLine="840" w:firstLineChars="350"/>
              <w:rPr>
                <w:rFonts w:hint="default" w:ascii="Times New Roman" w:hAnsi="Times New Roman" w:cs="Times New Roman"/>
                <w:bCs/>
                <w:color w:val="auto"/>
                <w:sz w:val="24"/>
              </w:rPr>
            </w:pPr>
            <w:r>
              <w:rPr>
                <w:rFonts w:hint="default" w:ascii="Times New Roman" w:hAnsi="Times New Roman" w:cs="Times New Roman"/>
                <w:bCs/>
                <w:color w:val="auto"/>
                <w:sz w:val="24"/>
              </w:rPr>
              <w:t>L</w:t>
            </w:r>
            <w:r>
              <w:rPr>
                <w:rFonts w:hint="default" w:ascii="Times New Roman" w:hAnsi="Times New Roman" w:cs="Times New Roman"/>
                <w:bCs/>
                <w:color w:val="auto"/>
                <w:sz w:val="24"/>
                <w:vertAlign w:val="subscript"/>
              </w:rPr>
              <w:t>w</w:t>
            </w:r>
            <w:r>
              <w:rPr>
                <w:rFonts w:hint="default" w:ascii="Times New Roman" w:hAnsi="Times New Roman" w:cs="Times New Roman"/>
                <w:bCs/>
                <w:color w:val="auto"/>
                <w:sz w:val="24"/>
              </w:rPr>
              <w:t>——倍频带声功率级，dB；</w:t>
            </w:r>
          </w:p>
          <w:p>
            <w:pPr>
              <w:spacing w:line="360" w:lineRule="auto"/>
              <w:ind w:firstLine="840" w:firstLineChars="350"/>
              <w:rPr>
                <w:rFonts w:hint="default" w:ascii="Times New Roman" w:hAnsi="Times New Roman" w:cs="Times New Roman"/>
                <w:bCs/>
                <w:color w:val="auto"/>
                <w:sz w:val="24"/>
              </w:rPr>
            </w:pPr>
            <w:r>
              <w:rPr>
                <w:rFonts w:hint="default" w:ascii="Times New Roman" w:hAnsi="Times New Roman" w:cs="Times New Roman"/>
                <w:bCs/>
                <w:color w:val="auto"/>
                <w:sz w:val="24"/>
              </w:rPr>
              <w:t>D</w:t>
            </w:r>
            <w:r>
              <w:rPr>
                <w:rFonts w:hint="default" w:ascii="Times New Roman" w:hAnsi="Times New Roman" w:cs="Times New Roman"/>
                <w:bCs/>
                <w:color w:val="auto"/>
                <w:sz w:val="24"/>
                <w:vertAlign w:val="subscript"/>
              </w:rPr>
              <w:t>c</w:t>
            </w:r>
            <w:r>
              <w:rPr>
                <w:rFonts w:hint="default" w:ascii="Times New Roman" w:hAnsi="Times New Roman" w:cs="Times New Roman"/>
                <w:bCs/>
                <w:color w:val="auto"/>
                <w:sz w:val="24"/>
              </w:rPr>
              <w:t>——指向性校正，dB；它描述点声源的等效连续声压级与产生声功率级的全向点声源在规定方向的级的偏差程度。指向性校正等于点声源的指向性指数D</w:t>
            </w:r>
            <w:r>
              <w:rPr>
                <w:rFonts w:hint="default" w:ascii="Times New Roman" w:hAnsi="Times New Roman" w:cs="Times New Roman"/>
                <w:bCs/>
                <w:color w:val="auto"/>
                <w:sz w:val="24"/>
                <w:vertAlign w:val="subscript"/>
              </w:rPr>
              <w:t>Ⅰ</w:t>
            </w:r>
            <w:r>
              <w:rPr>
                <w:rFonts w:hint="default" w:ascii="Times New Roman" w:hAnsi="Times New Roman" w:cs="Times New Roman"/>
                <w:bCs/>
                <w:color w:val="auto"/>
                <w:sz w:val="24"/>
              </w:rPr>
              <w:t>加上计到小于4π球面度（sr）立体角内的声传播指数DΩ。对辐射到自由空间的全向点声源，D</w:t>
            </w:r>
            <w:r>
              <w:rPr>
                <w:rFonts w:hint="default" w:ascii="Times New Roman" w:hAnsi="Times New Roman" w:cs="Times New Roman"/>
                <w:bCs/>
                <w:color w:val="auto"/>
                <w:sz w:val="24"/>
                <w:vertAlign w:val="subscript"/>
              </w:rPr>
              <w:t>c</w:t>
            </w:r>
            <w:r>
              <w:rPr>
                <w:rFonts w:hint="default" w:ascii="Times New Roman" w:hAnsi="Times New Roman" w:cs="Times New Roman"/>
                <w:bCs/>
                <w:color w:val="auto"/>
                <w:sz w:val="24"/>
              </w:rPr>
              <w:t>=0dB。</w:t>
            </w:r>
          </w:p>
          <w:p>
            <w:pPr>
              <w:spacing w:line="360" w:lineRule="auto"/>
              <w:ind w:firstLine="720" w:firstLineChars="300"/>
              <w:rPr>
                <w:rFonts w:hint="default" w:ascii="Times New Roman" w:hAnsi="Times New Roman" w:cs="Times New Roman"/>
                <w:bCs/>
                <w:color w:val="auto"/>
                <w:sz w:val="24"/>
              </w:rPr>
            </w:pPr>
            <w:r>
              <w:rPr>
                <w:rFonts w:hint="default" w:ascii="Times New Roman" w:hAnsi="Times New Roman" w:cs="Times New Roman"/>
                <w:bCs/>
                <w:color w:val="auto"/>
                <w:sz w:val="24"/>
              </w:rPr>
              <w:t>A——倍频带衰减，dB；</w:t>
            </w:r>
          </w:p>
          <w:p>
            <w:pPr>
              <w:spacing w:line="360" w:lineRule="auto"/>
              <w:ind w:firstLine="720" w:firstLineChars="300"/>
              <w:rPr>
                <w:rFonts w:hint="default" w:ascii="Times New Roman" w:hAnsi="Times New Roman" w:cs="Times New Roman"/>
                <w:bCs/>
                <w:color w:val="auto"/>
                <w:sz w:val="24"/>
              </w:rPr>
            </w:pP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div</w:t>
            </w:r>
            <w:r>
              <w:rPr>
                <w:rFonts w:hint="default" w:ascii="Times New Roman" w:hAnsi="Times New Roman" w:cs="Times New Roman"/>
                <w:bCs/>
                <w:color w:val="auto"/>
                <w:sz w:val="24"/>
              </w:rPr>
              <w:t>——几何发散引起的倍频带衰减，dB；</w:t>
            </w:r>
          </w:p>
          <w:p>
            <w:pPr>
              <w:spacing w:line="360" w:lineRule="auto"/>
              <w:ind w:firstLine="720" w:firstLineChars="300"/>
              <w:rPr>
                <w:rFonts w:hint="default" w:ascii="Times New Roman" w:hAnsi="Times New Roman" w:cs="Times New Roman"/>
                <w:bCs/>
                <w:color w:val="auto"/>
                <w:sz w:val="24"/>
              </w:rPr>
            </w:pP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atm</w:t>
            </w:r>
            <w:r>
              <w:rPr>
                <w:rFonts w:hint="default" w:ascii="Times New Roman" w:hAnsi="Times New Roman" w:cs="Times New Roman"/>
                <w:bCs/>
                <w:color w:val="auto"/>
                <w:sz w:val="24"/>
              </w:rPr>
              <w:t>——大气吸收引起的倍频带衰减，dB；</w:t>
            </w:r>
          </w:p>
          <w:p>
            <w:pPr>
              <w:spacing w:line="360" w:lineRule="auto"/>
              <w:ind w:firstLine="720" w:firstLineChars="300"/>
              <w:rPr>
                <w:rFonts w:hint="default" w:ascii="Times New Roman" w:hAnsi="Times New Roman" w:cs="Times New Roman"/>
                <w:bCs/>
                <w:color w:val="auto"/>
                <w:sz w:val="24"/>
              </w:rPr>
            </w:pP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gr</w:t>
            </w:r>
            <w:r>
              <w:rPr>
                <w:rFonts w:hint="default" w:ascii="Times New Roman" w:hAnsi="Times New Roman" w:cs="Times New Roman"/>
                <w:bCs/>
                <w:color w:val="auto"/>
                <w:sz w:val="24"/>
              </w:rPr>
              <w:t>——地面效应引起的倍频带衰减，dB；</w:t>
            </w:r>
          </w:p>
          <w:p>
            <w:pPr>
              <w:spacing w:line="360" w:lineRule="auto"/>
              <w:ind w:firstLine="720" w:firstLineChars="300"/>
              <w:rPr>
                <w:rFonts w:hint="default" w:ascii="Times New Roman" w:hAnsi="Times New Roman" w:cs="Times New Roman"/>
                <w:bCs/>
                <w:color w:val="auto"/>
                <w:sz w:val="24"/>
              </w:rPr>
            </w:pP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bar</w:t>
            </w:r>
            <w:r>
              <w:rPr>
                <w:rFonts w:hint="default" w:ascii="Times New Roman" w:hAnsi="Times New Roman" w:cs="Times New Roman"/>
                <w:bCs/>
                <w:color w:val="auto"/>
                <w:sz w:val="24"/>
              </w:rPr>
              <w:t>——声屏障引起的倍频带衰减，dB；</w:t>
            </w:r>
          </w:p>
          <w:p>
            <w:pPr>
              <w:spacing w:line="360" w:lineRule="auto"/>
              <w:ind w:firstLine="720" w:firstLineChars="300"/>
              <w:rPr>
                <w:rFonts w:hint="default" w:ascii="Times New Roman" w:hAnsi="Times New Roman" w:cs="Times New Roman"/>
                <w:bCs/>
                <w:color w:val="auto"/>
                <w:sz w:val="24"/>
              </w:rPr>
            </w:pPr>
            <w:r>
              <w:rPr>
                <w:rFonts w:hint="default" w:ascii="Times New Roman" w:hAnsi="Times New Roman" w:cs="Times New Roman"/>
                <w:bCs/>
                <w:color w:val="auto"/>
                <w:sz w:val="24"/>
              </w:rPr>
              <w:t>A</w:t>
            </w:r>
            <w:r>
              <w:rPr>
                <w:rFonts w:hint="default" w:ascii="Times New Roman" w:hAnsi="Times New Roman" w:cs="Times New Roman"/>
                <w:bCs/>
                <w:color w:val="auto"/>
                <w:sz w:val="24"/>
                <w:vertAlign w:val="subscript"/>
              </w:rPr>
              <w:t>misc</w:t>
            </w:r>
            <w:r>
              <w:rPr>
                <w:rFonts w:hint="default" w:ascii="Times New Roman" w:hAnsi="Times New Roman" w:cs="Times New Roman"/>
                <w:bCs/>
                <w:color w:val="auto"/>
                <w:sz w:val="24"/>
              </w:rPr>
              <w:t>——其他多方面效应引起的倍频带衰减，dB。</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default" w:ascii="Times New Roman" w:hAnsi="Times New Roman" w:cs="Times New Roman"/>
                <w:bCs/>
                <w:color w:val="auto"/>
                <w:sz w:val="10"/>
                <w:szCs w:val="10"/>
              </w:rPr>
            </w:pPr>
            <w:r>
              <w:rPr>
                <w:rFonts w:hint="default" w:ascii="Times New Roman" w:hAnsi="Times New Roman" w:cs="Times New Roman"/>
                <w:bCs/>
                <w:color w:val="auto"/>
                <w:sz w:val="24"/>
              </w:rPr>
              <w:t>如已知靠近声源处某点的倍频带声压级时，相同方向预测点位置的倍频带声压级Lp(r)可按公式（A.2）计算：</w:t>
            </w:r>
          </w:p>
          <w:p>
            <w:pPr>
              <w:keepNext w:val="0"/>
              <w:keepLines w:val="0"/>
              <w:pageBreakBefore w:val="0"/>
              <w:widowControl w:val="0"/>
              <w:kinsoku/>
              <w:wordWrap/>
              <w:overflowPunct/>
              <w:topLinePunct w:val="0"/>
              <w:autoSpaceDE/>
              <w:autoSpaceDN/>
              <w:bidi w:val="0"/>
              <w:spacing w:line="360" w:lineRule="auto"/>
              <w:ind w:firstLine="1320" w:firstLineChars="550"/>
              <w:textAlignment w:val="auto"/>
              <w:outlineLvl w:val="9"/>
              <w:rPr>
                <w:rFonts w:hint="default" w:ascii="Times New Roman" w:hAnsi="Times New Roman" w:cs="Times New Roman"/>
                <w:bCs/>
                <w:color w:val="auto"/>
                <w:sz w:val="10"/>
                <w:szCs w:val="10"/>
              </w:rPr>
            </w:pPr>
            <w:r>
              <w:rPr>
                <w:rFonts w:hint="default" w:ascii="Times New Roman" w:hAnsi="Times New Roman" w:cs="Times New Roman"/>
                <w:bCs/>
                <w:color w:val="auto"/>
                <w:sz w:val="24"/>
              </w:rPr>
              <w:t>Lp(r)＝Lp(r</w:t>
            </w:r>
            <w:r>
              <w:rPr>
                <w:rFonts w:hint="default" w:ascii="Times New Roman" w:hAnsi="Times New Roman" w:cs="Times New Roman"/>
                <w:bCs/>
                <w:color w:val="auto"/>
                <w:sz w:val="24"/>
                <w:vertAlign w:val="subscript"/>
              </w:rPr>
              <w:t>0</w:t>
            </w:r>
            <w:r>
              <w:rPr>
                <w:rFonts w:hint="default" w:ascii="Times New Roman" w:hAnsi="Times New Roman" w:cs="Times New Roman"/>
                <w:bCs/>
                <w:color w:val="auto"/>
                <w:sz w:val="24"/>
              </w:rPr>
              <w:t>)－A（A.2）</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预测点的A声级L</w:t>
            </w:r>
            <w:r>
              <w:rPr>
                <w:rFonts w:hint="default" w:ascii="Times New Roman" w:hAnsi="Times New Roman" w:cs="Times New Roman"/>
                <w:bCs/>
                <w:color w:val="auto"/>
                <w:sz w:val="24"/>
                <w:vertAlign w:val="subscript"/>
              </w:rPr>
              <w:t>A</w:t>
            </w:r>
            <w:r>
              <w:rPr>
                <w:rFonts w:hint="default" w:ascii="Times New Roman" w:hAnsi="Times New Roman" w:cs="Times New Roman"/>
                <w:bCs/>
                <w:color w:val="auto"/>
                <w:sz w:val="24"/>
              </w:rPr>
              <w:t>(r)，可利用8个倍频带的声压级按公式（A.3）计算：</w:t>
            </w:r>
          </w:p>
          <w:p>
            <w:pPr>
              <w:keepNext w:val="0"/>
              <w:keepLines w:val="0"/>
              <w:pageBreakBefore w:val="0"/>
              <w:widowControl w:val="0"/>
              <w:kinsoku/>
              <w:wordWrap/>
              <w:overflowPunct/>
              <w:topLinePunct w:val="0"/>
              <w:autoSpaceDE/>
              <w:autoSpaceDN/>
              <w:bidi w:val="0"/>
              <w:spacing w:line="360" w:lineRule="auto"/>
              <w:ind w:firstLine="1320" w:firstLineChars="55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L</w:t>
            </w:r>
            <w:r>
              <w:rPr>
                <w:rFonts w:hint="default" w:ascii="Times New Roman" w:hAnsi="Times New Roman" w:cs="Times New Roman"/>
                <w:bCs/>
                <w:color w:val="auto"/>
                <w:sz w:val="24"/>
                <w:vertAlign w:val="subscript"/>
              </w:rPr>
              <w:t>A</w:t>
            </w:r>
            <w:r>
              <w:rPr>
                <w:rFonts w:hint="default" w:ascii="Times New Roman" w:hAnsi="Times New Roman" w:cs="Times New Roman"/>
                <w:bCs/>
                <w:color w:val="auto"/>
                <w:sz w:val="24"/>
              </w:rPr>
              <w:t>(r)＝10lg</w:t>
            </w:r>
            <w:r>
              <w:rPr>
                <w:rFonts w:hint="default" w:ascii="Times New Roman" w:hAnsi="Times New Roman" w:cs="Times New Roman"/>
                <w:bCs/>
                <w:color w:val="auto"/>
                <w:sz w:val="24"/>
              </w:rPr>
              <w:fldChar w:fldCharType="begin" w:fldLock="1"/>
            </w:r>
            <w:r>
              <w:rPr>
                <w:rFonts w:hint="default" w:ascii="Times New Roman" w:hAnsi="Times New Roman" w:cs="Times New Roman"/>
                <w:bCs/>
                <w:color w:val="auto"/>
                <w:sz w:val="24"/>
              </w:rPr>
              <w:instrText xml:space="preserve"> QUOTE </w:instrText>
            </w:r>
            <w:r>
              <w:rPr>
                <w:rFonts w:hint="default" w:ascii="Times New Roman" w:hAnsi="Times New Roman" w:cs="Times New Roman"/>
                <w:color w:val="auto"/>
                <w:position w:val="-23"/>
              </w:rPr>
              <w:pict>
                <v:shape id="_x0000_i1025" o:spt="75" type="#_x0000_t75" style="height:31.5pt;width:114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revisionView w:ink-annotations=&quot;off&quot;/&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F06862&quot;/&gt;&lt;wsp:rsid wsp:val=&quot;00156E10&quot;/&gt;&lt;wsp:rsid wsp:val=&quot;00325708&quot;/&gt;&lt;wsp:rsid wsp:val=&quot;004B5EEC&quot;/&gt;&lt;wsp:rsid wsp:val=&quot;005002C0&quot;/&gt;&lt;wsp:rsid wsp:val=&quot;005321B9&quot;/&gt;&lt;wsp:rsid wsp:val=&quot;005918FE&quot;/&gt;&lt;wsp:rsid wsp:val=&quot;005F737D&quot;/&gt;&lt;wsp:rsid wsp:val=&quot;006C0B0D&quot;/&gt;&lt;wsp:rsid wsp:val=&quot;007E302E&quot;/&gt;&lt;wsp:rsid wsp:val=&quot;008C03F7&quot;/&gt;&lt;wsp:rsid wsp:val=&quot;008D6148&quot;/&gt;&lt;wsp:rsid wsp:val=&quot;009901FA&quot;/&gt;&lt;wsp:rsid wsp:val=&quot;00A45A98&quot;/&gt;&lt;wsp:rsid wsp:val=&quot;00AB2E67&quot;/&gt;&lt;wsp:rsid wsp:val=&quot;00B1446C&quot;/&gt;&lt;wsp:rsid wsp:val=&quot;00B24F95&quot;/&gt;&lt;wsp:rsid wsp:val=&quot;00B43256&quot;/&gt;&lt;wsp:rsid wsp:val=&quot;00B72CC6&quot;/&gt;&lt;wsp:rsid wsp:val=&quot;00B75700&quot;/&gt;&lt;wsp:rsid wsp:val=&quot;00BA0BF7&quot;/&gt;&lt;wsp:rsid wsp:val=&quot;00BA4AB5&quot;/&gt;&lt;wsp:rsid wsp:val=&quot;00C01E81&quot;/&gt;&lt;wsp:rsid wsp:val=&quot;00D663D1&quot;/&gt;&lt;wsp:rsid wsp:val=&quot;00F06862&quot;/&gt;&lt;wsp:rsid wsp:val=&quot;00F416E0&quot;/&gt;&lt;wsp:rsid wsp:val=&quot;00F70A67&quot;/&gt;&lt;wsp:rsid wsp:val=&quot;00FB327E&quot;/&gt;&lt;/wsp:rsids&gt;&lt;/w:docPr&gt;&lt;w:body&gt;&lt;wx:sect&gt;&lt;w:p wsp:rsidR=&quot;00000000&quot; wsp:rsidRDefault=&quot;00F70A67&quot; wsp:rsidP=&quot;00F70A67&quot;&gt;&lt;m:oMathPara&gt;&lt;m:oMath&gt;&lt;m:r&gt;&lt;m:rPr&gt;&lt;m:sty m:val=&quot;p&quot;/&gt;&lt;/m:rPr&gt;&lt;w:rPr&gt;&lt;w:rFonts w:ascii=&quot;Cambria Math&quot; w:fareast=&quot;宋体&quot; w:h-ansi=&quot;Cambria Math&quot;/&gt;&lt;wx:font wx:val=&quot;Cambria Math&quot;/&gt;&lt;w:b-cs/&gt;&lt;w:color w:val=&quot;000000&quot;/&gt;&lt;w:sz w:val=&quot;24&quot;/&gt;&lt;w:sz-cs w:val=&quot;24&quot;/&gt;&lt;/w:rPr&gt;&lt;m:t&gt;{&lt;/m:t&gt;&lt;/m:r&gt;&lt;m:nary&gt;&lt;m:naryPr&gt;&lt;m:chr m:val=&quot;∑&quot;/&gt;&lt;m:grow m:val=&quot;1&quot;/&gt;&lt;m:ctrlPr&gt;&lt;w:rPr&gt;&lt;w:rFonts w:ascii=&quot;Cambria Math&quot; w:fareast=&quot;宋体&quot; w:h-ansi=&quot;Cambria Math&quot;/&gt;&lt;wx:font wx:val=&quot;Cambria Math&quot;/&gt;&lt;w:b-cs/&gt;&lt;w:color w:val=&quot;000000&quot;/&gt;&lt;w:sz w:val=&quot;24&quot;/&gt;&lt;w:sz-cs w:val=&quot;24&quot;/&gt;&lt;/w:rPr&gt;&lt;/m:ctrlPr&gt;&lt;/m:naryPr&gt;&lt;m:sub&gt;&lt;m:r&gt;&lt;w:rPr&gt;&lt;w:rFonts w:ascii=&quot;Cambria Math&quot; w:fareast=&quot;宋体&quot; w:h-ansi=&quot;Cambria Math&quot;/&gt;&lt;wx:font wx:val=&quot;Cambria Math&quot;/&gt;&lt;w:b-cs/&gt;&lt;w:i/&gt;&lt;w:color w:val=&quot;000000&quot;/&gt;&lt;w:sz w:val=&quot;24&quot;/&gt;&lt;w:sz-cs w:val=&quot;24&quot;/&gt;&lt;/w:rPr&gt;&lt;m:t&gt;i=0&lt;/m:t&gt;&lt;/m:r&gt;&lt;/m:sub&gt;&lt;m:sup&gt;&lt;m:r&gt;&lt;w:rPr&gt;&lt;w:rFonts w:ascii=&quot;Cambria Math&quot; w:fareast=&quot;宋体&quot; w:h-ansi=&quot;Cambria Math&quot;/&gt;&lt;wx:font wx:val=&quot;Cambria Math&quot;/&gt;&lt;w:b-cs/&gt;&lt;w:i/&gt;&lt;w:color w:val=&quot;000000&quot;/&gt;&lt;w:sz w:val=&quot;24&quot;/&gt;&lt;w:sz-cs w:val=&quot;24&quot;/&gt;&lt;/w:rPr&gt;&lt;m:t&gt;8&lt;/m:t&gt;&lt;/m:r&gt;&lt;/m:sup&gt;&lt;m:e&gt;&lt;m:sSup&gt;&lt;m:sSupPr&gt;&lt;m:ctrlPr&gt;&lt;w:rPr&gt;&lt;w:rFonts w:ascii=&quot;Cambria Math&quot; w:fareast=&quot;宋体&quot; w:h-ansi=&quot;Cambria Math&quot;/&gt;&lt;wx:font wx:val=&quot;Cambria Math&quot;/&gt;&lt;w:b-cs/&gt;&lt;w:i/&gt;&lt;w:color w:val=&quot;000000&quot;/&gt;&lt;w:sz w:val=&quot;24&quot;/&gt;&lt;w:sz-cs w:val=&quot;24&quot;/&gt;&lt;/w:rPr&gt;&lt;/m:ctrlPr&gt;&lt;/m:sSupPr&gt;&lt;m:e&gt;&lt;m:r&gt;&lt;w:rPr&gt;&lt;w:rFonts w:ascii=&quot;Cambria Math&quot; w:fareast=&quot;宋体&quot; w:h-ansi=&quot;Cambria Math&quot;/&gt;&lt;wx:font wx:val=&quot;Cambria Math&quot;/&gt;&lt;w:b-cs/&gt;&lt;w:i/&gt;&lt;w:color w:val=&quot;000000&quot;/&gt;&lt;w:sz w:val=&quot;24&quot;/&gt;&lt;w:sz-cs w:val=&quot;24&quot;/&gt;&lt;/w:rPr&gt;&lt;m:t&gt;10&lt;/m:t&gt;&lt;/m:r&gt;&lt;/m:e&gt;&lt;m:sup&gt;&lt;m:d&gt;&lt;m:dPr&gt;&lt;m:begChr m:val=&quot;[&quot;/&gt;&lt;m:endChr m:val=&quot;]&quot;/&gt;&lt;m:ctrlPr&gt;&lt;w:rPr&gt;&lt;w:rFonts w:ascii=&quot;Cambria Math&quot; w:fareast=&quot;宋体&quot; w:h-ansi=&quot;Cambria Math&quot;/&gt;&lt;wx:font wx:val=&quot;Cambria Math&quot;/&gt;&lt;w:b-cs/&gt;&lt;w:i/&gt;&lt;w:color w:val=&quot;000000&quot;/&gt;&lt;w:sz w:val=&quot;24&quot;/&gt;&lt;w:sz-cs w:val=&quot;24&quot;/&gt;&lt;/w:rPr&gt;&lt;/m:ctrlPr&gt;&lt;/m:dPr&gt;&lt;m:e&gt;&lt;m:r&gt;&lt;w:rPr&gt;&lt;w:rFonts w:ascii=&quot;Cambria Math&quot; w:fareast=&quot;宋体&quot; w:h-ansi=&quot;Cambria Math&quot;/&gt;&lt;wx:font wx:val=&quot;Cambria Math&quot;/&gt;&lt;w:b-cs/&gt;&lt;w:i/&gt;&lt;w:color w:val=&quot;000000&quot;/&gt;&lt;w:sz w:val=&quot;24&quot;/&gt;&lt;w:sz-cs w:val=&quot;24&quot;/&gt;&lt;/w:rPr&gt;&lt;m:t&gt;0.&lt;/m:t&gt;&lt;/m:r&gt;&lt;m:r&gt;&lt;m:rPr&gt;&lt;m:sty m:val=&quot;p&quot;/&gt;&lt;/m:rPr&gt;&lt;w:rPr&gt;&lt;w:rFonts w:ascii=&quot;Cambria Math&quot; w:fareast=&quot;宋体&quot; w:h-ansi=&quot;Cambria Math&quot;/&gt;&lt;wx:font wx:val=&quot;Cambria Math&quot;/&gt;&lt;w:b-cs/&gt;&lt;w:color w:val=&quot;000000&quot;/&gt;&lt;w:sz w:val=&quot;24&quot;/&gt;&lt;w:sz-cs w:val=&quot;24&quot;/&gt;&lt;/w:rPr&gt;&lt;m:t&gt;1Lpi&lt;/m:t&gt;&lt;/m:r&gt;&lt;m:d&gt;&lt;m:dPr&gt;&lt;m:ctrlPr&gt;&lt;w:rPr&gt;&lt;w:rFonts w:ascii=&quot;Cambria Math&quot; w:fareast=&quot;宋体&quot; w:h-ansi=&quot;Cambria Math&quot;/&gt;&lt;wx:font wx:val=&quot;Cambria Math&quot;/&gt;&lt;w:b-cs/&gt;&lt;w:color w:val=&quot;000000&quot;/&gt;&lt;w:sz w:val=&quot;24&quot;/&gt;&lt;w:sz-cs w:val=&quot;24&quot;/&gt;&lt;/w:rPr&gt;&lt;/m:ctrlPr&gt;&lt;/m:dPr&gt;&lt;m:e&gt;&lt;m:r&gt;&lt;m:rPr&gt;&lt;m:sty m:val=&quot;p&quot;/&gt;&lt;/m:rPr&gt;&lt;w:rPr&gt;&lt;w:rFonts w:ascii=&quot;Cambria Math&quot; w:fareast=&quot;宋体&quot; w:h-ansi=&quot;Cambria Math&quot;/&gt;&lt;wx:font wx:val=&quot;Cambria Math&quot;/&gt;&lt;w:b-cs/&gt;&lt;w:color w:val=&quot;000000&quot;/&gt;&lt;w:sz w:val=&quot;24&quot;/&gt;&lt;w:sz-cs w:val=&quot;24&quot;/&gt;&lt;/w:rPr&gt;&lt;m:t&gt;r&lt;/m:t&gt;&lt;/m:r&gt;&lt;/m:e&gt;&lt;/m:d&gt;&lt;m:r&gt;&lt;m:rPr&gt;&lt;m:sty m:val=&quot;p&quot;/&gt;&lt;/m:rPr&gt;&lt;w:rPr&gt;&lt;w:rFonts w:ascii=&quot;Cambria Math&quot; w:fareast=&quot;宋体&quot; w:h-ansi=&quot;Cambria Math&quot;/&gt;&lt;wx:font wx:val=&quot;Cambria Math&quot;/&gt;&lt;w:b-cs/&gt;&lt;w:color w:val=&quot;000000&quot;/&gt;&lt;w:sz w:val=&quot;24&quot;/&gt;&lt;w:sz-cs w:val=&quot;24&quot;/&gt;&lt;/w:rPr&gt;&lt;m:t&gt;-∆Li&lt;/m:t&gt;&lt;/m:r&gt;&lt;/m:e&gt;&lt;/m:d&gt;&lt;/m:sup&gt;&lt;/m:sSup&gt;&lt;/m:e&gt;&lt;/m:nary&gt;&lt;m:r&gt;&lt;w:rPr&gt;&lt;w:rFonts w:ascii=&quot;Cambria Math&quot; w:fareast=&quot;宋体&quot; w:h-ansi=&quot;Cambria Math&quot;/&gt;&lt;wx:font wx:val=&quot;Cambria Math&quot;/&gt;&lt;w:b-cs/&gt;&lt;w:i/&gt;&lt;w:color w:val=&quot;000000&quot;/&gt;&lt;w:sz w:val=&quot;24&quot;/&gt;&lt;w:sz-cs w:val=&quot;24&quot;/&gt;&lt;/w:rPr&gt;&lt;m:t&gt;}&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6" chromakey="#FFFFFF" o:title=""/>
                  <o:lock v:ext="edit" aspectratio="t"/>
                  <w10:wrap type="none"/>
                  <w10:anchorlock/>
                </v:shape>
              </w:pict>
            </w:r>
            <w:r>
              <w:rPr>
                <w:rFonts w:hint="default" w:ascii="Times New Roman" w:hAnsi="Times New Roman" w:cs="Times New Roman"/>
                <w:bCs/>
                <w:color w:val="auto"/>
                <w:sz w:val="24"/>
              </w:rPr>
              <w:instrText xml:space="preserve"> </w:instrText>
            </w:r>
            <w:r>
              <w:rPr>
                <w:rFonts w:hint="default" w:ascii="Times New Roman" w:hAnsi="Times New Roman" w:cs="Times New Roman"/>
                <w:bCs/>
                <w:color w:val="auto"/>
                <w:sz w:val="24"/>
              </w:rPr>
              <w:fldChar w:fldCharType="separate"/>
            </w:r>
            <w:r>
              <w:rPr>
                <w:rFonts w:hint="default" w:ascii="Times New Roman" w:hAnsi="Times New Roman" w:cs="Times New Roman"/>
                <w:color w:val="auto"/>
                <w:position w:val="-23"/>
              </w:rPr>
              <w:pict>
                <v:shape id="_x0000_i1026" o:spt="75" type="#_x0000_t75" style="height:31.5pt;width:114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revisionView w:ink-annotations=&quot;off&quot;/&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F06862&quot;/&gt;&lt;wsp:rsid wsp:val=&quot;00156E10&quot;/&gt;&lt;wsp:rsid wsp:val=&quot;00325708&quot;/&gt;&lt;wsp:rsid wsp:val=&quot;004B5EEC&quot;/&gt;&lt;wsp:rsid wsp:val=&quot;005002C0&quot;/&gt;&lt;wsp:rsid wsp:val=&quot;005321B9&quot;/&gt;&lt;wsp:rsid wsp:val=&quot;005918FE&quot;/&gt;&lt;wsp:rsid wsp:val=&quot;005F737D&quot;/&gt;&lt;wsp:rsid wsp:val=&quot;006C0B0D&quot;/&gt;&lt;wsp:rsid wsp:val=&quot;007E302E&quot;/&gt;&lt;wsp:rsid wsp:val=&quot;008C03F7&quot;/&gt;&lt;wsp:rsid wsp:val=&quot;008D6148&quot;/&gt;&lt;wsp:rsid wsp:val=&quot;009901FA&quot;/&gt;&lt;wsp:rsid wsp:val=&quot;00A45A98&quot;/&gt;&lt;wsp:rsid wsp:val=&quot;00AB2E67&quot;/&gt;&lt;wsp:rsid wsp:val=&quot;00B1446C&quot;/&gt;&lt;wsp:rsid wsp:val=&quot;00B24F95&quot;/&gt;&lt;wsp:rsid wsp:val=&quot;00B43256&quot;/&gt;&lt;wsp:rsid wsp:val=&quot;00B72CC6&quot;/&gt;&lt;wsp:rsid wsp:val=&quot;00B75700&quot;/&gt;&lt;wsp:rsid wsp:val=&quot;00BA0BF7&quot;/&gt;&lt;wsp:rsid wsp:val=&quot;00BA4AB5&quot;/&gt;&lt;wsp:rsid wsp:val=&quot;00C01E81&quot;/&gt;&lt;wsp:rsid wsp:val=&quot;00D663D1&quot;/&gt;&lt;wsp:rsid wsp:val=&quot;00F06862&quot;/&gt;&lt;wsp:rsid wsp:val=&quot;00F416E0&quot;/&gt;&lt;wsp:rsid wsp:val=&quot;00F70A67&quot;/&gt;&lt;wsp:rsid wsp:val=&quot;00FB327E&quot;/&gt;&lt;/wsp:rsids&gt;&lt;/w:docPr&gt;&lt;w:body&gt;&lt;wx:sect&gt;&lt;w:p wsp:rsidR=&quot;00000000&quot; wsp:rsidRDefault=&quot;00F70A67&quot; wsp:rsidP=&quot;00F70A67&quot;&gt;&lt;m:oMathPara&gt;&lt;m:oMath&gt;&lt;m:r&gt;&lt;m:rPr&gt;&lt;m:sty m:val=&quot;p&quot;/&gt;&lt;/m:rPr&gt;&lt;w:rPr&gt;&lt;w:rFonts w:ascii=&quot;Cambria Math&quot; w:fareast=&quot;宋体&quot; w:h-ansi=&quot;Cambria Math&quot;/&gt;&lt;wx:font wx:val=&quot;Cambria Math&quot;/&gt;&lt;w:b-cs/&gt;&lt;w:color w:val=&quot;000000&quot;/&gt;&lt;w:sz w:val=&quot;24&quot;/&gt;&lt;w:sz-cs w:val=&quot;24&quot;/&gt;&lt;/w:rPr&gt;&lt;m:t&gt;{&lt;/m:t&gt;&lt;/m:r&gt;&lt;m:nary&gt;&lt;m:naryPr&gt;&lt;m:chr m:val=&quot;∑&quot;/&gt;&lt;m:grow m:val=&quot;1&quot;/&gt;&lt;m:ctrlPr&gt;&lt;w:rPr&gt;&lt;w:rFonts w:ascii=&quot;Cambria Math&quot; w:fareast=&quot;宋体&quot; w:h-ansi=&quot;Cambria Math&quot;/&gt;&lt;wx:font wx:val=&quot;Cambria Math&quot;/&gt;&lt;w:b-cs/&gt;&lt;w:color w:val=&quot;000000&quot;/&gt;&lt;w:sz w:val=&quot;24&quot;/&gt;&lt;w:sz-cs w:val=&quot;24&quot;/&gt;&lt;/w:rPr&gt;&lt;/m:ctrlPr&gt;&lt;/m:naryPr&gt;&lt;m:sub&gt;&lt;m:r&gt;&lt;w:rPr&gt;&lt;w:rFonts w:ascii=&quot;Cambria Math&quot; w:fareast=&quot;宋体&quot; w:h-ansi=&quot;Cambria Math&quot;/&gt;&lt;wx:font wx:val=&quot;Cambria Math&quot;/&gt;&lt;w:b-cs/&gt;&lt;w:i/&gt;&lt;w:color w:val=&quot;000000&quot;/&gt;&lt;w:sz w:val=&quot;24&quot;/&gt;&lt;w:sz-cs w:val=&quot;24&quot;/&gt;&lt;/w:rPr&gt;&lt;m:t&gt;i=0&lt;/m:t&gt;&lt;/m:r&gt;&lt;/m:sub&gt;&lt;m:sup&gt;&lt;m:r&gt;&lt;w:rPr&gt;&lt;w:rFonts w:ascii=&quot;Cambria Math&quot; w:fareast=&quot;宋体&quot; w:h-ansi=&quot;Cambria Math&quot;/&gt;&lt;wx:font wx:val=&quot;Cambria Math&quot;/&gt;&lt;w:b-cs/&gt;&lt;w:i/&gt;&lt;w:color w:val=&quot;000000&quot;/&gt;&lt;w:sz w:val=&quot;24&quot;/&gt;&lt;w:sz-cs w:val=&quot;24&quot;/&gt;&lt;/w:rPr&gt;&lt;m:t&gt;8&lt;/m:t&gt;&lt;/m:r&gt;&lt;/m:sup&gt;&lt;m:e&gt;&lt;m:sSup&gt;&lt;m:sSupPr&gt;&lt;m:ctrlPr&gt;&lt;w:rPr&gt;&lt;w:rFonts w:ascii=&quot;Cambria Math&quot; w:fareast=&quot;宋体&quot; w:h-ansi=&quot;Cambria Math&quot;/&gt;&lt;wx:font wx:val=&quot;Cambria Math&quot;/&gt;&lt;w:b-cs/&gt;&lt;w:i/&gt;&lt;w:color w:val=&quot;000000&quot;/&gt;&lt;w:sz w:val=&quot;24&quot;/&gt;&lt;w:sz-cs w:val=&quot;24&quot;/&gt;&lt;/w:rPr&gt;&lt;/m:ctrlPr&gt;&lt;/m:sSupPr&gt;&lt;m:e&gt;&lt;m:r&gt;&lt;w:rPr&gt;&lt;w:rFonts w:ascii=&quot;Cambria Math&quot; w:fareast=&quot;宋体&quot; w:h-ansi=&quot;Cambria Math&quot;/&gt;&lt;wx:font wx:val=&quot;Cambria Math&quot;/&gt;&lt;w:b-cs/&gt;&lt;w:i/&gt;&lt;w:color w:val=&quot;000000&quot;/&gt;&lt;w:sz w:val=&quot;24&quot;/&gt;&lt;w:sz-cs w:val=&quot;24&quot;/&gt;&lt;/w:rPr&gt;&lt;m:t&gt;10&lt;/m:t&gt;&lt;/m:r&gt;&lt;/m:e&gt;&lt;m:sup&gt;&lt;m:d&gt;&lt;m:dPr&gt;&lt;m:begChr m:val=&quot;[&quot;/&gt;&lt;m:endChr m:val=&quot;]&quot;/&gt;&lt;m:ctrlPr&gt;&lt;w:rPr&gt;&lt;w:rFonts w:ascii=&quot;Cambria Math&quot; w:fareast=&quot;宋体&quot; w:h-ansi=&quot;Cambria Math&quot;/&gt;&lt;wx:font wx:val=&quot;Cambria Math&quot;/&gt;&lt;w:b-cs/&gt;&lt;w:i/&gt;&lt;w:color w:val=&quot;000000&quot;/&gt;&lt;w:sz w:val=&quot;24&quot;/&gt;&lt;w:sz-cs w:val=&quot;24&quot;/&gt;&lt;/w:rPr&gt;&lt;/m:ctrlPr&gt;&lt;/m:dPr&gt;&lt;m:e&gt;&lt;m:r&gt;&lt;w:rPr&gt;&lt;w:rFonts w:ascii=&quot;Cambria Math&quot; w:fareast=&quot;宋体&quot; w:h-ansi=&quot;Cambria Math&quot;/&gt;&lt;wx:font wx:val=&quot;Cambria Math&quot;/&gt;&lt;w:b-cs/&gt;&lt;w:i/&gt;&lt;w:color w:val=&quot;000000&quot;/&gt;&lt;w:sz w:val=&quot;24&quot;/&gt;&lt;w:sz-cs w:val=&quot;24&quot;/&gt;&lt;/w:rPr&gt;&lt;m:t&gt;0.&lt;/m:t&gt;&lt;/m:r&gt;&lt;m:r&gt;&lt;m:rPr&gt;&lt;m:sty m:val=&quot;p&quot;/&gt;&lt;/m:rPr&gt;&lt;w:rPr&gt;&lt;w:rFonts w:ascii=&quot;Cambria Math&quot; w:fareast=&quot;宋体&quot; w:h-ansi=&quot;Cambria Math&quot;/&gt;&lt;wx:font wx:val=&quot;Cambria Math&quot;/&gt;&lt;w:b-cs/&gt;&lt;w:color w:val=&quot;000000&quot;/&gt;&lt;w:sz w:val=&quot;24&quot;/&gt;&lt;w:sz-cs w:val=&quot;24&quot;/&gt;&lt;/w:rPr&gt;&lt;m:t&gt;1Lpi&lt;/m:t&gt;&lt;/m:r&gt;&lt;m:d&gt;&lt;m:dPr&gt;&lt;m:ctrlPr&gt;&lt;w:rPr&gt;&lt;w:rFonts w:ascii=&quot;Cambria Math&quot; w:fareast=&quot;宋体&quot; w:h-ansi=&quot;Cambria Math&quot;/&gt;&lt;wx:font wx:val=&quot;Cambria Math&quot;/&gt;&lt;w:b-cs/&gt;&lt;w:color w:val=&quot;000000&quot;/&gt;&lt;w:sz w:val=&quot;24&quot;/&gt;&lt;w:sz-cs w:val=&quot;24&quot;/&gt;&lt;/w:rPr&gt;&lt;/m:ctrlPr&gt;&lt;/m:dPr&gt;&lt;m:e&gt;&lt;m:r&gt;&lt;m:rPr&gt;&lt;m:sty m:val=&quot;p&quot;/&gt;&lt;/m:rPr&gt;&lt;w:rPr&gt;&lt;w:rFonts w:ascii=&quot;Cambria Math&quot; w:fareast=&quot;宋体&quot; w:h-ansi=&quot;Cambria Math&quot;/&gt;&lt;wx:font wx:val=&quot;Cambria Math&quot;/&gt;&lt;w:b-cs/&gt;&lt;w:color w:val=&quot;000000&quot;/&gt;&lt;w:sz w:val=&quot;24&quot;/&gt;&lt;w:sz-cs w:val=&quot;24&quot;/&gt;&lt;/w:rPr&gt;&lt;m:t&gt;r&lt;/m:t&gt;&lt;/m:r&gt;&lt;/m:e&gt;&lt;/m:d&gt;&lt;m:r&gt;&lt;m:rPr&gt;&lt;m:sty m:val=&quot;p&quot;/&gt;&lt;/m:rPr&gt;&lt;w:rPr&gt;&lt;w:rFonts w:ascii=&quot;Cambria Math&quot; w:fareast=&quot;宋体&quot; w:h-ansi=&quot;Cambria Math&quot;/&gt;&lt;wx:font wx:val=&quot;Cambria Math&quot;/&gt;&lt;w:b-cs/&gt;&lt;w:color w:val=&quot;000000&quot;/&gt;&lt;w:sz w:val=&quot;24&quot;/&gt;&lt;w:sz-cs w:val=&quot;24&quot;/&gt;&lt;/w:rPr&gt;&lt;m:t&gt;-∆Li&lt;/m:t&gt;&lt;/m:r&gt;&lt;/m:e&gt;&lt;/m:d&gt;&lt;/m:sup&gt;&lt;/m:sSup&gt;&lt;/m:e&gt;&lt;/m:nary&gt;&lt;m:r&gt;&lt;w:rPr&gt;&lt;w:rFonts w:ascii=&quot;Cambria Math&quot; w:fareast=&quot;宋体&quot; w:h-ansi=&quot;Cambria Math&quot;/&gt;&lt;wx:font wx:val=&quot;Cambria Math&quot;/&gt;&lt;w:b-cs/&gt;&lt;w:i/&gt;&lt;w:color w:val=&quot;000000&quot;/&gt;&lt;w:sz w:val=&quot;24&quot;/&gt;&lt;w:sz-cs w:val=&quot;24&quot;/&gt;&lt;/w:rPr&gt;&lt;m:t&gt;}&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6" chromakey="#FFFFFF" o:title=""/>
                  <o:lock v:ext="edit" aspectratio="t"/>
                  <w10:wrap type="none"/>
                  <w10:anchorlock/>
                </v:shape>
              </w:pict>
            </w:r>
            <w:r>
              <w:rPr>
                <w:rFonts w:hint="default" w:ascii="Times New Roman" w:hAnsi="Times New Roman" w:cs="Times New Roman"/>
                <w:bCs/>
                <w:color w:val="auto"/>
                <w:sz w:val="24"/>
              </w:rPr>
              <w:fldChar w:fldCharType="end"/>
            </w:r>
            <w:r>
              <w:rPr>
                <w:rFonts w:hint="default" w:ascii="Times New Roman" w:hAnsi="Times New Roman" w:cs="Times New Roman"/>
                <w:bCs/>
                <w:color w:val="auto"/>
                <w:sz w:val="24"/>
              </w:rPr>
              <w:t>（A.3）</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式中：</w:t>
            </w:r>
          </w:p>
          <w:p>
            <w:pPr>
              <w:keepNext w:val="0"/>
              <w:keepLines w:val="0"/>
              <w:pageBreakBefore w:val="0"/>
              <w:widowControl w:val="0"/>
              <w:kinsoku/>
              <w:wordWrap/>
              <w:overflowPunct/>
              <w:topLinePunct w:val="0"/>
              <w:autoSpaceDE/>
              <w:autoSpaceDN/>
              <w:bidi w:val="0"/>
              <w:spacing w:line="360" w:lineRule="auto"/>
              <w:ind w:firstLine="1200" w:firstLineChars="50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L</w:t>
            </w:r>
            <w:r>
              <w:rPr>
                <w:rFonts w:hint="default" w:ascii="Times New Roman" w:hAnsi="Times New Roman" w:cs="Times New Roman"/>
                <w:bCs/>
                <w:color w:val="auto"/>
                <w:sz w:val="24"/>
                <w:vertAlign w:val="subscript"/>
              </w:rPr>
              <w:t>pi</w:t>
            </w:r>
            <w:r>
              <w:rPr>
                <w:rFonts w:hint="default" w:ascii="Times New Roman" w:hAnsi="Times New Roman" w:cs="Times New Roman"/>
                <w:bCs/>
                <w:color w:val="auto"/>
                <w:sz w:val="24"/>
              </w:rPr>
              <w:t>(r)——预测点（r）处，第Ⅰ倍频带声压级，dB；</w:t>
            </w:r>
          </w:p>
          <w:p>
            <w:pPr>
              <w:keepNext w:val="0"/>
              <w:keepLines w:val="0"/>
              <w:pageBreakBefore w:val="0"/>
              <w:widowControl w:val="0"/>
              <w:kinsoku/>
              <w:wordWrap/>
              <w:overflowPunct/>
              <w:topLinePunct w:val="0"/>
              <w:autoSpaceDE/>
              <w:autoSpaceDN/>
              <w:bidi w:val="0"/>
              <w:spacing w:line="360" w:lineRule="auto"/>
              <w:ind w:firstLine="1080" w:firstLineChars="45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ΔL</w:t>
            </w:r>
            <w:r>
              <w:rPr>
                <w:rFonts w:hint="default" w:ascii="Times New Roman" w:hAnsi="Times New Roman" w:cs="Times New Roman"/>
                <w:bCs/>
                <w:color w:val="auto"/>
                <w:sz w:val="24"/>
                <w:vertAlign w:val="subscript"/>
              </w:rPr>
              <w:t>i</w:t>
            </w:r>
            <w:r>
              <w:rPr>
                <w:rFonts w:hint="default" w:ascii="Times New Roman" w:hAnsi="Times New Roman" w:cs="Times New Roman"/>
                <w:bCs/>
                <w:color w:val="auto"/>
                <w:sz w:val="24"/>
              </w:rPr>
              <w:t>——i倍频带A计权网络修正值，dB（见附录B）。</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在不能取得声源倍频带声功率级或倍频带声压级，只能获得A声功率级或某点的A声级时，可按公式（A.4）和（A.5）作近似计算：</w:t>
            </w:r>
          </w:p>
          <w:p>
            <w:pPr>
              <w:adjustRightInd w:val="0"/>
              <w:snapToGrid w:val="0"/>
              <w:ind w:firstLine="200" w:firstLineChars="200"/>
              <w:rPr>
                <w:rFonts w:hint="default" w:ascii="Times New Roman" w:hAnsi="Times New Roman" w:cs="Times New Roman"/>
                <w:bCs/>
                <w:color w:val="auto"/>
                <w:sz w:val="10"/>
                <w:szCs w:val="10"/>
              </w:rPr>
            </w:pPr>
          </w:p>
          <w:p>
            <w:pPr>
              <w:keepNext w:val="0"/>
              <w:keepLines w:val="0"/>
              <w:pageBreakBefore w:val="0"/>
              <w:widowControl w:val="0"/>
              <w:kinsoku/>
              <w:wordWrap/>
              <w:overflowPunct/>
              <w:topLinePunct w:val="0"/>
              <w:autoSpaceDE/>
              <w:autoSpaceDN/>
              <w:bidi w:val="0"/>
              <w:spacing w:line="360" w:lineRule="auto"/>
              <w:ind w:firstLine="1440" w:firstLineChars="60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L</w:t>
            </w:r>
            <w:r>
              <w:rPr>
                <w:rFonts w:hint="default" w:ascii="Times New Roman" w:hAnsi="Times New Roman" w:cs="Times New Roman"/>
                <w:bCs/>
                <w:color w:val="auto"/>
                <w:sz w:val="24"/>
                <w:vertAlign w:val="subscript"/>
              </w:rPr>
              <w:t>A</w:t>
            </w:r>
            <w:r>
              <w:rPr>
                <w:rFonts w:hint="default" w:ascii="Times New Roman" w:hAnsi="Times New Roman" w:cs="Times New Roman"/>
                <w:bCs/>
                <w:color w:val="auto"/>
                <w:sz w:val="24"/>
              </w:rPr>
              <w:t>(r)＝L</w:t>
            </w:r>
            <w:r>
              <w:rPr>
                <w:rFonts w:hint="default" w:ascii="Times New Roman" w:hAnsi="Times New Roman" w:cs="Times New Roman"/>
                <w:bCs/>
                <w:color w:val="auto"/>
                <w:sz w:val="24"/>
                <w:vertAlign w:val="subscript"/>
              </w:rPr>
              <w:t>AW</w:t>
            </w:r>
            <w:r>
              <w:rPr>
                <w:rFonts w:hint="default" w:ascii="Times New Roman" w:hAnsi="Times New Roman" w:cs="Times New Roman"/>
                <w:bCs/>
                <w:color w:val="auto"/>
                <w:sz w:val="24"/>
              </w:rPr>
              <w:t>－Dc－A（A.4）</w:t>
            </w:r>
          </w:p>
          <w:p>
            <w:pPr>
              <w:keepNext w:val="0"/>
              <w:keepLines w:val="0"/>
              <w:pageBreakBefore w:val="0"/>
              <w:widowControl w:val="0"/>
              <w:kinsoku/>
              <w:wordWrap/>
              <w:overflowPunct/>
              <w:topLinePunct w:val="0"/>
              <w:autoSpaceDE/>
              <w:autoSpaceDN/>
              <w:bidi w:val="0"/>
              <w:spacing w:line="360" w:lineRule="auto"/>
              <w:ind w:firstLine="1080" w:firstLineChars="450"/>
              <w:textAlignment w:val="auto"/>
              <w:outlineLvl w:val="9"/>
              <w:rPr>
                <w:rFonts w:hint="default" w:ascii="Times New Roman" w:hAnsi="Times New Roman" w:cs="Times New Roman"/>
                <w:bCs/>
                <w:color w:val="auto"/>
                <w:sz w:val="10"/>
                <w:szCs w:val="10"/>
              </w:rPr>
            </w:pPr>
            <w:r>
              <w:rPr>
                <w:rFonts w:hint="default" w:ascii="Times New Roman" w:hAnsi="Times New Roman" w:cs="Times New Roman"/>
                <w:bCs/>
                <w:color w:val="auto"/>
                <w:sz w:val="24"/>
              </w:rPr>
              <w:t>或：L</w:t>
            </w:r>
            <w:r>
              <w:rPr>
                <w:rFonts w:hint="default" w:ascii="Times New Roman" w:hAnsi="Times New Roman" w:cs="Times New Roman"/>
                <w:bCs/>
                <w:color w:val="auto"/>
                <w:sz w:val="24"/>
                <w:vertAlign w:val="subscript"/>
              </w:rPr>
              <w:t>A</w:t>
            </w:r>
            <w:r>
              <w:rPr>
                <w:rFonts w:hint="default" w:ascii="Times New Roman" w:hAnsi="Times New Roman" w:cs="Times New Roman"/>
                <w:bCs/>
                <w:color w:val="auto"/>
                <w:sz w:val="24"/>
              </w:rPr>
              <w:t>(r)＝L</w:t>
            </w:r>
            <w:r>
              <w:rPr>
                <w:rFonts w:hint="default" w:ascii="Times New Roman" w:hAnsi="Times New Roman" w:cs="Times New Roman"/>
                <w:bCs/>
                <w:color w:val="auto"/>
                <w:sz w:val="24"/>
                <w:vertAlign w:val="subscript"/>
              </w:rPr>
              <w:t>A</w:t>
            </w:r>
            <w:r>
              <w:rPr>
                <w:rFonts w:hint="default" w:ascii="Times New Roman" w:hAnsi="Times New Roman" w:cs="Times New Roman"/>
                <w:bCs/>
                <w:color w:val="auto"/>
                <w:sz w:val="24"/>
              </w:rPr>
              <w:t>(r</w:t>
            </w:r>
            <w:r>
              <w:rPr>
                <w:rFonts w:hint="default" w:ascii="Times New Roman" w:hAnsi="Times New Roman" w:cs="Times New Roman"/>
                <w:bCs/>
                <w:color w:val="auto"/>
                <w:sz w:val="24"/>
                <w:vertAlign w:val="subscript"/>
              </w:rPr>
              <w:t>0</w:t>
            </w:r>
            <w:r>
              <w:rPr>
                <w:rFonts w:hint="default" w:ascii="Times New Roman" w:hAnsi="Times New Roman" w:cs="Times New Roman"/>
                <w:bCs/>
                <w:color w:val="auto"/>
                <w:sz w:val="24"/>
              </w:rPr>
              <w:t>)－A（A.5）</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A可选择对A声级影响最大的倍频带计算，一般可选中心频率为500H</w:t>
            </w:r>
            <w:r>
              <w:rPr>
                <w:rFonts w:hint="default" w:ascii="Times New Roman" w:hAnsi="Times New Roman" w:cs="Times New Roman"/>
                <w:bCs/>
                <w:color w:val="auto"/>
                <w:sz w:val="24"/>
                <w:vertAlign w:val="subscript"/>
              </w:rPr>
              <w:t>Z</w:t>
            </w:r>
            <w:r>
              <w:rPr>
                <w:rFonts w:hint="default" w:ascii="Times New Roman" w:hAnsi="Times New Roman" w:cs="Times New Roman"/>
                <w:bCs/>
                <w:color w:val="auto"/>
                <w:sz w:val="24"/>
              </w:rPr>
              <w:t>的倍频带作估算。</w:t>
            </w:r>
          </w:p>
          <w:p>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outlineLvl w:val="9"/>
              <w:rPr>
                <w:rFonts w:hint="default" w:ascii="Times New Roman" w:hAnsi="Times New Roman" w:cs="Times New Roman"/>
                <w:color w:val="auto"/>
                <w:sz w:val="10"/>
                <w:szCs w:val="10"/>
              </w:rPr>
            </w:pPr>
            <w:r>
              <w:rPr>
                <w:rFonts w:hint="default" w:ascii="Times New Roman" w:hAnsi="Times New Roman" w:cs="Times New Roman"/>
                <w:color w:val="auto"/>
                <w:sz w:val="24"/>
              </w:rPr>
              <w:t>设第Ⅰ个室外声源在预测点产生的A声级为L</w:t>
            </w:r>
            <w:r>
              <w:rPr>
                <w:rFonts w:hint="default" w:ascii="Times New Roman" w:hAnsi="Times New Roman" w:cs="Times New Roman"/>
                <w:color w:val="auto"/>
                <w:sz w:val="24"/>
                <w:vertAlign w:val="subscript"/>
              </w:rPr>
              <w:t>Ai</w:t>
            </w:r>
            <w:r>
              <w:rPr>
                <w:rFonts w:hint="default" w:ascii="Times New Roman" w:hAnsi="Times New Roman" w:cs="Times New Roman"/>
                <w:color w:val="auto"/>
                <w:sz w:val="24"/>
              </w:rPr>
              <w:t>，在T时间内该声源工作时间为t</w:t>
            </w:r>
            <w:r>
              <w:rPr>
                <w:rFonts w:hint="default" w:ascii="Times New Roman" w:hAnsi="Times New Roman" w:cs="Times New Roman"/>
                <w:color w:val="auto"/>
                <w:sz w:val="24"/>
                <w:vertAlign w:val="subscript"/>
              </w:rPr>
              <w:t>i</w:t>
            </w:r>
            <w:r>
              <w:rPr>
                <w:rFonts w:hint="default" w:ascii="Times New Roman" w:hAnsi="Times New Roman" w:cs="Times New Roman"/>
                <w:color w:val="auto"/>
                <w:sz w:val="24"/>
              </w:rPr>
              <w:t>；第j个等效室外声源在预测点产生的A声级为L</w:t>
            </w:r>
            <w:r>
              <w:rPr>
                <w:rFonts w:hint="default" w:ascii="Times New Roman" w:hAnsi="Times New Roman" w:cs="Times New Roman"/>
                <w:color w:val="auto"/>
                <w:sz w:val="24"/>
                <w:vertAlign w:val="subscript"/>
              </w:rPr>
              <w:t>Ai</w:t>
            </w:r>
            <w:r>
              <w:rPr>
                <w:rFonts w:hint="default" w:ascii="Times New Roman" w:hAnsi="Times New Roman" w:cs="Times New Roman"/>
                <w:color w:val="auto"/>
                <w:sz w:val="24"/>
              </w:rPr>
              <w:t>，在T时间内该声源工作时间为t</w:t>
            </w:r>
            <w:r>
              <w:rPr>
                <w:rFonts w:hint="default" w:ascii="Times New Roman" w:hAnsi="Times New Roman" w:cs="Times New Roman"/>
                <w:color w:val="auto"/>
                <w:sz w:val="24"/>
                <w:vertAlign w:val="subscript"/>
              </w:rPr>
              <w:t>j</w:t>
            </w:r>
            <w:r>
              <w:rPr>
                <w:rFonts w:hint="default" w:ascii="Times New Roman" w:hAnsi="Times New Roman" w:cs="Times New Roman"/>
                <w:color w:val="auto"/>
                <w:sz w:val="24"/>
              </w:rPr>
              <w:t>，则新建工程声源对预测点产生的贡献值（Leqg）为：</w:t>
            </w:r>
          </w:p>
          <w:p>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outlineLvl w:val="9"/>
              <w:rPr>
                <w:rFonts w:hint="default" w:ascii="Times New Roman" w:hAnsi="Times New Roman" w:cs="Times New Roman"/>
                <w:bCs/>
                <w:color w:val="auto"/>
                <w:sz w:val="10"/>
                <w:szCs w:val="10"/>
              </w:rPr>
            </w:pPr>
            <w:r>
              <w:rPr>
                <w:rFonts w:hint="default" w:ascii="Times New Roman" w:hAnsi="Times New Roman" w:cs="Times New Roman"/>
                <w:color w:val="auto"/>
                <w:sz w:val="24"/>
              </w:rPr>
              <w:t>Leqg＝10</w:t>
            </w:r>
            <w:r>
              <w:rPr>
                <w:rFonts w:hint="default" w:ascii="Times New Roman" w:hAnsi="Times New Roman" w:cs="Times New Roman"/>
                <w:bCs/>
                <w:color w:val="auto"/>
                <w:sz w:val="24"/>
              </w:rPr>
              <w:t>lg</w:t>
            </w:r>
            <w:r>
              <w:rPr>
                <w:rFonts w:hint="default" w:ascii="Times New Roman" w:hAnsi="Times New Roman" w:cs="Times New Roman"/>
                <w:bCs/>
                <w:color w:val="auto"/>
                <w:sz w:val="24"/>
              </w:rPr>
              <w:fldChar w:fldCharType="begin" w:fldLock="1"/>
            </w:r>
            <w:r>
              <w:rPr>
                <w:rFonts w:hint="default" w:ascii="Times New Roman" w:hAnsi="Times New Roman" w:cs="Times New Roman"/>
                <w:bCs/>
                <w:color w:val="auto"/>
                <w:sz w:val="24"/>
              </w:rPr>
              <w:instrText xml:space="preserve"> QUOTE </w:instrText>
            </w:r>
            <w:r>
              <w:rPr>
                <w:rFonts w:hint="default" w:ascii="Times New Roman" w:hAnsi="Times New Roman" w:cs="Times New Roman"/>
                <w:color w:val="auto"/>
                <w:position w:val="-24"/>
              </w:rPr>
              <w:pict>
                <v:shape id="_x0000_i1027" o:spt="75" type="#_x0000_t75" style="height:31.5pt;width:186.75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revisionView w:ink-annotations=&quot;off&quot;/&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F06862&quot;/&gt;&lt;wsp:rsid wsp:val=&quot;00156E10&quot;/&gt;&lt;wsp:rsid wsp:val=&quot;00325708&quot;/&gt;&lt;wsp:rsid wsp:val=&quot;004B5EEC&quot;/&gt;&lt;wsp:rsid wsp:val=&quot;005002C0&quot;/&gt;&lt;wsp:rsid wsp:val=&quot;005321B9&quot;/&gt;&lt;wsp:rsid wsp:val=&quot;005918FE&quot;/&gt;&lt;wsp:rsid wsp:val=&quot;005F1836&quot;/&gt;&lt;wsp:rsid wsp:val=&quot;005F737D&quot;/&gt;&lt;wsp:rsid wsp:val=&quot;006C0B0D&quot;/&gt;&lt;wsp:rsid wsp:val=&quot;007E302E&quot;/&gt;&lt;wsp:rsid wsp:val=&quot;008C03F7&quot;/&gt;&lt;wsp:rsid wsp:val=&quot;008D6148&quot;/&gt;&lt;wsp:rsid wsp:val=&quot;009901FA&quot;/&gt;&lt;wsp:rsid wsp:val=&quot;00A45A98&quot;/&gt;&lt;wsp:rsid wsp:val=&quot;00AB2E67&quot;/&gt;&lt;wsp:rsid wsp:val=&quot;00B1446C&quot;/&gt;&lt;wsp:rsid wsp:val=&quot;00B24F95&quot;/&gt;&lt;wsp:rsid wsp:val=&quot;00B43256&quot;/&gt;&lt;wsp:rsid wsp:val=&quot;00B72CC6&quot;/&gt;&lt;wsp:rsid wsp:val=&quot;00B75700&quot;/&gt;&lt;wsp:rsid wsp:val=&quot;00BA0BF7&quot;/&gt;&lt;wsp:rsid wsp:val=&quot;00BA4AB5&quot;/&gt;&lt;wsp:rsid wsp:val=&quot;00C01E81&quot;/&gt;&lt;wsp:rsid wsp:val=&quot;00D663D1&quot;/&gt;&lt;wsp:rsid wsp:val=&quot;00F06862&quot;/&gt;&lt;wsp:rsid wsp:val=&quot;00F416E0&quot;/&gt;&lt;wsp:rsid wsp:val=&quot;00FB327E&quot;/&gt;&lt;/wsp:rsids&gt;&lt;/w:docPr&gt;&lt;w:body&gt;&lt;wx:sect&gt;&lt;w:p wsp:rsidR=&quot;00000000&quot; wsp:rsidRDefault=&quot;005F1836&quot; wsp:rsidP=&quot;005F1836&quot;&gt;&lt;m:oMathPara&gt;&lt;m:oMath&gt;&lt;m:r&gt;&lt;m:rPr&gt;&lt;m:sty m:val=&quot;p&quot;/&gt;&lt;/m:rPr&gt;&lt;w:rPr&gt;&lt;w:rFonts w:ascii=&quot;Cambria Math&quot; w:fareast=&quot;宋体&quot; w:h-ansi=&quot;Cambria Math&quot;/&gt;&lt;wx:font wx:val=&quot;Cambria Math&quot;/&gt;&lt;w:b-cs/&gt;&lt;w:color w:val=&quot;000000&quot;/&gt;&lt;w:sz w:val=&quot;24&quot;/&gt;&lt;w:sz-cs w:val=&quot;24&quot;/&gt;&lt;/w:rPr&gt;&lt;m:t&gt;[&lt;/m:t&gt;&lt;/m:r&gt;&lt;m:f&gt;&lt;m:fPr&gt;&lt;m:ctrlPr&gt;&lt;w:rPr&gt;&lt;w:rFonts w:ascii=&quot;Cambria Math&quot; w:fareast=&quot;宋体&quot; w:h-ansi=&quot;Cambria Math&quot;/&gt;&lt;wx:font wx:val=&quot;Cambria Math&quot;/&gt;&lt;w:b-cs/&gt;&lt;w:color w:val=&quot;000000&quot;/&gt;&lt;w:sz w:val=&quot;24&quot;/&gt;&lt;w:sz-cs w:val=&quot;24&quot;/&gt;&lt;/w:rPr&gt;&lt;/m:ctrlPr&gt;&lt;/m:fPr&gt;&lt;m:num&gt;&lt;m:r&gt;&lt;m:rPr&gt;&lt;m:sty m:val=&quot;p&quot;/&gt;&lt;/m:rPr&gt;&lt;w:rPr&gt;&lt;w:rFonts w:ascii=&quot;Cambria Math&quot; w:fareast=&quot;宋体&quot; w:h-ansi=&quot;Cambria Math&quot;/&gt;&lt;wx:font wx:val=&quot;Cambria Math&quot;/&gt;&lt;w:b-cs/&gt;&lt;w:color w:val=&quot;000000&quot;/&gt;&lt;w:sz w:val=&quot;24&quot;/&gt;&lt;w:sz-cs w:val=&quot;24&quot;/&gt;&lt;/w:rPr&gt;&lt;m:t&gt;1&lt;/m:t&gt;&lt;/m:r&gt;&lt;/m:num&gt;&lt;m:den&gt;&lt;m:r&gt;&lt;m:rPr&gt;&lt;m:sty m:val=&quot;p&quot;/&gt;&lt;/m:rPr&gt;&lt;w:rPr&gt;&lt;w:rFonts w:ascii=&quot;Cambria Math&quot; w:fareast=&quot;宋体&quot; w:h-ansi=&quot;Cambria Math&quot;/&gt;&lt;wx:font wx:val=&quot;Cambria Math&quot;/&gt;&lt;w:b-cs/&gt;&lt;w:color w:val=&quot;000000&quot;/&gt;&lt;w:sz w:val=&quot;24&quot;/&gt;&lt;w:sz-cs w:val=&quot;24&quot;/&gt;&lt;/w:rPr&gt;&lt;m:t&gt;T&lt;/m:t&gt;&lt;/m:r&gt;&lt;/m:den&gt;&lt;/m:f&gt;&lt;m:nary&gt;&lt;m:naryPr&gt;&lt;m:chr m:val=&quot;∑&quot;/&gt;&lt;m:grow m:val=&quot;1&quot;/&gt;&lt;m:ctrlPr&gt;&lt;w:rPr&gt;&lt;w:rFonts w:ascii=&quot;Cambria Math&quot; w:fareast=&quot;宋体&quot; w:h-ansi=&quot;Cambria Math&quot;/&gt;&lt;wx:font wx:val=&quot;Cambria Math&quot;/&gt;&lt;w:b-cs/&gt;&lt;w:color w:val=&quot;000000&quot;/&gt;&lt;w:sz w:val=&quot;24&quot;/&gt;&lt;w:sz-cs w:val=&quot;24&quot;/&gt;&lt;/w:rPr&gt;&lt;/m:ctrlPr&gt;&lt;/m:naryPr&gt;&lt;m:sub&gt;&lt;m:r&gt;&lt;w:rPr&gt;&lt;w:rFonts w:ascii=&quot;Cambria Math&quot; w:fareast=&quot;宋体&quot; w:h-ansi=&quot;Cambria Math&quot;/&gt;&lt;wx:font wx:val=&quot;Cambria Math&quot;/&gt;&lt;w:b-cs/&gt;&lt;w:i/&gt;&lt;w:color w:val=&quot;000000&quot;/&gt;&lt;w:sz w:val=&quot;24&quot;/&gt;&lt;w:sz-cs w:val=&quot;24&quot;/&gt;&lt;/w:rPr&gt;&lt;m:t&gt;i=1&lt;/m:t&gt;&lt;/m:r&gt;&lt;/m:sub&gt;&lt;m:sup&gt;&lt;m:r&gt;&lt;w:rPr&gt;&lt;w:rFonts w:ascii=&quot;Cambria Math&quot; w:fareast=&quot;宋体&quot; w:h-ansi=&quot;Cambria Math&quot;/&gt;&lt;wx:font wx:val=&quot;Cambria Math&quot;/&gt;&lt;w:b-cs/&gt;&lt;w:i/&gt;&lt;w:color w:val=&quot;000000&quot;/&gt;&lt;w:sz w:val=&quot;24&quot;/&gt;&lt;w:sz-cs w:val=&quot;24&quot;/&gt;&lt;/w:rPr&gt;&lt;m:t&gt;N&lt;/m:t&gt;&lt;/m:r&gt;&lt;/m:sup&gt;&lt;m:e&gt;&lt;m:sSup&gt;&lt;m:sSupPr&gt;&lt;m:ctrlPr&gt;&lt;w:rPr&gt;&lt;w:rFonts w:ascii=&quot;Cambria Math&quot; w:fareast=&quot;宋体&quot; w:h-ansi=&quot;Cambria Math&quot;/&gt;&lt;wx:font wx:val=&quot;Cambria Math&quot;/&gt;&lt;w:b-cs/&gt;&lt;w:i/&gt;&lt;w:color w:val=&quot;000000&quot;/&gt;&lt;w:sz w:val=&quot;24&quot;/&gt;&lt;w:sz-cs w:val=&quot;24&quot;/&gt;&lt;/w:rPr&gt;&lt;/m:ctrlPr&gt;&lt;/m:sSupPr&gt;&lt;m:e&gt;&lt;m:r&gt;&lt;w:rPr&gt;&lt;w:rFonts w:ascii=&quot;Cambria Math&quot; w:fareast=&quot;宋体&quot; w:h-ansi=&quot;Cambria Math&quot;/&gt;&lt;wx:font wx:val=&quot;Cambria Math&quot;/&gt;&lt;w:b-cs/&gt;&lt;w:i/&gt;&lt;w:color w:val=&quot;000000&quot;/&gt;&lt;w:sz w:val=&quot;24&quot;/&gt;&lt;w:sz-cs w:val=&quot;24&quot;/&gt;&lt;/w:rPr&gt;&lt;m:t&gt;ti10&lt;/m:t&gt;&lt;/m:r&gt;&lt;/m:e&gt;&lt;m:sup&gt;&lt;m:r&gt;&lt;w:rPr&gt;&lt;w:rFonts w:ascii=&quot;Cambria Math&quot; w:fareast=&quot;宋体&quot; w:h-ansi=&quot;Cambria Math&quot;/&gt;&lt;wx:font wx:val=&quot;Cambria Math&quot;/&gt;&lt;w:b-cs/&gt;&lt;w:i/&gt;&lt;w:color w:val=&quot;000000&quot;/&gt;&lt;w:sz w:val=&quot;24&quot;/&gt;&lt;w:sz-cs w:val=&quot;24&quot;/&gt;&lt;/w:rPr&gt;&lt;m:t&gt;0.&lt;/m:t&gt;&lt;/m:r&gt;&lt;m:r&gt;&lt;m:rPr&gt;&lt;m:sty m:val=&quot;p&quot;/&gt;&lt;/m:rPr&gt;&lt;w:rPr&gt;&lt;w:rFonts w:ascii=&quot;Cambria Math&quot; w:fareast=&quot;宋体&quot; w:h-ansi=&quot;Cambria Math&quot;/&gt;&lt;wx:font wx:val=&quot;Cambria Math&quot;/&gt;&lt;w:b-cs/&gt;&lt;w:color w:val=&quot;000000&quot;/&gt;&lt;w:sz w:val=&quot;24&quot;/&gt;&lt;w:sz-cs w:val=&quot;24&quot;/&gt;&lt;/w:rPr&gt;&lt;m:t&gt;1LAi&lt;/m:t&gt;&lt;/m:r&gt;&lt;/m:sup&gt;&lt;/m:sSup&gt;&lt;/m:e&gt;&lt;/m:nary&gt;&lt;m:r&gt;&lt;w:rPr&gt;&lt;w:rFonts w:ascii=&quot;Cambria Math&quot; w:fareast=&quot;宋体&quot; w:h-ansi=&quot;Cambria Math&quot;/&gt;&lt;wx:font wx:val=&quot;Cambria Math&quot;/&gt;&lt;w:b-cs/&gt;&lt;w:i/&gt;&lt;w:color w:val=&quot;000000&quot;/&gt;&lt;w:sz w:val=&quot;24&quot;/&gt;&lt;w:sz-cs w:val=&quot;24&quot;/&gt;&lt;/w:rPr&gt;&lt;m:t&gt;+&lt;/m:t&gt;&lt;/m:r&gt;&lt;m:nary&gt;&lt;m:naryPr&gt;&lt;m:chr m:val=&quot;∑&quot;/&gt;&lt;m:grow m:val=&quot;1&quot;/&gt;&lt;m:ctrlPr&gt;&lt;w:rPr&gt;&lt;w:rFonts w:ascii=&quot;Cambria Math&quot; w:fareast=&quot;宋体&quot; w:h-ansi=&quot;Cambria Math&quot;/&gt;&lt;wx:font wx:val=&quot;Cambria Math&quot;/&gt;&lt;w:b-cs/&gt;&lt;w:color w:val=&quot;000000&quot;/&gt;&lt;w:sz w:val=&quot;24&quot;/&gt;&lt;w:sz-cs w:val=&quot;24&quot;/&gt;&lt;/w:rPr&gt;&lt;/m:ctrlPr&gt;&lt;/m:naryPr&gt;&lt;m:sub&gt;&lt;m:r&gt;&lt;w:rPr&gt;&lt;w:rFonts w:ascii=&quot;Cambria Math&quot; w:fareast=&quot;宋体&quot; w:h-ansi=&quot;Cambria Math&quot;/&gt;&lt;wx:font wx:val=&quot;Cambria Math&quot;/&gt;&lt;w:b-cs/&gt;&lt;w:i/&gt;&lt;w:color w:val=&quot;000000&quot;/&gt;&lt;w:sz w:val=&quot;24&quot;/&gt;&lt;w:sz-cs w:val=&quot;24&quot;/&gt;&lt;/w:rPr&gt;&lt;m:t&gt;j=1&lt;/m:t&gt;&lt;/m:r&gt;&lt;/m:sub&gt;&lt;m:sup&gt;&lt;m:r&gt;&lt;w:rPr&gt;&lt;w:rFonts w:ascii=&quot;Cambria Math&quot; w:fareast=&quot;宋体&quot; w:h-ansi=&quot;Cambria Math&quot;/&gt;&lt;wx:font wx:val=&quot;Cambria Math&quot;/&gt;&lt;w:b-cs/&gt;&lt;w:i/&gt;&lt;w:color w:val=&quot;000000&quot;/&gt;&lt;w:sz w:val=&quot;24&quot;/&gt;&lt;w:sz-cs w:val=&quot;24&quot;/&gt;&lt;/w:rPr&gt;&lt;m:t&gt;M&lt;/m:t&gt;&lt;/m:r&gt;&lt;/m:sup&gt;&lt;m:e&gt;&lt;m:sSup&gt;&lt;m:sSupPr&gt;&lt;m:ctrlPr&gt;&lt;w:rPr&gt;&lt;w:rFonts w:ascii=&quot;Cambria Math&quot; w:fareast=&quot;宋体&quot; w:h-ansi=&quot;Cambria Math&quot;/&gt;&lt;wx:font wx:val=&quot;Cambria Math&quot;/&gt;&lt;w:b-cs/&gt;&lt;w:i/&gt;&lt;w:color w:val=&quot;000000&quot;/&gt;&lt;w:sz w:val=&quot;24&quot;/&gt;&lt;w:sz-cs w:val=&quot;24&quot;/&gt;&lt;/w:rPr&gt;&lt;/m:ctrlPr&gt;&lt;/m:sSupPr&gt;&lt;m:e&gt;&lt;m:r&gt;&lt;w:rPr&gt;&lt;w:rFonts w:ascii=&quot;Cambria Math&quot; w:fareast=&quot;宋体&quot; w:h-ansi=&quot;Cambria Math&quot;/&gt;&lt;wx:font wx:val=&quot;Cambria Math&quot;/&gt;&lt;w:b-cs/&gt;&lt;w:i/&gt;&lt;w:color w:val=&quot;000000&quot;/&gt;&lt;w:sz w:val=&quot;24&quot;/&gt;&lt;w:sz-cs w:val=&quot;24&quot;/&gt;&lt;/w:rPr&gt;&lt;m:t&gt;tj10&lt;/m:t&gt;&lt;/m:r&gt;&lt;/m:e&gt;&lt;m:sup&gt;&lt;m:r&gt;&lt;w:rPr&gt;&lt;w:rFonts w:ascii=&quot;Cambria Math&quot; w:fareast=&quot;宋体&quot; w:h-ansi=&quot;Cambria Math&quot;/&gt;&lt;wx:font wx:val=&quot;Cambria Math&quot;/&gt;&lt;w:b-cs/&gt;&lt;w:i/&gt;&lt;w:color w:val=&quot;000000&quot;/&gt;&lt;w:sz w:val=&quot;24&quot;/&gt;&lt;w:sz-cs w:val=&quot;24&quot;/&gt;&lt;/w:rPr&gt;&lt;m:t&gt;0.&lt;/m:t&gt;&lt;/m:r&gt;&lt;m:r&gt;&lt;m:rPr&gt;&lt;m:sty m:val=&quot;p&quot;/&gt;&lt;/m:rPr&gt;&lt;w:rPr&gt;&lt;w:rFonts w:ascii=&quot;Cambria Math&quot; w:fareast=&quot;宋体&quot; w:h-ansi=&quot;Cambria Math&quot;/&gt;&lt;wx:font wx:val=&quot;Cambria Math&quot;/&gt;&lt;w:b-cs/&gt;&lt;w:color w:val=&quot;000000&quot;/&gt;&lt;w:sz w:val=&quot;24&quot;/&gt;&lt;w:sz-cs w:val=&quot;24&quot;/&gt;&lt;/w:rPr&gt;&lt;m:t&gt;1LAj&lt;/m:t&gt;&lt;/m:r&gt;&lt;/m:sup&gt;&lt;/m:sSup&gt;&lt;/m:e&gt;&lt;/m:nary&gt;&lt;m:r&gt;&lt;w:rPr&gt;&lt;w:rFonts w:ascii=&quot;Cambria Math&quot; w:fareast=&quot;宋体&quot; w:h-ansi=&quot;Cambria Math&quot;/&gt;&lt;wx:font wx:val=&quot;Cambria Math&quot;/&gt;&lt;w:b-cs/&gt;&lt;w:i/&gt;&lt;w:color w:val=&quot;000000&quot;/&gt;&lt;w:sz w:val=&quot;24&quot;/&gt;&lt;w:sz-cs w:val=&quot;24&quot;/&gt;&lt;/w:rPr&gt;&lt;m:t&gt;]&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7" chromakey="#FFFFFF" o:title=""/>
                  <o:lock v:ext="edit" aspectratio="t"/>
                  <w10:wrap type="none"/>
                  <w10:anchorlock/>
                </v:shape>
              </w:pict>
            </w:r>
            <w:r>
              <w:rPr>
                <w:rFonts w:hint="default" w:ascii="Times New Roman" w:hAnsi="Times New Roman" w:cs="Times New Roman"/>
                <w:bCs/>
                <w:color w:val="auto"/>
                <w:sz w:val="24"/>
              </w:rPr>
              <w:instrText xml:space="preserve"> </w:instrText>
            </w:r>
            <w:r>
              <w:rPr>
                <w:rFonts w:hint="default" w:ascii="Times New Roman" w:hAnsi="Times New Roman" w:cs="Times New Roman"/>
                <w:bCs/>
                <w:color w:val="auto"/>
                <w:sz w:val="24"/>
              </w:rPr>
              <w:fldChar w:fldCharType="separate"/>
            </w:r>
            <w:r>
              <w:rPr>
                <w:rFonts w:hint="default" w:ascii="Times New Roman" w:hAnsi="Times New Roman" w:cs="Times New Roman"/>
                <w:color w:val="auto"/>
                <w:position w:val="-24"/>
              </w:rPr>
              <w:pict>
                <v:shape id="_x0000_i1028" o:spt="75" type="#_x0000_t75" style="height:31.5pt;width:186.75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revisionView w:ink-annotations=&quot;off&quot;/&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F06862&quot;/&gt;&lt;wsp:rsid wsp:val=&quot;00156E10&quot;/&gt;&lt;wsp:rsid wsp:val=&quot;00325708&quot;/&gt;&lt;wsp:rsid wsp:val=&quot;004B5EEC&quot;/&gt;&lt;wsp:rsid wsp:val=&quot;005002C0&quot;/&gt;&lt;wsp:rsid wsp:val=&quot;005321B9&quot;/&gt;&lt;wsp:rsid wsp:val=&quot;005918FE&quot;/&gt;&lt;wsp:rsid wsp:val=&quot;005F1836&quot;/&gt;&lt;wsp:rsid wsp:val=&quot;005F737D&quot;/&gt;&lt;wsp:rsid wsp:val=&quot;006C0B0D&quot;/&gt;&lt;wsp:rsid wsp:val=&quot;007E302E&quot;/&gt;&lt;wsp:rsid wsp:val=&quot;008C03F7&quot;/&gt;&lt;wsp:rsid wsp:val=&quot;008D6148&quot;/&gt;&lt;wsp:rsid wsp:val=&quot;009901FA&quot;/&gt;&lt;wsp:rsid wsp:val=&quot;00A45A98&quot;/&gt;&lt;wsp:rsid wsp:val=&quot;00AB2E67&quot;/&gt;&lt;wsp:rsid wsp:val=&quot;00B1446C&quot;/&gt;&lt;wsp:rsid wsp:val=&quot;00B24F95&quot;/&gt;&lt;wsp:rsid wsp:val=&quot;00B43256&quot;/&gt;&lt;wsp:rsid wsp:val=&quot;00B72CC6&quot;/&gt;&lt;wsp:rsid wsp:val=&quot;00B75700&quot;/&gt;&lt;wsp:rsid wsp:val=&quot;00BA0BF7&quot;/&gt;&lt;wsp:rsid wsp:val=&quot;00BA4AB5&quot;/&gt;&lt;wsp:rsid wsp:val=&quot;00C01E81&quot;/&gt;&lt;wsp:rsid wsp:val=&quot;00D663D1&quot;/&gt;&lt;wsp:rsid wsp:val=&quot;00F06862&quot;/&gt;&lt;wsp:rsid wsp:val=&quot;00F416E0&quot;/&gt;&lt;wsp:rsid wsp:val=&quot;00FB327E&quot;/&gt;&lt;/wsp:rsids&gt;&lt;/w:docPr&gt;&lt;w:body&gt;&lt;wx:sect&gt;&lt;w:p wsp:rsidR=&quot;00000000&quot; wsp:rsidRDefault=&quot;005F1836&quot; wsp:rsidP=&quot;005F1836&quot;&gt;&lt;m:oMathPara&gt;&lt;m:oMath&gt;&lt;m:r&gt;&lt;m:rPr&gt;&lt;m:sty m:val=&quot;p&quot;/&gt;&lt;/m:rPr&gt;&lt;w:rPr&gt;&lt;w:rFonts w:ascii=&quot;Cambria Math&quot; w:fareast=&quot;宋体&quot; w:h-ansi=&quot;Cambria Math&quot;/&gt;&lt;wx:font wx:val=&quot;Cambria Math&quot;/&gt;&lt;w:b-cs/&gt;&lt;w:color w:val=&quot;000000&quot;/&gt;&lt;w:sz w:val=&quot;24&quot;/&gt;&lt;w:sz-cs w:val=&quot;24&quot;/&gt;&lt;/w:rPr&gt;&lt;m:t&gt;[&lt;/m:t&gt;&lt;/m:r&gt;&lt;m:f&gt;&lt;m:fPr&gt;&lt;m:ctrlPr&gt;&lt;w:rPr&gt;&lt;w:rFonts w:ascii=&quot;Cambria Math&quot; w:fareast=&quot;宋体&quot; w:h-ansi=&quot;Cambria Math&quot;/&gt;&lt;wx:font wx:val=&quot;Cambria Math&quot;/&gt;&lt;w:b-cs/&gt;&lt;w:color w:val=&quot;000000&quot;/&gt;&lt;w:sz w:val=&quot;24&quot;/&gt;&lt;w:sz-cs w:val=&quot;24&quot;/&gt;&lt;/w:rPr&gt;&lt;/m:ctrlPr&gt;&lt;/m:fPr&gt;&lt;m:num&gt;&lt;m:r&gt;&lt;m:rPr&gt;&lt;m:sty m:val=&quot;p&quot;/&gt;&lt;/m:rPr&gt;&lt;w:rPr&gt;&lt;w:rFonts w:ascii=&quot;Cambria Math&quot; w:fareast=&quot;宋体&quot; w:h-ansi=&quot;Cambria Math&quot;/&gt;&lt;wx:font wx:val=&quot;Cambria Math&quot;/&gt;&lt;w:b-cs/&gt;&lt;w:color w:val=&quot;000000&quot;/&gt;&lt;w:sz w:val=&quot;24&quot;/&gt;&lt;w:sz-cs w:val=&quot;24&quot;/&gt;&lt;/w:rPr&gt;&lt;m:t&gt;1&lt;/m:t&gt;&lt;/m:r&gt;&lt;/m:num&gt;&lt;m:den&gt;&lt;m:r&gt;&lt;m:rPr&gt;&lt;m:sty m:val=&quot;p&quot;/&gt;&lt;/m:rPr&gt;&lt;w:rPr&gt;&lt;w:rFonts w:ascii=&quot;Cambria Math&quot; w:fareast=&quot;宋体&quot; w:h-ansi=&quot;Cambria Math&quot;/&gt;&lt;wx:font wx:val=&quot;Cambria Math&quot;/&gt;&lt;w:b-cs/&gt;&lt;w:color w:val=&quot;000000&quot;/&gt;&lt;w:sz w:val=&quot;24&quot;/&gt;&lt;w:sz-cs w:val=&quot;24&quot;/&gt;&lt;/w:rPr&gt;&lt;m:t&gt;T&lt;/m:t&gt;&lt;/m:r&gt;&lt;/m:den&gt;&lt;/m:f&gt;&lt;m:nary&gt;&lt;m:naryPr&gt;&lt;m:chr m:val=&quot;∑&quot;/&gt;&lt;m:grow m:val=&quot;1&quot;/&gt;&lt;m:ctrlPr&gt;&lt;w:rPr&gt;&lt;w:rFonts w:ascii=&quot;Cambria Math&quot; w:fareast=&quot;宋体&quot; w:h-ansi=&quot;Cambria Math&quot;/&gt;&lt;wx:font wx:val=&quot;Cambria Math&quot;/&gt;&lt;w:b-cs/&gt;&lt;w:color w:val=&quot;000000&quot;/&gt;&lt;w:sz w:val=&quot;24&quot;/&gt;&lt;w:sz-cs w:val=&quot;24&quot;/&gt;&lt;/w:rPr&gt;&lt;/m:ctrlPr&gt;&lt;/m:naryPr&gt;&lt;m:sub&gt;&lt;m:r&gt;&lt;w:rPr&gt;&lt;w:rFonts w:ascii=&quot;Cambria Math&quot; w:fareast=&quot;宋体&quot; w:h-ansi=&quot;Cambria Math&quot;/&gt;&lt;wx:font wx:val=&quot;Cambria Math&quot;/&gt;&lt;w:b-cs/&gt;&lt;w:i/&gt;&lt;w:color w:val=&quot;000000&quot;/&gt;&lt;w:sz w:val=&quot;24&quot;/&gt;&lt;w:sz-cs w:val=&quot;24&quot;/&gt;&lt;/w:rPr&gt;&lt;m:t&gt;i=1&lt;/m:t&gt;&lt;/m:r&gt;&lt;/m:sub&gt;&lt;m:sup&gt;&lt;m:r&gt;&lt;w:rPr&gt;&lt;w:rFonts w:ascii=&quot;Cambria Math&quot; w:fareast=&quot;宋体&quot; w:h-ansi=&quot;Cambria Math&quot;/&gt;&lt;wx:font wx:val=&quot;Cambria Math&quot;/&gt;&lt;w:b-cs/&gt;&lt;w:i/&gt;&lt;w:color w:val=&quot;000000&quot;/&gt;&lt;w:sz w:val=&quot;24&quot;/&gt;&lt;w:sz-cs w:val=&quot;24&quot;/&gt;&lt;/w:rPr&gt;&lt;m:t&gt;N&lt;/m:t&gt;&lt;/m:r&gt;&lt;/m:sup&gt;&lt;m:e&gt;&lt;m:sSup&gt;&lt;m:sSupPr&gt;&lt;m:ctrlPr&gt;&lt;w:rPr&gt;&lt;w:rFonts w:ascii=&quot;Cambria Math&quot; w:fareast=&quot;宋体&quot; w:h-ansi=&quot;Cambria Math&quot;/&gt;&lt;wx:font wx:val=&quot;Cambria Math&quot;/&gt;&lt;w:b-cs/&gt;&lt;w:i/&gt;&lt;w:color w:val=&quot;000000&quot;/&gt;&lt;w:sz w:val=&quot;24&quot;/&gt;&lt;w:sz-cs w:val=&quot;24&quot;/&gt;&lt;/w:rPr&gt;&lt;/m:ctrlPr&gt;&lt;/m:sSupPr&gt;&lt;m:e&gt;&lt;m:r&gt;&lt;w:rPr&gt;&lt;w:rFonts w:ascii=&quot;Cambria Math&quot; w:fareast=&quot;宋体&quot; w:h-ansi=&quot;Cambria Math&quot;/&gt;&lt;wx:font wx:val=&quot;Cambria Math&quot;/&gt;&lt;w:b-cs/&gt;&lt;w:i/&gt;&lt;w:color w:val=&quot;000000&quot;/&gt;&lt;w:sz w:val=&quot;24&quot;/&gt;&lt;w:sz-cs w:val=&quot;24&quot;/&gt;&lt;/w:rPr&gt;&lt;m:t&gt;ti10&lt;/m:t&gt;&lt;/m:r&gt;&lt;/m:e&gt;&lt;m:sup&gt;&lt;m:r&gt;&lt;w:rPr&gt;&lt;w:rFonts w:ascii=&quot;Cambria Math&quot; w:fareast=&quot;宋体&quot; w:h-ansi=&quot;Cambria Math&quot;/&gt;&lt;wx:font wx:val=&quot;Cambria Math&quot;/&gt;&lt;w:b-cs/&gt;&lt;w:i/&gt;&lt;w:color w:val=&quot;000000&quot;/&gt;&lt;w:sz w:val=&quot;24&quot;/&gt;&lt;w:sz-cs w:val=&quot;24&quot;/&gt;&lt;/w:rPr&gt;&lt;m:t&gt;0.&lt;/m:t&gt;&lt;/m:r&gt;&lt;m:r&gt;&lt;m:rPr&gt;&lt;m:sty m:val=&quot;p&quot;/&gt;&lt;/m:rPr&gt;&lt;w:rPr&gt;&lt;w:rFonts w:ascii=&quot;Cambria Math&quot; w:fareast=&quot;宋体&quot; w:h-ansi=&quot;Cambria Math&quot;/&gt;&lt;wx:font wx:val=&quot;Cambria Math&quot;/&gt;&lt;w:b-cs/&gt;&lt;w:color w:val=&quot;000000&quot;/&gt;&lt;w:sz w:val=&quot;24&quot;/&gt;&lt;w:sz-cs w:val=&quot;24&quot;/&gt;&lt;/w:rPr&gt;&lt;m:t&gt;1LAi&lt;/m:t&gt;&lt;/m:r&gt;&lt;/m:sup&gt;&lt;/m:sSup&gt;&lt;/m:e&gt;&lt;/m:nary&gt;&lt;m:r&gt;&lt;w:rPr&gt;&lt;w:rFonts w:ascii=&quot;Cambria Math&quot; w:fareast=&quot;宋体&quot; w:h-ansi=&quot;Cambria Math&quot;/&gt;&lt;wx:font wx:val=&quot;Cambria Math&quot;/&gt;&lt;w:b-cs/&gt;&lt;w:i/&gt;&lt;w:color w:val=&quot;000000&quot;/&gt;&lt;w:sz w:val=&quot;24&quot;/&gt;&lt;w:sz-cs w:val=&quot;24&quot;/&gt;&lt;/w:rPr&gt;&lt;m:t&gt;+&lt;/m:t&gt;&lt;/m:r&gt;&lt;m:nary&gt;&lt;m:naryPr&gt;&lt;m:chr m:val=&quot;∑&quot;/&gt;&lt;m:grow m:val=&quot;1&quot;/&gt;&lt;m:ctrlPr&gt;&lt;w:rPr&gt;&lt;w:rFonts w:ascii=&quot;Cambria Math&quot; w:fareast=&quot;宋体&quot; w:h-ansi=&quot;Cambria Math&quot;/&gt;&lt;wx:font wx:val=&quot;Cambria Math&quot;/&gt;&lt;w:b-cs/&gt;&lt;w:color w:val=&quot;000000&quot;/&gt;&lt;w:sz w:val=&quot;24&quot;/&gt;&lt;w:sz-cs w:val=&quot;24&quot;/&gt;&lt;/w:rPr&gt;&lt;/m:ctrlPr&gt;&lt;/m:naryPr&gt;&lt;m:sub&gt;&lt;m:r&gt;&lt;w:rPr&gt;&lt;w:rFonts w:ascii=&quot;Cambria Math&quot; w:fareast=&quot;宋体&quot; w:h-ansi=&quot;Cambria Math&quot;/&gt;&lt;wx:font wx:val=&quot;Cambria Math&quot;/&gt;&lt;w:b-cs/&gt;&lt;w:i/&gt;&lt;w:color w:val=&quot;000000&quot;/&gt;&lt;w:sz w:val=&quot;24&quot;/&gt;&lt;w:sz-cs w:val=&quot;24&quot;/&gt;&lt;/w:rPr&gt;&lt;m:t&gt;j=1&lt;/m:t&gt;&lt;/m:r&gt;&lt;/m:sub&gt;&lt;m:sup&gt;&lt;m:r&gt;&lt;w:rPr&gt;&lt;w:rFonts w:ascii=&quot;Cambria Math&quot; w:fareast=&quot;宋体&quot; w:h-ansi=&quot;Cambria Math&quot;/&gt;&lt;wx:font wx:val=&quot;Cambria Math&quot;/&gt;&lt;w:b-cs/&gt;&lt;w:i/&gt;&lt;w:color w:val=&quot;000000&quot;/&gt;&lt;w:sz w:val=&quot;24&quot;/&gt;&lt;w:sz-cs w:val=&quot;24&quot;/&gt;&lt;/w:rPr&gt;&lt;m:t&gt;M&lt;/m:t&gt;&lt;/m:r&gt;&lt;/m:sup&gt;&lt;m:e&gt;&lt;m:sSup&gt;&lt;m:sSupPr&gt;&lt;m:ctrlPr&gt;&lt;w:rPr&gt;&lt;w:rFonts w:ascii=&quot;Cambria Math&quot; w:fareast=&quot;宋体&quot; w:h-ansi=&quot;Cambria Math&quot;/&gt;&lt;wx:font wx:val=&quot;Cambria Math&quot;/&gt;&lt;w:b-cs/&gt;&lt;w:i/&gt;&lt;w:color w:val=&quot;000000&quot;/&gt;&lt;w:sz w:val=&quot;24&quot;/&gt;&lt;w:sz-cs w:val=&quot;24&quot;/&gt;&lt;/w:rPr&gt;&lt;/m:ctrlPr&gt;&lt;/m:sSupPr&gt;&lt;m:e&gt;&lt;m:r&gt;&lt;w:rPr&gt;&lt;w:rFonts w:ascii=&quot;Cambria Math&quot; w:fareast=&quot;宋体&quot; w:h-ansi=&quot;Cambria Math&quot;/&gt;&lt;wx:font wx:val=&quot;Cambria Math&quot;/&gt;&lt;w:b-cs/&gt;&lt;w:i/&gt;&lt;w:color w:val=&quot;000000&quot;/&gt;&lt;w:sz w:val=&quot;24&quot;/&gt;&lt;w:sz-cs w:val=&quot;24&quot;/&gt;&lt;/w:rPr&gt;&lt;m:t&gt;tj10&lt;/m:t&gt;&lt;/m:r&gt;&lt;/m:e&gt;&lt;m:sup&gt;&lt;m:r&gt;&lt;w:rPr&gt;&lt;w:rFonts w:ascii=&quot;Cambria Math&quot; w:fareast=&quot;宋体&quot; w:h-ansi=&quot;Cambria Math&quot;/&gt;&lt;wx:font wx:val=&quot;Cambria Math&quot;/&gt;&lt;w:b-cs/&gt;&lt;w:i/&gt;&lt;w:color w:val=&quot;000000&quot;/&gt;&lt;w:sz w:val=&quot;24&quot;/&gt;&lt;w:sz-cs w:val=&quot;24&quot;/&gt;&lt;/w:rPr&gt;&lt;m:t&gt;0.&lt;/m:t&gt;&lt;/m:r&gt;&lt;m:r&gt;&lt;m:rPr&gt;&lt;m:sty m:val=&quot;p&quot;/&gt;&lt;/m:rPr&gt;&lt;w:rPr&gt;&lt;w:rFonts w:ascii=&quot;Cambria Math&quot; w:fareast=&quot;宋体&quot; w:h-ansi=&quot;Cambria Math&quot;/&gt;&lt;wx:font wx:val=&quot;Cambria Math&quot;/&gt;&lt;w:b-cs/&gt;&lt;w:color w:val=&quot;000000&quot;/&gt;&lt;w:sz w:val=&quot;24&quot;/&gt;&lt;w:sz-cs w:val=&quot;24&quot;/&gt;&lt;/w:rPr&gt;&lt;m:t&gt;1LAj&lt;/m:t&gt;&lt;/m:r&gt;&lt;/m:sup&gt;&lt;/m:sSup&gt;&lt;/m:e&gt;&lt;/m:nary&gt;&lt;m:r&gt;&lt;w:rPr&gt;&lt;w:rFonts w:ascii=&quot;Cambria Math&quot; w:fareast=&quot;宋体&quot; w:h-ansi=&quot;Cambria Math&quot;/&gt;&lt;wx:font wx:val=&quot;Cambria Math&quot;/&gt;&lt;w:b-cs/&gt;&lt;w:i/&gt;&lt;w:color w:val=&quot;000000&quot;/&gt;&lt;w:sz w:val=&quot;24&quot;/&gt;&lt;w:sz-cs w:val=&quot;24&quot;/&gt;&lt;/w:rPr&gt;&lt;m:t&gt;]&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37" chromakey="#FFFFFF" o:title=""/>
                  <o:lock v:ext="edit" aspectratio="t"/>
                  <w10:wrap type="none"/>
                  <w10:anchorlock/>
                </v:shape>
              </w:pict>
            </w:r>
            <w:r>
              <w:rPr>
                <w:rFonts w:hint="default" w:ascii="Times New Roman" w:hAnsi="Times New Roman" w:cs="Times New Roman"/>
                <w:bCs/>
                <w:color w:val="auto"/>
                <w:sz w:val="24"/>
              </w:rPr>
              <w:fldChar w:fldCharType="end"/>
            </w:r>
            <w:r>
              <w:rPr>
                <w:rFonts w:hint="default" w:ascii="Times New Roman" w:hAnsi="Times New Roman" w:cs="Times New Roman"/>
                <w:bCs/>
                <w:color w:val="auto"/>
                <w:sz w:val="24"/>
              </w:rPr>
              <w:t>（A.6）</w:t>
            </w:r>
          </w:p>
          <w:p>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outlineLvl w:val="9"/>
              <w:rPr>
                <w:rFonts w:hint="default" w:ascii="Times New Roman" w:hAnsi="Times New Roman" w:cs="Times New Roman"/>
                <w:bCs/>
                <w:color w:val="auto"/>
                <w:sz w:val="24"/>
              </w:rPr>
            </w:pPr>
            <w:r>
              <w:rPr>
                <w:rFonts w:hint="default" w:ascii="Times New Roman" w:hAnsi="Times New Roman" w:cs="Times New Roman"/>
                <w:bCs/>
                <w:color w:val="auto"/>
                <w:sz w:val="24"/>
              </w:rPr>
              <w:t>式中：</w:t>
            </w:r>
          </w:p>
          <w:p>
            <w:pPr>
              <w:keepNext w:val="0"/>
              <w:keepLines w:val="0"/>
              <w:pageBreakBefore w:val="0"/>
              <w:widowControl w:val="0"/>
              <w:kinsoku/>
              <w:wordWrap/>
              <w:overflowPunct/>
              <w:topLinePunct w:val="0"/>
              <w:autoSpaceDE/>
              <w:autoSpaceDN/>
              <w:bidi w:val="0"/>
              <w:snapToGrid w:val="0"/>
              <w:spacing w:line="360" w:lineRule="auto"/>
              <w:ind w:firstLine="840" w:firstLineChars="350"/>
              <w:textAlignment w:val="auto"/>
              <w:outlineLvl w:val="9"/>
              <w:rPr>
                <w:rFonts w:hint="default" w:ascii="Times New Roman" w:hAnsi="Times New Roman" w:cs="Times New Roman"/>
                <w:bCs/>
                <w:color w:val="auto"/>
                <w:sz w:val="24"/>
              </w:rPr>
            </w:pPr>
            <w:r>
              <w:rPr>
                <w:rFonts w:hint="default" w:ascii="Times New Roman" w:hAnsi="Times New Roman" w:cs="Times New Roman"/>
                <w:color w:val="auto"/>
                <w:sz w:val="24"/>
              </w:rPr>
              <w:t>t</w:t>
            </w:r>
            <w:r>
              <w:rPr>
                <w:rFonts w:hint="default" w:ascii="Times New Roman" w:hAnsi="Times New Roman" w:cs="Times New Roman"/>
                <w:color w:val="auto"/>
                <w:sz w:val="24"/>
                <w:vertAlign w:val="subscript"/>
              </w:rPr>
              <w:t>j</w:t>
            </w:r>
            <w:r>
              <w:rPr>
                <w:rFonts w:hint="default" w:ascii="Times New Roman" w:hAnsi="Times New Roman" w:cs="Times New Roman"/>
                <w:color w:val="auto"/>
                <w:sz w:val="24"/>
              </w:rPr>
              <w:t>——在T时间内j声源工作时间，s；</w:t>
            </w:r>
          </w:p>
          <w:p>
            <w:pPr>
              <w:keepNext w:val="0"/>
              <w:keepLines w:val="0"/>
              <w:pageBreakBefore w:val="0"/>
              <w:widowControl w:val="0"/>
              <w:kinsoku/>
              <w:wordWrap/>
              <w:overflowPunct/>
              <w:topLinePunct w:val="0"/>
              <w:autoSpaceDE/>
              <w:autoSpaceDN/>
              <w:bidi w:val="0"/>
              <w:snapToGrid w:val="0"/>
              <w:spacing w:line="360" w:lineRule="auto"/>
              <w:ind w:firstLine="840" w:firstLineChars="350"/>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t</w:t>
            </w:r>
            <w:r>
              <w:rPr>
                <w:rFonts w:hint="default" w:ascii="Times New Roman" w:hAnsi="Times New Roman" w:cs="Times New Roman"/>
                <w:color w:val="auto"/>
                <w:sz w:val="24"/>
                <w:vertAlign w:val="subscript"/>
              </w:rPr>
              <w:t>i</w:t>
            </w:r>
            <w:r>
              <w:rPr>
                <w:rFonts w:hint="default" w:ascii="Times New Roman" w:hAnsi="Times New Roman" w:cs="Times New Roman"/>
                <w:color w:val="auto"/>
                <w:sz w:val="24"/>
              </w:rPr>
              <w:t>——在T时间内Ⅰ声源工作时间，s；</w:t>
            </w:r>
          </w:p>
          <w:p>
            <w:pPr>
              <w:keepNext w:val="0"/>
              <w:keepLines w:val="0"/>
              <w:pageBreakBefore w:val="0"/>
              <w:widowControl w:val="0"/>
              <w:kinsoku/>
              <w:wordWrap/>
              <w:overflowPunct/>
              <w:topLinePunct w:val="0"/>
              <w:autoSpaceDE/>
              <w:autoSpaceDN/>
              <w:bidi w:val="0"/>
              <w:snapToGrid w:val="0"/>
              <w:spacing w:line="360" w:lineRule="auto"/>
              <w:ind w:firstLine="840" w:firstLineChars="350"/>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T——用于计算等效声级的时间，s；</w:t>
            </w:r>
          </w:p>
          <w:p>
            <w:pPr>
              <w:keepNext w:val="0"/>
              <w:keepLines w:val="0"/>
              <w:pageBreakBefore w:val="0"/>
              <w:widowControl w:val="0"/>
              <w:kinsoku/>
              <w:wordWrap/>
              <w:overflowPunct/>
              <w:topLinePunct w:val="0"/>
              <w:autoSpaceDE/>
              <w:autoSpaceDN/>
              <w:bidi w:val="0"/>
              <w:snapToGrid w:val="0"/>
              <w:spacing w:line="360" w:lineRule="auto"/>
              <w:ind w:firstLine="840" w:firstLineChars="350"/>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N——室外声源个数；</w:t>
            </w:r>
          </w:p>
          <w:p>
            <w:pPr>
              <w:keepNext w:val="0"/>
              <w:keepLines w:val="0"/>
              <w:pageBreakBefore w:val="0"/>
              <w:widowControl w:val="0"/>
              <w:kinsoku/>
              <w:wordWrap/>
              <w:overflowPunct/>
              <w:topLinePunct w:val="0"/>
              <w:autoSpaceDE/>
              <w:autoSpaceDN/>
              <w:bidi w:val="0"/>
              <w:snapToGrid w:val="0"/>
              <w:spacing w:line="360" w:lineRule="auto"/>
              <w:ind w:firstLine="840" w:firstLineChars="350"/>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24"/>
              </w:rPr>
              <w:t>M——等效室外声源个数。</w:t>
            </w:r>
          </w:p>
          <w:p>
            <w:pPr>
              <w:keepNext w:val="0"/>
              <w:keepLines w:val="0"/>
              <w:pageBreakBefore w:val="0"/>
              <w:widowControl w:val="0"/>
              <w:kinsoku/>
              <w:wordWrap/>
              <w:overflowPunct/>
              <w:topLinePunct w:val="0"/>
              <w:autoSpaceDE/>
              <w:autoSpaceDN/>
              <w:bidi w:val="0"/>
              <w:snapToGrid w:val="0"/>
              <w:spacing w:line="360" w:lineRule="auto"/>
              <w:ind w:firstLine="354" w:firstLineChars="147"/>
              <w:textAlignment w:val="auto"/>
              <w:outlineLvl w:val="9"/>
              <w:rPr>
                <w:rFonts w:hint="default" w:ascii="Times New Roman" w:hAnsi="Times New Roman" w:cs="Times New Roman"/>
                <w:b w:val="0"/>
                <w:bCs/>
                <w:color w:val="auto"/>
                <w:sz w:val="24"/>
              </w:rPr>
            </w:pPr>
            <w:r>
              <w:rPr>
                <w:rFonts w:hint="default" w:ascii="Times New Roman" w:hAnsi="Times New Roman" w:cs="Times New Roman"/>
                <w:b/>
                <w:color w:val="auto"/>
                <w:sz w:val="24"/>
                <w:lang w:val="en-US" w:eastAsia="zh-CN"/>
              </w:rPr>
              <w:t xml:space="preserve"> </w:t>
            </w:r>
            <w:r>
              <w:rPr>
                <w:rFonts w:hint="default" w:ascii="Times New Roman" w:hAnsi="Times New Roman" w:cs="Times New Roman"/>
                <w:b w:val="0"/>
                <w:bCs/>
                <w:color w:val="auto"/>
                <w:sz w:val="24"/>
                <w:lang w:val="en-US" w:eastAsia="zh-CN"/>
              </w:rPr>
              <w:t xml:space="preserve"> </w:t>
            </w:r>
            <w:r>
              <w:rPr>
                <w:rFonts w:hint="eastAsia" w:ascii="Times New Roman" w:hAnsi="Times New Roman" w:cs="Times New Roman"/>
                <w:b w:val="0"/>
                <w:bCs/>
                <w:color w:val="auto"/>
                <w:sz w:val="24"/>
                <w:lang w:eastAsia="zh-CN"/>
              </w:rPr>
              <w:t>③</w:t>
            </w:r>
            <w:r>
              <w:rPr>
                <w:rFonts w:hint="eastAsia" w:ascii="Times New Roman" w:hAnsi="Times New Roman" w:cs="Times New Roman"/>
                <w:b w:val="0"/>
                <w:bCs/>
                <w:color w:val="auto"/>
                <w:sz w:val="24"/>
                <w:lang w:val="en-US" w:eastAsia="zh-CN"/>
              </w:rPr>
              <w:t>修复</w:t>
            </w:r>
            <w:r>
              <w:rPr>
                <w:rFonts w:hint="default" w:ascii="Times New Roman" w:hAnsi="Times New Roman" w:cs="Times New Roman"/>
                <w:b w:val="0"/>
                <w:bCs/>
                <w:color w:val="auto"/>
                <w:sz w:val="24"/>
              </w:rPr>
              <w:t>阶段噪声排放标准</w:t>
            </w:r>
          </w:p>
          <w:p>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outlineLvl w:val="9"/>
              <w:rPr>
                <w:rFonts w:hint="default" w:ascii="Times New Roman" w:hAnsi="Times New Roman" w:cs="Times New Roman"/>
                <w:color w:val="auto"/>
                <w:sz w:val="10"/>
                <w:szCs w:val="10"/>
              </w:rPr>
            </w:pPr>
            <w:r>
              <w:rPr>
                <w:rFonts w:hint="default" w:ascii="Times New Roman" w:hAnsi="Times New Roman" w:cs="Times New Roman"/>
                <w:color w:val="auto"/>
                <w:sz w:val="24"/>
              </w:rPr>
              <w:t>本项目</w:t>
            </w:r>
            <w:r>
              <w:rPr>
                <w:rFonts w:hint="eastAsia" w:ascii="Times New Roman" w:hAnsi="Times New Roman" w:cs="Times New Roman"/>
                <w:color w:val="auto"/>
                <w:sz w:val="24"/>
                <w:lang w:val="en-US" w:eastAsia="zh-CN"/>
              </w:rPr>
              <w:t>修复</w:t>
            </w:r>
            <w:r>
              <w:rPr>
                <w:rFonts w:hint="default" w:ascii="Times New Roman" w:hAnsi="Times New Roman" w:cs="Times New Roman"/>
                <w:color w:val="auto"/>
                <w:sz w:val="24"/>
              </w:rPr>
              <w:t>阶段的噪声控制应符合《建筑施工场界环境噪声排放标准》(GB12523—2011)的要求，具体标准值如下表：</w:t>
            </w:r>
          </w:p>
          <w:p>
            <w:pPr>
              <w:keepNext w:val="0"/>
              <w:keepLines w:val="0"/>
              <w:pageBreakBefore w:val="0"/>
              <w:widowControl w:val="0"/>
              <w:kinsoku/>
              <w:wordWrap/>
              <w:overflowPunct/>
              <w:topLinePunct w:val="0"/>
              <w:autoSpaceDE/>
              <w:autoSpaceDN/>
              <w:bidi w:val="0"/>
              <w:adjustRightInd/>
              <w:snapToGrid/>
              <w:spacing w:line="360" w:lineRule="auto"/>
              <w:ind w:left="28" w:hanging="28"/>
              <w:jc w:val="center"/>
              <w:textAlignment w:val="auto"/>
              <w:outlineLvl w:val="9"/>
              <w:rPr>
                <w:rFonts w:hint="default" w:ascii="Times New Roman" w:hAnsi="Times New Roman"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28" w:hanging="28"/>
              <w:jc w:val="center"/>
              <w:textAlignment w:val="auto"/>
              <w:outlineLvl w:val="9"/>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表7</w:t>
            </w:r>
            <w:r>
              <w:rPr>
                <w:rFonts w:hint="default" w:ascii="Times New Roman" w:hAnsi="Times New Roman" w:cs="Times New Roman"/>
                <w:b/>
                <w:bCs/>
                <w:color w:val="auto"/>
                <w:sz w:val="24"/>
                <w:szCs w:val="24"/>
                <w:lang w:val="en-US" w:eastAsia="zh-CN"/>
              </w:rPr>
              <w:t>-</w:t>
            </w:r>
            <w:r>
              <w:rPr>
                <w:rFonts w:hint="eastAsia" w:ascii="Times New Roman" w:hAnsi="Times New Roman" w:cs="Times New Roman"/>
                <w:b/>
                <w:bCs/>
                <w:color w:val="auto"/>
                <w:sz w:val="24"/>
                <w:szCs w:val="24"/>
                <w:lang w:val="en-US" w:eastAsia="zh-CN"/>
              </w:rPr>
              <w:t>12</w:t>
            </w:r>
            <w:r>
              <w:rPr>
                <w:rFonts w:hint="default" w:ascii="Times New Roman" w:hAnsi="Times New Roman" w:cs="Times New Roman"/>
                <w:b/>
                <w:bCs/>
                <w:color w:val="auto"/>
                <w:sz w:val="24"/>
                <w:szCs w:val="24"/>
              </w:rPr>
              <w:t xml:space="preserve">   建筑施工场界环境噪声排放标准一览表   （单位：dB(A)）</w:t>
            </w:r>
          </w:p>
          <w:tbl>
            <w:tblPr>
              <w:tblStyle w:val="2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640"/>
              <w:gridCol w:w="3377"/>
              <w:gridCol w:w="28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64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时段</w:t>
                  </w:r>
                </w:p>
              </w:tc>
              <w:tc>
                <w:tcPr>
                  <w:tcW w:w="3377"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昼间</w:t>
                  </w:r>
                </w:p>
              </w:tc>
              <w:tc>
                <w:tcPr>
                  <w:tcW w:w="2827"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夜间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640"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标准值</w:t>
                  </w:r>
                </w:p>
              </w:tc>
              <w:tc>
                <w:tcPr>
                  <w:tcW w:w="3377"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70</w:t>
                  </w:r>
                </w:p>
              </w:tc>
              <w:tc>
                <w:tcPr>
                  <w:tcW w:w="2827" w:type="dxa"/>
                  <w:noWrap w:val="0"/>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55</w:t>
                  </w:r>
                </w:p>
              </w:tc>
            </w:tr>
          </w:tbl>
          <w:p>
            <w:pPr>
              <w:snapToGrid w:val="0"/>
              <w:ind w:firstLine="630" w:firstLineChars="350"/>
              <w:rPr>
                <w:rFonts w:hint="default" w:ascii="Times New Roman" w:hAnsi="Times New Roman" w:cs="Times New Roman"/>
                <w:color w:val="auto"/>
                <w:sz w:val="18"/>
                <w:szCs w:val="18"/>
              </w:rPr>
            </w:pPr>
          </w:p>
          <w:p>
            <w:pPr>
              <w:snapToGrid w:val="0"/>
              <w:spacing w:line="360" w:lineRule="auto"/>
              <w:ind w:firstLine="470" w:firstLineChars="196"/>
              <w:rPr>
                <w:rFonts w:hint="default" w:ascii="Times New Roman" w:hAnsi="Times New Roman" w:cs="Times New Roman"/>
                <w:b w:val="0"/>
                <w:bCs/>
                <w:color w:val="auto"/>
                <w:sz w:val="24"/>
              </w:rPr>
            </w:pPr>
            <w:r>
              <w:rPr>
                <w:rFonts w:hint="eastAsia" w:ascii="Times New Roman" w:hAnsi="Times New Roman" w:cs="Times New Roman"/>
                <w:b w:val="0"/>
                <w:bCs/>
                <w:color w:val="auto"/>
                <w:sz w:val="24"/>
                <w:lang w:eastAsia="zh-CN"/>
              </w:rPr>
              <w:t>④</w:t>
            </w:r>
            <w:r>
              <w:rPr>
                <w:rFonts w:hint="eastAsia" w:ascii="Times New Roman" w:hAnsi="Times New Roman" w:cs="Times New Roman"/>
                <w:b w:val="0"/>
                <w:bCs/>
                <w:color w:val="auto"/>
                <w:sz w:val="24"/>
                <w:lang w:val="en-US" w:eastAsia="zh-CN"/>
              </w:rPr>
              <w:t>修复</w:t>
            </w:r>
            <w:r>
              <w:rPr>
                <w:rFonts w:hint="default" w:ascii="Times New Roman" w:hAnsi="Times New Roman" w:cs="Times New Roman"/>
                <w:b w:val="0"/>
                <w:bCs/>
                <w:color w:val="auto"/>
                <w:sz w:val="24"/>
              </w:rPr>
              <w:t>阶段声环境影响预测</w:t>
            </w:r>
          </w:p>
          <w:p>
            <w:pPr>
              <w:pStyle w:val="8"/>
              <w:spacing w:line="360" w:lineRule="auto"/>
              <w:ind w:firstLine="472"/>
              <w:rPr>
                <w:rFonts w:hint="eastAsia" w:ascii="Times New Roman" w:hAnsi="Times New Roman" w:eastAsia="宋体" w:cs="Times New Roman"/>
                <w:color w:val="auto"/>
                <w:spacing w:val="-2"/>
                <w:sz w:val="24"/>
                <w:szCs w:val="24"/>
                <w:lang w:eastAsia="zh-CN"/>
              </w:rPr>
            </w:pPr>
            <w:r>
              <w:rPr>
                <w:rFonts w:hint="eastAsia" w:ascii="Times New Roman" w:hAnsi="Times New Roman" w:cs="Times New Roman"/>
                <w:color w:val="auto"/>
                <w:spacing w:val="-2"/>
                <w:sz w:val="24"/>
                <w:szCs w:val="24"/>
                <w:lang w:val="en-US" w:eastAsia="zh-CN"/>
              </w:rPr>
              <w:t>修复</w:t>
            </w:r>
            <w:r>
              <w:rPr>
                <w:rFonts w:hint="default" w:ascii="Times New Roman" w:hAnsi="Times New Roman" w:cs="Times New Roman"/>
                <w:color w:val="auto"/>
                <w:spacing w:val="-2"/>
                <w:sz w:val="24"/>
                <w:szCs w:val="24"/>
              </w:rPr>
              <w:t>期间，不同施工阶使用的施工机械的组合形式是不同的。以多台机械同时</w:t>
            </w:r>
            <w:r>
              <w:rPr>
                <w:rFonts w:hint="eastAsia" w:ascii="Times New Roman" w:hAnsi="Times New Roman" w:cs="Times New Roman"/>
                <w:color w:val="auto"/>
                <w:spacing w:val="-2"/>
                <w:sz w:val="24"/>
                <w:szCs w:val="24"/>
                <w:lang w:val="en-US" w:eastAsia="zh-CN"/>
              </w:rPr>
              <w:t>施工组合考虑，不同距离处的噪声预测结果见下表。</w:t>
            </w:r>
          </w:p>
          <w:p>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outlineLvl w:val="9"/>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7-</w:t>
            </w:r>
            <w:r>
              <w:rPr>
                <w:rFonts w:hint="eastAsia" w:ascii="Times New Roman" w:hAnsi="Times New Roman" w:cs="Times New Roman"/>
                <w:b/>
                <w:bCs/>
                <w:color w:val="auto"/>
                <w:sz w:val="24"/>
                <w:szCs w:val="24"/>
                <w:lang w:val="en-US" w:eastAsia="zh-CN"/>
              </w:rPr>
              <w:t>13</w:t>
            </w:r>
            <w:r>
              <w:rPr>
                <w:rFonts w:hint="default" w:ascii="Times New Roman" w:hAnsi="Times New Roman" w:cs="Times New Roman"/>
                <w:b/>
                <w:bCs/>
                <w:color w:val="auto"/>
                <w:sz w:val="24"/>
                <w:szCs w:val="24"/>
              </w:rPr>
              <w:t xml:space="preserve">   </w:t>
            </w:r>
            <w:r>
              <w:rPr>
                <w:rFonts w:hint="eastAsia" w:ascii="Times New Roman" w:hAnsi="Times New Roman" w:cs="Times New Roman"/>
                <w:b/>
                <w:bCs/>
                <w:color w:val="auto"/>
                <w:sz w:val="24"/>
                <w:szCs w:val="24"/>
                <w:lang w:val="en-US" w:eastAsia="zh-CN"/>
              </w:rPr>
              <w:t>修复</w:t>
            </w:r>
            <w:r>
              <w:rPr>
                <w:rFonts w:hint="default" w:ascii="Times New Roman" w:hAnsi="Times New Roman" w:cs="Times New Roman"/>
                <w:b/>
                <w:bCs/>
                <w:color w:val="auto"/>
                <w:sz w:val="24"/>
                <w:szCs w:val="24"/>
              </w:rPr>
              <w:t>阶段噪声预测结果一览表   （单位：dB(A)）</w:t>
            </w:r>
          </w:p>
          <w:tbl>
            <w:tblPr>
              <w:tblStyle w:val="27"/>
              <w:tblW w:w="884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919"/>
              <w:gridCol w:w="3107"/>
              <w:gridCol w:w="381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0" w:hRule="atLeast"/>
                <w:jc w:val="center"/>
              </w:trPr>
              <w:tc>
                <w:tcPr>
                  <w:tcW w:w="1919" w:type="dxa"/>
                  <w:vMerge w:val="restart"/>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施工阶段</w:t>
                  </w:r>
                </w:p>
              </w:tc>
              <w:tc>
                <w:tcPr>
                  <w:tcW w:w="3107" w:type="dxa"/>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距离施工点距离</w:t>
                  </w:r>
                </w:p>
                <w:p>
                  <w:pPr>
                    <w:spacing w:line="320" w:lineRule="exact"/>
                    <w:jc w:val="center"/>
                    <w:rPr>
                      <w:rFonts w:hint="eastAsia" w:ascii="Times New Roman" w:hAnsi="Times New Roman" w:eastAsia="宋体" w:cs="Times New Roman"/>
                      <w:color w:val="auto"/>
                      <w:lang w:eastAsia="zh-CN"/>
                    </w:rPr>
                  </w:pP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m</w:t>
                  </w:r>
                  <w:r>
                    <w:rPr>
                      <w:rFonts w:hint="eastAsia" w:ascii="Times New Roman" w:hAnsi="Times New Roman" w:cs="Times New Roman"/>
                      <w:color w:val="auto"/>
                      <w:lang w:eastAsia="zh-CN"/>
                    </w:rPr>
                    <w:t>）</w:t>
                  </w:r>
                </w:p>
              </w:tc>
              <w:tc>
                <w:tcPr>
                  <w:tcW w:w="3818" w:type="dxa"/>
                  <w:noWrap w:val="0"/>
                  <w:vAlign w:val="center"/>
                </w:tcPr>
                <w:p>
                  <w:pPr>
                    <w:spacing w:line="320" w:lineRule="exact"/>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结果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restart"/>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多台施工机械同时作业组合</w:t>
                  </w: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82.59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20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77.25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40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71.91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60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68.71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80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66.48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100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64.79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150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61.68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200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59.45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300</w:t>
                  </w:r>
                </w:p>
              </w:tc>
              <w:tc>
                <w:tcPr>
                  <w:tcW w:w="3818" w:type="dxa"/>
                  <w:noWrap w:val="0"/>
                  <w:vAlign w:val="center"/>
                </w:tcPr>
                <w:p>
                  <w:pPr>
                    <w:spacing w:line="320" w:lineRule="exact"/>
                    <w:jc w:val="center"/>
                    <w:rPr>
                      <w:rFonts w:hint="default"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 xml:space="preserve">56.34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restart"/>
                  <w:noWrap w:val="0"/>
                  <w:vAlign w:val="center"/>
                </w:tcPr>
                <w:p>
                  <w:pPr>
                    <w:spacing w:line="320" w:lineRule="exact"/>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标准</w:t>
                  </w:r>
                </w:p>
              </w:tc>
              <w:tc>
                <w:tcPr>
                  <w:tcW w:w="3107" w:type="dxa"/>
                  <w:noWrap w:val="0"/>
                  <w:vAlign w:val="center"/>
                </w:tcPr>
                <w:p>
                  <w:pPr>
                    <w:spacing w:line="320" w:lineRule="exact"/>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昼间</w:t>
                  </w:r>
                </w:p>
              </w:tc>
              <w:tc>
                <w:tcPr>
                  <w:tcW w:w="3818"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919" w:type="dxa"/>
                  <w:vMerge w:val="continue"/>
                  <w:noWrap w:val="0"/>
                  <w:vAlign w:val="center"/>
                </w:tcPr>
                <w:p>
                  <w:pPr>
                    <w:spacing w:line="320" w:lineRule="exact"/>
                    <w:jc w:val="center"/>
                    <w:rPr>
                      <w:rFonts w:hint="default" w:ascii="Times New Roman" w:hAnsi="Times New Roman" w:cs="Times New Roman"/>
                      <w:color w:val="auto"/>
                    </w:rPr>
                  </w:pPr>
                </w:p>
              </w:tc>
              <w:tc>
                <w:tcPr>
                  <w:tcW w:w="3107" w:type="dxa"/>
                  <w:noWrap w:val="0"/>
                  <w:vAlign w:val="center"/>
                </w:tcPr>
                <w:p>
                  <w:pPr>
                    <w:spacing w:line="320" w:lineRule="exact"/>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夜间</w:t>
                  </w:r>
                </w:p>
              </w:tc>
              <w:tc>
                <w:tcPr>
                  <w:tcW w:w="3818" w:type="dxa"/>
                  <w:noWrap w:val="0"/>
                  <w:vAlign w:val="center"/>
                </w:tcPr>
                <w:p>
                  <w:pPr>
                    <w:spacing w:line="32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55</w:t>
                  </w:r>
                </w:p>
              </w:tc>
            </w:tr>
          </w:tbl>
          <w:p>
            <w:pPr>
              <w:spacing w:line="320" w:lineRule="exact"/>
              <w:jc w:val="both"/>
              <w:rPr>
                <w:rFonts w:hint="default" w:ascii="Times New Roman" w:hAnsi="Times New Roman" w:cs="Times New Roman"/>
                <w:color w:val="auto"/>
              </w:rPr>
            </w:pPr>
          </w:p>
          <w:p>
            <w:pPr>
              <w:pStyle w:val="8"/>
              <w:spacing w:line="360" w:lineRule="auto"/>
              <w:ind w:firstLine="472"/>
              <w:rPr>
                <w:rFonts w:hint="default" w:ascii="Times New Roman" w:hAnsi="Times New Roman" w:cs="Times New Roman"/>
                <w:color w:val="auto"/>
                <w:spacing w:val="-2"/>
                <w:sz w:val="24"/>
                <w:szCs w:val="24"/>
              </w:rPr>
            </w:pPr>
            <w:r>
              <w:rPr>
                <w:rFonts w:hint="default" w:ascii="Times New Roman" w:hAnsi="Times New Roman" w:cs="Times New Roman"/>
                <w:color w:val="auto"/>
                <w:spacing w:val="-2"/>
                <w:sz w:val="24"/>
                <w:szCs w:val="24"/>
              </w:rPr>
              <w:t>⑤预测结果分析</w:t>
            </w:r>
          </w:p>
          <w:p>
            <w:pPr>
              <w:pStyle w:val="8"/>
              <w:spacing w:line="360" w:lineRule="auto"/>
              <w:ind w:firstLine="472"/>
              <w:rPr>
                <w:rFonts w:hint="default" w:ascii="Times New Roman" w:hAnsi="Times New Roman" w:cs="Times New Roman"/>
                <w:color w:val="auto"/>
                <w:spacing w:val="-2"/>
                <w:sz w:val="24"/>
                <w:szCs w:val="24"/>
              </w:rPr>
            </w:pPr>
            <w:r>
              <w:rPr>
                <w:rFonts w:hint="default" w:ascii="Times New Roman" w:hAnsi="Times New Roman" w:cs="Times New Roman"/>
                <w:color w:val="auto"/>
                <w:spacing w:val="-2"/>
                <w:sz w:val="24"/>
                <w:szCs w:val="24"/>
              </w:rPr>
              <w:t>根据上述预测结果，可知施工噪声将对沿线声环境质量产生一定的影响，具体表现如下：从上表结果可知，在没有隔声设施的情况下，单台机械施工时，昼间离噪声源60米左右噪声大约为66.4-75.4dB（A）左右。由此可见在多台机械作业时在场地外围20-150米范围内的人员将受到一定的噪声影响。</w:t>
            </w:r>
          </w:p>
          <w:p>
            <w:pPr>
              <w:pStyle w:val="8"/>
              <w:spacing w:line="360" w:lineRule="auto"/>
              <w:ind w:firstLine="472"/>
              <w:rPr>
                <w:rFonts w:hint="default" w:ascii="Times New Roman" w:hAnsi="Times New Roman" w:cs="Times New Roman"/>
                <w:color w:val="auto"/>
                <w:spacing w:val="-2"/>
                <w:sz w:val="24"/>
                <w:szCs w:val="24"/>
              </w:rPr>
            </w:pPr>
            <w:r>
              <w:rPr>
                <w:rFonts w:hint="default" w:ascii="Times New Roman" w:hAnsi="Times New Roman" w:cs="Times New Roman"/>
                <w:color w:val="auto"/>
                <w:spacing w:val="-2"/>
                <w:sz w:val="24"/>
                <w:szCs w:val="24"/>
              </w:rPr>
              <w:t>⑥对敏感点影响分析</w:t>
            </w:r>
          </w:p>
          <w:p>
            <w:pPr>
              <w:pStyle w:val="8"/>
              <w:spacing w:line="360" w:lineRule="auto"/>
              <w:ind w:firstLine="472"/>
              <w:rPr>
                <w:rFonts w:hint="default" w:ascii="Times New Roman" w:hAnsi="Times New Roman" w:cs="Times New Roman"/>
                <w:color w:val="auto"/>
                <w:spacing w:val="-2"/>
                <w:sz w:val="24"/>
                <w:szCs w:val="24"/>
              </w:rPr>
            </w:pPr>
            <w:r>
              <w:rPr>
                <w:rFonts w:hint="default" w:ascii="Times New Roman" w:hAnsi="Times New Roman" w:cs="Times New Roman"/>
                <w:color w:val="auto"/>
                <w:spacing w:val="-2"/>
                <w:sz w:val="24"/>
                <w:szCs w:val="24"/>
              </w:rPr>
              <w:t>根据预测结果可知，单台（类）施工机械在距离约100米外基本可以达到《建筑施工场界环境噪声排放标准》（GB12523-2011）标准，夜间在350米外某些机械噪声设备还超出评价标准。尤其在施工现场，往往是多种施工机械共同作业，因此，施工现场的噪声是各种不同施工机械辐射噪声以及进出现场的各种车辆辐射噪声共同作用的结果，其昼间噪声距离要大于150米、夜间300米的距离。根据预测，多台机械一起工作时产生的噪声在150米处可达</w:t>
            </w:r>
            <w:r>
              <w:rPr>
                <w:rFonts w:hint="eastAsia" w:ascii="Times New Roman" w:hAnsi="Times New Roman" w:cs="Times New Roman"/>
                <w:color w:val="auto"/>
                <w:spacing w:val="-2"/>
                <w:sz w:val="24"/>
                <w:szCs w:val="24"/>
                <w:lang w:val="en-US" w:eastAsia="zh-CN"/>
              </w:rPr>
              <w:t>61.68</w:t>
            </w:r>
            <w:r>
              <w:rPr>
                <w:rFonts w:hint="default" w:ascii="Times New Roman" w:hAnsi="Times New Roman" w:cs="Times New Roman"/>
                <w:color w:val="auto"/>
                <w:spacing w:val="-2"/>
                <w:sz w:val="24"/>
                <w:szCs w:val="24"/>
              </w:rPr>
              <w:t>dB（A）左右，300米处衰减为</w:t>
            </w:r>
            <w:r>
              <w:rPr>
                <w:rFonts w:hint="eastAsia" w:ascii="Times New Roman" w:hAnsi="Times New Roman" w:cs="Times New Roman"/>
                <w:color w:val="auto"/>
                <w:spacing w:val="-2"/>
                <w:sz w:val="24"/>
                <w:szCs w:val="24"/>
                <w:lang w:val="en-US" w:eastAsia="zh-CN"/>
              </w:rPr>
              <w:t>56.34</w:t>
            </w:r>
            <w:r>
              <w:rPr>
                <w:rFonts w:hint="default" w:ascii="Times New Roman" w:hAnsi="Times New Roman" w:cs="Times New Roman"/>
                <w:color w:val="auto"/>
                <w:spacing w:val="-2"/>
                <w:sz w:val="24"/>
                <w:szCs w:val="24"/>
              </w:rPr>
              <w:t>dB（A）左右。项目施工开始后，距离项目最近的敏感点如下，不满足噪声标准要求，应加强噪声防护措施。</w:t>
            </w:r>
          </w:p>
          <w:p>
            <w:pPr>
              <w:widowControl/>
              <w:spacing w:line="360" w:lineRule="auto"/>
              <w:ind w:firstLine="480" w:firstLineChars="200"/>
              <w:rPr>
                <w:rFonts w:hint="default" w:ascii="Times New Roman" w:hAnsi="Times New Roman" w:cs="Times New Roman"/>
                <w:color w:val="auto"/>
                <w:sz w:val="24"/>
                <w:szCs w:val="22"/>
                <w:u w:val="single"/>
                <w:lang w:val="zh-CN"/>
              </w:rPr>
            </w:pPr>
            <w:r>
              <w:rPr>
                <w:rFonts w:hint="eastAsia" w:ascii="Times New Roman" w:hAnsi="Times New Roman" w:cs="Times New Roman"/>
                <w:color w:val="auto"/>
                <w:sz w:val="24"/>
                <w:szCs w:val="22"/>
                <w:u w:val="none"/>
                <w:lang w:val="en-US" w:eastAsia="zh-CN"/>
              </w:rPr>
              <w:t>2、</w:t>
            </w:r>
            <w:r>
              <w:rPr>
                <w:rFonts w:hint="default" w:ascii="Times New Roman" w:hAnsi="Times New Roman" w:cs="Times New Roman"/>
                <w:color w:val="auto"/>
                <w:sz w:val="24"/>
                <w:szCs w:val="22"/>
                <w:u w:val="none"/>
                <w:lang w:val="zh-CN"/>
              </w:rPr>
              <w:t>噪声影响减缓措施</w:t>
            </w:r>
          </w:p>
          <w:p>
            <w:pPr>
              <w:widowControl/>
              <w:spacing w:line="360" w:lineRule="auto"/>
              <w:ind w:firstLine="480" w:firstLineChars="200"/>
              <w:rPr>
                <w:rFonts w:hint="default" w:ascii="Times New Roman" w:hAnsi="Times New Roman" w:cs="Times New Roman"/>
                <w:color w:val="auto"/>
                <w:sz w:val="24"/>
                <w:szCs w:val="22"/>
                <w:lang w:val="zh-CN"/>
              </w:rPr>
            </w:pPr>
            <w:r>
              <w:rPr>
                <w:rFonts w:hint="eastAsia" w:ascii="Times New Roman" w:hAnsi="Times New Roman" w:cs="Times New Roman"/>
                <w:color w:val="auto"/>
                <w:sz w:val="24"/>
                <w:szCs w:val="22"/>
                <w:lang w:val="en-US" w:eastAsia="zh-CN"/>
              </w:rPr>
              <w:t>修复</w:t>
            </w:r>
            <w:r>
              <w:rPr>
                <w:rFonts w:hint="default" w:ascii="Times New Roman" w:hAnsi="Times New Roman" w:cs="Times New Roman"/>
                <w:color w:val="auto"/>
                <w:sz w:val="24"/>
                <w:szCs w:val="22"/>
                <w:lang w:val="zh-CN"/>
              </w:rPr>
              <w:t>期的施工噪声是最主要的噪声源之一，噪声对项目区周边环境有着较大的影响。根据目前的机械制造水平，</w:t>
            </w:r>
            <w:r>
              <w:rPr>
                <w:rFonts w:hint="eastAsia" w:ascii="Times New Roman" w:hAnsi="Times New Roman" w:cs="Times New Roman"/>
                <w:color w:val="auto"/>
                <w:sz w:val="24"/>
                <w:szCs w:val="22"/>
                <w:lang w:val="en-US" w:eastAsia="zh-CN"/>
              </w:rPr>
              <w:t>修复</w:t>
            </w:r>
            <w:r>
              <w:rPr>
                <w:rFonts w:hint="default" w:ascii="Times New Roman" w:hAnsi="Times New Roman" w:cs="Times New Roman"/>
                <w:color w:val="auto"/>
                <w:sz w:val="24"/>
                <w:szCs w:val="22"/>
                <w:lang w:val="zh-CN"/>
              </w:rPr>
              <w:t>期噪声影响即不可避免，又不能从根本上采取噪声控制措施予以消除，只能通过加强施工产噪设备的管理，以减轻施工噪声对周围环境的影响。</w:t>
            </w:r>
          </w:p>
          <w:p>
            <w:pPr>
              <w:widowControl/>
              <w:spacing w:line="360" w:lineRule="auto"/>
              <w:ind w:firstLine="480" w:firstLineChars="200"/>
              <w:rPr>
                <w:rFonts w:hint="default" w:ascii="Times New Roman" w:hAnsi="Times New Roman" w:cs="Times New Roman"/>
                <w:color w:val="auto"/>
                <w:sz w:val="24"/>
                <w:szCs w:val="22"/>
                <w:lang w:val="zh-CN"/>
              </w:rPr>
            </w:pPr>
            <w:r>
              <w:rPr>
                <w:rFonts w:hint="default" w:ascii="Times New Roman" w:hAnsi="Times New Roman" w:cs="Times New Roman"/>
                <w:color w:val="auto"/>
                <w:sz w:val="24"/>
                <w:szCs w:val="22"/>
                <w:lang w:val="zh-CN"/>
              </w:rPr>
              <w:t>根据国家、省市的相关噪声污染控制法律法规的规定，由于本项目</w:t>
            </w:r>
            <w:r>
              <w:rPr>
                <w:rFonts w:hint="eastAsia" w:ascii="Times New Roman" w:hAnsi="Times New Roman" w:cs="Times New Roman"/>
                <w:color w:val="auto"/>
                <w:sz w:val="24"/>
                <w:szCs w:val="22"/>
                <w:lang w:val="en-US" w:eastAsia="zh-CN"/>
              </w:rPr>
              <w:t>道路</w:t>
            </w:r>
            <w:r>
              <w:rPr>
                <w:rFonts w:hint="default" w:ascii="Times New Roman" w:hAnsi="Times New Roman" w:cs="Times New Roman"/>
                <w:color w:val="auto"/>
                <w:sz w:val="24"/>
                <w:szCs w:val="22"/>
                <w:lang w:val="en-US" w:eastAsia="zh-CN"/>
              </w:rPr>
              <w:t>施工</w:t>
            </w:r>
            <w:r>
              <w:rPr>
                <w:rFonts w:hint="eastAsia" w:ascii="Times New Roman" w:hAnsi="Times New Roman" w:cs="Times New Roman"/>
                <w:color w:val="auto"/>
                <w:sz w:val="24"/>
                <w:szCs w:val="22"/>
                <w:lang w:val="en-US" w:eastAsia="zh-CN"/>
              </w:rPr>
              <w:t>距离敏感点较近</w:t>
            </w:r>
            <w:r>
              <w:rPr>
                <w:rFonts w:hint="default" w:ascii="Times New Roman" w:hAnsi="Times New Roman" w:cs="Times New Roman"/>
                <w:color w:val="auto"/>
                <w:sz w:val="24"/>
                <w:szCs w:val="22"/>
                <w:lang w:val="zh-CN"/>
              </w:rPr>
              <w:t>，因此</w:t>
            </w:r>
            <w:r>
              <w:rPr>
                <w:rFonts w:hint="default" w:ascii="Times New Roman" w:hAnsi="Times New Roman" w:cs="Times New Roman"/>
                <w:color w:val="auto"/>
                <w:sz w:val="24"/>
                <w:szCs w:val="22"/>
                <w:lang w:val="en-US" w:eastAsia="zh-CN"/>
              </w:rPr>
              <w:t>本项目</w:t>
            </w:r>
            <w:r>
              <w:rPr>
                <w:rFonts w:hint="default" w:ascii="Times New Roman" w:hAnsi="Times New Roman" w:cs="Times New Roman"/>
                <w:color w:val="auto"/>
                <w:sz w:val="24"/>
                <w:szCs w:val="22"/>
                <w:lang w:val="zh-CN"/>
              </w:rPr>
              <w:t>在建设期间向周围排放噪声必须按照《中华人民共和国环境噪声污染防治法》规定，严格按照《建筑施工场界环境噪声排放标准》（GB12523-2011）进行控制，夜间严禁施工。</w:t>
            </w:r>
          </w:p>
          <w:p>
            <w:pPr>
              <w:widowControl/>
              <w:spacing w:line="360" w:lineRule="auto"/>
              <w:ind w:firstLine="480" w:firstLineChars="200"/>
              <w:rPr>
                <w:rFonts w:hint="default" w:ascii="Times New Roman" w:hAnsi="Times New Roman" w:cs="Times New Roman"/>
                <w:color w:val="auto"/>
                <w:sz w:val="24"/>
                <w:szCs w:val="22"/>
                <w:lang w:val="zh-CN"/>
              </w:rPr>
            </w:pPr>
            <w:r>
              <w:rPr>
                <w:rFonts w:hint="default" w:ascii="Times New Roman" w:hAnsi="Times New Roman" w:cs="Times New Roman"/>
                <w:color w:val="auto"/>
                <w:sz w:val="24"/>
                <w:szCs w:val="22"/>
                <w:lang w:val="zh-CN"/>
              </w:rPr>
              <w:t>为了尽量减少因本项目施工而给</w:t>
            </w:r>
            <w:r>
              <w:rPr>
                <w:rFonts w:hint="eastAsia" w:ascii="Times New Roman" w:hAnsi="Times New Roman" w:cs="Times New Roman"/>
                <w:color w:val="auto"/>
                <w:sz w:val="24"/>
                <w:szCs w:val="22"/>
                <w:lang w:val="en-US" w:eastAsia="zh-CN"/>
              </w:rPr>
              <w:t>周围居民</w:t>
            </w:r>
            <w:r>
              <w:rPr>
                <w:rFonts w:hint="default" w:ascii="Times New Roman" w:hAnsi="Times New Roman" w:cs="Times New Roman"/>
                <w:color w:val="auto"/>
                <w:sz w:val="24"/>
                <w:szCs w:val="22"/>
                <w:lang w:val="zh-CN"/>
              </w:rPr>
              <w:t>生活休息等活动带来的不利影响，建设单位应采取以下控制措施：</w:t>
            </w:r>
          </w:p>
          <w:p>
            <w:pPr>
              <w:widowControl/>
              <w:spacing w:line="360" w:lineRule="auto"/>
              <w:ind w:firstLine="480" w:firstLineChars="200"/>
              <w:rPr>
                <w:rFonts w:hint="default" w:ascii="Times New Roman" w:hAnsi="Times New Roman" w:cs="Times New Roman"/>
                <w:color w:val="auto"/>
                <w:sz w:val="24"/>
                <w:szCs w:val="22"/>
                <w:lang w:val="zh-CN"/>
              </w:rPr>
            </w:pPr>
            <w:r>
              <w:rPr>
                <w:rFonts w:hint="default" w:ascii="Times New Roman" w:hAnsi="Times New Roman" w:cs="Times New Roman"/>
                <w:color w:val="auto"/>
                <w:sz w:val="24"/>
                <w:szCs w:val="22"/>
                <w:lang w:val="zh-CN"/>
              </w:rPr>
              <w:t>①选用低噪声设备，加强设备的维护与管理；施工现场合理布局，尽可能将施工机械布置在地块的中央，以避免局部声级过高，一般除抢修、抢险作业外，不得在夜间进行噪声污染的施工作业。禁止在夜间（22:00～6:00）和午间（12:00～14:00）进行施工，确因特殊需要必须连续作业的，必须有县级以上人民政府或者其有关主管部门的证明，并由建设单位公告当地居民。</w:t>
            </w:r>
          </w:p>
          <w:p>
            <w:pPr>
              <w:widowControl/>
              <w:spacing w:line="360" w:lineRule="auto"/>
              <w:ind w:firstLine="480" w:firstLineChars="200"/>
              <w:rPr>
                <w:rFonts w:hint="default" w:ascii="Times New Roman" w:hAnsi="Times New Roman" w:cs="Times New Roman"/>
                <w:color w:val="auto"/>
                <w:sz w:val="24"/>
                <w:szCs w:val="22"/>
                <w:lang w:val="zh-CN"/>
              </w:rPr>
            </w:pPr>
            <w:r>
              <w:rPr>
                <w:rFonts w:hint="default" w:ascii="Times New Roman" w:hAnsi="Times New Roman" w:cs="Times New Roman"/>
                <w:color w:val="auto"/>
                <w:sz w:val="24"/>
                <w:szCs w:val="22"/>
                <w:lang w:val="zh-CN"/>
              </w:rPr>
              <w:t>②向周围环境排放建筑施工噪声超过建筑施工场界噪声限值的，确因技术条件所限，不能通过治理消除环境噪声污染的，必须采取有效措施，把噪声污染降至最低。并在敏感点醒目位置张贴公告，表达对被影响居民的歉意，已取得周边居民的谅解。</w:t>
            </w:r>
          </w:p>
          <w:p>
            <w:pPr>
              <w:widowControl/>
              <w:spacing w:line="360" w:lineRule="auto"/>
              <w:ind w:firstLine="480" w:firstLineChars="200"/>
              <w:rPr>
                <w:rFonts w:hint="default" w:ascii="Times New Roman" w:hAnsi="Times New Roman" w:cs="Times New Roman"/>
                <w:color w:val="auto"/>
                <w:sz w:val="24"/>
                <w:szCs w:val="22"/>
                <w:lang w:val="zh-CN"/>
              </w:rPr>
            </w:pPr>
            <w:r>
              <w:rPr>
                <w:rFonts w:hint="default" w:ascii="Times New Roman" w:hAnsi="Times New Roman" w:cs="Times New Roman"/>
                <w:color w:val="auto"/>
                <w:sz w:val="24"/>
                <w:szCs w:val="22"/>
                <w:lang w:val="zh-CN"/>
              </w:rPr>
              <w:t>③施工噪声主要来自各类施工机械在运行过程中的噪声。因此，改进施工机械和施工方法是减少噪声的有效方法。施工机械进场应得到环保部门的批准，对环境噪声污染严重的落后施工机械和施工方式实行淘汰制度。采用低噪声的压缩机、挖土机等施工设备和施工方法；施工中应采用低噪声新技术，如改变垂直振打为螺旋、静压、喷注式打桩机新技术。</w:t>
            </w:r>
          </w:p>
          <w:p>
            <w:pPr>
              <w:widowControl/>
              <w:spacing w:line="360" w:lineRule="auto"/>
              <w:ind w:firstLine="480" w:firstLineChars="200"/>
              <w:rPr>
                <w:rFonts w:hint="default" w:ascii="Times New Roman" w:hAnsi="Times New Roman" w:cs="Times New Roman"/>
                <w:color w:val="auto"/>
                <w:sz w:val="24"/>
                <w:szCs w:val="22"/>
                <w:lang w:val="zh-CN"/>
              </w:rPr>
            </w:pPr>
            <w:r>
              <w:rPr>
                <w:rFonts w:hint="default" w:ascii="Times New Roman" w:hAnsi="Times New Roman" w:cs="Times New Roman"/>
                <w:color w:val="auto"/>
                <w:sz w:val="24"/>
                <w:szCs w:val="22"/>
                <w:lang w:val="zh-CN"/>
              </w:rPr>
              <w:t>④施工单位应严格控制高噪声机械设备的使用，降低设备声级，建立</w:t>
            </w:r>
            <w:r>
              <w:rPr>
                <w:rFonts w:hint="eastAsia" w:ascii="Times New Roman" w:hAnsi="Times New Roman" w:cs="Times New Roman"/>
                <w:color w:val="auto"/>
                <w:sz w:val="24"/>
                <w:szCs w:val="22"/>
                <w:lang w:val="en-US" w:eastAsia="zh-CN"/>
              </w:rPr>
              <w:t>不低于2米高的</w:t>
            </w:r>
            <w:r>
              <w:rPr>
                <w:rFonts w:hint="default" w:ascii="Times New Roman" w:hAnsi="Times New Roman" w:cs="Times New Roman"/>
                <w:color w:val="auto"/>
                <w:sz w:val="24"/>
                <w:szCs w:val="22"/>
                <w:lang w:val="zh-CN"/>
              </w:rPr>
              <w:t>临时声障减小噪声污染；高噪音设备应远离敏感区一侧并对设备定期保养、严格操作规范且尽可能采取隔音、减震、消声等措施；对于相对固定的声源，如压缩机、挖土的发动机等，采用消声屏障可以使噪声强度降低</w:t>
            </w:r>
            <w:r>
              <w:rPr>
                <w:rFonts w:hint="eastAsia" w:ascii="Times New Roman" w:hAnsi="Times New Roman" w:cs="Times New Roman"/>
                <w:color w:val="auto"/>
                <w:sz w:val="24"/>
                <w:szCs w:val="22"/>
                <w:lang w:val="en-US" w:eastAsia="zh-CN"/>
              </w:rPr>
              <w:t>2</w:t>
            </w:r>
            <w:r>
              <w:rPr>
                <w:rFonts w:hint="default" w:ascii="Times New Roman" w:hAnsi="Times New Roman" w:cs="Times New Roman"/>
                <w:color w:val="auto"/>
                <w:sz w:val="24"/>
                <w:szCs w:val="22"/>
                <w:lang w:val="zh-CN"/>
              </w:rPr>
              <w:t>0dB(A)以上。</w:t>
            </w:r>
          </w:p>
          <w:p>
            <w:pPr>
              <w:widowControl/>
              <w:spacing w:line="360" w:lineRule="auto"/>
              <w:ind w:firstLine="480" w:firstLineChars="200"/>
              <w:rPr>
                <w:rFonts w:hint="default" w:ascii="Times New Roman" w:hAnsi="Times New Roman" w:cs="Times New Roman"/>
                <w:color w:val="auto"/>
                <w:sz w:val="24"/>
                <w:szCs w:val="22"/>
                <w:lang w:val="zh-CN"/>
              </w:rPr>
            </w:pPr>
            <w:r>
              <w:rPr>
                <w:rFonts w:hint="default" w:ascii="Times New Roman" w:hAnsi="Times New Roman" w:cs="Times New Roman"/>
                <w:color w:val="auto"/>
                <w:sz w:val="24"/>
                <w:szCs w:val="22"/>
                <w:lang w:val="zh-CN"/>
              </w:rPr>
              <w:t>⑤采用商品混凝土，这样可以大大减少扬尘及降低搅拌、破碎物料噪声；建筑构件尽可能在合适的场所预制好再运到现场安装，混凝土搅拌场所及运输通道，并尽可能远离居民点；对施工车辆的运行线路，应尽量避开噪声敏感区域。</w:t>
            </w:r>
          </w:p>
          <w:p>
            <w:pPr>
              <w:widowControl/>
              <w:spacing w:line="360" w:lineRule="auto"/>
              <w:ind w:firstLine="480" w:firstLineChars="200"/>
              <w:rPr>
                <w:rFonts w:hint="default" w:ascii="Times New Roman" w:hAnsi="Times New Roman" w:cs="Times New Roman"/>
                <w:color w:val="auto"/>
                <w:sz w:val="24"/>
                <w:szCs w:val="22"/>
                <w:lang w:val="zh-CN"/>
              </w:rPr>
            </w:pPr>
            <w:r>
              <w:rPr>
                <w:rFonts w:hint="default" w:ascii="Times New Roman" w:hAnsi="Times New Roman" w:cs="Times New Roman"/>
                <w:color w:val="auto"/>
                <w:sz w:val="24"/>
                <w:szCs w:val="22"/>
                <w:lang w:val="zh-CN"/>
              </w:rPr>
              <w:t>⑥同时应严格执行《建筑施工场界环境噪声排放标准》（GB12523-2011）和有关建筑施工噪声管理的规定，避免施工扰民事件的发生。要求业主单位在施工现场标明投诉电话，一旦接到投诉，业主单位应及时与当地环保部门取得联系，以便及时处理环境纠纷。</w:t>
            </w:r>
          </w:p>
          <w:p>
            <w:pPr>
              <w:widowControl/>
              <w:spacing w:line="360" w:lineRule="auto"/>
              <w:ind w:firstLine="480" w:firstLineChars="200"/>
              <w:rPr>
                <w:rFonts w:hint="default" w:ascii="Times New Roman" w:hAnsi="Times New Roman" w:cs="Times New Roman"/>
                <w:color w:val="auto"/>
                <w:sz w:val="24"/>
                <w:szCs w:val="22"/>
                <w:lang w:val="zh-CN"/>
              </w:rPr>
            </w:pPr>
            <w:r>
              <w:rPr>
                <w:rFonts w:hint="default" w:ascii="Times New Roman" w:hAnsi="Times New Roman" w:cs="Times New Roman"/>
                <w:color w:val="auto"/>
                <w:sz w:val="24"/>
                <w:szCs w:val="22"/>
                <w:lang w:val="zh-CN"/>
              </w:rPr>
              <w:t>⑦施工机械产生的噪声往往具有突发、无规则、不连续和高强度等特点，施工单位应采取合理安排施工机械操作时间的方法加以缓解，并减少同时作业的高噪施工机械数量，尽可能减轻声源叠加影响。</w:t>
            </w:r>
          </w:p>
          <w:p>
            <w:pPr>
              <w:widowControl/>
              <w:spacing w:line="360" w:lineRule="auto"/>
              <w:ind w:firstLine="480" w:firstLineChars="200"/>
              <w:rPr>
                <w:rFonts w:hint="default" w:ascii="Times New Roman" w:hAnsi="Times New Roman" w:cs="Times New Roman"/>
                <w:color w:val="auto"/>
                <w:sz w:val="24"/>
                <w:szCs w:val="22"/>
                <w:lang w:val="zh-CN"/>
              </w:rPr>
            </w:pPr>
            <w:r>
              <w:rPr>
                <w:rFonts w:hint="default" w:ascii="Times New Roman" w:hAnsi="Times New Roman" w:cs="Times New Roman"/>
                <w:color w:val="auto"/>
                <w:sz w:val="24"/>
                <w:szCs w:val="22"/>
                <w:lang w:val="zh-CN"/>
              </w:rPr>
              <w:t>⑧对于施工期间的材料运输、敲击、人的喊叫等噪声源，要求施工单位文明施工、加强有效管理以缓解其影响。</w:t>
            </w:r>
          </w:p>
          <w:p>
            <w:pPr>
              <w:spacing w:line="360" w:lineRule="auto"/>
              <w:ind w:firstLine="480" w:firstLineChars="200"/>
              <w:rPr>
                <w:rFonts w:ascii="Times New Roman" w:hAnsi="Times New Roman"/>
                <w:color w:val="000000"/>
                <w:sz w:val="36"/>
                <w:szCs w:val="36"/>
                <w:highlight w:val="none"/>
              </w:rPr>
            </w:pPr>
            <w:r>
              <w:rPr>
                <w:rFonts w:ascii="Times New Roman" w:hAnsi="Times New Roman"/>
                <w:color w:val="000000"/>
                <w:sz w:val="24"/>
                <w:szCs w:val="24"/>
                <w:highlight w:val="none"/>
              </w:rPr>
              <w:t>四、固体废物影响分析</w:t>
            </w:r>
          </w:p>
          <w:p>
            <w:pPr>
              <w:spacing w:line="360" w:lineRule="auto"/>
              <w:ind w:firstLine="482"/>
              <w:rPr>
                <w:rFonts w:ascii="Times New Roman" w:hAnsi="Times New Roman"/>
                <w:color w:val="000000"/>
                <w:sz w:val="24"/>
                <w:highlight w:val="none"/>
              </w:rPr>
            </w:pPr>
            <w:r>
              <w:rPr>
                <w:rFonts w:ascii="Times New Roman" w:hAnsi="Times New Roman"/>
                <w:color w:val="000000"/>
                <w:sz w:val="24"/>
                <w:highlight w:val="none"/>
              </w:rPr>
              <w:t>项目区产生的主要固体废物为</w:t>
            </w:r>
            <w:r>
              <w:rPr>
                <w:rFonts w:hint="eastAsia" w:ascii="Times New Roman" w:hAnsi="Times New Roman"/>
                <w:color w:val="000000"/>
                <w:sz w:val="24"/>
                <w:highlight w:val="none"/>
                <w:lang w:val="en-US" w:eastAsia="zh-CN"/>
              </w:rPr>
              <w:t>施工工人</w:t>
            </w:r>
            <w:r>
              <w:rPr>
                <w:rFonts w:ascii="Times New Roman" w:hAnsi="Times New Roman"/>
                <w:color w:val="000000"/>
                <w:sz w:val="24"/>
                <w:highlight w:val="none"/>
              </w:rPr>
              <w:t>生活垃圾，</w:t>
            </w:r>
            <w:r>
              <w:rPr>
                <w:rFonts w:hint="eastAsia" w:ascii="Times New Roman" w:hAnsi="Times New Roman"/>
                <w:color w:val="000000"/>
                <w:sz w:val="24"/>
                <w:highlight w:val="none"/>
              </w:rPr>
              <w:t>清挖的污染土壤、受污染建筑垃圾、非污染建筑垃圾、废水处理污泥、废活性炭</w:t>
            </w:r>
            <w:r>
              <w:rPr>
                <w:rFonts w:ascii="Times New Roman" w:hAnsi="Times New Roman"/>
                <w:color w:val="000000"/>
                <w:sz w:val="24"/>
                <w:highlight w:val="none"/>
              </w:rPr>
              <w:t>。</w:t>
            </w:r>
          </w:p>
          <w:p>
            <w:pPr>
              <w:spacing w:line="360" w:lineRule="auto"/>
              <w:ind w:firstLine="482"/>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1、固体废物源强及处置情况</w:t>
            </w:r>
          </w:p>
          <w:p>
            <w:pPr>
              <w:spacing w:line="360" w:lineRule="auto"/>
              <w:ind w:firstLine="482"/>
              <w:rPr>
                <w:rFonts w:hint="eastAsia" w:ascii="Times New Roman" w:hAnsi="Times New Roman" w:eastAsia="宋体"/>
                <w:color w:val="000000"/>
                <w:sz w:val="24"/>
                <w:szCs w:val="22"/>
                <w:highlight w:val="none"/>
                <w:lang w:eastAsia="zh-CN"/>
              </w:rPr>
            </w:pPr>
            <w:r>
              <w:rPr>
                <w:rFonts w:hint="eastAsia" w:ascii="Times New Roman" w:hAnsi="Times New Roman"/>
                <w:color w:val="000000"/>
                <w:sz w:val="24"/>
                <w:szCs w:val="22"/>
                <w:highlight w:val="none"/>
              </w:rPr>
              <w:t>根据《中华人民共和国固体废物污染环境防治法》、《固体废物鉴别标准通则》（GB34330-2017），对本项目的固废进行判别，本项目实施后固废的产生及处置情况见</w:t>
            </w:r>
            <w:r>
              <w:rPr>
                <w:rFonts w:hint="eastAsia" w:ascii="Times New Roman" w:hAnsi="Times New Roman"/>
                <w:color w:val="000000"/>
                <w:sz w:val="24"/>
                <w:szCs w:val="22"/>
                <w:highlight w:val="none"/>
                <w:lang w:val="en-US" w:eastAsia="zh-CN"/>
              </w:rPr>
              <w:t>下</w:t>
            </w:r>
            <w:r>
              <w:rPr>
                <w:rFonts w:hint="eastAsia" w:ascii="Times New Roman" w:hAnsi="Times New Roman"/>
                <w:color w:val="000000"/>
                <w:sz w:val="24"/>
                <w:szCs w:val="22"/>
                <w:highlight w:val="none"/>
              </w:rPr>
              <w:t>表</w:t>
            </w:r>
            <w:r>
              <w:rPr>
                <w:rFonts w:hint="eastAsia" w:ascii="Times New Roman" w:hAnsi="Times New Roman"/>
                <w:color w:val="000000"/>
                <w:sz w:val="24"/>
                <w:szCs w:val="22"/>
                <w:highlight w:val="none"/>
                <w:lang w:eastAsia="zh-CN"/>
              </w:rPr>
              <w:t>。</w:t>
            </w:r>
          </w:p>
          <w:p>
            <w:pPr>
              <w:pStyle w:val="26"/>
              <w:spacing w:after="0" w:line="360" w:lineRule="auto"/>
              <w:ind w:firstLine="0" w:firstLineChars="0"/>
              <w:jc w:val="center"/>
              <w:rPr>
                <w:rFonts w:ascii="Times New Roman" w:hAnsi="Times New Roman"/>
                <w:b/>
                <w:bCs/>
                <w:color w:val="000000"/>
                <w:sz w:val="24"/>
                <w:szCs w:val="24"/>
                <w:highlight w:val="none"/>
              </w:rPr>
            </w:pPr>
            <w:r>
              <w:rPr>
                <w:rFonts w:ascii="Times New Roman" w:hAnsi="Times New Roman"/>
                <w:b/>
                <w:bCs/>
                <w:color w:val="000000"/>
                <w:sz w:val="24"/>
                <w:szCs w:val="24"/>
                <w:highlight w:val="none"/>
              </w:rPr>
              <w:t>表</w:t>
            </w:r>
            <w:r>
              <w:rPr>
                <w:rFonts w:hint="eastAsia" w:ascii="Times New Roman" w:hAnsi="Times New Roman"/>
                <w:b/>
                <w:bCs/>
                <w:color w:val="000000"/>
                <w:sz w:val="24"/>
                <w:szCs w:val="24"/>
                <w:highlight w:val="none"/>
                <w:lang w:val="en-US" w:eastAsia="zh-CN"/>
              </w:rPr>
              <w:t>7-14</w:t>
            </w:r>
            <w:r>
              <w:rPr>
                <w:rFonts w:ascii="Times New Roman" w:hAnsi="Times New Roman"/>
                <w:b/>
                <w:bCs/>
                <w:color w:val="000000"/>
                <w:sz w:val="24"/>
                <w:szCs w:val="24"/>
                <w:highlight w:val="none"/>
              </w:rPr>
              <w:t xml:space="preserve">  </w:t>
            </w:r>
            <w:r>
              <w:rPr>
                <w:rFonts w:hint="eastAsia" w:ascii="Times New Roman" w:hAnsi="Times New Roman"/>
                <w:b/>
                <w:bCs/>
                <w:color w:val="000000"/>
                <w:sz w:val="24"/>
                <w:szCs w:val="24"/>
                <w:highlight w:val="none"/>
              </w:rPr>
              <w:t>固体废物分析结果汇总表</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125"/>
              <w:gridCol w:w="1276"/>
              <w:gridCol w:w="997"/>
              <w:gridCol w:w="651"/>
              <w:gridCol w:w="1584"/>
              <w:gridCol w:w="1133"/>
              <w:gridCol w:w="1200"/>
              <w:gridCol w:w="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6"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序号</w:t>
                  </w:r>
                </w:p>
              </w:tc>
              <w:tc>
                <w:tcPr>
                  <w:tcW w:w="1125"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固废名称</w:t>
                  </w:r>
                </w:p>
              </w:tc>
              <w:tc>
                <w:tcPr>
                  <w:tcW w:w="1276"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废物代码</w:t>
                  </w:r>
                </w:p>
              </w:tc>
              <w:tc>
                <w:tcPr>
                  <w:tcW w:w="997"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来源</w:t>
                  </w:r>
                </w:p>
              </w:tc>
              <w:tc>
                <w:tcPr>
                  <w:tcW w:w="651"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状态</w:t>
                  </w:r>
                </w:p>
              </w:tc>
              <w:tc>
                <w:tcPr>
                  <w:tcW w:w="1584"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存放地点</w:t>
                  </w:r>
                </w:p>
              </w:tc>
              <w:tc>
                <w:tcPr>
                  <w:tcW w:w="1133"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产生量</w:t>
                  </w:r>
                </w:p>
              </w:tc>
              <w:tc>
                <w:tcPr>
                  <w:tcW w:w="1200"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处置方式</w:t>
                  </w:r>
                </w:p>
              </w:tc>
              <w:tc>
                <w:tcPr>
                  <w:tcW w:w="549"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6"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rPr>
                    <w:t>1</w:t>
                  </w:r>
                </w:p>
              </w:tc>
              <w:tc>
                <w:tcPr>
                  <w:tcW w:w="1125" w:type="dxa"/>
                  <w:noWrap w:val="0"/>
                  <w:vAlign w:val="center"/>
                </w:tcPr>
                <w:p>
                  <w:pPr>
                    <w:pStyle w:val="99"/>
                    <w:spacing w:line="240" w:lineRule="atLeast"/>
                    <w:ind w:firstLine="0" w:firstLineChars="0"/>
                    <w:jc w:val="center"/>
                    <w:rPr>
                      <w:rFonts w:ascii="Times New Roman" w:hAnsi="Times New Roman"/>
                      <w:color w:val="000000"/>
                      <w:highlight w:val="none"/>
                    </w:rPr>
                  </w:pPr>
                  <w:r>
                    <w:rPr>
                      <w:rFonts w:hint="eastAsia" w:ascii="Times New Roman" w:hAnsi="Times New Roman"/>
                      <w:color w:val="000000"/>
                      <w:highlight w:val="none"/>
                      <w:lang w:val="en-US" w:eastAsia="zh-CN"/>
                    </w:rPr>
                    <w:t>生活垃圾</w:t>
                  </w:r>
                </w:p>
              </w:tc>
              <w:tc>
                <w:tcPr>
                  <w:tcW w:w="1276"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w:t>
                  </w:r>
                </w:p>
              </w:tc>
              <w:tc>
                <w:tcPr>
                  <w:tcW w:w="997" w:type="dxa"/>
                  <w:noWrap w:val="0"/>
                  <w:vAlign w:val="center"/>
                </w:tcPr>
                <w:p>
                  <w:pPr>
                    <w:spacing w:line="240" w:lineRule="atLeast"/>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施工人员</w:t>
                  </w:r>
                </w:p>
              </w:tc>
              <w:tc>
                <w:tcPr>
                  <w:tcW w:w="651" w:type="dxa"/>
                  <w:noWrap w:val="0"/>
                  <w:vAlign w:val="center"/>
                </w:tcPr>
                <w:p>
                  <w:pPr>
                    <w:spacing w:line="240" w:lineRule="atLeast"/>
                    <w:jc w:val="center"/>
                    <w:rPr>
                      <w:rFonts w:ascii="Times New Roman" w:hAnsi="Times New Roman"/>
                      <w:color w:val="000000"/>
                      <w:szCs w:val="21"/>
                      <w:highlight w:val="none"/>
                      <w:lang w:eastAsia="en-US"/>
                    </w:rPr>
                  </w:pPr>
                  <w:r>
                    <w:rPr>
                      <w:rFonts w:hint="eastAsia" w:ascii="Times New Roman" w:hAnsi="Times New Roman"/>
                      <w:color w:val="000000"/>
                      <w:szCs w:val="21"/>
                      <w:highlight w:val="none"/>
                      <w:lang w:val="en-US" w:eastAsia="zh-CN"/>
                    </w:rPr>
                    <w:t>S</w:t>
                  </w:r>
                </w:p>
              </w:tc>
              <w:tc>
                <w:tcPr>
                  <w:tcW w:w="1584"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垃圾桶</w:t>
                  </w:r>
                </w:p>
              </w:tc>
              <w:tc>
                <w:tcPr>
                  <w:tcW w:w="1133"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11.75</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1200"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环卫部门布置</w:t>
                  </w:r>
                </w:p>
              </w:tc>
              <w:tc>
                <w:tcPr>
                  <w:tcW w:w="549"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ascii="Times New Roman" w:hAnsi="Times New Roman"/>
                      <w:color w:val="000000"/>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6"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2</w:t>
                  </w:r>
                </w:p>
              </w:tc>
              <w:tc>
                <w:tcPr>
                  <w:tcW w:w="1125"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污染建筑垃圾</w:t>
                  </w:r>
                </w:p>
              </w:tc>
              <w:tc>
                <w:tcPr>
                  <w:tcW w:w="1276" w:type="dxa"/>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危废</w:t>
                  </w:r>
                </w:p>
              </w:tc>
              <w:tc>
                <w:tcPr>
                  <w:tcW w:w="997"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修复</w:t>
                  </w:r>
                </w:p>
              </w:tc>
              <w:tc>
                <w:tcPr>
                  <w:tcW w:w="651" w:type="dxa"/>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S</w:t>
                  </w:r>
                </w:p>
              </w:tc>
              <w:tc>
                <w:tcPr>
                  <w:tcW w:w="1584" w:type="dxa"/>
                  <w:vMerge w:val="restart"/>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w:t>
                  </w:r>
                </w:p>
              </w:tc>
              <w:tc>
                <w:tcPr>
                  <w:tcW w:w="1133" w:type="dxa"/>
                  <w:noWrap w:val="0"/>
                  <w:vAlign w:val="center"/>
                </w:tcPr>
                <w:p>
                  <w:pPr>
                    <w:pStyle w:val="99"/>
                    <w:spacing w:line="240" w:lineRule="atLeast"/>
                    <w:ind w:firstLine="0" w:firstLineChars="0"/>
                    <w:jc w:val="center"/>
                    <w:rPr>
                      <w:rFonts w:hint="eastAsia" w:ascii="Times New Roman" w:hAnsi="Times New Roman"/>
                      <w:color w:val="000000"/>
                      <w:szCs w:val="21"/>
                      <w:highlight w:val="none"/>
                    </w:rPr>
                  </w:pPr>
                  <w:r>
                    <w:rPr>
                      <w:rFonts w:hint="eastAsia" w:ascii="Times New Roman" w:hAnsi="Times New Roman"/>
                      <w:color w:val="000000"/>
                      <w:szCs w:val="21"/>
                      <w:highlight w:val="none"/>
                      <w:lang w:val="en-US" w:eastAsia="zh-CN"/>
                    </w:rPr>
                    <w:t>2290</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1200"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异地水泥窑处置</w:t>
                  </w:r>
                </w:p>
              </w:tc>
              <w:tc>
                <w:tcPr>
                  <w:tcW w:w="549"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6"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3</w:t>
                  </w:r>
                </w:p>
              </w:tc>
              <w:tc>
                <w:tcPr>
                  <w:tcW w:w="1125"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非污染建筑垃圾</w:t>
                  </w:r>
                </w:p>
              </w:tc>
              <w:tc>
                <w:tcPr>
                  <w:tcW w:w="1276"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一般</w:t>
                  </w:r>
                </w:p>
              </w:tc>
              <w:tc>
                <w:tcPr>
                  <w:tcW w:w="997"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修复</w:t>
                  </w:r>
                </w:p>
              </w:tc>
              <w:tc>
                <w:tcPr>
                  <w:tcW w:w="651" w:type="dxa"/>
                  <w:noWrap w:val="0"/>
                  <w:vAlign w:val="center"/>
                </w:tcPr>
                <w:p>
                  <w:pPr>
                    <w:spacing w:line="240" w:lineRule="atLeast"/>
                    <w:ind w:firstLine="0" w:firstLineChars="0"/>
                    <w:jc w:val="center"/>
                    <w:rPr>
                      <w:rFonts w:ascii="Times New Roman" w:hAnsi="Times New Roman"/>
                      <w:color w:val="000000"/>
                      <w:szCs w:val="21"/>
                      <w:highlight w:val="none"/>
                      <w:lang w:eastAsia="en-US"/>
                    </w:rPr>
                  </w:pPr>
                  <w:r>
                    <w:rPr>
                      <w:rFonts w:hint="eastAsia" w:ascii="Times New Roman" w:hAnsi="Times New Roman"/>
                      <w:color w:val="000000"/>
                      <w:szCs w:val="21"/>
                      <w:highlight w:val="none"/>
                      <w:lang w:val="en-US" w:eastAsia="zh-CN"/>
                    </w:rPr>
                    <w:t>S</w:t>
                  </w:r>
                </w:p>
              </w:tc>
              <w:tc>
                <w:tcPr>
                  <w:tcW w:w="1584" w:type="dxa"/>
                  <w:vMerge w:val="continue"/>
                  <w:noWrap w:val="0"/>
                  <w:vAlign w:val="center"/>
                </w:tcPr>
                <w:p>
                  <w:pPr>
                    <w:pStyle w:val="99"/>
                    <w:spacing w:line="240" w:lineRule="atLeast"/>
                    <w:ind w:firstLine="0" w:firstLineChars="0"/>
                    <w:jc w:val="center"/>
                    <w:rPr>
                      <w:rFonts w:ascii="Times New Roman" w:hAnsi="Times New Roman"/>
                      <w:color w:val="000000"/>
                      <w:szCs w:val="21"/>
                      <w:highlight w:val="none"/>
                    </w:rPr>
                  </w:pPr>
                </w:p>
              </w:tc>
              <w:tc>
                <w:tcPr>
                  <w:tcW w:w="1133"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3950</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1200" w:type="dxa"/>
                  <w:noWrap w:val="0"/>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外售综合处置利用</w:t>
                  </w:r>
                </w:p>
              </w:tc>
              <w:tc>
                <w:tcPr>
                  <w:tcW w:w="549"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ascii="Times New Roman" w:hAnsi="Times New Roman"/>
                      <w:color w:val="000000"/>
                      <w:szCs w:val="21"/>
                      <w:highlight w:val="none"/>
                      <w:lang w:eastAsia="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496"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4</w:t>
                  </w:r>
                </w:p>
              </w:tc>
              <w:tc>
                <w:tcPr>
                  <w:tcW w:w="1125"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污泥</w:t>
                  </w:r>
                </w:p>
              </w:tc>
              <w:tc>
                <w:tcPr>
                  <w:tcW w:w="1276" w:type="dxa"/>
                  <w:noWrap w:val="0"/>
                  <w:vAlign w:val="center"/>
                </w:tcPr>
                <w:p>
                  <w:pPr>
                    <w:spacing w:line="240" w:lineRule="atLeast"/>
                    <w:ind w:firstLine="0" w:firstLineChars="0"/>
                    <w:jc w:val="center"/>
                    <w:rPr>
                      <w:rFonts w:hint="eastAsia" w:ascii="Times New Roman" w:hAnsi="Times New Roman"/>
                      <w:color w:val="000000"/>
                      <w:szCs w:val="21"/>
                      <w:highlight w:val="none"/>
                    </w:rPr>
                  </w:pPr>
                  <w:r>
                    <w:rPr>
                      <w:rFonts w:hint="eastAsia" w:ascii="Times New Roman" w:hAnsi="Times New Roman"/>
                      <w:color w:val="000000"/>
                      <w:szCs w:val="21"/>
                      <w:highlight w:val="none"/>
                      <w:lang w:val="en-US" w:eastAsia="zh-CN"/>
                    </w:rPr>
                    <w:t>危废</w:t>
                  </w:r>
                </w:p>
              </w:tc>
              <w:tc>
                <w:tcPr>
                  <w:tcW w:w="997" w:type="dxa"/>
                  <w:noWrap w:val="0"/>
                  <w:vAlign w:val="center"/>
                </w:tcPr>
                <w:p>
                  <w:pPr>
                    <w:pStyle w:val="99"/>
                    <w:spacing w:line="240" w:lineRule="atLeast"/>
                    <w:ind w:firstLine="0" w:firstLineChars="0"/>
                    <w:jc w:val="center"/>
                    <w:rPr>
                      <w:rFonts w:ascii="Times New Roman" w:hAnsi="Times New Roman"/>
                      <w:color w:val="000000"/>
                      <w:szCs w:val="21"/>
                      <w:highlight w:val="none"/>
                      <w:lang w:eastAsia="en-US"/>
                    </w:rPr>
                  </w:pPr>
                  <w:r>
                    <w:rPr>
                      <w:rFonts w:hint="eastAsia" w:ascii="Times New Roman" w:hAnsi="Times New Roman"/>
                      <w:color w:val="000000"/>
                      <w:szCs w:val="21"/>
                      <w:highlight w:val="none"/>
                      <w:lang w:val="en-US" w:eastAsia="zh-CN"/>
                    </w:rPr>
                    <w:t>污水净化</w:t>
                  </w:r>
                </w:p>
              </w:tc>
              <w:tc>
                <w:tcPr>
                  <w:tcW w:w="651" w:type="dxa"/>
                  <w:noWrap w:val="0"/>
                  <w:vAlign w:val="center"/>
                </w:tcPr>
                <w:p>
                  <w:pPr>
                    <w:spacing w:line="240" w:lineRule="atLeast"/>
                    <w:ind w:firstLine="0" w:firstLineChars="0"/>
                    <w:jc w:val="center"/>
                    <w:rPr>
                      <w:rFonts w:ascii="Times New Roman" w:hAnsi="Times New Roman"/>
                      <w:color w:val="000000"/>
                      <w:szCs w:val="21"/>
                      <w:highlight w:val="none"/>
                      <w:lang w:eastAsia="en-US"/>
                    </w:rPr>
                  </w:pPr>
                  <w:r>
                    <w:rPr>
                      <w:rFonts w:hint="eastAsia" w:ascii="Times New Roman" w:hAnsi="Times New Roman"/>
                      <w:color w:val="000000"/>
                      <w:szCs w:val="21"/>
                      <w:highlight w:val="none"/>
                      <w:lang w:val="en-US" w:eastAsia="zh-CN"/>
                    </w:rPr>
                    <w:t>S</w:t>
                  </w:r>
                </w:p>
              </w:tc>
              <w:tc>
                <w:tcPr>
                  <w:tcW w:w="1584"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ascii="Times New Roman" w:hAnsi="Times New Roman"/>
                      <w:color w:val="000000"/>
                      <w:szCs w:val="21"/>
                      <w:highlight w:val="none"/>
                    </w:rPr>
                    <w:t>危险固废暂存场所</w:t>
                  </w:r>
                </w:p>
              </w:tc>
              <w:tc>
                <w:tcPr>
                  <w:tcW w:w="1133" w:type="dxa"/>
                  <w:noWrap w:val="0"/>
                  <w:vAlign w:val="center"/>
                </w:tcPr>
                <w:p>
                  <w:pPr>
                    <w:pStyle w:val="99"/>
                    <w:spacing w:line="240" w:lineRule="atLeast"/>
                    <w:ind w:firstLine="0" w:firstLineChars="0"/>
                    <w:jc w:val="center"/>
                    <w:rPr>
                      <w:rFonts w:hint="eastAsia" w:ascii="Times New Roman" w:hAnsi="Times New Roman"/>
                      <w:color w:val="000000"/>
                      <w:szCs w:val="21"/>
                      <w:highlight w:val="none"/>
                    </w:rPr>
                  </w:pPr>
                  <w:r>
                    <w:rPr>
                      <w:rFonts w:hint="eastAsia" w:ascii="Times New Roman" w:hAnsi="Times New Roman"/>
                      <w:color w:val="000000"/>
                      <w:szCs w:val="21"/>
                      <w:highlight w:val="none"/>
                      <w:lang w:val="en-US" w:eastAsia="zh-CN"/>
                    </w:rPr>
                    <w:t>15.22</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1200" w:type="dxa"/>
                  <w:noWrap w:val="0"/>
                  <w:vAlign w:val="center"/>
                </w:tcPr>
                <w:p>
                  <w:pPr>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异地水泥窑处置</w:t>
                  </w:r>
                </w:p>
              </w:tc>
              <w:tc>
                <w:tcPr>
                  <w:tcW w:w="549" w:type="dxa"/>
                  <w:noWrap w:val="0"/>
                  <w:vAlign w:val="center"/>
                </w:tcPr>
                <w:p>
                  <w:pPr>
                    <w:pStyle w:val="99"/>
                    <w:spacing w:line="240" w:lineRule="atLeast"/>
                    <w:ind w:firstLine="0" w:firstLineChars="0"/>
                    <w:jc w:val="center"/>
                    <w:rPr>
                      <w:rFonts w:hint="eastAsia" w:ascii="Times New Roman" w:hAnsi="Times New Roman"/>
                      <w:color w:val="000000"/>
                      <w:szCs w:val="21"/>
                      <w:highlight w:val="none"/>
                    </w:rPr>
                  </w:pPr>
                  <w:r>
                    <w:rPr>
                      <w:rFonts w:hint="eastAsia" w:ascii="Times New Roman" w:hAnsi="Times New Roman"/>
                      <w:color w:val="000000"/>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496" w:type="dxa"/>
                  <w:noWrap w:val="0"/>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5</w:t>
                  </w:r>
                </w:p>
              </w:tc>
              <w:tc>
                <w:tcPr>
                  <w:tcW w:w="1125"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废活性炭</w:t>
                  </w:r>
                </w:p>
              </w:tc>
              <w:tc>
                <w:tcPr>
                  <w:tcW w:w="1276" w:type="dxa"/>
                  <w:noWrap w:val="0"/>
                  <w:vAlign w:val="center"/>
                </w:tcPr>
                <w:p>
                  <w:pPr>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危废</w:t>
                  </w:r>
                </w:p>
              </w:tc>
              <w:tc>
                <w:tcPr>
                  <w:tcW w:w="997"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污水净化</w:t>
                  </w:r>
                </w:p>
              </w:tc>
              <w:tc>
                <w:tcPr>
                  <w:tcW w:w="651" w:type="dxa"/>
                  <w:noWrap w:val="0"/>
                  <w:vAlign w:val="center"/>
                </w:tcPr>
                <w:p>
                  <w:pPr>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S</w:t>
                  </w:r>
                </w:p>
              </w:tc>
              <w:tc>
                <w:tcPr>
                  <w:tcW w:w="1584"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ascii="Times New Roman" w:hAnsi="Times New Roman"/>
                      <w:color w:val="000000"/>
                      <w:szCs w:val="21"/>
                      <w:highlight w:val="none"/>
                    </w:rPr>
                    <w:t>危险固废暂存场所</w:t>
                  </w:r>
                </w:p>
              </w:tc>
              <w:tc>
                <w:tcPr>
                  <w:tcW w:w="1133" w:type="dxa"/>
                  <w:noWrap w:val="0"/>
                  <w:vAlign w:val="center"/>
                </w:tcPr>
                <w:p>
                  <w:pPr>
                    <w:pStyle w:val="99"/>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3.5</w:t>
                  </w:r>
                  <w:r>
                    <w:rPr>
                      <w:rFonts w:hint="eastAsia" w:ascii="Times New Roman" w:hAnsi="Times New Roman"/>
                      <w:color w:val="000000"/>
                      <w:szCs w:val="21"/>
                      <w:highlight w:val="none"/>
                    </w:rPr>
                    <w:t>t/</w:t>
                  </w:r>
                  <w:r>
                    <w:rPr>
                      <w:rFonts w:hint="eastAsia" w:ascii="Times New Roman" w:hAnsi="Times New Roman"/>
                      <w:color w:val="000000"/>
                      <w:szCs w:val="21"/>
                      <w:highlight w:val="none"/>
                      <w:lang w:val="en-US" w:eastAsia="zh-CN"/>
                    </w:rPr>
                    <w:t>工期</w:t>
                  </w:r>
                </w:p>
              </w:tc>
              <w:tc>
                <w:tcPr>
                  <w:tcW w:w="1200" w:type="dxa"/>
                  <w:noWrap w:val="0"/>
                  <w:vAlign w:val="center"/>
                </w:tcPr>
                <w:p>
                  <w:pPr>
                    <w:spacing w:line="240" w:lineRule="atLeast"/>
                    <w:ind w:firstLine="0" w:firstLineChars="0"/>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异地水泥窑处置</w:t>
                  </w:r>
                </w:p>
              </w:tc>
              <w:tc>
                <w:tcPr>
                  <w:tcW w:w="549" w:type="dxa"/>
                  <w:noWrap w:val="0"/>
                  <w:vAlign w:val="center"/>
                </w:tcPr>
                <w:p>
                  <w:pPr>
                    <w:spacing w:line="240" w:lineRule="atLeast"/>
                    <w:jc w:val="center"/>
                    <w:rPr>
                      <w:rFonts w:ascii="Times New Roman" w:hAnsi="Times New Roman"/>
                      <w:color w:val="000000"/>
                      <w:szCs w:val="21"/>
                      <w:highlight w:val="none"/>
                    </w:rPr>
                  </w:pPr>
                  <w:r>
                    <w:rPr>
                      <w:rFonts w:ascii="Times New Roman" w:hAnsi="Times New Roman"/>
                      <w:color w:val="000000"/>
                      <w:szCs w:val="21"/>
                      <w:highlight w:val="none"/>
                    </w:rPr>
                    <w:t>0</w:t>
                  </w:r>
                </w:p>
              </w:tc>
            </w:tr>
          </w:tbl>
          <w:p>
            <w:pPr>
              <w:spacing w:line="360" w:lineRule="auto"/>
              <w:ind w:firstLine="482"/>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lang w:val="en-US" w:eastAsia="zh-CN"/>
              </w:rPr>
              <w:t>2</w:t>
            </w:r>
            <w:r>
              <w:rPr>
                <w:rFonts w:hint="eastAsia" w:ascii="Times New Roman" w:hAnsi="Times New Roman"/>
                <w:color w:val="000000"/>
                <w:sz w:val="24"/>
                <w:szCs w:val="22"/>
                <w:highlight w:val="none"/>
              </w:rPr>
              <w:t>、危废影响分析</w:t>
            </w:r>
          </w:p>
          <w:p>
            <w:pPr>
              <w:spacing w:line="360" w:lineRule="auto"/>
              <w:ind w:firstLine="482"/>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项目应设置危险废物临时贮存库，</w:t>
            </w:r>
            <w:r>
              <w:rPr>
                <w:rFonts w:hint="eastAsia" w:ascii="Times New Roman" w:hAnsi="Times New Roman"/>
                <w:color w:val="000000"/>
                <w:sz w:val="24"/>
                <w:szCs w:val="22"/>
                <w:highlight w:val="none"/>
                <w:lang w:val="en-US" w:eastAsia="zh-CN"/>
              </w:rPr>
              <w:t>其中受污染建筑垃圾及污染土壤直接装车外运至水泥厂处置，不在项目地内暂存，危废库内仅存放污泥、废活性炭危废，</w:t>
            </w:r>
            <w:r>
              <w:rPr>
                <w:rFonts w:hint="eastAsia" w:ascii="Times New Roman" w:hAnsi="Times New Roman"/>
                <w:color w:val="000000"/>
                <w:sz w:val="24"/>
                <w:szCs w:val="22"/>
                <w:highlight w:val="none"/>
              </w:rPr>
              <w:t>该库房建设满足《危险废物贮存污染控制标准》（GB18597-2001）及修改单的要求，配套相应的防渗、防漏设施，保持密闭，防止雨水进入。</w:t>
            </w:r>
          </w:p>
          <w:p>
            <w:pPr>
              <w:spacing w:line="360" w:lineRule="auto"/>
              <w:ind w:firstLine="482"/>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危险废物按照不同的类别和性质分别存放，然后由有资质单位妥善处置。危险废物的转运严格按照有关规定，实行联单制度。</w:t>
            </w:r>
          </w:p>
          <w:p>
            <w:pPr>
              <w:spacing w:line="360" w:lineRule="auto"/>
              <w:ind w:firstLine="482"/>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上述固体废物只要做到及时清运，统一处置，则对周围土壤、水体、环境空气质量均无影响。</w:t>
            </w:r>
          </w:p>
          <w:p>
            <w:pPr>
              <w:pStyle w:val="36"/>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环评按照《建设项目危险废物环境影响评价指南》对危险废物影响进行分析。</w:t>
            </w:r>
          </w:p>
          <w:p>
            <w:pPr>
              <w:widowControl/>
              <w:spacing w:line="360" w:lineRule="auto"/>
              <w:jc w:val="center"/>
              <w:rPr>
                <w:rFonts w:ascii="Times New Roman" w:hAnsi="Times New Roman"/>
                <w:b/>
                <w:bCs/>
                <w:color w:val="000000"/>
                <w:sz w:val="24"/>
                <w:szCs w:val="22"/>
                <w:highlight w:val="none"/>
              </w:rPr>
            </w:pPr>
            <w:r>
              <w:rPr>
                <w:rFonts w:ascii="Times New Roman" w:hAnsi="Times New Roman"/>
                <w:b/>
                <w:bCs/>
                <w:color w:val="000000"/>
                <w:sz w:val="24"/>
                <w:szCs w:val="22"/>
                <w:highlight w:val="none"/>
              </w:rPr>
              <w:t>表7-</w:t>
            </w:r>
            <w:r>
              <w:rPr>
                <w:rFonts w:hint="eastAsia" w:ascii="Times New Roman" w:hAnsi="Times New Roman"/>
                <w:b/>
                <w:bCs/>
                <w:color w:val="000000"/>
                <w:sz w:val="24"/>
                <w:szCs w:val="22"/>
                <w:highlight w:val="none"/>
                <w:lang w:val="en-US" w:eastAsia="zh-CN"/>
              </w:rPr>
              <w:t>15</w:t>
            </w:r>
            <w:r>
              <w:rPr>
                <w:rFonts w:ascii="Times New Roman" w:hAnsi="Times New Roman"/>
                <w:b/>
                <w:bCs/>
                <w:color w:val="000000"/>
                <w:sz w:val="24"/>
                <w:szCs w:val="22"/>
                <w:highlight w:val="none"/>
              </w:rPr>
              <w:t xml:space="preserve">  项目危险废物临时贮存依托可行性分析表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746"/>
              <w:gridCol w:w="812"/>
              <w:gridCol w:w="2302"/>
              <w:gridCol w:w="2591"/>
              <w:gridCol w:w="1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4" w:type="dxa"/>
                  <w:noWrap w:val="0"/>
                  <w:vAlign w:val="center"/>
                </w:tcPr>
                <w:p>
                  <w:pPr>
                    <w:spacing w:line="360" w:lineRule="atLeast"/>
                    <w:jc w:val="center"/>
                    <w:rPr>
                      <w:rFonts w:ascii="Times New Roman" w:hAnsi="Times New Roman"/>
                      <w:color w:val="000000"/>
                      <w:szCs w:val="21"/>
                      <w:highlight w:val="none"/>
                    </w:rPr>
                  </w:pPr>
                  <w:r>
                    <w:rPr>
                      <w:rFonts w:ascii="Times New Roman" w:hAnsi="Times New Roman"/>
                      <w:color w:val="000000"/>
                      <w:szCs w:val="21"/>
                      <w:highlight w:val="none"/>
                    </w:rPr>
                    <w:t>项目</w:t>
                  </w:r>
                </w:p>
              </w:tc>
              <w:tc>
                <w:tcPr>
                  <w:tcW w:w="746" w:type="dxa"/>
                  <w:noWrap w:val="0"/>
                  <w:vAlign w:val="center"/>
                </w:tcPr>
                <w:p>
                  <w:pPr>
                    <w:spacing w:line="360" w:lineRule="atLeast"/>
                    <w:jc w:val="center"/>
                    <w:rPr>
                      <w:rFonts w:ascii="Times New Roman" w:hAnsi="Times New Roman"/>
                      <w:color w:val="000000"/>
                      <w:szCs w:val="21"/>
                      <w:highlight w:val="none"/>
                    </w:rPr>
                  </w:pPr>
                  <w:r>
                    <w:rPr>
                      <w:rFonts w:ascii="Times New Roman" w:hAnsi="Times New Roman"/>
                      <w:color w:val="000000"/>
                      <w:szCs w:val="21"/>
                      <w:highlight w:val="none"/>
                    </w:rPr>
                    <w:t>位置</w:t>
                  </w:r>
                </w:p>
              </w:tc>
              <w:tc>
                <w:tcPr>
                  <w:tcW w:w="812" w:type="dxa"/>
                  <w:noWrap w:val="0"/>
                  <w:vAlign w:val="center"/>
                </w:tcPr>
                <w:p>
                  <w:pPr>
                    <w:spacing w:line="360" w:lineRule="atLeast"/>
                    <w:jc w:val="center"/>
                    <w:rPr>
                      <w:rFonts w:ascii="Times New Roman" w:hAnsi="Times New Roman"/>
                      <w:color w:val="000000"/>
                      <w:szCs w:val="21"/>
                      <w:highlight w:val="none"/>
                    </w:rPr>
                  </w:pPr>
                  <w:r>
                    <w:rPr>
                      <w:rFonts w:ascii="Times New Roman" w:hAnsi="Times New Roman"/>
                      <w:color w:val="000000"/>
                      <w:szCs w:val="21"/>
                      <w:highlight w:val="none"/>
                    </w:rPr>
                    <w:t>面积</w:t>
                  </w:r>
                </w:p>
              </w:tc>
              <w:tc>
                <w:tcPr>
                  <w:tcW w:w="2302" w:type="dxa"/>
                  <w:noWrap w:val="0"/>
                  <w:vAlign w:val="center"/>
                </w:tcPr>
                <w:p>
                  <w:pPr>
                    <w:spacing w:line="360" w:lineRule="atLeast"/>
                    <w:jc w:val="center"/>
                    <w:rPr>
                      <w:rFonts w:ascii="Times New Roman" w:hAnsi="Times New Roman"/>
                      <w:color w:val="000000"/>
                      <w:szCs w:val="21"/>
                      <w:highlight w:val="none"/>
                    </w:rPr>
                  </w:pPr>
                  <w:r>
                    <w:rPr>
                      <w:rFonts w:ascii="Times New Roman" w:hAnsi="Times New Roman"/>
                      <w:color w:val="000000"/>
                      <w:szCs w:val="21"/>
                      <w:highlight w:val="none"/>
                    </w:rPr>
                    <w:t>贮存品种</w:t>
                  </w:r>
                </w:p>
              </w:tc>
              <w:tc>
                <w:tcPr>
                  <w:tcW w:w="2591" w:type="dxa"/>
                  <w:noWrap w:val="0"/>
                  <w:vAlign w:val="center"/>
                </w:tcPr>
                <w:p>
                  <w:pPr>
                    <w:spacing w:line="360" w:lineRule="atLeast"/>
                    <w:jc w:val="center"/>
                    <w:rPr>
                      <w:rFonts w:ascii="Times New Roman" w:hAnsi="Times New Roman"/>
                      <w:color w:val="000000"/>
                      <w:szCs w:val="21"/>
                      <w:highlight w:val="none"/>
                    </w:rPr>
                  </w:pPr>
                  <w:r>
                    <w:rPr>
                      <w:rFonts w:ascii="Times New Roman" w:hAnsi="Times New Roman"/>
                      <w:color w:val="000000"/>
                      <w:szCs w:val="21"/>
                      <w:highlight w:val="none"/>
                    </w:rPr>
                    <w:t>贮存量</w:t>
                  </w:r>
                </w:p>
              </w:tc>
              <w:tc>
                <w:tcPr>
                  <w:tcW w:w="1589" w:type="dxa"/>
                  <w:noWrap w:val="0"/>
                  <w:vAlign w:val="center"/>
                </w:tcPr>
                <w:p>
                  <w:pPr>
                    <w:spacing w:line="360" w:lineRule="atLeast"/>
                    <w:jc w:val="center"/>
                    <w:rPr>
                      <w:rFonts w:ascii="Times New Roman" w:hAnsi="Times New Roman"/>
                      <w:color w:val="000000"/>
                      <w:szCs w:val="21"/>
                      <w:highlight w:val="none"/>
                    </w:rPr>
                  </w:pPr>
                  <w:r>
                    <w:rPr>
                      <w:rFonts w:ascii="Times New Roman" w:hAnsi="Times New Roman"/>
                      <w:color w:val="00000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4" w:type="dxa"/>
                  <w:noWrap w:val="0"/>
                  <w:vAlign w:val="center"/>
                </w:tcPr>
                <w:p>
                  <w:pPr>
                    <w:spacing w:line="240" w:lineRule="atLeast"/>
                    <w:jc w:val="center"/>
                    <w:rPr>
                      <w:rFonts w:ascii="Times New Roman" w:hAnsi="Times New Roman"/>
                      <w:color w:val="000000"/>
                      <w:szCs w:val="21"/>
                      <w:highlight w:val="none"/>
                    </w:rPr>
                  </w:pPr>
                  <w:r>
                    <w:rPr>
                      <w:rFonts w:ascii="Times New Roman" w:hAnsi="Times New Roman"/>
                      <w:color w:val="000000"/>
                      <w:szCs w:val="21"/>
                      <w:highlight w:val="none"/>
                    </w:rPr>
                    <w:t>危险废物临时贮存区</w:t>
                  </w:r>
                </w:p>
              </w:tc>
              <w:tc>
                <w:tcPr>
                  <w:tcW w:w="746" w:type="dxa"/>
                  <w:noWrap w:val="0"/>
                  <w:vAlign w:val="center"/>
                </w:tcPr>
                <w:p>
                  <w:pPr>
                    <w:spacing w:line="240" w:lineRule="atLeast"/>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厂区西南侧</w:t>
                  </w:r>
                </w:p>
              </w:tc>
              <w:tc>
                <w:tcPr>
                  <w:tcW w:w="812" w:type="dxa"/>
                  <w:noWrap w:val="0"/>
                  <w:vAlign w:val="center"/>
                </w:tcPr>
                <w:p>
                  <w:pPr>
                    <w:spacing w:line="360" w:lineRule="atLeast"/>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3</w:t>
                  </w:r>
                  <w:r>
                    <w:rPr>
                      <w:rFonts w:ascii="Times New Roman" w:hAnsi="Times New Roman"/>
                      <w:color w:val="000000"/>
                      <w:szCs w:val="21"/>
                      <w:highlight w:val="none"/>
                    </w:rPr>
                    <w:t>0m</w:t>
                  </w:r>
                  <w:r>
                    <w:rPr>
                      <w:rFonts w:ascii="Times New Roman" w:hAnsi="Times New Roman"/>
                      <w:color w:val="000000"/>
                      <w:szCs w:val="21"/>
                      <w:highlight w:val="none"/>
                      <w:vertAlign w:val="superscript"/>
                    </w:rPr>
                    <w:t>2</w:t>
                  </w:r>
                </w:p>
              </w:tc>
              <w:tc>
                <w:tcPr>
                  <w:tcW w:w="2302" w:type="dxa"/>
                  <w:noWrap w:val="0"/>
                  <w:vAlign w:val="center"/>
                </w:tcPr>
                <w:p>
                  <w:pPr>
                    <w:spacing w:line="36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废活性炭、污泥</w:t>
                  </w:r>
                </w:p>
              </w:tc>
              <w:tc>
                <w:tcPr>
                  <w:tcW w:w="2591" w:type="dxa"/>
                  <w:noWrap w:val="0"/>
                  <w:vAlign w:val="center"/>
                </w:tcPr>
                <w:p>
                  <w:pPr>
                    <w:spacing w:line="360" w:lineRule="atLeast"/>
                    <w:jc w:val="center"/>
                    <w:rPr>
                      <w:rFonts w:ascii="Times New Roman" w:hAnsi="Times New Roman"/>
                      <w:color w:val="000000"/>
                      <w:szCs w:val="21"/>
                      <w:highlight w:val="none"/>
                    </w:rPr>
                  </w:pPr>
                  <w:r>
                    <w:rPr>
                      <w:rFonts w:ascii="Times New Roman" w:hAnsi="Times New Roman"/>
                      <w:color w:val="000000"/>
                      <w:szCs w:val="21"/>
                      <w:highlight w:val="none"/>
                    </w:rPr>
                    <w:t>分类暂储，交有资质单位处置。临时存放周期为3个月，满足项目固废临时贮存需要。</w:t>
                  </w:r>
                </w:p>
              </w:tc>
              <w:tc>
                <w:tcPr>
                  <w:tcW w:w="1589" w:type="dxa"/>
                  <w:noWrap w:val="0"/>
                  <w:vAlign w:val="center"/>
                </w:tcPr>
                <w:p>
                  <w:pPr>
                    <w:spacing w:line="360" w:lineRule="atLeast"/>
                    <w:jc w:val="center"/>
                    <w:rPr>
                      <w:rFonts w:ascii="Times New Roman" w:hAnsi="Times New Roman"/>
                      <w:color w:val="000000"/>
                      <w:szCs w:val="21"/>
                      <w:highlight w:val="none"/>
                    </w:rPr>
                  </w:pPr>
                  <w:r>
                    <w:rPr>
                      <w:rFonts w:ascii="Times New Roman" w:hAnsi="Times New Roman"/>
                      <w:color w:val="000000"/>
                      <w:szCs w:val="21"/>
                      <w:highlight w:val="none"/>
                    </w:rPr>
                    <w:t>需单独设置危废贮存场所，并进行分区，同时对暂存场所进行防渗、安排专人管理等措施</w:t>
                  </w:r>
                </w:p>
              </w:tc>
            </w:tr>
          </w:tbl>
          <w:p>
            <w:pPr>
              <w:widowControl/>
              <w:spacing w:line="360" w:lineRule="auto"/>
              <w:ind w:firstLine="480" w:firstLineChars="200"/>
              <w:rPr>
                <w:rFonts w:ascii="Times New Roman" w:hAnsi="Times New Roman"/>
                <w:color w:val="000000"/>
                <w:sz w:val="24"/>
                <w:szCs w:val="22"/>
                <w:highlight w:val="none"/>
              </w:rPr>
            </w:pPr>
          </w:p>
          <w:p>
            <w:pPr>
              <w:widowControl/>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（1）危险废物贮存场所环境影响分析</w:t>
            </w:r>
          </w:p>
          <w:p>
            <w:pPr>
              <w:widowControl/>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①按照《危险废物贮存污染控制标准》（GB18597-2001）中"6.1危险废物集中贮存设施的选址原则"的相关要求对本项目危险废物贮存场所进行符合性分析，具体如下：</w:t>
            </w:r>
          </w:p>
          <w:p>
            <w:pPr>
              <w:widowControl/>
              <w:spacing w:line="360" w:lineRule="auto"/>
              <w:jc w:val="center"/>
              <w:rPr>
                <w:rFonts w:ascii="Times New Roman" w:hAnsi="Times New Roman"/>
                <w:b/>
                <w:bCs/>
                <w:color w:val="000000"/>
                <w:sz w:val="24"/>
                <w:szCs w:val="22"/>
                <w:highlight w:val="none"/>
              </w:rPr>
            </w:pPr>
            <w:r>
              <w:rPr>
                <w:rFonts w:ascii="Times New Roman" w:hAnsi="Times New Roman"/>
                <w:b/>
                <w:bCs/>
                <w:color w:val="000000"/>
                <w:sz w:val="24"/>
                <w:szCs w:val="22"/>
                <w:highlight w:val="none"/>
              </w:rPr>
              <w:t>表7-</w:t>
            </w:r>
            <w:r>
              <w:rPr>
                <w:rFonts w:hint="eastAsia" w:ascii="Times New Roman" w:hAnsi="Times New Roman"/>
                <w:b/>
                <w:bCs/>
                <w:color w:val="000000"/>
                <w:sz w:val="24"/>
                <w:szCs w:val="22"/>
                <w:highlight w:val="none"/>
                <w:lang w:val="en-US" w:eastAsia="zh-CN"/>
              </w:rPr>
              <w:t>16</w:t>
            </w:r>
            <w:r>
              <w:rPr>
                <w:rFonts w:ascii="Times New Roman" w:hAnsi="Times New Roman"/>
                <w:b/>
                <w:bCs/>
                <w:color w:val="000000"/>
                <w:sz w:val="24"/>
                <w:szCs w:val="22"/>
                <w:highlight w:val="none"/>
              </w:rPr>
              <w:t xml:space="preserve">  </w:t>
            </w:r>
            <w:r>
              <w:rPr>
                <w:rFonts w:hint="eastAsia" w:ascii="Times New Roman" w:hAnsi="Times New Roman"/>
                <w:b/>
                <w:bCs/>
                <w:color w:val="000000"/>
                <w:sz w:val="24"/>
                <w:szCs w:val="22"/>
                <w:highlight w:val="none"/>
              </w:rPr>
              <w:t>项目建设条件与标准要求对比分析结果</w:t>
            </w:r>
          </w:p>
          <w:tbl>
            <w:tblPr>
              <w:tblStyle w:val="27"/>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0"/>
              <w:gridCol w:w="3507"/>
              <w:gridCol w:w="2625"/>
              <w:gridCol w:w="1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0" w:type="dxa"/>
                  <w:noWrap w:val="0"/>
                  <w:vAlign w:val="center"/>
                </w:tcPr>
                <w:p>
                  <w:pPr>
                    <w:spacing w:line="360" w:lineRule="atLeast"/>
                    <w:jc w:val="center"/>
                    <w:rPr>
                      <w:rFonts w:ascii="Times New Roman" w:hAnsi="Times New Roman"/>
                      <w:color w:val="000000"/>
                      <w:szCs w:val="21"/>
                      <w:highlight w:val="none"/>
                    </w:rPr>
                  </w:pPr>
                  <w:r>
                    <w:rPr>
                      <w:rFonts w:ascii="Times New Roman" w:hAnsi="Times New Roman"/>
                      <w:color w:val="000000"/>
                      <w:szCs w:val="21"/>
                      <w:highlight w:val="none"/>
                    </w:rPr>
                    <w:t>项目</w:t>
                  </w:r>
                </w:p>
              </w:tc>
              <w:tc>
                <w:tcPr>
                  <w:tcW w:w="3507" w:type="dxa"/>
                  <w:noWrap w:val="0"/>
                  <w:vAlign w:val="center"/>
                </w:tcPr>
                <w:p>
                  <w:pPr>
                    <w:spacing w:line="36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标准要求</w:t>
                  </w:r>
                </w:p>
              </w:tc>
              <w:tc>
                <w:tcPr>
                  <w:tcW w:w="2625" w:type="dxa"/>
                  <w:noWrap w:val="0"/>
                  <w:vAlign w:val="center"/>
                </w:tcPr>
                <w:p>
                  <w:pPr>
                    <w:spacing w:line="360" w:lineRule="atLeast"/>
                    <w:jc w:val="center"/>
                    <w:rPr>
                      <w:rFonts w:ascii="Times New Roman" w:hAnsi="Times New Roman"/>
                      <w:color w:val="000000"/>
                      <w:szCs w:val="21"/>
                      <w:highlight w:val="none"/>
                    </w:rPr>
                  </w:pPr>
                  <w:r>
                    <w:rPr>
                      <w:rFonts w:hint="eastAsia" w:ascii="Times New Roman" w:hAnsi="Times New Roman"/>
                      <w:color w:val="000000"/>
                      <w:szCs w:val="21"/>
                      <w:highlight w:val="none"/>
                    </w:rPr>
                    <w:t>项目建设条件</w:t>
                  </w:r>
                </w:p>
              </w:tc>
              <w:tc>
                <w:tcPr>
                  <w:tcW w:w="1542" w:type="dxa"/>
                  <w:noWrap w:val="0"/>
                  <w:vAlign w:val="center"/>
                </w:tcPr>
                <w:p>
                  <w:pPr>
                    <w:spacing w:line="36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0" w:type="dxa"/>
                  <w:vMerge w:val="restart"/>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选址</w:t>
                  </w:r>
                </w:p>
              </w:tc>
              <w:tc>
                <w:tcPr>
                  <w:tcW w:w="3507" w:type="dxa"/>
                  <w:noWrap w:val="0"/>
                  <w:vAlign w:val="center"/>
                </w:tcPr>
                <w:p>
                  <w:pPr>
                    <w:spacing w:line="240" w:lineRule="atLeast"/>
                    <w:jc w:val="center"/>
                    <w:rPr>
                      <w:rFonts w:ascii="Times New Roman" w:hAnsi="Times New Roman"/>
                      <w:color w:val="000000"/>
                      <w:szCs w:val="21"/>
                      <w:highlight w:val="none"/>
                    </w:rPr>
                  </w:pPr>
                  <w:r>
                    <w:rPr>
                      <w:rFonts w:hint="eastAsia" w:ascii="Times New Roman" w:hAnsi="Times New Roman"/>
                      <w:color w:val="000000"/>
                      <w:szCs w:val="21"/>
                      <w:highlight w:val="none"/>
                    </w:rPr>
                    <w:t>地质结构稳定，地震烈度不超过7度</w:t>
                  </w:r>
                </w:p>
              </w:tc>
              <w:tc>
                <w:tcPr>
                  <w:tcW w:w="2625" w:type="dxa"/>
                  <w:noWrap w:val="0"/>
                  <w:vAlign w:val="center"/>
                </w:tcPr>
                <w:p>
                  <w:pPr>
                    <w:spacing w:line="360" w:lineRule="atLeast"/>
                    <w:jc w:val="center"/>
                    <w:rPr>
                      <w:rFonts w:ascii="Times New Roman" w:hAnsi="Times New Roman"/>
                      <w:color w:val="000000"/>
                      <w:szCs w:val="21"/>
                      <w:highlight w:val="none"/>
                    </w:rPr>
                  </w:pPr>
                  <w:r>
                    <w:rPr>
                      <w:rFonts w:hint="eastAsia" w:ascii="Times New Roman" w:hAnsi="Times New Roman"/>
                      <w:color w:val="000000"/>
                      <w:szCs w:val="21"/>
                      <w:highlight w:val="none"/>
                    </w:rPr>
                    <w:t>地质结构稳定，地震烈度小于7度</w:t>
                  </w:r>
                </w:p>
              </w:tc>
              <w:tc>
                <w:tcPr>
                  <w:tcW w:w="1542" w:type="dxa"/>
                  <w:noWrap w:val="0"/>
                  <w:vAlign w:val="center"/>
                </w:tcPr>
                <w:p>
                  <w:pPr>
                    <w:spacing w:line="36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0" w:type="dxa"/>
                  <w:vMerge w:val="continue"/>
                  <w:noWrap w:val="0"/>
                  <w:vAlign w:val="center"/>
                </w:tcPr>
                <w:p>
                  <w:pPr>
                    <w:spacing w:line="240" w:lineRule="atLeast"/>
                    <w:jc w:val="center"/>
                    <w:rPr>
                      <w:rFonts w:ascii="Times New Roman" w:hAnsi="Times New Roman"/>
                      <w:color w:val="000000"/>
                      <w:szCs w:val="21"/>
                      <w:highlight w:val="none"/>
                    </w:rPr>
                  </w:pPr>
                </w:p>
              </w:tc>
              <w:tc>
                <w:tcPr>
                  <w:tcW w:w="3507"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避免建在溶洞区或易遭受严重自然灾害如洪水、滑坡，泥石流、潮汐等影响的地区</w:t>
                  </w:r>
                </w:p>
              </w:tc>
              <w:tc>
                <w:tcPr>
                  <w:tcW w:w="2625" w:type="dxa"/>
                  <w:noWrap w:val="0"/>
                  <w:vAlign w:val="center"/>
                </w:tcPr>
                <w:p>
                  <w:pPr>
                    <w:spacing w:line="360" w:lineRule="atLeast"/>
                    <w:jc w:val="center"/>
                    <w:rPr>
                      <w:rFonts w:hint="eastAsia"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不在上述区域内</w:t>
                  </w:r>
                </w:p>
              </w:tc>
              <w:tc>
                <w:tcPr>
                  <w:tcW w:w="1542" w:type="dxa"/>
                  <w:noWrap w:val="0"/>
                  <w:vAlign w:val="center"/>
                </w:tcPr>
                <w:p>
                  <w:pPr>
                    <w:spacing w:line="360" w:lineRule="atLeast"/>
                    <w:jc w:val="center"/>
                    <w:rPr>
                      <w:rFonts w:hint="eastAsia" w:ascii="Times New Roman" w:hAnsi="Times New Roman"/>
                      <w:color w:val="000000"/>
                      <w:szCs w:val="21"/>
                      <w:highlight w:val="none"/>
                      <w:lang w:val="en-US" w:eastAsia="zh-CN"/>
                    </w:rPr>
                  </w:pPr>
                  <w:r>
                    <w:rPr>
                      <w:rFonts w:hint="eastAsia" w:ascii="Times New Roman" w:hAnsi="Times New Roman" w:eastAsia="宋体"/>
                      <w:color w:val="000000"/>
                      <w:szCs w:val="21"/>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0" w:type="dxa"/>
                  <w:vMerge w:val="continue"/>
                  <w:noWrap w:val="0"/>
                  <w:vAlign w:val="center"/>
                </w:tcPr>
                <w:p>
                  <w:pPr>
                    <w:spacing w:line="240" w:lineRule="atLeast"/>
                    <w:jc w:val="center"/>
                    <w:rPr>
                      <w:rFonts w:ascii="Times New Roman" w:hAnsi="Times New Roman"/>
                      <w:color w:val="000000"/>
                      <w:szCs w:val="21"/>
                      <w:highlight w:val="none"/>
                    </w:rPr>
                  </w:pPr>
                </w:p>
              </w:tc>
              <w:tc>
                <w:tcPr>
                  <w:tcW w:w="3507" w:type="dxa"/>
                  <w:noWrap w:val="0"/>
                  <w:vAlign w:val="center"/>
                </w:tcPr>
                <w:p>
                  <w:pPr>
                    <w:spacing w:line="240" w:lineRule="atLeast"/>
                    <w:jc w:val="center"/>
                    <w:rPr>
                      <w:rFonts w:hint="eastAsia"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应在易燃、易爆等危险品仓库、高压输电线路防护区域以外</w:t>
                  </w:r>
                </w:p>
              </w:tc>
              <w:tc>
                <w:tcPr>
                  <w:tcW w:w="2625" w:type="dxa"/>
                  <w:noWrap w:val="0"/>
                  <w:vAlign w:val="center"/>
                </w:tcPr>
                <w:p>
                  <w:pPr>
                    <w:spacing w:line="360" w:lineRule="atLeast"/>
                    <w:jc w:val="center"/>
                    <w:rPr>
                      <w:rFonts w:hint="eastAsia"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不在上述区域内</w:t>
                  </w:r>
                </w:p>
              </w:tc>
              <w:tc>
                <w:tcPr>
                  <w:tcW w:w="1542" w:type="dxa"/>
                  <w:noWrap w:val="0"/>
                  <w:vAlign w:val="center"/>
                </w:tcPr>
                <w:p>
                  <w:pPr>
                    <w:spacing w:line="360" w:lineRule="atLeast"/>
                    <w:jc w:val="center"/>
                    <w:rPr>
                      <w:rFonts w:hint="eastAsia" w:ascii="Times New Roman" w:hAnsi="Times New Roman"/>
                      <w:color w:val="000000"/>
                      <w:szCs w:val="21"/>
                      <w:highlight w:val="none"/>
                      <w:lang w:val="en-US" w:eastAsia="zh-CN"/>
                    </w:rPr>
                  </w:pPr>
                  <w:r>
                    <w:rPr>
                      <w:rFonts w:hint="eastAsia" w:ascii="Times New Roman" w:hAnsi="Times New Roman" w:eastAsia="宋体"/>
                      <w:color w:val="000000"/>
                      <w:szCs w:val="21"/>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0" w:type="dxa"/>
                  <w:vMerge w:val="continue"/>
                  <w:noWrap w:val="0"/>
                  <w:vAlign w:val="center"/>
                </w:tcPr>
                <w:p>
                  <w:pPr>
                    <w:spacing w:line="240" w:lineRule="atLeast"/>
                    <w:jc w:val="center"/>
                    <w:rPr>
                      <w:rFonts w:ascii="Times New Roman" w:hAnsi="Times New Roman"/>
                      <w:color w:val="000000"/>
                      <w:szCs w:val="21"/>
                      <w:highlight w:val="none"/>
                    </w:rPr>
                  </w:pPr>
                </w:p>
              </w:tc>
              <w:tc>
                <w:tcPr>
                  <w:tcW w:w="3507" w:type="dxa"/>
                  <w:noWrap w:val="0"/>
                  <w:vAlign w:val="center"/>
                </w:tcPr>
                <w:p>
                  <w:pPr>
                    <w:spacing w:line="240" w:lineRule="atLeast"/>
                    <w:jc w:val="center"/>
                    <w:rPr>
                      <w:rFonts w:hint="eastAsia"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应位于居民中心区常年最大风频的下风向</w:t>
                  </w:r>
                </w:p>
              </w:tc>
              <w:tc>
                <w:tcPr>
                  <w:tcW w:w="2625" w:type="dxa"/>
                  <w:noWrap w:val="0"/>
                  <w:vAlign w:val="center"/>
                </w:tcPr>
                <w:p>
                  <w:pPr>
                    <w:spacing w:line="360" w:lineRule="atLeast"/>
                    <w:jc w:val="center"/>
                    <w:rPr>
                      <w:rFonts w:hint="eastAsia"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项目危废量少，周边居民较远，影响较小</w:t>
                  </w:r>
                </w:p>
              </w:tc>
              <w:tc>
                <w:tcPr>
                  <w:tcW w:w="1542" w:type="dxa"/>
                  <w:noWrap w:val="0"/>
                  <w:vAlign w:val="center"/>
                </w:tcPr>
                <w:p>
                  <w:pPr>
                    <w:spacing w:line="360" w:lineRule="atLeast"/>
                    <w:jc w:val="center"/>
                    <w:rPr>
                      <w:rFonts w:hint="eastAsia" w:ascii="Times New Roman" w:hAnsi="Times New Roman"/>
                      <w:color w:val="000000"/>
                      <w:szCs w:val="21"/>
                      <w:highlight w:val="none"/>
                      <w:lang w:val="en-US" w:eastAsia="zh-CN"/>
                    </w:rPr>
                  </w:pPr>
                  <w:r>
                    <w:rPr>
                      <w:rFonts w:hint="eastAsia" w:ascii="Times New Roman" w:hAnsi="Times New Roman" w:eastAsia="宋体"/>
                      <w:color w:val="000000"/>
                      <w:szCs w:val="21"/>
                      <w:highlight w:val="none"/>
                      <w:lang w:val="en-US" w:eastAsia="zh-CN"/>
                    </w:rPr>
                    <w:t>基本符合</w:t>
                  </w:r>
                </w:p>
              </w:tc>
            </w:tr>
          </w:tbl>
          <w:p>
            <w:pPr>
              <w:widowControl/>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由此可见，本项目选址基本符合《危险废物贮存污染控制标准》（GB18597-|2001）的相关要求。</w:t>
            </w:r>
          </w:p>
          <w:p>
            <w:pPr>
              <w:widowControl/>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②危险废物临时贮存场所严格按照《危险废物贮存污染控制标准》（GB18597-2001）及修改单进行设计，采取基础防渗、防火、防雨、防晒、防扬散、通风，配备照明设施等防治环境污染措施。贮存场所处粘贴危险废物标签，并作好相应的记录。危险废物由危废处置单位定期清运处理，包装容器为密封容器，容器上粘贴标签，注明种类、成分、危险类别、产地、禁忌与安全措施等，并采用专用密闭车辆，保证运输过程无泄漏。</w:t>
            </w:r>
          </w:p>
          <w:p>
            <w:pPr>
              <w:widowControl/>
              <w:spacing w:line="360" w:lineRule="auto"/>
              <w:ind w:firstLine="480" w:firstLineChars="200"/>
              <w:rPr>
                <w:rFonts w:hint="eastAsia" w:ascii="Times New Roman" w:hAnsi="Times New Roman" w:eastAsia="宋体" w:cs="Times New Roman"/>
                <w:color w:val="000000"/>
                <w:sz w:val="24"/>
                <w:szCs w:val="22"/>
                <w:highlight w:val="none"/>
              </w:rPr>
            </w:pPr>
            <w:r>
              <w:rPr>
                <w:rFonts w:hint="eastAsia" w:ascii="Times New Roman" w:hAnsi="Times New Roman" w:eastAsia="宋体" w:cs="Times New Roman"/>
                <w:color w:val="000000"/>
                <w:sz w:val="24"/>
                <w:szCs w:val="22"/>
                <w:highlight w:val="none"/>
              </w:rPr>
              <w:t>（2）运输过程的环境影响分析</w:t>
            </w:r>
          </w:p>
          <w:p>
            <w:pPr>
              <w:widowControl/>
              <w:spacing w:line="360" w:lineRule="auto"/>
              <w:ind w:firstLine="480" w:firstLineChars="200"/>
              <w:rPr>
                <w:rFonts w:hint="eastAsia" w:ascii="Times New Roman" w:hAnsi="Times New Roman" w:eastAsia="宋体" w:cs="Times New Roman"/>
                <w:color w:val="000000"/>
                <w:sz w:val="24"/>
                <w:szCs w:val="22"/>
                <w:highlight w:val="none"/>
              </w:rPr>
            </w:pPr>
            <w:r>
              <w:rPr>
                <w:rFonts w:hint="eastAsia" w:ascii="Times New Roman" w:hAnsi="Times New Roman" w:eastAsia="宋体" w:cs="Times New Roman"/>
                <w:color w:val="000000"/>
                <w:sz w:val="24"/>
                <w:szCs w:val="22"/>
                <w:highlight w:val="none"/>
              </w:rPr>
              <w:t>①根据危险固废的成分，用符合国家标准的耐腐蚀、不易破损、变形和老化的容器贮存，并在运输过程中加强监管，避免固体废物散落、泄漏情况的发生。</w:t>
            </w:r>
          </w:p>
          <w:p>
            <w:pPr>
              <w:widowControl/>
              <w:spacing w:line="360" w:lineRule="auto"/>
              <w:ind w:firstLine="480" w:firstLineChars="200"/>
              <w:rPr>
                <w:rFonts w:hint="eastAsia" w:ascii="Times New Roman" w:hAnsi="Times New Roman" w:eastAsia="宋体" w:cs="Times New Roman"/>
                <w:color w:val="000000"/>
                <w:sz w:val="24"/>
                <w:szCs w:val="22"/>
                <w:highlight w:val="none"/>
              </w:rPr>
            </w:pPr>
            <w:r>
              <w:rPr>
                <w:rFonts w:hint="eastAsia" w:ascii="Times New Roman" w:hAnsi="Times New Roman" w:eastAsia="宋体" w:cs="Times New Roman"/>
                <w:color w:val="000000"/>
                <w:sz w:val="24"/>
                <w:szCs w:val="22"/>
                <w:highlight w:val="none"/>
              </w:rPr>
              <w:t>②本项目危险废物由危废处置单位负责运输。原则上危废运输不采取水上运输，采用汽车运输须不上高速公路、避开人口密集、交通拥挤地段，车速适中，做到运输车辆配备与废物特征、数量相符，兼顾安全可靠性和经济合理性，确保危废收集运输正常化。</w:t>
            </w:r>
          </w:p>
          <w:p>
            <w:pPr>
              <w:widowControl/>
              <w:spacing w:line="360" w:lineRule="auto"/>
              <w:ind w:firstLine="480" w:firstLineChars="200"/>
              <w:rPr>
                <w:rFonts w:hint="eastAsia" w:ascii="Times New Roman" w:hAnsi="Times New Roman" w:eastAsia="宋体" w:cs="Times New Roman"/>
                <w:color w:val="000000"/>
                <w:sz w:val="24"/>
                <w:szCs w:val="22"/>
                <w:highlight w:val="none"/>
              </w:rPr>
            </w:pPr>
            <w:r>
              <w:rPr>
                <w:rFonts w:hint="eastAsia" w:ascii="Times New Roman" w:hAnsi="Times New Roman" w:eastAsia="宋体" w:cs="Times New Roman"/>
                <w:color w:val="000000"/>
                <w:sz w:val="24"/>
                <w:szCs w:val="22"/>
                <w:highlight w:val="none"/>
              </w:rPr>
              <w:t>③危险废物的转移应遵从《危险废物转移联单管理办法》及其他有关规定的要求，并禁止在转移过程中将危险废物排放至环境中。</w:t>
            </w:r>
          </w:p>
          <w:p>
            <w:pPr>
              <w:widowControl/>
              <w:spacing w:line="360" w:lineRule="auto"/>
              <w:ind w:firstLine="480" w:firstLineChars="200"/>
              <w:rPr>
                <w:rFonts w:hint="eastAsia" w:ascii="Times New Roman" w:hAnsi="Times New Roman" w:eastAsia="宋体" w:cs="Times New Roman"/>
                <w:color w:val="000000"/>
                <w:sz w:val="24"/>
                <w:szCs w:val="22"/>
                <w:highlight w:val="none"/>
              </w:rPr>
            </w:pPr>
            <w:r>
              <w:rPr>
                <w:rFonts w:hint="eastAsia" w:ascii="Times New Roman" w:hAnsi="Times New Roman" w:eastAsia="宋体" w:cs="Times New Roman"/>
                <w:color w:val="000000"/>
                <w:sz w:val="24"/>
                <w:szCs w:val="22"/>
                <w:highlight w:val="none"/>
              </w:rPr>
              <w:t>（3）委托利用或者处置的环境影响分析</w:t>
            </w:r>
          </w:p>
          <w:p>
            <w:pPr>
              <w:widowControl/>
              <w:spacing w:line="360" w:lineRule="auto"/>
              <w:ind w:firstLine="480" w:firstLineChars="200"/>
              <w:rPr>
                <w:rFonts w:hint="eastAsia" w:ascii="Times New Roman" w:hAnsi="Times New Roman" w:eastAsia="宋体" w:cs="Times New Roman"/>
                <w:color w:val="000000"/>
                <w:sz w:val="24"/>
                <w:szCs w:val="22"/>
                <w:highlight w:val="none"/>
                <w:lang w:eastAsia="zh-CN"/>
              </w:rPr>
            </w:pPr>
            <w:r>
              <w:rPr>
                <w:rFonts w:hint="eastAsia" w:ascii="Times New Roman" w:hAnsi="Times New Roman" w:eastAsia="宋体" w:cs="Times New Roman"/>
                <w:color w:val="000000"/>
                <w:sz w:val="24"/>
                <w:szCs w:val="22"/>
                <w:highlight w:val="none"/>
              </w:rPr>
              <w:t>本项目涉及的危险废物收集后应定期委托有相应的资质的危废处置单位进行处置，委托处置单位所经营的危废类别应包含本项目涉及的HW49</w:t>
            </w:r>
            <w:r>
              <w:rPr>
                <w:rFonts w:hint="eastAsia" w:ascii="Times New Roman" w:hAnsi="Times New Roman" w:eastAsia="宋体" w:cs="Times New Roman"/>
                <w:color w:val="000000"/>
                <w:sz w:val="24"/>
                <w:szCs w:val="22"/>
                <w:highlight w:val="none"/>
                <w:lang w:eastAsia="zh-CN"/>
              </w:rPr>
              <w:t>。</w:t>
            </w:r>
          </w:p>
          <w:p>
            <w:pPr>
              <w:widowControl/>
              <w:spacing w:line="360" w:lineRule="auto"/>
              <w:ind w:firstLine="480" w:firstLineChars="200"/>
              <w:rPr>
                <w:rFonts w:hint="eastAsia" w:ascii="Times New Roman" w:hAnsi="Times New Roman" w:eastAsia="宋体" w:cs="Times New Roman"/>
                <w:color w:val="000000"/>
                <w:sz w:val="24"/>
                <w:szCs w:val="22"/>
                <w:highlight w:val="none"/>
              </w:rPr>
            </w:pPr>
            <w:r>
              <w:rPr>
                <w:rFonts w:hint="eastAsia" w:ascii="Times New Roman" w:hAnsi="Times New Roman" w:eastAsia="宋体" w:cs="Times New Roman"/>
                <w:color w:val="000000"/>
                <w:sz w:val="24"/>
                <w:szCs w:val="22"/>
                <w:highlight w:val="none"/>
              </w:rPr>
              <w:t>经妥善处理后，本项目涉及的危险废物不会对周围环境产生影响。</w:t>
            </w:r>
          </w:p>
          <w:p>
            <w:pPr>
              <w:spacing w:line="360" w:lineRule="auto"/>
              <w:ind w:firstLine="482"/>
              <w:rPr>
                <w:rFonts w:ascii="Times New Roman" w:hAnsi="Times New Roman"/>
                <w:color w:val="000000"/>
                <w:sz w:val="24"/>
                <w:szCs w:val="22"/>
                <w:highlight w:val="none"/>
              </w:rPr>
            </w:pPr>
            <w:r>
              <w:rPr>
                <w:rFonts w:ascii="Times New Roman" w:hAnsi="Times New Roman"/>
                <w:color w:val="000000"/>
                <w:sz w:val="24"/>
                <w:szCs w:val="22"/>
                <w:highlight w:val="none"/>
              </w:rPr>
              <w:t>五、地下水环境影响分析</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1、评价等级</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根据《环境影响评价技术导则地下水环境》（HJ 610-2016）》附录A地下水环境影响评价行业分类表，本项目属于"153污染场地治理修复工程”中的“全部"类，为Ⅲ项目。项目所在区域不属于生活供水水源地准保护区，不属于热水、矿泉水、温泉等特殊地下水源保护区，也不属于补给径流区，场地内无分散居民饮用水源等其它环境敏感区，则本项目场地地下水敏感度为不敏感。根据地下水环境影响评价工作等级的划分，本项目地下水环境评价工作等级属于三级。</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2、预测模式</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本项目地下水评价等级为三级。根据《环境影响评价技术导则一地下水环境》（HJ610-2016）中的相关要求“三级评价可采用解析法或类比分析法"，本次报告采用解析法进行评价，一维无限长多孔介质柱体，示踪剂瞬时注入模式的具体公式如下：</w:t>
            </w:r>
          </w:p>
          <w:p>
            <w:pPr>
              <w:autoSpaceDE w:val="0"/>
              <w:autoSpaceDN w:val="0"/>
              <w:adjustRightInd w:val="0"/>
              <w:spacing w:line="360" w:lineRule="auto"/>
            </w:pPr>
            <w:r>
              <w:drawing>
                <wp:inline distT="0" distB="0" distL="114300" distR="114300">
                  <wp:extent cx="2009775" cy="561975"/>
                  <wp:effectExtent l="0" t="0" r="9525" b="9525"/>
                  <wp:docPr id="3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9"/>
                          <pic:cNvPicPr>
                            <a:picLocks noChangeAspect="1"/>
                          </pic:cNvPicPr>
                        </pic:nvPicPr>
                        <pic:blipFill>
                          <a:blip r:embed="rId38"/>
                          <a:stretch>
                            <a:fillRect/>
                          </a:stretch>
                        </pic:blipFill>
                        <pic:spPr>
                          <a:xfrm>
                            <a:off x="0" y="0"/>
                            <a:ext cx="2009775" cy="561975"/>
                          </a:xfrm>
                          <a:prstGeom prst="rect">
                            <a:avLst/>
                          </a:prstGeom>
                          <a:noFill/>
                          <a:ln>
                            <a:noFill/>
                          </a:ln>
                        </pic:spPr>
                      </pic:pic>
                    </a:graphicData>
                  </a:graphic>
                </wp:inline>
              </w:drawing>
            </w:r>
          </w:p>
          <w:p>
            <w:pPr>
              <w:pStyle w:val="36"/>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Times New Roman" w:hAnsi="Times New Roman" w:eastAsia="宋体" w:cs="Times New Roman"/>
                <w:color w:val="000000"/>
                <w:kern w:val="2"/>
                <w:sz w:val="24"/>
                <w:szCs w:val="22"/>
                <w:highlight w:val="none"/>
                <w:lang w:val="en-US" w:eastAsia="zh-CN" w:bidi="ar-SA"/>
              </w:rPr>
            </w:pPr>
            <w:r>
              <w:rPr>
                <w:rFonts w:hint="eastAsia" w:ascii="Times New Roman" w:hAnsi="Times New Roman" w:eastAsia="宋体" w:cs="Times New Roman"/>
                <w:color w:val="000000"/>
                <w:kern w:val="2"/>
                <w:sz w:val="24"/>
                <w:szCs w:val="22"/>
                <w:highlight w:val="none"/>
                <w:lang w:val="en-US" w:eastAsia="zh-CN" w:bidi="ar-SA"/>
              </w:rPr>
              <w:t>式中：</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Times New Roman" w:hAnsi="Times New Roman" w:eastAsia="宋体" w:cs="Times New Roman"/>
                <w:color w:val="000000"/>
                <w:kern w:val="2"/>
                <w:sz w:val="24"/>
                <w:szCs w:val="22"/>
                <w:highlight w:val="none"/>
                <w:lang w:val="en-US" w:eastAsia="zh-CN" w:bidi="ar-SA"/>
              </w:rPr>
            </w:pPr>
            <w:r>
              <w:rPr>
                <w:rFonts w:hint="eastAsia" w:ascii="Times New Roman" w:hAnsi="Times New Roman" w:eastAsia="宋体" w:cs="Times New Roman"/>
                <w:color w:val="000000"/>
                <w:kern w:val="2"/>
                <w:sz w:val="24"/>
                <w:szCs w:val="22"/>
                <w:highlight w:val="none"/>
                <w:lang w:val="en-US" w:eastAsia="zh-CN" w:bidi="ar-SA"/>
              </w:rPr>
              <w:t>X—距注入点的距离，m；</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Times New Roman" w:hAnsi="Times New Roman" w:eastAsia="宋体" w:cs="Times New Roman"/>
                <w:color w:val="000000"/>
                <w:kern w:val="2"/>
                <w:sz w:val="24"/>
                <w:szCs w:val="22"/>
                <w:highlight w:val="none"/>
                <w:lang w:val="en-US" w:eastAsia="zh-CN" w:bidi="ar-SA"/>
              </w:rPr>
            </w:pPr>
            <w:r>
              <w:rPr>
                <w:rFonts w:hint="eastAsia" w:ascii="Times New Roman" w:hAnsi="Times New Roman" w:eastAsia="宋体" w:cs="Times New Roman"/>
                <w:color w:val="000000"/>
                <w:kern w:val="2"/>
                <w:sz w:val="24"/>
                <w:szCs w:val="22"/>
                <w:highlight w:val="none"/>
                <w:lang w:val="en-US" w:eastAsia="zh-CN" w:bidi="ar-SA"/>
              </w:rPr>
              <w:t>T—时间，d；</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Times New Roman" w:hAnsi="Times New Roman" w:eastAsia="宋体" w:cs="Times New Roman"/>
                <w:color w:val="000000"/>
                <w:kern w:val="2"/>
                <w:sz w:val="24"/>
                <w:szCs w:val="22"/>
                <w:highlight w:val="none"/>
                <w:lang w:val="en-US" w:eastAsia="zh-CN" w:bidi="ar-SA"/>
              </w:rPr>
            </w:pPr>
            <w:r>
              <w:rPr>
                <w:rFonts w:hint="eastAsia" w:ascii="Times New Roman" w:hAnsi="Times New Roman" w:eastAsia="宋体" w:cs="Times New Roman"/>
                <w:color w:val="000000"/>
                <w:kern w:val="2"/>
                <w:sz w:val="24"/>
                <w:szCs w:val="22"/>
                <w:highlight w:val="none"/>
                <w:lang w:val="en-US" w:eastAsia="zh-CN" w:bidi="ar-SA"/>
              </w:rPr>
              <w:t>C</w:t>
            </w:r>
            <w:r>
              <w:rPr>
                <w:rFonts w:hint="default" w:ascii="Times New Roman" w:hAnsi="Times New Roman" w:eastAsia="宋体" w:cs="Times New Roman"/>
                <w:color w:val="000000"/>
                <w:kern w:val="2"/>
                <w:sz w:val="24"/>
                <w:szCs w:val="22"/>
                <w:highlight w:val="none"/>
                <w:lang w:val="en-US" w:eastAsia="zh-CN" w:bidi="ar-SA"/>
              </w:rPr>
              <w:t>（x，t）</w:t>
            </w:r>
            <w:r>
              <w:rPr>
                <w:rFonts w:hint="eastAsia" w:ascii="Times New Roman" w:hAnsi="Times New Roman" w:eastAsia="宋体" w:cs="Times New Roman"/>
                <w:color w:val="000000"/>
                <w:kern w:val="2"/>
                <w:sz w:val="24"/>
                <w:szCs w:val="22"/>
                <w:highlight w:val="none"/>
                <w:lang w:val="en-US" w:eastAsia="zh-CN" w:bidi="ar-SA"/>
              </w:rPr>
              <w:t>—t时刻x处的示踪剂浓度， g/L；</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Times New Roman" w:hAnsi="Times New Roman" w:eastAsia="宋体" w:cs="Times New Roman"/>
                <w:color w:val="000000"/>
                <w:kern w:val="2"/>
                <w:sz w:val="24"/>
                <w:szCs w:val="22"/>
                <w:highlight w:val="none"/>
                <w:lang w:val="en-US" w:eastAsia="zh-CN" w:bidi="ar-SA"/>
              </w:rPr>
            </w:pPr>
            <w:r>
              <w:rPr>
                <w:rFonts w:hint="eastAsia" w:ascii="Times New Roman" w:hAnsi="Times New Roman" w:eastAsia="宋体" w:cs="Times New Roman"/>
                <w:color w:val="000000"/>
                <w:kern w:val="2"/>
                <w:sz w:val="24"/>
                <w:szCs w:val="22"/>
                <w:highlight w:val="none"/>
                <w:lang w:val="en-US" w:eastAsia="zh-CN" w:bidi="ar-SA"/>
              </w:rPr>
              <w:t>m—注入的示踪剂质量， kg；</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Times New Roman" w:hAnsi="Times New Roman" w:eastAsia="宋体" w:cs="Times New Roman"/>
                <w:color w:val="000000"/>
                <w:kern w:val="2"/>
                <w:sz w:val="24"/>
                <w:szCs w:val="22"/>
                <w:highlight w:val="none"/>
                <w:lang w:val="en-US" w:eastAsia="zh-CN" w:bidi="ar-SA"/>
              </w:rPr>
            </w:pPr>
            <w:r>
              <w:rPr>
                <w:rFonts w:hint="eastAsia" w:ascii="Times New Roman" w:hAnsi="Times New Roman" w:eastAsia="宋体" w:cs="Times New Roman"/>
                <w:color w:val="000000"/>
                <w:kern w:val="2"/>
                <w:sz w:val="24"/>
                <w:szCs w:val="22"/>
                <w:highlight w:val="none"/>
                <w:lang w:val="en-US" w:eastAsia="zh-CN" w:bidi="ar-SA"/>
              </w:rPr>
              <w:t>w—横截面面积， m</w:t>
            </w:r>
            <w:r>
              <w:rPr>
                <w:rFonts w:hint="eastAsia" w:ascii="Times New Roman" w:hAnsi="Times New Roman" w:eastAsia="宋体" w:cs="Times New Roman"/>
                <w:color w:val="000000"/>
                <w:kern w:val="2"/>
                <w:sz w:val="24"/>
                <w:szCs w:val="22"/>
                <w:highlight w:val="none"/>
                <w:vertAlign w:val="superscript"/>
                <w:lang w:val="en-US" w:eastAsia="zh-CN" w:bidi="ar-SA"/>
              </w:rPr>
              <w:t>2</w:t>
            </w:r>
            <w:r>
              <w:rPr>
                <w:rFonts w:hint="eastAsia" w:ascii="Times New Roman" w:hAnsi="Times New Roman" w:eastAsia="宋体" w:cs="Times New Roman"/>
                <w:color w:val="000000"/>
                <w:kern w:val="2"/>
                <w:sz w:val="24"/>
                <w:szCs w:val="22"/>
                <w:highlight w:val="none"/>
                <w:lang w:val="en-US" w:eastAsia="zh-CN" w:bidi="ar-SA"/>
              </w:rPr>
              <w:t>；</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Times New Roman" w:hAnsi="Times New Roman" w:eastAsia="宋体" w:cs="Times New Roman"/>
                <w:color w:val="000000"/>
                <w:kern w:val="2"/>
                <w:sz w:val="24"/>
                <w:szCs w:val="22"/>
                <w:highlight w:val="none"/>
                <w:lang w:val="en-US" w:eastAsia="zh-CN" w:bidi="ar-SA"/>
              </w:rPr>
            </w:pPr>
            <w:r>
              <w:rPr>
                <w:rFonts w:hint="eastAsia" w:ascii="Times New Roman" w:hAnsi="Times New Roman" w:eastAsia="宋体" w:cs="Times New Roman"/>
                <w:color w:val="000000"/>
                <w:kern w:val="2"/>
                <w:sz w:val="24"/>
                <w:szCs w:val="22"/>
                <w:highlight w:val="none"/>
                <w:lang w:val="en-US" w:eastAsia="zh-CN" w:bidi="ar-SA"/>
              </w:rPr>
              <w:t>u—水流速度， m/d；</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Times New Roman" w:hAnsi="Times New Roman" w:eastAsia="宋体" w:cs="Times New Roman"/>
                <w:color w:val="000000"/>
                <w:kern w:val="2"/>
                <w:sz w:val="24"/>
                <w:szCs w:val="22"/>
                <w:highlight w:val="none"/>
                <w:lang w:val="en-US" w:eastAsia="zh-CN" w:bidi="ar-SA"/>
              </w:rPr>
            </w:pPr>
            <w:r>
              <w:rPr>
                <w:rFonts w:hint="eastAsia" w:ascii="Times New Roman" w:hAnsi="Times New Roman" w:eastAsia="宋体" w:cs="Times New Roman"/>
                <w:color w:val="000000"/>
                <w:kern w:val="2"/>
                <w:sz w:val="24"/>
                <w:szCs w:val="22"/>
                <w:highlight w:val="none"/>
                <w:lang w:val="en-US" w:eastAsia="zh-CN" w:bidi="ar-SA"/>
              </w:rPr>
              <w:t>ne—有效孔隙度，无量纲；</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Times New Roman" w:hAnsi="Times New Roman" w:eastAsia="宋体" w:cs="Times New Roman"/>
                <w:color w:val="000000"/>
                <w:kern w:val="2"/>
                <w:sz w:val="24"/>
                <w:szCs w:val="22"/>
                <w:highlight w:val="none"/>
                <w:lang w:val="en-US" w:eastAsia="zh-CN" w:bidi="ar-SA"/>
              </w:rPr>
            </w:pPr>
            <w:r>
              <w:rPr>
                <w:rFonts w:hint="eastAsia" w:ascii="Times New Roman" w:hAnsi="Times New Roman" w:eastAsia="宋体" w:cs="Times New Roman"/>
                <w:color w:val="000000"/>
                <w:kern w:val="2"/>
                <w:sz w:val="24"/>
                <w:szCs w:val="22"/>
                <w:highlight w:val="none"/>
                <w:lang w:val="en-US" w:eastAsia="zh-CN" w:bidi="ar-SA"/>
              </w:rPr>
              <w:t>DL—纵向弥散系数， m</w:t>
            </w:r>
            <w:r>
              <w:rPr>
                <w:rFonts w:hint="eastAsia" w:ascii="Times New Roman" w:hAnsi="Times New Roman" w:eastAsia="宋体" w:cs="Times New Roman"/>
                <w:color w:val="000000"/>
                <w:kern w:val="2"/>
                <w:sz w:val="24"/>
                <w:szCs w:val="22"/>
                <w:highlight w:val="none"/>
                <w:vertAlign w:val="superscript"/>
                <w:lang w:val="en-US" w:eastAsia="zh-CN" w:bidi="ar-SA"/>
              </w:rPr>
              <w:t>2</w:t>
            </w:r>
            <w:r>
              <w:rPr>
                <w:rFonts w:hint="eastAsia" w:ascii="Times New Roman" w:hAnsi="Times New Roman" w:eastAsia="宋体" w:cs="Times New Roman"/>
                <w:color w:val="000000"/>
                <w:kern w:val="2"/>
                <w:sz w:val="24"/>
                <w:szCs w:val="22"/>
                <w:highlight w:val="none"/>
                <w:lang w:val="en-US" w:eastAsia="zh-CN" w:bidi="ar-SA"/>
              </w:rPr>
              <w:t>/d；</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Times New Roman" w:hAnsi="Times New Roman" w:eastAsia="宋体" w:cs="Times New Roman"/>
                <w:color w:val="000000"/>
                <w:kern w:val="2"/>
                <w:sz w:val="24"/>
                <w:szCs w:val="22"/>
                <w:highlight w:val="none"/>
                <w:lang w:val="en-US" w:eastAsia="zh-CN" w:bidi="ar-SA"/>
              </w:rPr>
            </w:pPr>
            <w:r>
              <w:rPr>
                <w:rFonts w:hint="default" w:ascii="Times New Roman" w:hAnsi="Times New Roman" w:eastAsia="宋体" w:cs="Times New Roman"/>
                <w:color w:val="000000"/>
                <w:kern w:val="2"/>
                <w:sz w:val="24"/>
                <w:szCs w:val="22"/>
                <w:highlight w:val="none"/>
                <w:lang w:val="en-US" w:eastAsia="zh-CN" w:bidi="ar-SA"/>
              </w:rPr>
              <w:t>Π</w:t>
            </w:r>
            <w:r>
              <w:rPr>
                <w:rFonts w:hint="eastAsia" w:ascii="Times New Roman" w:hAnsi="Times New Roman" w:eastAsia="宋体" w:cs="Times New Roman"/>
                <w:color w:val="000000"/>
                <w:kern w:val="2"/>
                <w:sz w:val="24"/>
                <w:szCs w:val="22"/>
                <w:highlight w:val="none"/>
                <w:lang w:val="en-US" w:eastAsia="zh-CN" w:bidi="ar-SA"/>
              </w:rPr>
              <w:t>—圆周率。</w:t>
            </w:r>
          </w:p>
          <w:p>
            <w:pPr>
              <w:numPr>
                <w:ilvl w:val="0"/>
                <w:numId w:val="6"/>
              </w:numPr>
              <w:autoSpaceDE w:val="0"/>
              <w:autoSpaceDN w:val="0"/>
              <w:adjustRightInd w:val="0"/>
              <w:spacing w:line="360" w:lineRule="auto"/>
              <w:ind w:left="0" w:leftChars="0"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区域环境水文地质状况调查</w:t>
            </w:r>
          </w:p>
          <w:p>
            <w:pPr>
              <w:numPr>
                <w:ilvl w:val="0"/>
                <w:numId w:val="0"/>
              </w:num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据前期收集工程勘察报告资料及本次钻探揭露，本场地地层主要为第四系全新统杂填土、粘土、粉质粘土、粉土、粉砂。</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本场地地基岩土层自上而下简述如下：</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①层杂填土（Q</w:t>
            </w:r>
            <w:r>
              <w:rPr>
                <w:rFonts w:hint="eastAsia" w:ascii="Times New Roman" w:hAnsi="Times New Roman"/>
                <w:color w:val="000000"/>
                <w:sz w:val="24"/>
                <w:szCs w:val="22"/>
                <w:highlight w:val="none"/>
                <w:lang w:val="en-US" w:eastAsia="zh-CN"/>
              </w:rPr>
              <w:t>4</w:t>
            </w:r>
            <w:r>
              <w:rPr>
                <w:rFonts w:hint="eastAsia" w:ascii="Times New Roman" w:hAnsi="Times New Roman"/>
                <w:color w:val="000000"/>
                <w:sz w:val="24"/>
                <w:szCs w:val="22"/>
                <w:highlight w:val="none"/>
                <w:vertAlign w:val="superscript"/>
              </w:rPr>
              <w:t>ml</w:t>
            </w:r>
            <w:r>
              <w:rPr>
                <w:rFonts w:hint="eastAsia" w:ascii="Times New Roman" w:hAnsi="Times New Roman"/>
                <w:color w:val="000000"/>
                <w:sz w:val="24"/>
                <w:szCs w:val="22"/>
                <w:highlight w:val="none"/>
              </w:rPr>
              <w:t>）：松散，广场处及老路基上部约为20cm沥青混凝土路面，下部以粘性土为主，底部夹少量碎石，局部含建筑垃圾和淤泥等，不均匀，局部饱水，含植物根茎，厚度一般在1.6~5.1米.</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②层粘土、粉质粘土（Q</w:t>
            </w:r>
            <w:r>
              <w:rPr>
                <w:rFonts w:hint="eastAsia" w:ascii="Times New Roman" w:hAnsi="Times New Roman"/>
                <w:color w:val="000000"/>
                <w:sz w:val="24"/>
                <w:szCs w:val="22"/>
                <w:highlight w:val="none"/>
                <w:lang w:val="en-US" w:eastAsia="zh-CN"/>
              </w:rPr>
              <w:t>4</w:t>
            </w:r>
            <w:r>
              <w:rPr>
                <w:rFonts w:hint="eastAsia" w:ascii="Times New Roman" w:hAnsi="Times New Roman"/>
                <w:color w:val="000000"/>
                <w:sz w:val="24"/>
                <w:szCs w:val="22"/>
                <w:highlight w:val="none"/>
                <w:vertAlign w:val="superscript"/>
              </w:rPr>
              <w:t>al</w:t>
            </w:r>
            <w:r>
              <w:rPr>
                <w:rFonts w:hint="eastAsia" w:ascii="Times New Roman" w:hAnsi="Times New Roman"/>
                <w:color w:val="000000"/>
                <w:sz w:val="24"/>
                <w:szCs w:val="22"/>
                <w:highlight w:val="none"/>
              </w:rPr>
              <w:t>）：冲积，灰黄色，可塑状，稍湿，含Fe，Mn质结核物及高岭土团块，无摇振反应，有光泽，干强度中等，韧性中等，厚度一般在0.80~2.80米</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③粉细砂、粉土层（Q</w:t>
            </w:r>
            <w:r>
              <w:rPr>
                <w:rFonts w:hint="eastAsia" w:ascii="Times New Roman" w:hAnsi="Times New Roman"/>
                <w:color w:val="000000"/>
                <w:sz w:val="24"/>
                <w:szCs w:val="22"/>
                <w:highlight w:val="none"/>
                <w:lang w:val="en-US" w:eastAsia="zh-CN"/>
              </w:rPr>
              <w:t>4</w:t>
            </w:r>
            <w:r>
              <w:rPr>
                <w:rFonts w:hint="eastAsia" w:ascii="Times New Roman" w:hAnsi="Times New Roman"/>
                <w:color w:val="000000"/>
                <w:sz w:val="24"/>
                <w:szCs w:val="22"/>
                <w:highlight w:val="none"/>
                <w:vertAlign w:val="superscript"/>
              </w:rPr>
              <w:t>al</w:t>
            </w:r>
            <w:r>
              <w:rPr>
                <w:rFonts w:hint="eastAsia" w:ascii="Times New Roman" w:hAnsi="Times New Roman"/>
                <w:color w:val="000000"/>
                <w:sz w:val="24"/>
                <w:szCs w:val="22"/>
                <w:highlight w:val="none"/>
              </w:rPr>
              <w:t>）：灰白-灰黄色，湿，密实，干强度低，韧性低，厚度一般在0.4-2.2米</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④层粉质粘土、粘土（Q</w:t>
            </w:r>
            <w:r>
              <w:rPr>
                <w:rFonts w:hint="eastAsia" w:ascii="Times New Roman" w:hAnsi="Times New Roman"/>
                <w:color w:val="000000"/>
                <w:sz w:val="24"/>
                <w:szCs w:val="22"/>
                <w:highlight w:val="none"/>
                <w:lang w:val="en-US" w:eastAsia="zh-CN"/>
              </w:rPr>
              <w:t>4</w:t>
            </w:r>
            <w:r>
              <w:rPr>
                <w:rFonts w:hint="eastAsia" w:ascii="Times New Roman" w:hAnsi="Times New Roman"/>
                <w:color w:val="000000"/>
                <w:sz w:val="24"/>
                <w:szCs w:val="22"/>
                <w:highlight w:val="none"/>
                <w:vertAlign w:val="superscript"/>
              </w:rPr>
              <w:t>al</w:t>
            </w:r>
            <w:r>
              <w:rPr>
                <w:rFonts w:hint="eastAsia" w:ascii="Times New Roman" w:hAnsi="Times New Roman"/>
                <w:color w:val="000000"/>
                <w:sz w:val="24"/>
                <w:szCs w:val="22"/>
                <w:highlight w:val="none"/>
              </w:rPr>
              <w:t>）：冲积，灰黄色-黄褐色，硬塑状为主，局部夹可塑状，稍湿，含Fe.Mn质结核，千强度高，韧性高，厚度一般在0.6-1.40米.</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⑤层粉砂、粉土（Q</w:t>
            </w:r>
            <w:r>
              <w:rPr>
                <w:rFonts w:hint="eastAsia" w:ascii="Times New Roman" w:hAnsi="Times New Roman"/>
                <w:color w:val="000000"/>
                <w:sz w:val="24"/>
                <w:szCs w:val="22"/>
                <w:highlight w:val="none"/>
                <w:lang w:val="en-US" w:eastAsia="zh-CN"/>
              </w:rPr>
              <w:t>4</w:t>
            </w:r>
            <w:r>
              <w:rPr>
                <w:rFonts w:hint="eastAsia" w:ascii="Times New Roman" w:hAnsi="Times New Roman"/>
                <w:color w:val="000000"/>
                <w:sz w:val="24"/>
                <w:szCs w:val="22"/>
                <w:highlight w:val="none"/>
                <w:vertAlign w:val="superscript"/>
              </w:rPr>
              <w:t>al</w:t>
            </w:r>
            <w:r>
              <w:rPr>
                <w:rFonts w:hint="eastAsia" w:ascii="Times New Roman" w:hAnsi="Times New Roman"/>
                <w:color w:val="000000"/>
                <w:sz w:val="24"/>
                <w:szCs w:val="22"/>
                <w:highlight w:val="none"/>
              </w:rPr>
              <w:t>）：冲积，灰黄色，稍湿，厚度一般在1.1~1.7米，舍、透水性一般。</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⑥层粉质粘土、粘土（Q</w:t>
            </w:r>
            <w:r>
              <w:rPr>
                <w:rFonts w:hint="eastAsia" w:ascii="Times New Roman" w:hAnsi="Times New Roman"/>
                <w:color w:val="000000"/>
                <w:sz w:val="24"/>
                <w:szCs w:val="22"/>
                <w:highlight w:val="none"/>
                <w:lang w:val="en-US" w:eastAsia="zh-CN"/>
              </w:rPr>
              <w:t>4</w:t>
            </w:r>
            <w:r>
              <w:rPr>
                <w:rFonts w:hint="eastAsia" w:ascii="Times New Roman" w:hAnsi="Times New Roman"/>
                <w:color w:val="000000"/>
                <w:sz w:val="24"/>
                <w:szCs w:val="22"/>
                <w:highlight w:val="none"/>
                <w:vertAlign w:val="superscript"/>
              </w:rPr>
              <w:t>al</w:t>
            </w:r>
            <w:r>
              <w:rPr>
                <w:rFonts w:hint="eastAsia" w:ascii="Times New Roman" w:hAnsi="Times New Roman"/>
                <w:color w:val="000000"/>
                <w:sz w:val="24"/>
                <w:szCs w:val="22"/>
                <w:highlight w:val="none"/>
              </w:rPr>
              <w:t>）：冲积，灰黄色一黄褐色，硬塑状为主，局部夹可塑状，稍湿，含Fe</w:t>
            </w:r>
            <w:r>
              <w:rPr>
                <w:rFonts w:hint="eastAsia" w:ascii="Times New Roman" w:hAnsi="Times New Roman"/>
                <w:color w:val="000000"/>
                <w:sz w:val="24"/>
                <w:szCs w:val="22"/>
                <w:highlight w:val="none"/>
                <w:lang w:eastAsia="zh-CN"/>
              </w:rPr>
              <w:t>、</w:t>
            </w:r>
            <w:r>
              <w:rPr>
                <w:rFonts w:hint="eastAsia" w:ascii="Times New Roman" w:hAnsi="Times New Roman"/>
                <w:color w:val="000000"/>
                <w:sz w:val="24"/>
                <w:szCs w:val="22"/>
                <w:highlight w:val="none"/>
              </w:rPr>
              <w:t>Mn质结核，干强度高，韧性高，底层局部夹少量砾石，厚度一般在1.9-3.6米。</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工作区揭露地层为第四系全新统芜湖组松散层，根据区域资料，下伏基岩主要为白垩系下统龙王山组砂岩、页岩。</w:t>
            </w:r>
          </w:p>
          <w:p>
            <w:pPr>
              <w:autoSpaceDE w:val="0"/>
              <w:autoSpaceDN w:val="0"/>
              <w:adjustRightInd w:val="0"/>
              <w:spacing w:line="360" w:lineRule="auto"/>
              <w:ind w:firstLine="480" w:firstLineChars="200"/>
              <w:rPr>
                <w:rFonts w:hint="eastAsia" w:ascii="Times New Roman" w:hAnsi="Times New Roman" w:eastAsia="宋体"/>
                <w:color w:val="000000"/>
                <w:sz w:val="24"/>
                <w:szCs w:val="22"/>
                <w:highlight w:val="none"/>
                <w:lang w:eastAsia="zh-CN"/>
              </w:rPr>
            </w:pPr>
            <w:r>
              <w:rPr>
                <w:rFonts w:hint="eastAsia" w:ascii="Times New Roman" w:hAnsi="Times New Roman"/>
                <w:color w:val="000000"/>
                <w:sz w:val="24"/>
                <w:szCs w:val="22"/>
                <w:highlight w:val="none"/>
              </w:rPr>
              <w:t>从场地内岩性取样情况可以看出，场地地层以粉质粘土、粉细砂及粉土层为主，与前人所做工程勘察情况结果较一致。钻孔柱状图</w:t>
            </w:r>
            <w:r>
              <w:rPr>
                <w:rFonts w:hint="eastAsia" w:ascii="Times New Roman" w:hAnsi="Times New Roman"/>
                <w:color w:val="000000"/>
                <w:sz w:val="24"/>
                <w:szCs w:val="22"/>
                <w:highlight w:val="none"/>
                <w:lang w:eastAsia="zh-CN"/>
              </w:rPr>
              <w:t>、</w:t>
            </w:r>
            <w:r>
              <w:rPr>
                <w:rFonts w:hint="eastAsia" w:ascii="Times New Roman" w:hAnsi="Times New Roman"/>
                <w:color w:val="000000"/>
                <w:sz w:val="24"/>
                <w:szCs w:val="22"/>
                <w:highlight w:val="none"/>
              </w:rPr>
              <w:t>水文地质剖面图见</w:t>
            </w:r>
            <w:r>
              <w:rPr>
                <w:rFonts w:hint="eastAsia" w:ascii="Times New Roman" w:hAnsi="Times New Roman"/>
                <w:color w:val="000000"/>
                <w:sz w:val="24"/>
                <w:szCs w:val="22"/>
                <w:highlight w:val="none"/>
                <w:lang w:val="en-US" w:eastAsia="zh-CN"/>
              </w:rPr>
              <w:t>下</w:t>
            </w:r>
            <w:r>
              <w:rPr>
                <w:rFonts w:hint="eastAsia" w:ascii="Times New Roman" w:hAnsi="Times New Roman"/>
                <w:color w:val="000000"/>
                <w:sz w:val="24"/>
                <w:szCs w:val="22"/>
                <w:highlight w:val="none"/>
              </w:rPr>
              <w:t>图</w:t>
            </w:r>
            <w:r>
              <w:rPr>
                <w:rFonts w:hint="eastAsia" w:ascii="Times New Roman" w:hAnsi="Times New Roman"/>
                <w:color w:val="000000"/>
                <w:sz w:val="24"/>
                <w:szCs w:val="22"/>
                <w:highlight w:val="none"/>
                <w:lang w:eastAsia="zh-CN"/>
              </w:rPr>
              <w:t>。</w:t>
            </w:r>
          </w:p>
          <w:p>
            <w:pPr>
              <w:pStyle w:val="36"/>
              <w:jc w:val="center"/>
            </w:pPr>
            <w:r>
              <w:drawing>
                <wp:inline distT="0" distB="0" distL="114300" distR="114300">
                  <wp:extent cx="4933950" cy="7381875"/>
                  <wp:effectExtent l="0" t="0" r="0" b="9525"/>
                  <wp:docPr id="3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0"/>
                          <pic:cNvPicPr>
                            <a:picLocks noChangeAspect="1"/>
                          </pic:cNvPicPr>
                        </pic:nvPicPr>
                        <pic:blipFill>
                          <a:blip r:embed="rId39"/>
                          <a:stretch>
                            <a:fillRect/>
                          </a:stretch>
                        </pic:blipFill>
                        <pic:spPr>
                          <a:xfrm>
                            <a:off x="0" y="0"/>
                            <a:ext cx="4933950" cy="7381875"/>
                          </a:xfrm>
                          <a:prstGeom prst="rect">
                            <a:avLst/>
                          </a:prstGeom>
                          <a:noFill/>
                          <a:ln>
                            <a:noFill/>
                          </a:ln>
                        </pic:spPr>
                      </pic:pic>
                    </a:graphicData>
                  </a:graphic>
                </wp:inline>
              </w:drawing>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center"/>
              <w:textAlignment w:val="auto"/>
              <w:rPr>
                <w:rFonts w:hint="default" w:eastAsia="宋体"/>
                <w:lang w:val="en-US" w:eastAsia="zh-CN"/>
              </w:rPr>
            </w:pPr>
            <w:r>
              <w:rPr>
                <w:rFonts w:hint="default" w:ascii="Times New Roman" w:hAnsi="Times New Roman" w:cs="Times New Roman"/>
                <w:b/>
                <w:bCs/>
                <w:sz w:val="24"/>
                <w:szCs w:val="24"/>
                <w:lang w:val="en-US" w:eastAsia="zh-CN"/>
              </w:rPr>
              <w:t>图7-5  场地钻孔柱状图</w:t>
            </w:r>
          </w:p>
          <w:p>
            <w:pPr>
              <w:pStyle w:val="15"/>
              <w:rPr>
                <w:rFonts w:hint="eastAsia" w:ascii="Times New Roman" w:hAnsi="Times New Roman"/>
                <w:color w:val="000000"/>
                <w:sz w:val="24"/>
                <w:szCs w:val="22"/>
                <w:highlight w:val="none"/>
              </w:rPr>
            </w:pPr>
          </w:p>
          <w:p>
            <w:pPr>
              <w:rPr>
                <w:rFonts w:hint="eastAsia" w:ascii="Times New Roman" w:hAnsi="Times New Roman"/>
                <w:color w:val="000000"/>
                <w:sz w:val="24"/>
                <w:szCs w:val="22"/>
                <w:highlight w:val="none"/>
              </w:rPr>
            </w:pPr>
          </w:p>
          <w:p>
            <w:pPr>
              <w:pStyle w:val="36"/>
              <w:rPr>
                <w:rFonts w:hint="eastAsia"/>
              </w:rPr>
            </w:pPr>
          </w:p>
          <w:p>
            <w:pPr>
              <w:autoSpaceDE w:val="0"/>
              <w:autoSpaceDN w:val="0"/>
              <w:adjustRightInd w:val="0"/>
              <w:spacing w:line="360" w:lineRule="auto"/>
              <w:jc w:val="center"/>
            </w:pPr>
            <w:r>
              <w:drawing>
                <wp:inline distT="0" distB="0" distL="114300" distR="114300">
                  <wp:extent cx="5572125" cy="4962525"/>
                  <wp:effectExtent l="0" t="0" r="9525" b="9525"/>
                  <wp:docPr id="3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1"/>
                          <pic:cNvPicPr>
                            <a:picLocks noChangeAspect="1"/>
                          </pic:cNvPicPr>
                        </pic:nvPicPr>
                        <pic:blipFill>
                          <a:blip r:embed="rId40"/>
                          <a:stretch>
                            <a:fillRect/>
                          </a:stretch>
                        </pic:blipFill>
                        <pic:spPr>
                          <a:xfrm>
                            <a:off x="0" y="0"/>
                            <a:ext cx="5572125" cy="49625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0"/>
              <w:jc w:val="center"/>
              <w:textAlignment w:val="auto"/>
              <w:rPr>
                <w:rFonts w:hint="default" w:ascii="Times New Roman" w:hAnsi="Times New Roman" w:eastAsia="宋体" w:cs="Times New Roman"/>
                <w:b/>
                <w:bCs/>
                <w:kern w:val="2"/>
                <w:sz w:val="24"/>
                <w:szCs w:val="24"/>
                <w:lang w:val="zh-CN" w:eastAsia="zh-CN" w:bidi="ar-SA"/>
              </w:rPr>
            </w:pPr>
            <w:r>
              <w:rPr>
                <w:rFonts w:hint="default" w:ascii="Times New Roman" w:hAnsi="Times New Roman" w:eastAsia="宋体" w:cs="Times New Roman"/>
                <w:b/>
                <w:bCs/>
                <w:kern w:val="2"/>
                <w:sz w:val="24"/>
                <w:szCs w:val="24"/>
                <w:lang w:val="zh-CN" w:eastAsia="zh-CN" w:bidi="ar-SA"/>
              </w:rPr>
              <w:t>图</w:t>
            </w:r>
            <w:r>
              <w:rPr>
                <w:rFonts w:hint="eastAsia" w:ascii="Times New Roman" w:hAnsi="Times New Roman" w:eastAsia="宋体" w:cs="Times New Roman"/>
                <w:b/>
                <w:bCs/>
                <w:kern w:val="2"/>
                <w:sz w:val="24"/>
                <w:szCs w:val="24"/>
                <w:lang w:val="en-US" w:eastAsia="zh-CN" w:bidi="ar-SA"/>
              </w:rPr>
              <w:t xml:space="preserve">7-6  </w:t>
            </w:r>
            <w:r>
              <w:rPr>
                <w:rFonts w:hint="default" w:ascii="Times New Roman" w:hAnsi="Times New Roman" w:eastAsia="宋体" w:cs="Times New Roman"/>
                <w:b/>
                <w:bCs/>
                <w:kern w:val="2"/>
                <w:sz w:val="24"/>
                <w:szCs w:val="24"/>
                <w:lang w:val="zh-CN" w:eastAsia="zh-CN" w:bidi="ar-SA"/>
              </w:rPr>
              <w:t>水文地质图</w:t>
            </w:r>
          </w:p>
          <w:p>
            <w:pPr>
              <w:pStyle w:val="36"/>
              <w:jc w:val="both"/>
              <w:rPr>
                <w:rFonts w:hint="eastAsia"/>
              </w:rPr>
            </w:pPr>
            <w:r>
              <w:drawing>
                <wp:inline distT="0" distB="0" distL="114300" distR="114300">
                  <wp:extent cx="5763895" cy="3456940"/>
                  <wp:effectExtent l="0" t="0" r="8255" b="10160"/>
                  <wp:docPr id="3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2"/>
                          <pic:cNvPicPr>
                            <a:picLocks noChangeAspect="1"/>
                          </pic:cNvPicPr>
                        </pic:nvPicPr>
                        <pic:blipFill>
                          <a:blip r:embed="rId41"/>
                          <a:stretch>
                            <a:fillRect/>
                          </a:stretch>
                        </pic:blipFill>
                        <pic:spPr>
                          <a:xfrm>
                            <a:off x="0" y="0"/>
                            <a:ext cx="5763895" cy="3456940"/>
                          </a:xfrm>
                          <a:prstGeom prst="rect">
                            <a:avLst/>
                          </a:prstGeom>
                          <a:noFill/>
                          <a:ln>
                            <a:noFill/>
                          </a:ln>
                        </pic:spPr>
                      </pic:pic>
                    </a:graphicData>
                  </a:graphic>
                </wp:inline>
              </w:drawing>
            </w:r>
          </w:p>
          <w:p>
            <w:pPr>
              <w:autoSpaceDE w:val="0"/>
              <w:autoSpaceDN w:val="0"/>
              <w:adjustRightInd w:val="0"/>
              <w:spacing w:line="360" w:lineRule="auto"/>
              <w:ind w:firstLine="482" w:firstLineChars="200"/>
              <w:jc w:val="center"/>
              <w:rPr>
                <w:rFonts w:hint="eastAsia" w:ascii="Times New Roman" w:hAnsi="Times New Roman"/>
                <w:b/>
                <w:bCs/>
                <w:color w:val="000000"/>
                <w:sz w:val="24"/>
                <w:szCs w:val="22"/>
                <w:highlight w:val="none"/>
              </w:rPr>
            </w:pPr>
            <w:r>
              <w:rPr>
                <w:rFonts w:hint="eastAsia" w:ascii="Times New Roman" w:hAnsi="Times New Roman"/>
                <w:b/>
                <w:bCs/>
                <w:color w:val="000000"/>
                <w:sz w:val="24"/>
                <w:szCs w:val="22"/>
                <w:highlight w:val="none"/>
              </w:rPr>
              <w:t>图</w:t>
            </w:r>
            <w:r>
              <w:rPr>
                <w:rFonts w:hint="eastAsia" w:ascii="Times New Roman" w:hAnsi="Times New Roman"/>
                <w:b/>
                <w:bCs/>
                <w:color w:val="000000"/>
                <w:sz w:val="24"/>
                <w:szCs w:val="22"/>
                <w:highlight w:val="none"/>
                <w:lang w:val="en-US" w:eastAsia="zh-CN"/>
              </w:rPr>
              <w:t xml:space="preserve">7-7  </w:t>
            </w:r>
            <w:r>
              <w:rPr>
                <w:rFonts w:hint="eastAsia" w:ascii="Times New Roman" w:hAnsi="Times New Roman"/>
                <w:b/>
                <w:bCs/>
                <w:color w:val="000000"/>
                <w:sz w:val="24"/>
                <w:szCs w:val="22"/>
                <w:highlight w:val="none"/>
              </w:rPr>
              <w:t>水文地质剖面图1</w:t>
            </w:r>
          </w:p>
          <w:p>
            <w:pPr>
              <w:autoSpaceDE w:val="0"/>
              <w:autoSpaceDN w:val="0"/>
              <w:adjustRightInd w:val="0"/>
              <w:spacing w:line="360" w:lineRule="auto"/>
              <w:ind w:firstLine="420" w:firstLineChars="200"/>
              <w:jc w:val="center"/>
              <w:rPr>
                <w:rFonts w:hint="eastAsia" w:ascii="Times New Roman" w:hAnsi="Times New Roman" w:eastAsia="宋体"/>
                <w:b/>
                <w:bCs/>
                <w:color w:val="000000"/>
                <w:sz w:val="24"/>
                <w:szCs w:val="22"/>
                <w:highlight w:val="none"/>
                <w:lang w:eastAsia="zh-CN"/>
              </w:rPr>
            </w:pPr>
            <w:r>
              <w:drawing>
                <wp:inline distT="0" distB="0" distL="114300" distR="114300">
                  <wp:extent cx="5760720" cy="3068955"/>
                  <wp:effectExtent l="0" t="0" r="11430" b="17145"/>
                  <wp:docPr id="3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3"/>
                          <pic:cNvPicPr>
                            <a:picLocks noChangeAspect="1"/>
                          </pic:cNvPicPr>
                        </pic:nvPicPr>
                        <pic:blipFill>
                          <a:blip r:embed="rId42"/>
                          <a:stretch>
                            <a:fillRect/>
                          </a:stretch>
                        </pic:blipFill>
                        <pic:spPr>
                          <a:xfrm>
                            <a:off x="0" y="0"/>
                            <a:ext cx="5760720" cy="3068955"/>
                          </a:xfrm>
                          <a:prstGeom prst="rect">
                            <a:avLst/>
                          </a:prstGeom>
                          <a:noFill/>
                          <a:ln>
                            <a:noFill/>
                          </a:ln>
                        </pic:spPr>
                      </pic:pic>
                    </a:graphicData>
                  </a:graphic>
                </wp:inline>
              </w:drawing>
            </w:r>
            <w:r>
              <w:rPr>
                <w:rFonts w:hint="eastAsia" w:ascii="Times New Roman" w:hAnsi="Times New Roman"/>
                <w:b/>
                <w:bCs/>
                <w:color w:val="000000"/>
                <w:sz w:val="24"/>
                <w:szCs w:val="22"/>
                <w:highlight w:val="none"/>
              </w:rPr>
              <w:t>图</w:t>
            </w:r>
            <w:r>
              <w:rPr>
                <w:rFonts w:hint="eastAsia" w:ascii="Times New Roman" w:hAnsi="Times New Roman"/>
                <w:b/>
                <w:bCs/>
                <w:color w:val="000000"/>
                <w:sz w:val="24"/>
                <w:szCs w:val="22"/>
                <w:highlight w:val="none"/>
                <w:lang w:val="en-US" w:eastAsia="zh-CN"/>
              </w:rPr>
              <w:t xml:space="preserve">7-8  </w:t>
            </w:r>
            <w:r>
              <w:rPr>
                <w:rFonts w:hint="eastAsia" w:ascii="Times New Roman" w:hAnsi="Times New Roman"/>
                <w:b/>
                <w:bCs/>
                <w:color w:val="000000"/>
                <w:sz w:val="24"/>
                <w:szCs w:val="22"/>
                <w:highlight w:val="none"/>
              </w:rPr>
              <w:t>水文地质剖面图</w:t>
            </w:r>
            <w:r>
              <w:rPr>
                <w:rFonts w:hint="eastAsia" w:ascii="Times New Roman" w:hAnsi="Times New Roman"/>
                <w:b/>
                <w:bCs/>
                <w:color w:val="000000"/>
                <w:sz w:val="24"/>
                <w:szCs w:val="22"/>
                <w:highlight w:val="none"/>
                <w:lang w:val="en-US" w:eastAsia="zh-CN"/>
              </w:rPr>
              <w:t>2</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3、对地下水环境影响的可能途径</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项目修复实施过程中，基坑开挖深度未达到地下水层，且项目所在地及周边无民井、地下水源，污水处理设施按要求做好防渗漏措施，废水管网按要求布设，正常工况下，土壤修复过程对地下水的影响较小。故主要考虑非正常工况的影响，最主要的危险是各类固废、废液、废水排放由于收集、贮放、处置等环节的不严格或不妥善，造成土壤、地下水污染，其主要可能途径有：</w:t>
            </w:r>
          </w:p>
          <w:p>
            <w:pPr>
              <w:autoSpaceDE w:val="0"/>
              <w:autoSpaceDN w:val="0"/>
              <w:adjustRightInd w:val="0"/>
              <w:spacing w:line="360" w:lineRule="auto"/>
              <w:ind w:firstLine="480" w:firstLineChars="200"/>
              <w:rPr>
                <w:rFonts w:hint="eastAsia" w:ascii="Times New Roman" w:hAnsi="Times New Roman" w:eastAsia="宋体"/>
                <w:b w:val="0"/>
                <w:bCs w:val="0"/>
                <w:color w:val="000000"/>
                <w:sz w:val="24"/>
                <w:szCs w:val="22"/>
                <w:highlight w:val="none"/>
                <w:lang w:eastAsia="zh-CN"/>
              </w:rPr>
            </w:pPr>
            <w:r>
              <w:rPr>
                <w:rFonts w:hint="eastAsia" w:ascii="Times New Roman" w:hAnsi="Times New Roman"/>
                <w:b w:val="0"/>
                <w:bCs w:val="0"/>
                <w:color w:val="000000"/>
                <w:sz w:val="24"/>
                <w:szCs w:val="22"/>
                <w:highlight w:val="none"/>
              </w:rPr>
              <w:t>（1）废物产生后，不能完全收集而流失于环境中</w:t>
            </w:r>
            <w:r>
              <w:rPr>
                <w:rFonts w:hint="eastAsia" w:ascii="Times New Roman" w:hAnsi="Times New Roman"/>
                <w:b w:val="0"/>
                <w:bCs w:val="0"/>
                <w:color w:val="000000"/>
                <w:sz w:val="24"/>
                <w:szCs w:val="22"/>
                <w:highlight w:val="none"/>
                <w:lang w:eastAsia="zh-CN"/>
              </w:rPr>
              <w:t>；</w:t>
            </w:r>
          </w:p>
          <w:p>
            <w:pPr>
              <w:autoSpaceDE w:val="0"/>
              <w:autoSpaceDN w:val="0"/>
              <w:adjustRightInd w:val="0"/>
              <w:spacing w:line="360" w:lineRule="auto"/>
              <w:ind w:firstLine="480" w:firstLineChars="200"/>
              <w:rPr>
                <w:rFonts w:hint="eastAsia" w:ascii="Times New Roman" w:hAnsi="Times New Roman" w:eastAsia="宋体"/>
                <w:b w:val="0"/>
                <w:bCs w:val="0"/>
                <w:color w:val="000000"/>
                <w:sz w:val="24"/>
                <w:szCs w:val="22"/>
                <w:highlight w:val="none"/>
                <w:lang w:eastAsia="zh-CN"/>
              </w:rPr>
            </w:pPr>
            <w:r>
              <w:rPr>
                <w:rFonts w:hint="eastAsia" w:ascii="Times New Roman" w:hAnsi="Times New Roman"/>
                <w:b w:val="0"/>
                <w:bCs w:val="0"/>
                <w:color w:val="000000"/>
                <w:sz w:val="24"/>
                <w:szCs w:val="22"/>
                <w:highlight w:val="none"/>
              </w:rPr>
              <w:t>（2）贮放容器使用材质不当，耐蚀性能差，容器受蚀后造成废液渗漏</w:t>
            </w:r>
            <w:r>
              <w:rPr>
                <w:rFonts w:hint="eastAsia" w:ascii="Times New Roman" w:hAnsi="Times New Roman"/>
                <w:b w:val="0"/>
                <w:bCs w:val="0"/>
                <w:color w:val="000000"/>
                <w:sz w:val="24"/>
                <w:szCs w:val="22"/>
                <w:highlight w:val="none"/>
                <w:lang w:eastAsia="zh-CN"/>
              </w:rPr>
              <w:t>；</w:t>
            </w:r>
          </w:p>
          <w:p>
            <w:pPr>
              <w:autoSpaceDE w:val="0"/>
              <w:autoSpaceDN w:val="0"/>
              <w:adjustRightInd w:val="0"/>
              <w:spacing w:line="360" w:lineRule="auto"/>
              <w:ind w:firstLine="480" w:firstLineChars="200"/>
              <w:rPr>
                <w:rFonts w:hint="eastAsia" w:ascii="Times New Roman" w:hAnsi="Times New Roman" w:eastAsia="宋体"/>
                <w:b w:val="0"/>
                <w:bCs w:val="0"/>
                <w:color w:val="000000"/>
                <w:sz w:val="24"/>
                <w:szCs w:val="22"/>
                <w:highlight w:val="none"/>
                <w:lang w:eastAsia="zh-CN"/>
              </w:rPr>
            </w:pPr>
            <w:r>
              <w:rPr>
                <w:rFonts w:hint="eastAsia" w:ascii="Times New Roman" w:hAnsi="Times New Roman"/>
                <w:b w:val="0"/>
                <w:bCs w:val="0"/>
                <w:color w:val="000000"/>
                <w:sz w:val="24"/>
                <w:szCs w:val="22"/>
                <w:highlight w:val="none"/>
              </w:rPr>
              <w:t>（3）废物临时堆放地无防雨、防风、防渗设施，雨水洗淋后污染物随渗滤液进入土壤和地下水环境，大风时也可造成风蚀流失</w:t>
            </w:r>
            <w:r>
              <w:rPr>
                <w:rFonts w:hint="eastAsia" w:ascii="Times New Roman" w:hAnsi="Times New Roman"/>
                <w:b w:val="0"/>
                <w:bCs w:val="0"/>
                <w:color w:val="000000"/>
                <w:sz w:val="24"/>
                <w:szCs w:val="22"/>
                <w:highlight w:val="none"/>
                <w:lang w:eastAsia="zh-CN"/>
              </w:rPr>
              <w:t>；</w:t>
            </w:r>
          </w:p>
          <w:p>
            <w:pPr>
              <w:autoSpaceDE w:val="0"/>
              <w:autoSpaceDN w:val="0"/>
              <w:adjustRightInd w:val="0"/>
              <w:spacing w:line="360" w:lineRule="auto"/>
              <w:ind w:firstLine="480" w:firstLineChars="200"/>
              <w:rPr>
                <w:rFonts w:hint="eastAsia" w:ascii="Times New Roman" w:hAnsi="Times New Roman" w:eastAsia="宋体"/>
                <w:b w:val="0"/>
                <w:bCs w:val="0"/>
                <w:color w:val="000000"/>
                <w:sz w:val="24"/>
                <w:szCs w:val="22"/>
                <w:highlight w:val="none"/>
                <w:lang w:eastAsia="zh-CN"/>
              </w:rPr>
            </w:pPr>
            <w:r>
              <w:rPr>
                <w:rFonts w:hint="eastAsia" w:ascii="Times New Roman" w:hAnsi="Times New Roman"/>
                <w:b w:val="0"/>
                <w:bCs w:val="0"/>
                <w:color w:val="000000"/>
                <w:sz w:val="24"/>
                <w:szCs w:val="22"/>
                <w:highlight w:val="none"/>
                <w:lang w:eastAsia="zh-CN"/>
              </w:rPr>
              <w:t>（</w:t>
            </w:r>
            <w:r>
              <w:rPr>
                <w:rFonts w:hint="eastAsia" w:ascii="Times New Roman" w:hAnsi="Times New Roman"/>
                <w:b w:val="0"/>
                <w:bCs w:val="0"/>
                <w:color w:val="000000"/>
                <w:sz w:val="24"/>
                <w:szCs w:val="22"/>
                <w:highlight w:val="none"/>
                <w:lang w:val="en-US" w:eastAsia="zh-CN"/>
              </w:rPr>
              <w:t>4</w:t>
            </w:r>
            <w:r>
              <w:rPr>
                <w:rFonts w:hint="eastAsia" w:ascii="Times New Roman" w:hAnsi="Times New Roman"/>
                <w:b w:val="0"/>
                <w:bCs w:val="0"/>
                <w:color w:val="000000"/>
                <w:sz w:val="24"/>
                <w:szCs w:val="22"/>
                <w:highlight w:val="none"/>
                <w:lang w:eastAsia="zh-CN"/>
              </w:rPr>
              <w:t>）</w:t>
            </w:r>
            <w:r>
              <w:rPr>
                <w:rFonts w:hint="eastAsia" w:ascii="Times New Roman" w:hAnsi="Times New Roman"/>
                <w:b w:val="0"/>
                <w:bCs w:val="0"/>
                <w:color w:val="000000"/>
                <w:sz w:val="24"/>
                <w:szCs w:val="22"/>
                <w:highlight w:val="none"/>
              </w:rPr>
              <w:t>因管理不善而造成人为流失继而污染环境</w:t>
            </w:r>
            <w:r>
              <w:rPr>
                <w:rFonts w:hint="eastAsia" w:ascii="Times New Roman" w:hAnsi="Times New Roman"/>
                <w:b w:val="0"/>
                <w:bCs w:val="0"/>
                <w:color w:val="000000"/>
                <w:sz w:val="24"/>
                <w:szCs w:val="22"/>
                <w:highlight w:val="none"/>
                <w:lang w:eastAsia="zh-CN"/>
              </w:rPr>
              <w:t>；</w:t>
            </w:r>
          </w:p>
          <w:p>
            <w:pPr>
              <w:autoSpaceDE w:val="0"/>
              <w:autoSpaceDN w:val="0"/>
              <w:adjustRightInd w:val="0"/>
              <w:spacing w:line="360" w:lineRule="auto"/>
              <w:ind w:firstLine="480" w:firstLineChars="200"/>
              <w:rPr>
                <w:rFonts w:hint="eastAsia" w:ascii="Times New Roman" w:hAnsi="Times New Roman" w:eastAsia="宋体"/>
                <w:b w:val="0"/>
                <w:bCs w:val="0"/>
                <w:color w:val="000000"/>
                <w:sz w:val="24"/>
                <w:szCs w:val="22"/>
                <w:highlight w:val="none"/>
                <w:lang w:eastAsia="zh-CN"/>
              </w:rPr>
            </w:pPr>
            <w:r>
              <w:rPr>
                <w:rFonts w:hint="eastAsia" w:ascii="Times New Roman" w:hAnsi="Times New Roman"/>
                <w:b w:val="0"/>
                <w:bCs w:val="0"/>
                <w:color w:val="000000"/>
                <w:sz w:val="24"/>
                <w:szCs w:val="22"/>
                <w:highlight w:val="none"/>
              </w:rPr>
              <w:t>（5）废物得不到及时处置，在处置场所因各种因素造成流失</w:t>
            </w:r>
            <w:r>
              <w:rPr>
                <w:rFonts w:hint="eastAsia" w:ascii="Times New Roman" w:hAnsi="Times New Roman"/>
                <w:b w:val="0"/>
                <w:bCs w:val="0"/>
                <w:color w:val="000000"/>
                <w:sz w:val="24"/>
                <w:szCs w:val="22"/>
                <w:highlight w:val="none"/>
                <w:lang w:eastAsia="zh-CN"/>
              </w:rPr>
              <w:t>；</w:t>
            </w:r>
          </w:p>
          <w:p>
            <w:pPr>
              <w:autoSpaceDE w:val="0"/>
              <w:autoSpaceDN w:val="0"/>
              <w:adjustRightInd w:val="0"/>
              <w:spacing w:line="360" w:lineRule="auto"/>
              <w:ind w:firstLine="480" w:firstLineChars="200"/>
              <w:rPr>
                <w:rFonts w:hint="eastAsia" w:ascii="Times New Roman" w:hAnsi="Times New Roman" w:eastAsia="宋体"/>
                <w:b w:val="0"/>
                <w:bCs w:val="0"/>
                <w:color w:val="000000"/>
                <w:sz w:val="24"/>
                <w:szCs w:val="22"/>
                <w:highlight w:val="none"/>
                <w:lang w:eastAsia="zh-CN"/>
              </w:rPr>
            </w:pPr>
            <w:r>
              <w:rPr>
                <w:rFonts w:hint="eastAsia" w:ascii="Times New Roman" w:hAnsi="Times New Roman"/>
                <w:b w:val="0"/>
                <w:bCs w:val="0"/>
                <w:color w:val="000000"/>
                <w:sz w:val="24"/>
                <w:szCs w:val="22"/>
                <w:highlight w:val="none"/>
              </w:rPr>
              <w:t>（6）废物处置工艺不合理，有毒有害物质被转移而造成二次污染问题</w:t>
            </w:r>
            <w:r>
              <w:rPr>
                <w:rFonts w:hint="eastAsia" w:ascii="Times New Roman" w:hAnsi="Times New Roman"/>
                <w:b w:val="0"/>
                <w:bCs w:val="0"/>
                <w:color w:val="000000"/>
                <w:sz w:val="24"/>
                <w:szCs w:val="22"/>
                <w:highlight w:val="none"/>
                <w:lang w:eastAsia="zh-CN"/>
              </w:rPr>
              <w:t>；</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w:t>
            </w:r>
            <w:r>
              <w:rPr>
                <w:rFonts w:hint="eastAsia" w:ascii="Times New Roman" w:hAnsi="Times New Roman"/>
                <w:b w:val="0"/>
                <w:bCs w:val="0"/>
                <w:color w:val="000000"/>
                <w:sz w:val="24"/>
                <w:szCs w:val="22"/>
                <w:highlight w:val="none"/>
                <w:lang w:val="en-US" w:eastAsia="zh-CN"/>
              </w:rPr>
              <w:t>7</w:t>
            </w:r>
            <w:r>
              <w:rPr>
                <w:rFonts w:hint="eastAsia" w:ascii="Times New Roman" w:hAnsi="Times New Roman"/>
                <w:b w:val="0"/>
                <w:bCs w:val="0"/>
                <w:color w:val="000000"/>
                <w:sz w:val="24"/>
                <w:szCs w:val="22"/>
                <w:highlight w:val="none"/>
              </w:rPr>
              <w:t>）废水处理构筑物和输送管线渗漏。</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4、地下水环境污染的防范措施</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鉴于土壤、地下水环境污染的可能途径，本项目针对污染物产生和排放特点，采取了严格控制措施，建议如下：</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（1）废水管道收集，管道置于管道沟内，管道沟、危废库及危废暫存等区域地面，必须按规范要求进行防渗+防腐处理，严防污染环境；</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2）新建危废暂存库应按《危险废物贮存污染控制标准》（GB18597-2001）要求建设，按《常用化学危险品贮存通则》（GB15603-1995）进行危险化学品储运安全防范。固体废物在厂内暂时存放期间，如属有毒有害物质，应用桶或罐包装后存放，存放场地采取严格的防渗防流失措施，以免对土壤和地下水造成污染：</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（3）废水收集管道采用无缝管，管道外层涂上防腐材料然后再用聚合材料封包。在管道铺设完成后要进行高压防漏试验，在原料输送过程中要进行定期检查，以确保输送的安全性。</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（4）在污水处理设施和储存化学品的所有区域铺设不渗漏的地基（混凝土加防腐防渗措施），以确保物料的冒溢能被有效回收，从而防止对环境污染。</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（5）分区</w:t>
            </w:r>
            <w:r>
              <w:rPr>
                <w:rFonts w:hint="eastAsia" w:ascii="Times New Roman" w:hAnsi="Times New Roman"/>
                <w:b w:val="0"/>
                <w:bCs w:val="0"/>
                <w:color w:val="000000"/>
                <w:sz w:val="24"/>
                <w:szCs w:val="22"/>
                <w:highlight w:val="none"/>
                <w:lang w:val="en-US" w:eastAsia="zh-CN"/>
              </w:rPr>
              <w:t>防治措</w:t>
            </w:r>
            <w:r>
              <w:rPr>
                <w:rFonts w:hint="eastAsia" w:ascii="Times New Roman" w:hAnsi="Times New Roman"/>
                <w:b w:val="0"/>
                <w:bCs w:val="0"/>
                <w:color w:val="000000"/>
                <w:sz w:val="24"/>
                <w:szCs w:val="22"/>
                <w:highlight w:val="none"/>
              </w:rPr>
              <w:t>施</w:t>
            </w:r>
          </w:p>
          <w:p>
            <w:pPr>
              <w:autoSpaceDE w:val="0"/>
              <w:autoSpaceDN w:val="0"/>
              <w:adjustRightInd w:val="0"/>
              <w:spacing w:line="360" w:lineRule="auto"/>
              <w:ind w:firstLine="480" w:firstLineChars="200"/>
              <w:rPr>
                <w:rFonts w:hint="eastAsia" w:ascii="Times New Roman" w:hAnsi="Times New Roman" w:eastAsia="宋体"/>
                <w:b w:val="0"/>
                <w:bCs w:val="0"/>
                <w:color w:val="000000"/>
                <w:sz w:val="24"/>
                <w:szCs w:val="22"/>
                <w:highlight w:val="none"/>
                <w:lang w:eastAsia="zh-CN"/>
              </w:rPr>
            </w:pPr>
            <w:r>
              <w:rPr>
                <w:rFonts w:hint="eastAsia" w:ascii="Times New Roman" w:hAnsi="Times New Roman"/>
                <w:b w:val="0"/>
                <w:bCs w:val="0"/>
                <w:color w:val="000000"/>
                <w:sz w:val="24"/>
                <w:szCs w:val="22"/>
                <w:highlight w:val="none"/>
              </w:rPr>
              <w:t>根据地下水分区管控要求将项目场地区分为重点防渗区、一般防渗区。为防止场区污水对地下水造成污染，在工程设计中，将分区对场区内防渗漏设施进行建设。主要考虑重点污染防治区和一般污染防治区，分别采取不同等级防渗方案</w:t>
            </w:r>
            <w:r>
              <w:rPr>
                <w:rFonts w:hint="eastAsia" w:ascii="Times New Roman" w:hAnsi="Times New Roman"/>
                <w:b w:val="0"/>
                <w:bCs w:val="0"/>
                <w:color w:val="000000"/>
                <w:sz w:val="24"/>
                <w:szCs w:val="22"/>
                <w:highlight w:val="none"/>
                <w:lang w:eastAsia="zh-CN"/>
              </w:rPr>
              <w:t>。</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重点防渗区：</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本项目重点防渗区包括土壤处置区、污水处理站、污水输送管道、危险废物暂存间等，采用刚性防渗结构：水泥基渗透结晶型抗渗混凝土（厚度大于250mm.混凝土强度等级不宜小于C30、抗渗等级不小于P8）+水泥基渗透结晶型防渗涂层结构型式（厚度不小于1.0mm），渗透系数不大于1.0x107cm/s：污水管道宜选用HDPE管。</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一般防渗区：</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本项目一般防渗区主要包括化粪池、厂内道路、开挖区、土方临时堆放区等。</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根据污染区的特性、水文地质条件及施工的可操作性，一般污染防治区采取的防渗方案如下：水泥基渗透结晶型抗渗混凝土（厚度不小于150mm、混凝土强度等级不宜小于C30、混凝土抗渗等级不小于P6），并在其周围设置防渗的排水沟。</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5、地下水环境影响分析</w:t>
            </w:r>
          </w:p>
          <w:p>
            <w:pPr>
              <w:autoSpaceDE w:val="0"/>
              <w:autoSpaceDN w:val="0"/>
              <w:adjustRightInd w:val="0"/>
              <w:spacing w:line="360" w:lineRule="auto"/>
              <w:ind w:firstLine="480" w:firstLineChars="200"/>
              <w:rPr>
                <w:rFonts w:hint="eastAsia" w:ascii="Times New Roman" w:hAnsi="Times New Roman"/>
                <w:b w:val="0"/>
                <w:bCs w:val="0"/>
                <w:color w:val="000000"/>
                <w:sz w:val="24"/>
                <w:szCs w:val="22"/>
                <w:highlight w:val="none"/>
              </w:rPr>
            </w:pPr>
            <w:r>
              <w:rPr>
                <w:rFonts w:hint="eastAsia" w:ascii="Times New Roman" w:hAnsi="Times New Roman"/>
                <w:b w:val="0"/>
                <w:bCs w:val="0"/>
                <w:color w:val="000000"/>
                <w:sz w:val="24"/>
                <w:szCs w:val="22"/>
                <w:highlight w:val="none"/>
              </w:rPr>
              <w:t>（1）预测参数选定</w:t>
            </w:r>
          </w:p>
          <w:p>
            <w:pPr>
              <w:autoSpaceDE w:val="0"/>
              <w:autoSpaceDN w:val="0"/>
              <w:adjustRightInd w:val="0"/>
              <w:spacing w:line="360" w:lineRule="auto"/>
              <w:ind w:firstLine="480" w:firstLineChars="200"/>
              <w:rPr>
                <w:rFonts w:hint="eastAsia" w:ascii="Times New Roman" w:hAnsi="Times New Roman" w:eastAsia="宋体"/>
                <w:b w:val="0"/>
                <w:bCs w:val="0"/>
                <w:color w:val="000000"/>
                <w:sz w:val="24"/>
                <w:szCs w:val="22"/>
                <w:highlight w:val="none"/>
                <w:lang w:eastAsia="zh-CN"/>
              </w:rPr>
            </w:pPr>
            <w:r>
              <w:rPr>
                <w:rFonts w:hint="eastAsia" w:ascii="Times New Roman" w:hAnsi="Times New Roman"/>
                <w:b w:val="0"/>
                <w:bCs w:val="0"/>
                <w:color w:val="000000"/>
                <w:sz w:val="24"/>
                <w:szCs w:val="22"/>
                <w:highlight w:val="none"/>
              </w:rPr>
              <w:t>本环评要求企业在土壤修复过程中对废水管网及构筑物均做防渗处理，正常情况下不会对地下水产生影响，故根据导则，本次报告重点分析事故排放对地下水的影响。经分析，最大可能发生对地下水影响的事故为污水处理站构筑物渗漏。假设事故排放短时泄漏，持续泄露时间按7d</w:t>
            </w:r>
            <w:r>
              <w:rPr>
                <w:rFonts w:hint="eastAsia" w:ascii="Times New Roman" w:hAnsi="Times New Roman"/>
                <w:b w:val="0"/>
                <w:bCs w:val="0"/>
                <w:color w:val="000000"/>
                <w:sz w:val="24"/>
                <w:szCs w:val="22"/>
                <w:highlight w:val="none"/>
                <w:lang w:val="en-US" w:eastAsia="zh-CN"/>
              </w:rPr>
              <w:t>计，</w:t>
            </w:r>
            <w:r>
              <w:rPr>
                <w:rFonts w:hint="eastAsia" w:ascii="Times New Roman" w:hAnsi="Times New Roman"/>
                <w:b w:val="0"/>
                <w:bCs w:val="0"/>
                <w:color w:val="000000"/>
                <w:sz w:val="24"/>
                <w:szCs w:val="22"/>
                <w:highlight w:val="none"/>
              </w:rPr>
              <w:t>根据查阅当地地下水资料和现场调查，本项目厂区及周边土壤以中壤为主，厚度约0.6-1.0m，土壤下为岩石层，渗透系数较小，具体预测参数如下</w:t>
            </w:r>
            <w:r>
              <w:rPr>
                <w:rFonts w:hint="eastAsia" w:ascii="Times New Roman" w:hAnsi="Times New Roman"/>
                <w:b w:val="0"/>
                <w:bCs w:val="0"/>
                <w:color w:val="000000"/>
                <w:sz w:val="24"/>
                <w:szCs w:val="22"/>
                <w:highlight w:val="none"/>
                <w:lang w:eastAsia="zh-CN"/>
              </w:rPr>
              <w:t>。</w:t>
            </w:r>
          </w:p>
          <w:p>
            <w:pPr>
              <w:spacing w:line="360" w:lineRule="auto"/>
              <w:jc w:val="center"/>
              <w:rPr>
                <w:rFonts w:ascii="Times New Roman" w:hAnsi="Times New Roman"/>
                <w:b/>
                <w:color w:val="000000"/>
                <w:sz w:val="24"/>
                <w:szCs w:val="24"/>
                <w:highlight w:val="none"/>
              </w:rPr>
            </w:pPr>
            <w:r>
              <w:rPr>
                <w:rFonts w:ascii="Times New Roman" w:hAnsi="Times New Roman"/>
                <w:b/>
                <w:color w:val="000000"/>
                <w:sz w:val="24"/>
                <w:szCs w:val="24"/>
                <w:highlight w:val="none"/>
              </w:rPr>
              <w:t>表7-</w:t>
            </w:r>
            <w:r>
              <w:rPr>
                <w:rFonts w:hint="eastAsia" w:ascii="Times New Roman" w:hAnsi="Times New Roman"/>
                <w:b/>
                <w:color w:val="000000"/>
                <w:sz w:val="24"/>
                <w:szCs w:val="24"/>
                <w:highlight w:val="none"/>
                <w:lang w:val="en-US" w:eastAsia="zh-CN"/>
              </w:rPr>
              <w:t>17</w:t>
            </w:r>
            <w:r>
              <w:rPr>
                <w:rFonts w:ascii="Times New Roman" w:hAnsi="Times New Roman"/>
                <w:b/>
                <w:color w:val="000000"/>
                <w:sz w:val="24"/>
                <w:szCs w:val="24"/>
                <w:highlight w:val="none"/>
              </w:rPr>
              <w:t xml:space="preserve">  </w:t>
            </w:r>
            <w:r>
              <w:rPr>
                <w:rFonts w:hint="eastAsia" w:ascii="Times New Roman" w:hAnsi="Times New Roman"/>
                <w:b/>
                <w:color w:val="000000"/>
                <w:sz w:val="24"/>
                <w:szCs w:val="24"/>
                <w:highlight w:val="none"/>
              </w:rPr>
              <w:t>地下水预测参数</w:t>
            </w:r>
          </w:p>
          <w:tbl>
            <w:tblPr>
              <w:tblStyle w:val="27"/>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1591"/>
              <w:gridCol w:w="1396"/>
              <w:gridCol w:w="1299"/>
              <w:gridCol w:w="1219"/>
              <w:gridCol w:w="1163"/>
              <w:gridCol w:w="1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59" w:type="dxa"/>
                  <w:vMerge w:val="restart"/>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参数</w:t>
                  </w:r>
                </w:p>
              </w:tc>
              <w:tc>
                <w:tcPr>
                  <w:tcW w:w="2987" w:type="dxa"/>
                  <w:gridSpan w:val="2"/>
                  <w:noWrap w:val="0"/>
                  <w:vAlign w:val="center"/>
                </w:tcPr>
                <w:p>
                  <w:pPr>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C（mg/L）</w:t>
                  </w:r>
                </w:p>
              </w:tc>
              <w:tc>
                <w:tcPr>
                  <w:tcW w:w="1299" w:type="dxa"/>
                  <w:vMerge w:val="restart"/>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W（m</w:t>
                  </w:r>
                  <w:r>
                    <w:rPr>
                      <w:rFonts w:hint="eastAsia" w:ascii="Times New Roman" w:hAnsi="Times New Roman"/>
                      <w:color w:val="000000"/>
                      <w:szCs w:val="21"/>
                      <w:highlight w:val="none"/>
                      <w:vertAlign w:val="superscript"/>
                      <w:lang w:val="en-US" w:eastAsia="zh-CN"/>
                    </w:rPr>
                    <w:t>2</w:t>
                  </w:r>
                  <w:r>
                    <w:rPr>
                      <w:rFonts w:hint="eastAsia" w:ascii="Times New Roman" w:hAnsi="Times New Roman"/>
                      <w:color w:val="000000"/>
                      <w:szCs w:val="21"/>
                      <w:highlight w:val="none"/>
                      <w:lang w:val="en-US" w:eastAsia="zh-CN"/>
                    </w:rPr>
                    <w:t>）</w:t>
                  </w:r>
                </w:p>
              </w:tc>
              <w:tc>
                <w:tcPr>
                  <w:tcW w:w="1219" w:type="dxa"/>
                  <w:vMerge w:val="restart"/>
                  <w:noWrap w:val="0"/>
                  <w:vAlign w:val="center"/>
                </w:tcPr>
                <w:p>
                  <w:pPr>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U（m/d）</w:t>
                  </w:r>
                </w:p>
              </w:tc>
              <w:tc>
                <w:tcPr>
                  <w:tcW w:w="1163" w:type="dxa"/>
                  <w:vMerge w:val="restart"/>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ne</w:t>
                  </w:r>
                </w:p>
              </w:tc>
              <w:tc>
                <w:tcPr>
                  <w:tcW w:w="1317" w:type="dxa"/>
                  <w:vMerge w:val="restart"/>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DL（m</w:t>
                  </w:r>
                  <w:r>
                    <w:rPr>
                      <w:rFonts w:hint="eastAsia" w:ascii="Times New Roman" w:hAnsi="Times New Roman"/>
                      <w:color w:val="000000"/>
                      <w:szCs w:val="21"/>
                      <w:highlight w:val="none"/>
                      <w:vertAlign w:val="superscript"/>
                      <w:lang w:val="en-US" w:eastAsia="zh-CN"/>
                    </w:rPr>
                    <w:t>2</w:t>
                  </w:r>
                  <w:r>
                    <w:rPr>
                      <w:rFonts w:hint="eastAsia" w:ascii="Times New Roman" w:hAnsi="Times New Roman"/>
                      <w:color w:val="000000"/>
                      <w:szCs w:val="21"/>
                      <w:highlight w:val="none"/>
                      <w:lang w:val="en-US" w:eastAsia="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59" w:type="dxa"/>
                  <w:vMerge w:val="continue"/>
                  <w:noWrap w:val="0"/>
                  <w:vAlign w:val="center"/>
                </w:tcPr>
                <w:p>
                  <w:pPr>
                    <w:spacing w:line="240" w:lineRule="atLeast"/>
                    <w:jc w:val="center"/>
                    <w:rPr>
                      <w:rFonts w:hint="eastAsia" w:ascii="Times New Roman" w:hAnsi="Times New Roman"/>
                      <w:color w:val="000000"/>
                      <w:szCs w:val="21"/>
                      <w:highlight w:val="none"/>
                      <w:lang w:val="en-US" w:eastAsia="zh-CN"/>
                    </w:rPr>
                  </w:pPr>
                </w:p>
              </w:tc>
              <w:tc>
                <w:tcPr>
                  <w:tcW w:w="1591"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六价铬</w:t>
                  </w:r>
                </w:p>
              </w:tc>
              <w:tc>
                <w:tcPr>
                  <w:tcW w:w="1396"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总石油烃</w:t>
                  </w:r>
                </w:p>
              </w:tc>
              <w:tc>
                <w:tcPr>
                  <w:tcW w:w="1299" w:type="dxa"/>
                  <w:vMerge w:val="continue"/>
                  <w:noWrap w:val="0"/>
                  <w:vAlign w:val="center"/>
                </w:tcPr>
                <w:p>
                  <w:pPr>
                    <w:jc w:val="center"/>
                    <w:rPr>
                      <w:rFonts w:ascii="Times New Roman" w:hAnsi="Times New Roman"/>
                      <w:color w:val="000000"/>
                      <w:szCs w:val="21"/>
                      <w:highlight w:val="none"/>
                    </w:rPr>
                  </w:pPr>
                </w:p>
              </w:tc>
              <w:tc>
                <w:tcPr>
                  <w:tcW w:w="1219" w:type="dxa"/>
                  <w:vMerge w:val="continue"/>
                  <w:noWrap w:val="0"/>
                  <w:vAlign w:val="center"/>
                </w:tcPr>
                <w:p>
                  <w:pPr>
                    <w:jc w:val="center"/>
                    <w:rPr>
                      <w:rFonts w:ascii="Times New Roman" w:hAnsi="Times New Roman"/>
                      <w:color w:val="000000"/>
                      <w:szCs w:val="21"/>
                      <w:highlight w:val="none"/>
                    </w:rPr>
                  </w:pPr>
                </w:p>
              </w:tc>
              <w:tc>
                <w:tcPr>
                  <w:tcW w:w="1163" w:type="dxa"/>
                  <w:vMerge w:val="continue"/>
                  <w:noWrap w:val="0"/>
                  <w:vAlign w:val="center"/>
                </w:tcPr>
                <w:p>
                  <w:pPr>
                    <w:jc w:val="center"/>
                    <w:rPr>
                      <w:rFonts w:ascii="Times New Roman" w:hAnsi="Times New Roman"/>
                      <w:color w:val="000000"/>
                      <w:szCs w:val="21"/>
                      <w:highlight w:val="none"/>
                    </w:rPr>
                  </w:pPr>
                </w:p>
              </w:tc>
              <w:tc>
                <w:tcPr>
                  <w:tcW w:w="1317" w:type="dxa"/>
                  <w:vMerge w:val="continue"/>
                  <w:noWrap w:val="0"/>
                  <w:vAlign w:val="center"/>
                </w:tcPr>
                <w:p>
                  <w:pPr>
                    <w:jc w:val="center"/>
                    <w:rPr>
                      <w:rFonts w:ascii="Times New Roman" w:hAnsi="Times New Roman"/>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59" w:type="dxa"/>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数值</w:t>
                  </w:r>
                </w:p>
              </w:tc>
              <w:tc>
                <w:tcPr>
                  <w:tcW w:w="1591"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1.31</w:t>
                  </w:r>
                </w:p>
              </w:tc>
              <w:tc>
                <w:tcPr>
                  <w:tcW w:w="1396"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0.601</w:t>
                  </w:r>
                </w:p>
              </w:tc>
              <w:tc>
                <w:tcPr>
                  <w:tcW w:w="1299"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0.01</w:t>
                  </w:r>
                </w:p>
              </w:tc>
              <w:tc>
                <w:tcPr>
                  <w:tcW w:w="1219"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0.5</w:t>
                  </w:r>
                </w:p>
              </w:tc>
              <w:tc>
                <w:tcPr>
                  <w:tcW w:w="1163"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0.3</w:t>
                  </w:r>
                </w:p>
              </w:tc>
              <w:tc>
                <w:tcPr>
                  <w:tcW w:w="1317" w:type="dxa"/>
                  <w:noWrap w:val="0"/>
                  <w:vAlign w:val="center"/>
                </w:tcPr>
                <w:p>
                  <w:pPr>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2</w:t>
                  </w:r>
                </w:p>
              </w:tc>
            </w:tr>
          </w:tbl>
          <w:p>
            <w:pPr>
              <w:autoSpaceDE w:val="0"/>
              <w:autoSpaceDN w:val="0"/>
              <w:adjustRightInd w:val="0"/>
              <w:spacing w:line="360" w:lineRule="auto"/>
              <w:ind w:firstLine="480" w:firstLineChars="200"/>
              <w:rPr>
                <w:rFonts w:hint="eastAsia" w:ascii="Times New Roman" w:hAnsi="Times New Roman" w:eastAsia="宋体" w:cs="Times New Roman"/>
                <w:b w:val="0"/>
                <w:bCs w:val="0"/>
                <w:color w:val="000000"/>
                <w:sz w:val="24"/>
                <w:szCs w:val="22"/>
                <w:highlight w:val="none"/>
              </w:rPr>
            </w:pPr>
          </w:p>
          <w:p>
            <w:pPr>
              <w:autoSpaceDE w:val="0"/>
              <w:autoSpaceDN w:val="0"/>
              <w:adjustRightInd w:val="0"/>
              <w:spacing w:line="360" w:lineRule="auto"/>
              <w:ind w:firstLine="480" w:firstLineChars="200"/>
              <w:rPr>
                <w:rFonts w:hint="eastAsia" w:ascii="Times New Roman" w:hAnsi="Times New Roman" w:eastAsia="宋体" w:cs="Times New Roman"/>
                <w:b w:val="0"/>
                <w:bCs w:val="0"/>
                <w:color w:val="000000"/>
                <w:sz w:val="24"/>
                <w:szCs w:val="22"/>
                <w:highlight w:val="none"/>
              </w:rPr>
            </w:pPr>
            <w:r>
              <w:rPr>
                <w:rFonts w:hint="eastAsia" w:ascii="Times New Roman" w:hAnsi="Times New Roman" w:eastAsia="宋体" w:cs="Times New Roman"/>
                <w:b w:val="0"/>
                <w:bCs w:val="0"/>
                <w:color w:val="000000"/>
                <w:sz w:val="24"/>
                <w:szCs w:val="22"/>
                <w:highlight w:val="none"/>
              </w:rPr>
              <w:t>（2）预测结果</w:t>
            </w:r>
          </w:p>
          <w:p>
            <w:pPr>
              <w:autoSpaceDE w:val="0"/>
              <w:autoSpaceDN w:val="0"/>
              <w:adjustRightInd w:val="0"/>
              <w:spacing w:line="360" w:lineRule="auto"/>
              <w:ind w:firstLine="480" w:firstLineChars="200"/>
              <w:rPr>
                <w:rFonts w:hint="eastAsia" w:ascii="Times New Roman" w:hAnsi="Times New Roman" w:eastAsia="宋体" w:cs="Times New Roman"/>
                <w:b w:val="0"/>
                <w:bCs w:val="0"/>
                <w:color w:val="000000"/>
                <w:sz w:val="24"/>
                <w:szCs w:val="22"/>
                <w:highlight w:val="none"/>
                <w:lang w:eastAsia="zh-CN"/>
              </w:rPr>
            </w:pPr>
            <w:r>
              <w:rPr>
                <w:rFonts w:hint="eastAsia" w:ascii="Times New Roman" w:hAnsi="Times New Roman" w:eastAsia="宋体" w:cs="Times New Roman"/>
                <w:b w:val="0"/>
                <w:bCs w:val="0"/>
                <w:color w:val="000000"/>
                <w:sz w:val="24"/>
                <w:szCs w:val="22"/>
                <w:highlight w:val="none"/>
              </w:rPr>
              <w:t>按照短时泄露一维模式进行预测，预测结果见</w:t>
            </w:r>
            <w:r>
              <w:rPr>
                <w:rFonts w:hint="eastAsia" w:ascii="Times New Roman" w:hAnsi="Times New Roman" w:eastAsia="宋体" w:cs="Times New Roman"/>
                <w:b w:val="0"/>
                <w:bCs w:val="0"/>
                <w:color w:val="000000"/>
                <w:sz w:val="24"/>
                <w:szCs w:val="22"/>
                <w:highlight w:val="none"/>
                <w:lang w:val="en-US" w:eastAsia="zh-CN"/>
              </w:rPr>
              <w:t>下</w:t>
            </w:r>
            <w:r>
              <w:rPr>
                <w:rFonts w:hint="eastAsia" w:ascii="Times New Roman" w:hAnsi="Times New Roman" w:eastAsia="宋体" w:cs="Times New Roman"/>
                <w:b w:val="0"/>
                <w:bCs w:val="0"/>
                <w:color w:val="000000"/>
                <w:sz w:val="24"/>
                <w:szCs w:val="22"/>
                <w:highlight w:val="none"/>
              </w:rPr>
              <w:t>表</w:t>
            </w:r>
            <w:r>
              <w:rPr>
                <w:rFonts w:hint="eastAsia" w:ascii="Times New Roman" w:hAnsi="Times New Roman" w:eastAsia="宋体" w:cs="Times New Roman"/>
                <w:b w:val="0"/>
                <w:bCs w:val="0"/>
                <w:color w:val="000000"/>
                <w:sz w:val="24"/>
                <w:szCs w:val="22"/>
                <w:highlight w:val="none"/>
                <w:lang w:eastAsia="zh-CN"/>
              </w:rPr>
              <w:t>。</w:t>
            </w:r>
          </w:p>
          <w:p>
            <w:pPr>
              <w:spacing w:line="360" w:lineRule="auto"/>
              <w:jc w:val="center"/>
              <w:rPr>
                <w:rFonts w:ascii="Times New Roman" w:hAnsi="Times New Roman"/>
                <w:b/>
                <w:color w:val="000000"/>
                <w:sz w:val="24"/>
                <w:szCs w:val="24"/>
                <w:highlight w:val="none"/>
              </w:rPr>
            </w:pPr>
          </w:p>
          <w:p>
            <w:pPr>
              <w:spacing w:line="360" w:lineRule="auto"/>
              <w:jc w:val="center"/>
              <w:rPr>
                <w:rFonts w:ascii="Times New Roman" w:hAnsi="Times New Roman"/>
                <w:b/>
                <w:color w:val="000000"/>
                <w:sz w:val="24"/>
                <w:szCs w:val="24"/>
                <w:highlight w:val="none"/>
              </w:rPr>
            </w:pPr>
          </w:p>
          <w:p>
            <w:pPr>
              <w:spacing w:line="360" w:lineRule="auto"/>
              <w:jc w:val="center"/>
              <w:rPr>
                <w:rFonts w:ascii="Times New Roman" w:hAnsi="Times New Roman"/>
                <w:b/>
                <w:color w:val="000000"/>
                <w:sz w:val="24"/>
                <w:szCs w:val="24"/>
                <w:highlight w:val="none"/>
              </w:rPr>
            </w:pPr>
          </w:p>
          <w:p>
            <w:pPr>
              <w:spacing w:line="360" w:lineRule="auto"/>
              <w:jc w:val="center"/>
              <w:rPr>
                <w:rFonts w:ascii="Times New Roman" w:hAnsi="Times New Roman"/>
                <w:b/>
                <w:color w:val="000000"/>
                <w:sz w:val="24"/>
                <w:szCs w:val="24"/>
                <w:highlight w:val="none"/>
              </w:rPr>
            </w:pPr>
          </w:p>
          <w:p>
            <w:pPr>
              <w:spacing w:line="360" w:lineRule="auto"/>
              <w:jc w:val="center"/>
              <w:rPr>
                <w:rFonts w:ascii="Times New Roman" w:hAnsi="Times New Roman"/>
                <w:b/>
                <w:color w:val="000000"/>
                <w:sz w:val="24"/>
                <w:szCs w:val="24"/>
                <w:highlight w:val="none"/>
              </w:rPr>
            </w:pPr>
          </w:p>
          <w:p>
            <w:pPr>
              <w:spacing w:line="360" w:lineRule="auto"/>
              <w:jc w:val="center"/>
              <w:rPr>
                <w:rFonts w:ascii="Times New Roman" w:hAnsi="Times New Roman"/>
                <w:b/>
                <w:color w:val="000000"/>
                <w:sz w:val="24"/>
                <w:szCs w:val="24"/>
                <w:highlight w:val="none"/>
              </w:rPr>
            </w:pPr>
            <w:r>
              <w:rPr>
                <w:sz w:val="24"/>
              </w:rPr>
              <mc:AlternateContent>
                <mc:Choice Requires="wps">
                  <w:drawing>
                    <wp:anchor distT="0" distB="0" distL="114300" distR="114300" simplePos="0" relativeHeight="251665408" behindDoc="0" locked="0" layoutInCell="1" allowOverlap="1">
                      <wp:simplePos x="0" y="0"/>
                      <wp:positionH relativeFrom="column">
                        <wp:posOffset>913130</wp:posOffset>
                      </wp:positionH>
                      <wp:positionV relativeFrom="paragraph">
                        <wp:posOffset>291465</wp:posOffset>
                      </wp:positionV>
                      <wp:extent cx="1333500" cy="405130"/>
                      <wp:effectExtent l="0" t="0" r="0" b="0"/>
                      <wp:wrapNone/>
                      <wp:docPr id="41" name="文本框 41"/>
                      <wp:cNvGraphicFramePr/>
                      <a:graphic xmlns:a="http://schemas.openxmlformats.org/drawingml/2006/main">
                        <a:graphicData uri="http://schemas.microsoft.com/office/word/2010/wordprocessingShape">
                          <wps:wsp>
                            <wps:cNvSpPr txBox="1"/>
                            <wps:spPr>
                              <a:xfrm>
                                <a:off x="3810635" y="3033395"/>
                                <a:ext cx="1333500" cy="4051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污染因子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9pt;margin-top:22.95pt;height:31.9pt;width:105pt;z-index:251665408;mso-width-relative:page;mso-height-relative:page;" filled="f" stroked="f" coordsize="21600,21600" o:gfxdata="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AKnmk2gAAAAoBAAAPAAAAAAAAAAEAIAAAACIAAABkcnMvZG93bnJldi54bWxQSwEC&#10;FAAUAAAACACHTuJAUu9sXCsCAAAmBAAADgAAAAAAAAABACAAAAApAQAAZHJzL2Uyb0RvYy54bWxQ&#10;SwUGAAAAAAYABgBZAQAAxgUAAAAA&#10;">
                      <v:fill on="f" focussize="0,0"/>
                      <v:stroke on="f" weight="0.5pt"/>
                      <v:imagedata o:title=""/>
                      <o:lock v:ext="edit" aspectratio="f"/>
                      <v:textbox>
                        <w:txbxContent>
                          <w:p>
                            <w:pPr>
                              <w:rPr>
                                <w:rFonts w:hint="default" w:eastAsia="宋体"/>
                                <w:lang w:val="en-US" w:eastAsia="zh-CN"/>
                              </w:rPr>
                            </w:pPr>
                            <w:r>
                              <w:rPr>
                                <w:rFonts w:hint="eastAsia"/>
                                <w:lang w:val="en-US" w:eastAsia="zh-CN"/>
                              </w:rPr>
                              <w:t>污染因子</w:t>
                            </w:r>
                          </w:p>
                        </w:txbxContent>
                      </v:textbox>
                    </v:shape>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92075</wp:posOffset>
                      </wp:positionH>
                      <wp:positionV relativeFrom="paragraph">
                        <wp:posOffset>288925</wp:posOffset>
                      </wp:positionV>
                      <wp:extent cx="1583055" cy="452755"/>
                      <wp:effectExtent l="1270" t="4445" r="15875" b="19050"/>
                      <wp:wrapNone/>
                      <wp:docPr id="40" name="直接连接符 40"/>
                      <wp:cNvGraphicFramePr/>
                      <a:graphic xmlns:a="http://schemas.openxmlformats.org/drawingml/2006/main">
                        <a:graphicData uri="http://schemas.microsoft.com/office/word/2010/wordprocessingShape">
                          <wps:wsp>
                            <wps:cNvCnPr/>
                            <wps:spPr>
                              <a:xfrm>
                                <a:off x="989330" y="8232140"/>
                                <a:ext cx="1583055" cy="4527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7.25pt;margin-top:22.75pt;height:35.65pt;width:124.65pt;z-index:251664384;mso-width-relative:page;mso-height-relative:page;" filled="f" stroked="t" coordsize="21600,21600" o:gfxdata="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gkXrXAAAA&#10;CQEAAA8AAAAAAAAAAQAgAAAAIgAAAGRycy9kb3ducmV2LnhtbFBLAQIUABQAAAAIAIdO4kDJ52u1&#10;5QEAAJcDAAAOAAAAAAAAAAEAIAAAACYBAABkcnMvZTJvRG9jLnhtbFBLBQYAAAAABgAGAFkBAAB9&#10;BQAAAAA=&#10;">
                      <v:fill on="f" focussize="0,0"/>
                      <v:stroke color="#000000 [3200]" joinstyle="round"/>
                      <v:imagedata o:title=""/>
                      <o:lock v:ext="edit" aspectratio="f"/>
                    </v:line>
                  </w:pict>
                </mc:Fallback>
              </mc:AlternateContent>
            </w:r>
            <w:r>
              <w:rPr>
                <w:rFonts w:ascii="Times New Roman" w:hAnsi="Times New Roman"/>
                <w:b/>
                <w:color w:val="000000"/>
                <w:sz w:val="24"/>
                <w:szCs w:val="24"/>
                <w:highlight w:val="none"/>
              </w:rPr>
              <w:t>表7</w:t>
            </w:r>
            <w:r>
              <w:rPr>
                <w:rFonts w:hint="eastAsia" w:ascii="Times New Roman" w:hAnsi="Times New Roman"/>
                <w:b/>
                <w:color w:val="000000"/>
                <w:sz w:val="24"/>
                <w:szCs w:val="24"/>
                <w:highlight w:val="none"/>
                <w:lang w:val="en-US" w:eastAsia="zh-CN"/>
              </w:rPr>
              <w:t>-18</w:t>
            </w:r>
            <w:r>
              <w:rPr>
                <w:rFonts w:ascii="Times New Roman" w:hAnsi="Times New Roman"/>
                <w:b/>
                <w:color w:val="000000"/>
                <w:sz w:val="24"/>
                <w:szCs w:val="24"/>
                <w:highlight w:val="none"/>
              </w:rPr>
              <w:t xml:space="preserve">  </w:t>
            </w:r>
            <w:r>
              <w:rPr>
                <w:rFonts w:hint="eastAsia" w:ascii="Times New Roman" w:hAnsi="Times New Roman"/>
                <w:b/>
                <w:color w:val="000000"/>
                <w:sz w:val="24"/>
                <w:szCs w:val="24"/>
                <w:highlight w:val="none"/>
              </w:rPr>
              <w:t>地下水影响分析（预测时间100d）</w:t>
            </w:r>
            <w:r>
              <w:rPr>
                <w:rFonts w:hint="eastAsia" w:ascii="Times New Roman" w:hAnsi="Times New Roman"/>
                <w:b/>
                <w:color w:val="000000"/>
                <w:sz w:val="24"/>
                <w:szCs w:val="24"/>
                <w:highlight w:val="none"/>
                <w:lang w:val="en-US" w:eastAsia="zh-CN"/>
              </w:rPr>
              <w:t xml:space="preserve">    </w:t>
            </w:r>
            <w:r>
              <w:rPr>
                <w:rFonts w:hint="eastAsia" w:ascii="Times New Roman" w:hAnsi="Times New Roman"/>
                <w:b/>
                <w:color w:val="000000"/>
                <w:sz w:val="24"/>
                <w:szCs w:val="24"/>
                <w:highlight w:val="none"/>
              </w:rPr>
              <w:t>单位：mg/L</w:t>
            </w:r>
          </w:p>
          <w:tbl>
            <w:tblPr>
              <w:tblStyle w:val="27"/>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3132"/>
              <w:gridCol w:w="3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blHeader/>
                <w:jc w:val="center"/>
              </w:trPr>
              <w:tc>
                <w:tcPr>
                  <w:tcW w:w="2520" w:type="dxa"/>
                  <w:noWrap w:val="0"/>
                  <w:vAlign w:val="center"/>
                </w:tcPr>
                <w:p>
                  <w:pPr>
                    <w:spacing w:line="240" w:lineRule="atLeast"/>
                    <w:jc w:val="center"/>
                    <w:rPr>
                      <w:rFonts w:ascii="Times New Roman" w:hAnsi="Times New Roman"/>
                      <w:color w:val="000000"/>
                      <w:szCs w:val="21"/>
                      <w:highlight w:val="none"/>
                    </w:rPr>
                  </w:pPr>
                  <w:r>
                    <w:rPr>
                      <w:sz w:val="24"/>
                    </w:rPr>
                    <mc:AlternateContent>
                      <mc:Choice Requires="wps">
                        <w:drawing>
                          <wp:anchor distT="0" distB="0" distL="114300" distR="114300" simplePos="0" relativeHeight="251673600" behindDoc="0" locked="0" layoutInCell="1" allowOverlap="1">
                            <wp:simplePos x="0" y="0"/>
                            <wp:positionH relativeFrom="column">
                              <wp:posOffset>-40005</wp:posOffset>
                            </wp:positionH>
                            <wp:positionV relativeFrom="paragraph">
                              <wp:posOffset>149225</wp:posOffset>
                            </wp:positionV>
                            <wp:extent cx="1333500" cy="40513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333500" cy="4051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距离（m）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5pt;margin-top:11.75pt;height:31.9pt;width:105pt;z-index:251673600;mso-width-relative:page;mso-height-relative:page;" filled="f" stroked="f" coordsize="21600,21600" o:gfxdata="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NmLcva&#10;AAAACAEAAA8AAAAAAAAAAQAgAAAAIgAAAGRycy9kb3ducmV2LnhtbFBLAQIUABQAAAAIAIdO4kBq&#10;H/82HgIAABoEAAAOAAAAAAAAAAEAIAAAACkBAABkcnMvZTJvRG9jLnhtbFBLBQYAAAAABgAGAFkB&#10;AAC5BQAAAAA=&#10;">
                            <v:fill on="f" focussize="0,0"/>
                            <v:stroke on="f" weight="0.5pt"/>
                            <v:imagedata o:title=""/>
                            <o:lock v:ext="edit" aspectratio="f"/>
                            <v:textbox>
                              <w:txbxContent>
                                <w:p>
                                  <w:pPr>
                                    <w:rPr>
                                      <w:rFonts w:hint="default" w:eastAsia="宋体"/>
                                      <w:lang w:val="en-US" w:eastAsia="zh-CN"/>
                                    </w:rPr>
                                  </w:pPr>
                                  <w:r>
                                    <w:rPr>
                                      <w:rFonts w:hint="eastAsia"/>
                                      <w:lang w:val="en-US" w:eastAsia="zh-CN"/>
                                    </w:rPr>
                                    <w:t>距离（m）</w:t>
                                  </w:r>
                                </w:p>
                              </w:txbxContent>
                            </v:textbox>
                          </v:shape>
                        </w:pict>
                      </mc:Fallback>
                    </mc:AlternateContent>
                  </w:r>
                </w:p>
              </w:tc>
              <w:tc>
                <w:tcPr>
                  <w:tcW w:w="3132" w:type="dxa"/>
                  <w:noWrap w:val="0"/>
                  <w:vAlign w:val="center"/>
                </w:tcPr>
                <w:p>
                  <w:pPr>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六价铬</w:t>
                  </w:r>
                </w:p>
              </w:tc>
              <w:tc>
                <w:tcPr>
                  <w:tcW w:w="319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总石油烃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0</w:t>
                  </w:r>
                </w:p>
              </w:tc>
              <w:tc>
                <w:tcPr>
                  <w:tcW w:w="313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0.00612</w:t>
                  </w:r>
                </w:p>
              </w:tc>
              <w:tc>
                <w:tcPr>
                  <w:tcW w:w="319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0.000102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50</w:t>
                  </w:r>
                </w:p>
              </w:tc>
              <w:tc>
                <w:tcPr>
                  <w:tcW w:w="313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0.0449</w:t>
                  </w:r>
                </w:p>
              </w:tc>
              <w:tc>
                <w:tcPr>
                  <w:tcW w:w="319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0.00355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150</w:t>
                  </w:r>
                </w:p>
              </w:tc>
              <w:tc>
                <w:tcPr>
                  <w:tcW w:w="313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0.00772</w:t>
                  </w:r>
                </w:p>
              </w:tc>
              <w:tc>
                <w:tcPr>
                  <w:tcW w:w="319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0.000226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200</w:t>
                  </w:r>
                </w:p>
              </w:tc>
              <w:tc>
                <w:tcPr>
                  <w:tcW w:w="3132" w:type="dxa"/>
                  <w:noWrap w:val="0"/>
                  <w:vAlign w:val="center"/>
                </w:tcPr>
                <w:p>
                  <w:pPr>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0</w:t>
                  </w:r>
                </w:p>
              </w:tc>
              <w:tc>
                <w:tcPr>
                  <w:tcW w:w="3192" w:type="dxa"/>
                  <w:noWrap w:val="0"/>
                  <w:vAlign w:val="center"/>
                </w:tcPr>
                <w:p>
                  <w:pPr>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250</w:t>
                  </w:r>
                </w:p>
              </w:tc>
              <w:tc>
                <w:tcPr>
                  <w:tcW w:w="3132" w:type="dxa"/>
                  <w:noWrap w:val="0"/>
                  <w:vAlign w:val="center"/>
                </w:tcPr>
                <w:p>
                  <w:pPr>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0</w:t>
                  </w:r>
                </w:p>
              </w:tc>
              <w:tc>
                <w:tcPr>
                  <w:tcW w:w="3192" w:type="dxa"/>
                  <w:noWrap w:val="0"/>
                  <w:vAlign w:val="center"/>
                </w:tcPr>
                <w:p>
                  <w:pPr>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300</w:t>
                  </w:r>
                </w:p>
              </w:tc>
              <w:tc>
                <w:tcPr>
                  <w:tcW w:w="3132" w:type="dxa"/>
                  <w:noWrap w:val="0"/>
                  <w:vAlign w:val="center"/>
                </w:tcPr>
                <w:p>
                  <w:pPr>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0</w:t>
                  </w:r>
                </w:p>
              </w:tc>
              <w:tc>
                <w:tcPr>
                  <w:tcW w:w="3192" w:type="dxa"/>
                  <w:noWrap w:val="0"/>
                  <w:vAlign w:val="center"/>
                </w:tcPr>
                <w:p>
                  <w:pPr>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w:t>
                  </w:r>
                </w:p>
              </w:tc>
              <w:tc>
                <w:tcPr>
                  <w:tcW w:w="3132" w:type="dxa"/>
                  <w:noWrap w:val="0"/>
                  <w:vAlign w:val="center"/>
                </w:tcPr>
                <w:p>
                  <w:pPr>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0</w:t>
                  </w:r>
                </w:p>
              </w:tc>
              <w:tc>
                <w:tcPr>
                  <w:tcW w:w="3192" w:type="dxa"/>
                  <w:noWrap w:val="0"/>
                  <w:vAlign w:val="center"/>
                </w:tcPr>
                <w:p>
                  <w:pPr>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2000</w:t>
                  </w:r>
                </w:p>
              </w:tc>
              <w:tc>
                <w:tcPr>
                  <w:tcW w:w="3132" w:type="dxa"/>
                  <w:noWrap w:val="0"/>
                  <w:vAlign w:val="center"/>
                </w:tcPr>
                <w:p>
                  <w:pPr>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0</w:t>
                  </w:r>
                </w:p>
              </w:tc>
              <w:tc>
                <w:tcPr>
                  <w:tcW w:w="3192" w:type="dxa"/>
                  <w:noWrap w:val="0"/>
                  <w:vAlign w:val="center"/>
                </w:tcPr>
                <w:p>
                  <w:pPr>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w:t>
                  </w:r>
                </w:p>
              </w:tc>
            </w:tr>
          </w:tbl>
          <w:p>
            <w:pPr>
              <w:autoSpaceDE w:val="0"/>
              <w:autoSpaceDN w:val="0"/>
              <w:adjustRightInd w:val="0"/>
              <w:spacing w:line="360" w:lineRule="auto"/>
              <w:ind w:firstLine="482" w:firstLineChars="200"/>
              <w:rPr>
                <w:rFonts w:hint="eastAsia" w:ascii="Times New Roman" w:hAnsi="Times New Roman"/>
                <w:b/>
                <w:bCs/>
                <w:color w:val="000000"/>
                <w:sz w:val="24"/>
                <w:szCs w:val="22"/>
                <w:highlight w:val="none"/>
              </w:rPr>
            </w:pPr>
          </w:p>
          <w:p>
            <w:pPr>
              <w:spacing w:line="360" w:lineRule="auto"/>
              <w:jc w:val="center"/>
              <w:rPr>
                <w:rFonts w:ascii="Times New Roman" w:hAnsi="Times New Roman"/>
                <w:b/>
                <w:color w:val="000000"/>
                <w:sz w:val="24"/>
                <w:szCs w:val="24"/>
                <w:highlight w:val="none"/>
              </w:rPr>
            </w:pPr>
            <w:r>
              <w:rPr>
                <w:sz w:val="24"/>
              </w:rPr>
              <mc:AlternateContent>
                <mc:Choice Requires="wps">
                  <w:drawing>
                    <wp:anchor distT="0" distB="0" distL="114300" distR="114300" simplePos="0" relativeHeight="251681792" behindDoc="0" locked="0" layoutInCell="1" allowOverlap="1">
                      <wp:simplePos x="0" y="0"/>
                      <wp:positionH relativeFrom="column">
                        <wp:posOffset>913130</wp:posOffset>
                      </wp:positionH>
                      <wp:positionV relativeFrom="paragraph">
                        <wp:posOffset>291465</wp:posOffset>
                      </wp:positionV>
                      <wp:extent cx="1333500" cy="405130"/>
                      <wp:effectExtent l="0" t="0" r="0" b="0"/>
                      <wp:wrapNone/>
                      <wp:docPr id="43" name="文本框 43"/>
                      <wp:cNvGraphicFramePr/>
                      <a:graphic xmlns:a="http://schemas.openxmlformats.org/drawingml/2006/main">
                        <a:graphicData uri="http://schemas.microsoft.com/office/word/2010/wordprocessingShape">
                          <wps:wsp>
                            <wps:cNvSpPr txBox="1"/>
                            <wps:spPr>
                              <a:xfrm>
                                <a:off x="3810635" y="3033395"/>
                                <a:ext cx="1333500" cy="4051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污染因子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9pt;margin-top:22.95pt;height:31.9pt;width:105pt;z-index:251681792;mso-width-relative:page;mso-height-relative:page;" filled="f" stroked="f" coordsize="21600,21600" o:gfxdata="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AKnmk2gAAAAoBAAAPAAAAAAAAAAEAIAAAACIAAABkcnMvZG93bnJldi54bWxQSwEC&#10;FAAUAAAACACHTuJAHn+GrisCAAAmBAAADgAAAAAAAAABACAAAAApAQAAZHJzL2Uyb0RvYy54bWxQ&#10;SwUGAAAAAAYABgBZAQAAxgUAAAAA&#10;">
                      <v:fill on="f" focussize="0,0"/>
                      <v:stroke on="f" weight="0.5pt"/>
                      <v:imagedata o:title=""/>
                      <o:lock v:ext="edit" aspectratio="f"/>
                      <v:textbox>
                        <w:txbxContent>
                          <w:p>
                            <w:pPr>
                              <w:rPr>
                                <w:rFonts w:hint="default" w:eastAsia="宋体"/>
                                <w:lang w:val="en-US" w:eastAsia="zh-CN"/>
                              </w:rPr>
                            </w:pPr>
                            <w:r>
                              <w:rPr>
                                <w:rFonts w:hint="eastAsia"/>
                                <w:lang w:val="en-US" w:eastAsia="zh-CN"/>
                              </w:rPr>
                              <w:t>污染因子</w:t>
                            </w:r>
                          </w:p>
                        </w:txbxContent>
                      </v:textbox>
                    </v:shape>
                  </w:pict>
                </mc:Fallback>
              </mc:AlternateContent>
            </w:r>
            <w:r>
              <w:rPr>
                <w:sz w:val="24"/>
              </w:rPr>
              <mc:AlternateContent>
                <mc:Choice Requires="wps">
                  <w:drawing>
                    <wp:anchor distT="0" distB="0" distL="114300" distR="114300" simplePos="0" relativeHeight="251680768" behindDoc="0" locked="0" layoutInCell="1" allowOverlap="1">
                      <wp:simplePos x="0" y="0"/>
                      <wp:positionH relativeFrom="column">
                        <wp:posOffset>92075</wp:posOffset>
                      </wp:positionH>
                      <wp:positionV relativeFrom="paragraph">
                        <wp:posOffset>288925</wp:posOffset>
                      </wp:positionV>
                      <wp:extent cx="1583055" cy="452755"/>
                      <wp:effectExtent l="1270" t="4445" r="15875" b="19050"/>
                      <wp:wrapNone/>
                      <wp:docPr id="44" name="直接连接符 44"/>
                      <wp:cNvGraphicFramePr/>
                      <a:graphic xmlns:a="http://schemas.openxmlformats.org/drawingml/2006/main">
                        <a:graphicData uri="http://schemas.microsoft.com/office/word/2010/wordprocessingShape">
                          <wps:wsp>
                            <wps:cNvCnPr/>
                            <wps:spPr>
                              <a:xfrm>
                                <a:off x="989330" y="8232140"/>
                                <a:ext cx="1583055" cy="4527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7.25pt;margin-top:22.75pt;height:35.65pt;width:124.65pt;z-index:251680768;mso-width-relative:page;mso-height-relative:page;" filled="f" stroked="t" coordsize="21600,21600" o:gfxdata="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f4JF61wAA&#10;AAkBAAAPAAAAAAAAAAEAIAAAACIAAABkcnMvZG93bnJldi54bWxQSwECFAAUAAAACACHTuJAtyq5&#10;++YBAACXAwAADgAAAAAAAAABACAAAAAmAQAAZHJzL2Uyb0RvYy54bWxQSwUGAAAAAAYABgBZAQAA&#10;fgUAAAAA&#10;">
                      <v:fill on="f" focussize="0,0"/>
                      <v:stroke color="#000000 [3200]" joinstyle="round"/>
                      <v:imagedata o:title=""/>
                      <o:lock v:ext="edit" aspectratio="f"/>
                    </v:line>
                  </w:pict>
                </mc:Fallback>
              </mc:AlternateContent>
            </w:r>
            <w:r>
              <w:rPr>
                <w:rFonts w:ascii="Times New Roman" w:hAnsi="Times New Roman"/>
                <w:b/>
                <w:color w:val="000000"/>
                <w:sz w:val="24"/>
                <w:szCs w:val="24"/>
                <w:highlight w:val="none"/>
              </w:rPr>
              <w:t>表7</w:t>
            </w:r>
            <w:r>
              <w:rPr>
                <w:rFonts w:hint="eastAsia" w:ascii="Times New Roman" w:hAnsi="Times New Roman"/>
                <w:b/>
                <w:color w:val="000000"/>
                <w:sz w:val="24"/>
                <w:szCs w:val="24"/>
                <w:highlight w:val="none"/>
                <w:lang w:val="en-US" w:eastAsia="zh-CN"/>
              </w:rPr>
              <w:t>-19</w:t>
            </w:r>
            <w:r>
              <w:rPr>
                <w:rFonts w:ascii="Times New Roman" w:hAnsi="Times New Roman"/>
                <w:b/>
                <w:color w:val="000000"/>
                <w:sz w:val="24"/>
                <w:szCs w:val="24"/>
                <w:highlight w:val="none"/>
              </w:rPr>
              <w:t xml:space="preserve">  </w:t>
            </w:r>
            <w:r>
              <w:rPr>
                <w:rFonts w:hint="eastAsia" w:ascii="Times New Roman" w:hAnsi="Times New Roman"/>
                <w:b/>
                <w:color w:val="000000"/>
                <w:sz w:val="24"/>
                <w:szCs w:val="24"/>
                <w:highlight w:val="none"/>
              </w:rPr>
              <w:t>地下水影响分析（预测时间10</w:t>
            </w:r>
            <w:r>
              <w:rPr>
                <w:rFonts w:hint="eastAsia" w:ascii="Times New Roman" w:hAnsi="Times New Roman"/>
                <w:b/>
                <w:color w:val="000000"/>
                <w:sz w:val="24"/>
                <w:szCs w:val="24"/>
                <w:highlight w:val="none"/>
                <w:lang w:val="en-US" w:eastAsia="zh-CN"/>
              </w:rPr>
              <w:t>0</w:t>
            </w:r>
            <w:r>
              <w:rPr>
                <w:rFonts w:hint="eastAsia" w:ascii="Times New Roman" w:hAnsi="Times New Roman"/>
                <w:b/>
                <w:color w:val="000000"/>
                <w:sz w:val="24"/>
                <w:szCs w:val="24"/>
                <w:highlight w:val="none"/>
              </w:rPr>
              <w:t>0d）</w:t>
            </w:r>
            <w:r>
              <w:rPr>
                <w:rFonts w:hint="eastAsia" w:ascii="Times New Roman" w:hAnsi="Times New Roman"/>
                <w:b/>
                <w:color w:val="000000"/>
                <w:sz w:val="24"/>
                <w:szCs w:val="24"/>
                <w:highlight w:val="none"/>
                <w:lang w:val="en-US" w:eastAsia="zh-CN"/>
              </w:rPr>
              <w:t xml:space="preserve">    </w:t>
            </w:r>
            <w:r>
              <w:rPr>
                <w:rFonts w:hint="eastAsia" w:ascii="Times New Roman" w:hAnsi="Times New Roman"/>
                <w:b/>
                <w:color w:val="000000"/>
                <w:sz w:val="24"/>
                <w:szCs w:val="24"/>
                <w:highlight w:val="none"/>
              </w:rPr>
              <w:t>单位：mg/L</w:t>
            </w:r>
          </w:p>
          <w:tbl>
            <w:tblPr>
              <w:tblStyle w:val="27"/>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3132"/>
              <w:gridCol w:w="3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blHeader/>
                <w:jc w:val="center"/>
              </w:trPr>
              <w:tc>
                <w:tcPr>
                  <w:tcW w:w="2520" w:type="dxa"/>
                  <w:noWrap w:val="0"/>
                  <w:vAlign w:val="center"/>
                </w:tcPr>
                <w:p>
                  <w:pPr>
                    <w:spacing w:line="240" w:lineRule="atLeast"/>
                    <w:jc w:val="center"/>
                    <w:rPr>
                      <w:rFonts w:ascii="Times New Roman" w:hAnsi="Times New Roman"/>
                      <w:color w:val="000000"/>
                      <w:szCs w:val="21"/>
                      <w:highlight w:val="none"/>
                    </w:rPr>
                  </w:pPr>
                  <w:r>
                    <w:rPr>
                      <w:sz w:val="24"/>
                    </w:rPr>
                    <mc:AlternateContent>
                      <mc:Choice Requires="wps">
                        <w:drawing>
                          <wp:anchor distT="0" distB="0" distL="114300" distR="114300" simplePos="0" relativeHeight="251689984" behindDoc="0" locked="0" layoutInCell="1" allowOverlap="1">
                            <wp:simplePos x="0" y="0"/>
                            <wp:positionH relativeFrom="column">
                              <wp:posOffset>-40005</wp:posOffset>
                            </wp:positionH>
                            <wp:positionV relativeFrom="paragraph">
                              <wp:posOffset>149225</wp:posOffset>
                            </wp:positionV>
                            <wp:extent cx="1333500" cy="40513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333500" cy="4051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距离（m）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5pt;margin-top:11.75pt;height:31.9pt;width:105pt;z-index:251689984;mso-width-relative:page;mso-height-relative:page;" filled="f" stroked="f" coordsize="21600,21600" o:gfxdata="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NmLcva&#10;AAAACAEAAA8AAAAAAAAAAQAgAAAAIgAAAGRycy9kb3ducmV2LnhtbFBLAQIUABQAAAAIAIdO4kAD&#10;cb4wHgIAABoEAAAOAAAAAAAAAAEAIAAAACkBAABkcnMvZTJvRG9jLnhtbFBLBQYAAAAABgAGAFkB&#10;AAC5BQAAAAA=&#10;">
                            <v:fill on="f" focussize="0,0"/>
                            <v:stroke on="f" weight="0.5pt"/>
                            <v:imagedata o:title=""/>
                            <o:lock v:ext="edit" aspectratio="f"/>
                            <v:textbox>
                              <w:txbxContent>
                                <w:p>
                                  <w:pPr>
                                    <w:rPr>
                                      <w:rFonts w:hint="default" w:eastAsia="宋体"/>
                                      <w:lang w:val="en-US" w:eastAsia="zh-CN"/>
                                    </w:rPr>
                                  </w:pPr>
                                  <w:r>
                                    <w:rPr>
                                      <w:rFonts w:hint="eastAsia"/>
                                      <w:lang w:val="en-US" w:eastAsia="zh-CN"/>
                                    </w:rPr>
                                    <w:t>距离（m）</w:t>
                                  </w:r>
                                </w:p>
                              </w:txbxContent>
                            </v:textbox>
                          </v:shape>
                        </w:pict>
                      </mc:Fallback>
                    </mc:AlternateContent>
                  </w:r>
                </w:p>
              </w:tc>
              <w:tc>
                <w:tcPr>
                  <w:tcW w:w="3132" w:type="dxa"/>
                  <w:noWrap w:val="0"/>
                  <w:vAlign w:val="center"/>
                </w:tcPr>
                <w:p>
                  <w:pPr>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六价铬</w:t>
                  </w:r>
                </w:p>
              </w:tc>
              <w:tc>
                <w:tcPr>
                  <w:tcW w:w="319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总石油烃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0</w:t>
                  </w:r>
                </w:p>
              </w:tc>
              <w:tc>
                <w:tcPr>
                  <w:tcW w:w="313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w:t>
                  </w:r>
                </w:p>
              </w:tc>
              <w:tc>
                <w:tcPr>
                  <w:tcW w:w="319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50</w:t>
                  </w:r>
                </w:p>
              </w:tc>
              <w:tc>
                <w:tcPr>
                  <w:tcW w:w="313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w:t>
                  </w:r>
                </w:p>
              </w:tc>
              <w:tc>
                <w:tcPr>
                  <w:tcW w:w="319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150</w:t>
                  </w:r>
                </w:p>
              </w:tc>
              <w:tc>
                <w:tcPr>
                  <w:tcW w:w="313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w:t>
                  </w:r>
                </w:p>
              </w:tc>
              <w:tc>
                <w:tcPr>
                  <w:tcW w:w="319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200</w:t>
                  </w:r>
                </w:p>
              </w:tc>
              <w:tc>
                <w:tcPr>
                  <w:tcW w:w="3132" w:type="dxa"/>
                  <w:noWrap w:val="0"/>
                  <w:vAlign w:val="center"/>
                </w:tcPr>
                <w:p>
                  <w:pPr>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0</w:t>
                  </w:r>
                </w:p>
              </w:tc>
              <w:tc>
                <w:tcPr>
                  <w:tcW w:w="3192" w:type="dxa"/>
                  <w:noWrap w:val="0"/>
                  <w:vAlign w:val="center"/>
                </w:tcPr>
                <w:p>
                  <w:pPr>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250</w:t>
                  </w:r>
                </w:p>
              </w:tc>
              <w:tc>
                <w:tcPr>
                  <w:tcW w:w="3132" w:type="dxa"/>
                  <w:noWrap w:val="0"/>
                  <w:vAlign w:val="center"/>
                </w:tcPr>
                <w:p>
                  <w:pPr>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0</w:t>
                  </w:r>
                </w:p>
              </w:tc>
              <w:tc>
                <w:tcPr>
                  <w:tcW w:w="3192" w:type="dxa"/>
                  <w:noWrap w:val="0"/>
                  <w:vAlign w:val="center"/>
                </w:tcPr>
                <w:p>
                  <w:pPr>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300</w:t>
                  </w:r>
                </w:p>
              </w:tc>
              <w:tc>
                <w:tcPr>
                  <w:tcW w:w="3132" w:type="dxa"/>
                  <w:noWrap w:val="0"/>
                  <w:vAlign w:val="center"/>
                </w:tcPr>
                <w:p>
                  <w:pPr>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0</w:t>
                  </w:r>
                </w:p>
              </w:tc>
              <w:tc>
                <w:tcPr>
                  <w:tcW w:w="3192" w:type="dxa"/>
                  <w:noWrap w:val="0"/>
                  <w:vAlign w:val="center"/>
                </w:tcPr>
                <w:p>
                  <w:pPr>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350</w:t>
                  </w:r>
                </w:p>
              </w:tc>
              <w:tc>
                <w:tcPr>
                  <w:tcW w:w="3132" w:type="dxa"/>
                  <w:noWrap w:val="0"/>
                  <w:vAlign w:val="center"/>
                </w:tcPr>
                <w:p>
                  <w:pPr>
                    <w:jc w:val="center"/>
                    <w:rPr>
                      <w:rFonts w:hint="default" w:ascii="Times New Roman" w:hAnsi="Times New Roman"/>
                      <w:color w:val="000000"/>
                      <w:szCs w:val="21"/>
                      <w:highlight w:val="none"/>
                      <w:lang w:val="en-US"/>
                    </w:rPr>
                  </w:pPr>
                  <w:r>
                    <w:rPr>
                      <w:rFonts w:hint="eastAsia" w:ascii="Times New Roman" w:hAnsi="Times New Roman"/>
                      <w:color w:val="000000"/>
                      <w:szCs w:val="21"/>
                      <w:highlight w:val="none"/>
                      <w:lang w:val="en-US" w:eastAsia="zh-CN"/>
                    </w:rPr>
                    <w:t>0.00726</w:t>
                  </w:r>
                </w:p>
              </w:tc>
              <w:tc>
                <w:tcPr>
                  <w:tcW w:w="319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0.000259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400</w:t>
                  </w:r>
                </w:p>
              </w:tc>
              <w:tc>
                <w:tcPr>
                  <w:tcW w:w="3132" w:type="dxa"/>
                  <w:noWrap w:val="0"/>
                  <w:vAlign w:val="center"/>
                </w:tcPr>
                <w:p>
                  <w:pPr>
                    <w:jc w:val="center"/>
                    <w:rPr>
                      <w:rFonts w:hint="default" w:ascii="Times New Roman" w:hAnsi="Times New Roman"/>
                      <w:color w:val="000000"/>
                      <w:szCs w:val="21"/>
                      <w:highlight w:val="none"/>
                      <w:lang w:val="en-US"/>
                    </w:rPr>
                  </w:pPr>
                  <w:r>
                    <w:rPr>
                      <w:rFonts w:hint="eastAsia" w:ascii="Times New Roman" w:hAnsi="Times New Roman"/>
                      <w:color w:val="000000"/>
                      <w:szCs w:val="21"/>
                      <w:highlight w:val="none"/>
                      <w:lang w:val="en-US" w:eastAsia="zh-CN"/>
                    </w:rPr>
                    <w:t>0.00936</w:t>
                  </w:r>
                </w:p>
              </w:tc>
              <w:tc>
                <w:tcPr>
                  <w:tcW w:w="3192"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0.000367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450</w:t>
                  </w:r>
                </w:p>
              </w:tc>
              <w:tc>
                <w:tcPr>
                  <w:tcW w:w="313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0.0258</w:t>
                  </w:r>
                </w:p>
              </w:tc>
              <w:tc>
                <w:tcPr>
                  <w:tcW w:w="319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0.000489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500</w:t>
                  </w:r>
                </w:p>
              </w:tc>
              <w:tc>
                <w:tcPr>
                  <w:tcW w:w="313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0.0411</w:t>
                  </w:r>
                </w:p>
              </w:tc>
              <w:tc>
                <w:tcPr>
                  <w:tcW w:w="319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0.000523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550</w:t>
                  </w:r>
                </w:p>
              </w:tc>
              <w:tc>
                <w:tcPr>
                  <w:tcW w:w="313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0.0565</w:t>
                  </w:r>
                </w:p>
              </w:tc>
              <w:tc>
                <w:tcPr>
                  <w:tcW w:w="319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0.000661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600</w:t>
                  </w:r>
                </w:p>
              </w:tc>
              <w:tc>
                <w:tcPr>
                  <w:tcW w:w="313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0.0299</w:t>
                  </w:r>
                </w:p>
              </w:tc>
              <w:tc>
                <w:tcPr>
                  <w:tcW w:w="319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0.000418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650</w:t>
                  </w:r>
                </w:p>
              </w:tc>
              <w:tc>
                <w:tcPr>
                  <w:tcW w:w="313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0.00882</w:t>
                  </w:r>
                </w:p>
              </w:tc>
              <w:tc>
                <w:tcPr>
                  <w:tcW w:w="319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0.000346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700</w:t>
                  </w:r>
                </w:p>
              </w:tc>
              <w:tc>
                <w:tcPr>
                  <w:tcW w:w="313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0.00713</w:t>
                  </w:r>
                </w:p>
              </w:tc>
              <w:tc>
                <w:tcPr>
                  <w:tcW w:w="319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0.000279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750</w:t>
                  </w:r>
                </w:p>
              </w:tc>
              <w:tc>
                <w:tcPr>
                  <w:tcW w:w="313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w:t>
                  </w:r>
                </w:p>
              </w:tc>
              <w:tc>
                <w:tcPr>
                  <w:tcW w:w="319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w:t>
                  </w:r>
                </w:p>
              </w:tc>
              <w:tc>
                <w:tcPr>
                  <w:tcW w:w="313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w:t>
                  </w:r>
                </w:p>
              </w:tc>
              <w:tc>
                <w:tcPr>
                  <w:tcW w:w="319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520" w:type="dxa"/>
                  <w:noWrap w:val="0"/>
                  <w:vAlign w:val="center"/>
                </w:tcPr>
                <w:p>
                  <w:pPr>
                    <w:spacing w:line="240" w:lineRule="atLeast"/>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2000</w:t>
                  </w:r>
                </w:p>
              </w:tc>
              <w:tc>
                <w:tcPr>
                  <w:tcW w:w="313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w:t>
                  </w:r>
                </w:p>
              </w:tc>
              <w:tc>
                <w:tcPr>
                  <w:tcW w:w="3192"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0</w:t>
                  </w:r>
                </w:p>
              </w:tc>
            </w:tr>
          </w:tbl>
          <w:p>
            <w:pPr>
              <w:autoSpaceDE w:val="0"/>
              <w:autoSpaceDN w:val="0"/>
              <w:adjustRightInd w:val="0"/>
              <w:spacing w:line="360" w:lineRule="auto"/>
              <w:ind w:firstLine="482" w:firstLineChars="200"/>
              <w:rPr>
                <w:rFonts w:hint="eastAsia" w:ascii="Times New Roman" w:hAnsi="Times New Roman"/>
                <w:b/>
                <w:bCs/>
                <w:color w:val="000000"/>
                <w:sz w:val="24"/>
                <w:szCs w:val="22"/>
                <w:highlight w:val="none"/>
              </w:rPr>
            </w:pP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根据预测结果，可得以下结论：在事故排放100d后，对地下水的影响在距离泄漏点约50m处达到最大值：距离事故排放1000d后，对地下水的影响在距离泄漏点约5</w:t>
            </w:r>
            <w:r>
              <w:rPr>
                <w:rFonts w:hint="eastAsia" w:ascii="Times New Roman" w:hAnsi="Times New Roman"/>
                <w:color w:val="000000"/>
                <w:sz w:val="24"/>
                <w:szCs w:val="22"/>
                <w:highlight w:val="none"/>
                <w:lang w:val="en-US" w:eastAsia="zh-CN"/>
              </w:rPr>
              <w:t>5</w:t>
            </w:r>
            <w:r>
              <w:rPr>
                <w:rFonts w:hint="eastAsia" w:ascii="Times New Roman" w:hAnsi="Times New Roman"/>
                <w:color w:val="000000"/>
                <w:sz w:val="24"/>
                <w:szCs w:val="22"/>
                <w:highlight w:val="none"/>
              </w:rPr>
              <w:t>0m处达到最大值。</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综上所述，本项目事故排放对地下水质有一定的影响，为避免事故排放对地下水的影响，在日常管理中需加强设备管道的巡查和维护，及时发现事故隐患，并采取关闭进水阀，开启事故应急池，将废水排入事故应急池，并组织人员进行抢修。本项目在做好装置、构筑物防渗防沉降措施的基础上，其对地下水的污染影响较小。</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同时，本次土壤修复工程的基坑开挖深度未达到地下水层，用水水源为城市自来水，不开采利用地下水，堆场地面采取防渗措施，废水处理达到纳管标准后纳管排放。因此，在规范施工作业、控制好施工范围等情况下，项目对所在地地下水环境的影响较小。</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企业应保护地下水，制定相应的事故防范对策，做好厂区内废水收集工作，在工程设计时应考虑防渗措施要求，做好分区防渗工作，污水各处理单元应按照相应的标准做好防渗防漏措施。同时，做好地下水监测，实行跟踪监测计划，确保地下水稳定达标。</w:t>
            </w:r>
          </w:p>
          <w:p>
            <w:pPr>
              <w:autoSpaceDE w:val="0"/>
              <w:autoSpaceDN w:val="0"/>
              <w:adjustRightInd w:val="0"/>
              <w:spacing w:line="360" w:lineRule="auto"/>
              <w:ind w:firstLine="480" w:firstLineChars="200"/>
              <w:rPr>
                <w:rFonts w:hint="eastAsia" w:ascii="Times New Roman" w:hAnsi="Times New Roman"/>
                <w:color w:val="000000"/>
                <w:sz w:val="24"/>
                <w:szCs w:val="22"/>
                <w:highlight w:val="none"/>
              </w:rPr>
            </w:pPr>
            <w:r>
              <w:rPr>
                <w:rFonts w:hint="eastAsia" w:ascii="Times New Roman" w:hAnsi="Times New Roman"/>
                <w:color w:val="000000"/>
                <w:sz w:val="24"/>
                <w:szCs w:val="22"/>
                <w:highlight w:val="none"/>
              </w:rPr>
              <w:t>因此，只要切实落实好建设项目的事故风险防范措施，同时做好场内的地面硬化防渗，特别是对污水处理设施各生产单元、固废堆场和生产装置区的地面防渗工作，对地下水环境的影响较小。</w:t>
            </w:r>
          </w:p>
          <w:p>
            <w:pPr>
              <w:widowControl/>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lang w:val="en-US" w:eastAsia="zh-CN"/>
              </w:rPr>
              <w:t>六</w:t>
            </w:r>
            <w:r>
              <w:rPr>
                <w:rFonts w:hint="default" w:ascii="Times New Roman" w:hAnsi="Times New Roman" w:cs="Times New Roman"/>
                <w:color w:val="auto"/>
                <w:sz w:val="24"/>
                <w:szCs w:val="22"/>
              </w:rPr>
              <w:t>、土壤环境影响分析</w:t>
            </w:r>
          </w:p>
          <w:p>
            <w:pPr>
              <w:widowControl/>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根据《环境影响评价技术导则土壤环境（试行）》（HJ964-2018）中附录A土壤环境影响评价项目类别可知，本项目为</w:t>
            </w:r>
            <w:r>
              <w:rPr>
                <w:rFonts w:hint="eastAsia" w:ascii="Times New Roman" w:hAnsi="Times New Roman" w:cs="Times New Roman"/>
                <w:color w:val="auto"/>
                <w:sz w:val="24"/>
                <w:szCs w:val="22"/>
                <w:lang w:val="en-US" w:eastAsia="zh-CN"/>
              </w:rPr>
              <w:t>污染场地治理修复项目</w:t>
            </w:r>
            <w:r>
              <w:rPr>
                <w:rFonts w:hint="default" w:ascii="Times New Roman" w:hAnsi="Times New Roman" w:cs="Times New Roman"/>
                <w:color w:val="auto"/>
                <w:sz w:val="24"/>
                <w:szCs w:val="22"/>
              </w:rPr>
              <w:t>，属于附录A中</w:t>
            </w:r>
            <w:r>
              <w:rPr>
                <w:rFonts w:hint="eastAsia" w:ascii="Times New Roman" w:hAnsi="Times New Roman" w:cs="Times New Roman"/>
                <w:color w:val="auto"/>
                <w:sz w:val="24"/>
                <w:szCs w:val="22"/>
                <w:lang w:val="en-US" w:eastAsia="zh-CN"/>
              </w:rPr>
              <w:t>的Ⅳ</w:t>
            </w:r>
            <w:r>
              <w:rPr>
                <w:rFonts w:hint="default" w:ascii="Times New Roman" w:hAnsi="Times New Roman" w:cs="Times New Roman"/>
                <w:color w:val="auto"/>
                <w:sz w:val="24"/>
                <w:szCs w:val="22"/>
              </w:rPr>
              <w:t>类</w:t>
            </w:r>
            <w:r>
              <w:rPr>
                <w:rFonts w:hint="eastAsia" w:ascii="Times New Roman" w:hAnsi="Times New Roman" w:cs="Times New Roman"/>
                <w:color w:val="auto"/>
                <w:sz w:val="24"/>
                <w:szCs w:val="22"/>
                <w:lang w:val="en-US" w:eastAsia="zh-CN"/>
              </w:rPr>
              <w:t>项目，可不开展土壤评价</w:t>
            </w:r>
            <w:r>
              <w:rPr>
                <w:rFonts w:hint="default" w:ascii="Times New Roman" w:hAnsi="Times New Roman" w:cs="Times New Roman"/>
                <w:color w:val="auto"/>
                <w:sz w:val="24"/>
                <w:szCs w:val="22"/>
              </w:rPr>
              <w:t>。</w:t>
            </w:r>
          </w:p>
          <w:p>
            <w:pPr>
              <w:spacing w:line="360" w:lineRule="auto"/>
              <w:ind w:firstLine="480" w:firstLineChars="200"/>
              <w:rPr>
                <w:rFonts w:hint="eastAsia" w:ascii="Times New Roman" w:hAnsi="Times New Roman" w:eastAsia="宋体" w:cs="Times New Roman"/>
                <w:color w:val="auto"/>
                <w:sz w:val="24"/>
                <w:szCs w:val="22"/>
                <w:lang w:eastAsia="zh-CN"/>
              </w:rPr>
            </w:pPr>
            <w:r>
              <w:rPr>
                <w:rFonts w:hint="default" w:ascii="Times New Roman" w:hAnsi="Times New Roman" w:cs="Times New Roman"/>
                <w:color w:val="auto"/>
                <w:sz w:val="24"/>
                <w:szCs w:val="22"/>
              </w:rPr>
              <w:t>为做到有效规避或控制工程建设风险，减少各类事故的发生，降低因事故造成的损失，达到工程建设安全、质量进度效益和环境保护等各项目标，在施工过程中应针对工程风险采取相应的风险防范方案</w:t>
            </w:r>
            <w:r>
              <w:rPr>
                <w:rFonts w:hint="eastAsia" w:ascii="Times New Roman" w:hAnsi="Times New Roman" w:cs="Times New Roman"/>
                <w:color w:val="auto"/>
                <w:sz w:val="24"/>
                <w:szCs w:val="22"/>
                <w:lang w:eastAsia="zh-CN"/>
              </w:rPr>
              <w:t>。</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项目土壤可能会造成二次污染的过程有土壤开挖、土壤转运和土壤修复环节，现对这三个环节分别制定污染防治措施：</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1、土壤开挖</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土壤开挖过程中注意作业面不宜过大，现场由专人指挥挖掘，考虑到污染物的挥发性，挖掘速度不宜过快。挖掘时，挖掘机斗内土壤不可过多，在容量的4/5即可，防止挖掘后装车时污染土的散落。尽量在无风、早晚开挖，避免在正午或高温天气下开挖，并做好土壤保湿工作。</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2、土壤转运</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为防止运输过程中土壤的遗撒，对污染土壤运输车辆要求车厢全封闭处理，做好保湿工作。项目经合理规划场地布置，合理规划污染土壤运输路线，尽量减少车辆运输距离。加强现场监管，严禁人为随意处置。</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为防止土壤开挖与车辆运输过程中可能造成污染土壤的二次污染问题，车辆行驶与土壤运输的要求施工管理要求如下：</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（1）设定机械行驶、车辆运输路线，路线便道平整压实：设置护栏、标识牌和警示牌。</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（2）污染土壤现挖现装，装载时严禁超载，土壤装载量不超过车辆满载量的90%</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（3）运输司机证件由项目部备案，并接受项目部安全教育。施工场地车辆行驶速度不能超过15km/h，一般禁止快速行驶与突然启动或制动。</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（4）运输车辆进行转运标识牌管理，根据污染土壤转运标识牌把土壤运输到1制定的车间位置.</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5）运输便道由专人负责。运输便道通常易发生凹陷，应及时组织用渣土填充压实，方式运输车辆颠簸及污染土壤洒落：如发现运输过程污染土壤洒落，应组织人员清理与收集，防止二次污染：此外，运输便道应注意洒水降尘，减少扬尘。车辆出场前需到位于施工大门的洗车台进行清洗，防止车辆携带污染土壤出场。</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3、土壤修复防风处理</w:t>
            </w:r>
          </w:p>
          <w:p>
            <w:pPr>
              <w:spacing w:line="360" w:lineRule="auto"/>
              <w:ind w:firstLine="480" w:firstLineChars="200"/>
              <w:rPr>
                <w:rFonts w:hint="eastAsia" w:ascii="Times New Roman" w:hAnsi="Times New Roman" w:eastAsia="宋体" w:cs="Times New Roman"/>
                <w:color w:val="auto"/>
                <w:sz w:val="24"/>
                <w:szCs w:val="22"/>
                <w:lang w:eastAsia="zh-CN"/>
              </w:rPr>
            </w:pPr>
            <w:r>
              <w:rPr>
                <w:rFonts w:hint="default" w:ascii="Times New Roman" w:hAnsi="Times New Roman" w:cs="Times New Roman"/>
                <w:color w:val="auto"/>
                <w:sz w:val="24"/>
                <w:szCs w:val="22"/>
              </w:rPr>
              <w:t>对于场地内裸露在外的土壤，采用防雨苦布覆盖，做好保湿，最大限度的</w:t>
            </w:r>
            <w:r>
              <w:rPr>
                <w:rFonts w:hint="eastAsia" w:ascii="Times New Roman" w:hAnsi="Times New Roman" w:cs="Times New Roman"/>
                <w:color w:val="auto"/>
                <w:sz w:val="24"/>
                <w:szCs w:val="22"/>
                <w:lang w:val="en-US" w:eastAsia="zh-CN"/>
              </w:rPr>
              <w:t>扬尘</w:t>
            </w:r>
            <w:r>
              <w:rPr>
                <w:rFonts w:hint="default" w:ascii="Times New Roman" w:hAnsi="Times New Roman" w:cs="Times New Roman"/>
                <w:color w:val="auto"/>
                <w:sz w:val="24"/>
                <w:szCs w:val="22"/>
              </w:rPr>
              <w:t>对人和环境的影响</w:t>
            </w:r>
            <w:r>
              <w:rPr>
                <w:rFonts w:hint="eastAsia" w:ascii="Times New Roman" w:hAnsi="Times New Roman" w:cs="Times New Roman"/>
                <w:color w:val="auto"/>
                <w:sz w:val="24"/>
                <w:szCs w:val="22"/>
                <w:lang w:eastAsia="zh-CN"/>
              </w:rPr>
              <w:t>。</w:t>
            </w:r>
          </w:p>
          <w:p>
            <w:pPr>
              <w:spacing w:line="360" w:lineRule="auto"/>
              <w:ind w:firstLine="480" w:firstLineChars="200"/>
              <w:rPr>
                <w:rFonts w:hint="default" w:ascii="Times New Roman" w:hAnsi="Times New Roman" w:cs="Times New Roman"/>
                <w:color w:val="auto"/>
                <w:sz w:val="24"/>
                <w:szCs w:val="22"/>
              </w:rPr>
            </w:pPr>
            <w:r>
              <w:rPr>
                <w:rFonts w:hint="eastAsia" w:ascii="Times New Roman" w:hAnsi="Times New Roman" w:cs="Times New Roman"/>
                <w:color w:val="auto"/>
                <w:sz w:val="24"/>
                <w:szCs w:val="22"/>
                <w:lang w:val="en-US" w:eastAsia="zh-CN"/>
              </w:rPr>
              <w:t>七、</w:t>
            </w:r>
            <w:r>
              <w:rPr>
                <w:rFonts w:hint="default" w:ascii="Times New Roman" w:hAnsi="Times New Roman" w:cs="Times New Roman"/>
                <w:color w:val="auto"/>
                <w:sz w:val="24"/>
                <w:szCs w:val="22"/>
              </w:rPr>
              <w:t>水土流失环境影响分析</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项目施工过程中土方开挖、建材和土壤临时堆放都将造成土壤裸露，遇雨（尤其是暴雨）时，将会造成水土流失，是一项重要的影响因素。但水土流失最大的影响是对周围水域的生态系统的影响.采取临时防护、排水措施，对基坑和裸露在外的污染土壤用防水苦布覆盖，减少污染物的扩散。在堆场周围采用开挖排水沟，防止降雨冲蚀，避免造成水土流失以致影响周边衣地。施工结束后，施工单位先拆除场地内临时建筑设施，清除建筑垃圾场地平整后场区内要保证一定的绿化面积，以有效控制水土流失；施工结束后不会改变污染场地原有的地下水和地表水流向，周围水土将不再流失。</w:t>
            </w:r>
          </w:p>
          <w:p>
            <w:pPr>
              <w:spacing w:line="360" w:lineRule="auto"/>
              <w:ind w:firstLine="480" w:firstLineChars="200"/>
              <w:rPr>
                <w:rFonts w:hint="default" w:ascii="Times New Roman" w:hAnsi="Times New Roman" w:cs="Times New Roman"/>
                <w:color w:val="000000"/>
                <w:sz w:val="24"/>
                <w:szCs w:val="24"/>
                <w:lang w:val="en-US" w:eastAsia="zh-CN"/>
              </w:rPr>
            </w:pPr>
            <w:r>
              <w:rPr>
                <w:rFonts w:hint="eastAsia" w:ascii="Times New Roman" w:hAnsi="Times New Roman" w:cs="Times New Roman"/>
                <w:color w:val="000000"/>
                <w:sz w:val="24"/>
                <w:szCs w:val="24"/>
                <w:lang w:val="en-US" w:eastAsia="zh-CN"/>
              </w:rPr>
              <w:t>八</w:t>
            </w:r>
            <w:r>
              <w:rPr>
                <w:rFonts w:hint="default" w:ascii="Times New Roman" w:hAnsi="Times New Roman" w:cs="Times New Roman"/>
                <w:color w:val="000000"/>
                <w:sz w:val="24"/>
                <w:szCs w:val="24"/>
                <w:lang w:val="en-US" w:eastAsia="zh-CN"/>
              </w:rPr>
              <w:t>、环境风险影响评价</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lang w:val="en-US" w:eastAsia="zh-CN"/>
              </w:rPr>
              <w:t>1、</w:t>
            </w:r>
            <w:r>
              <w:rPr>
                <w:rFonts w:hint="default" w:ascii="Times New Roman" w:hAnsi="Times New Roman" w:cs="Times New Roman"/>
                <w:color w:val="auto"/>
                <w:sz w:val="24"/>
                <w:szCs w:val="22"/>
              </w:rPr>
              <w:t>评价依据</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①风险调查</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本项目无运营期，施工期项目场地内基本不贮存风险物质，风险较小，对照《建设项目环境风险评价技术导则》（HJ169-2018）附录B和《危险化学品重大危险源辨识》（GB18218-2018），环境风险潜势为Ⅰ。</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②评价等级</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环境风险评价工作等级划分为一级、二级、三级。根据建设项目涉及的物质及工艺系统危险性和所在地的环境敏感性确定环境风险潜势，按照下表确定评价工作等级。风险潜势为Ⅳ及以上，进行一级评价；风险潜势为Ⅲ，进行二级评价；风险潜势为Ⅱ，进行三级评价；风险潜势为Ⅰ，可开展简单分析。</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kern w:val="0"/>
                <w:sz w:val="24"/>
              </w:rPr>
            </w:pPr>
            <w:r>
              <w:rPr>
                <w:rFonts w:hint="default" w:ascii="Times New Roman" w:hAnsi="Times New Roman" w:cs="Times New Roman"/>
                <w:b/>
                <w:kern w:val="0"/>
                <w:sz w:val="24"/>
              </w:rPr>
              <w:t>表7-</w:t>
            </w:r>
            <w:r>
              <w:rPr>
                <w:rFonts w:hint="eastAsia" w:ascii="Times New Roman" w:hAnsi="Times New Roman" w:cs="Times New Roman"/>
                <w:b/>
                <w:kern w:val="0"/>
                <w:sz w:val="24"/>
                <w:lang w:val="en-US" w:eastAsia="zh-CN"/>
              </w:rPr>
              <w:t>20</w:t>
            </w:r>
            <w:r>
              <w:rPr>
                <w:rFonts w:hint="default" w:ascii="Times New Roman" w:hAnsi="Times New Roman" w:cs="Times New Roman"/>
                <w:b/>
                <w:kern w:val="0"/>
                <w:sz w:val="24"/>
              </w:rPr>
              <w:t xml:space="preserve">   评价工作等级划分</w:t>
            </w:r>
          </w:p>
          <w:tbl>
            <w:tblPr>
              <w:tblStyle w:val="27"/>
              <w:tblW w:w="0" w:type="auto"/>
              <w:jc w:val="center"/>
              <w:tblLayout w:type="fixed"/>
              <w:tblCellMar>
                <w:top w:w="0" w:type="dxa"/>
                <w:left w:w="108" w:type="dxa"/>
                <w:bottom w:w="0" w:type="dxa"/>
                <w:right w:w="108" w:type="dxa"/>
              </w:tblCellMar>
            </w:tblPr>
            <w:tblGrid>
              <w:gridCol w:w="1759"/>
              <w:gridCol w:w="1759"/>
              <w:gridCol w:w="1760"/>
              <w:gridCol w:w="1760"/>
              <w:gridCol w:w="1760"/>
            </w:tblGrid>
            <w:tr>
              <w:tblPrEx>
                <w:tblCellMar>
                  <w:top w:w="0" w:type="dxa"/>
                  <w:left w:w="108" w:type="dxa"/>
                  <w:bottom w:w="0" w:type="dxa"/>
                  <w:right w:w="108" w:type="dxa"/>
                </w:tblCellMar>
              </w:tblPrEx>
              <w:trPr>
                <w:trHeight w:val="310" w:hRule="atLeast"/>
                <w:jc w:val="center"/>
              </w:trPr>
              <w:tc>
                <w:tcPr>
                  <w:tcW w:w="1759"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20" w:lineRule="exact"/>
                    <w:jc w:val="center"/>
                    <w:rPr>
                      <w:rFonts w:hint="default" w:ascii="Times New Roman" w:hAnsi="Times New Roman" w:cs="Times New Roman"/>
                      <w:kern w:val="0"/>
                    </w:rPr>
                  </w:pPr>
                  <w:r>
                    <w:rPr>
                      <w:rFonts w:hint="default" w:ascii="Times New Roman" w:hAnsi="Times New Roman" w:cs="Times New Roman"/>
                      <w:kern w:val="0"/>
                    </w:rPr>
                    <w:t>环境风险潜势</w:t>
                  </w:r>
                </w:p>
              </w:tc>
              <w:tc>
                <w:tcPr>
                  <w:tcW w:w="1759"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20" w:lineRule="exact"/>
                    <w:jc w:val="center"/>
                    <w:rPr>
                      <w:rFonts w:hint="default" w:ascii="Times New Roman" w:hAnsi="Times New Roman" w:cs="Times New Roman"/>
                      <w:kern w:val="0"/>
                    </w:rPr>
                  </w:pPr>
                  <w:r>
                    <w:rPr>
                      <w:rFonts w:hint="default" w:ascii="Times New Roman" w:hAnsi="Times New Roman" w:cs="Times New Roman"/>
                      <w:kern w:val="0"/>
                    </w:rPr>
                    <w:t>Ⅳ、Ⅳ+</w:t>
                  </w:r>
                </w:p>
              </w:tc>
              <w:tc>
                <w:tcPr>
                  <w:tcW w:w="17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cs="Times New Roman"/>
                      <w:kern w:val="0"/>
                    </w:rPr>
                  </w:pPr>
                  <w:r>
                    <w:rPr>
                      <w:rFonts w:hint="default" w:ascii="Times New Roman" w:hAnsi="Times New Roman" w:cs="Times New Roman"/>
                      <w:kern w:val="0"/>
                    </w:rPr>
                    <w:t>Ⅲ</w:t>
                  </w:r>
                </w:p>
              </w:tc>
              <w:tc>
                <w:tcPr>
                  <w:tcW w:w="17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cs="Times New Roman"/>
                      <w:kern w:val="0"/>
                    </w:rPr>
                  </w:pPr>
                  <w:r>
                    <w:rPr>
                      <w:rFonts w:hint="default" w:ascii="Times New Roman" w:hAnsi="Times New Roman" w:cs="Times New Roman"/>
                      <w:kern w:val="0"/>
                    </w:rPr>
                    <w:t>Ⅱ</w:t>
                  </w:r>
                </w:p>
              </w:tc>
              <w:tc>
                <w:tcPr>
                  <w:tcW w:w="17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cs="Times New Roman"/>
                      <w:kern w:val="0"/>
                    </w:rPr>
                  </w:pPr>
                  <w:r>
                    <w:rPr>
                      <w:rFonts w:hint="default" w:ascii="Times New Roman" w:hAnsi="Times New Roman" w:cs="Times New Roman"/>
                      <w:kern w:val="0"/>
                    </w:rPr>
                    <w:t>Ⅰ</w:t>
                  </w:r>
                </w:p>
              </w:tc>
            </w:tr>
            <w:tr>
              <w:tblPrEx>
                <w:tblCellMar>
                  <w:top w:w="0" w:type="dxa"/>
                  <w:left w:w="108" w:type="dxa"/>
                  <w:bottom w:w="0" w:type="dxa"/>
                  <w:right w:w="108" w:type="dxa"/>
                </w:tblCellMar>
              </w:tblPrEx>
              <w:trPr>
                <w:trHeight w:val="310" w:hRule="atLeast"/>
                <w:jc w:val="center"/>
              </w:trPr>
              <w:tc>
                <w:tcPr>
                  <w:tcW w:w="1759"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20" w:lineRule="exact"/>
                    <w:jc w:val="center"/>
                    <w:rPr>
                      <w:rFonts w:hint="default" w:ascii="Times New Roman" w:hAnsi="Times New Roman" w:cs="Times New Roman"/>
                      <w:kern w:val="0"/>
                    </w:rPr>
                  </w:pPr>
                  <w:r>
                    <w:rPr>
                      <w:rFonts w:hint="default" w:ascii="Times New Roman" w:hAnsi="Times New Roman" w:cs="Times New Roman"/>
                      <w:kern w:val="0"/>
                    </w:rPr>
                    <w:t>评价工作等级</w:t>
                  </w:r>
                </w:p>
              </w:tc>
              <w:tc>
                <w:tcPr>
                  <w:tcW w:w="1759"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20" w:lineRule="exact"/>
                    <w:jc w:val="center"/>
                    <w:rPr>
                      <w:rFonts w:hint="default" w:ascii="Times New Roman" w:hAnsi="Times New Roman" w:cs="Times New Roman"/>
                      <w:kern w:val="0"/>
                    </w:rPr>
                  </w:pPr>
                  <w:r>
                    <w:rPr>
                      <w:rFonts w:hint="default" w:ascii="Times New Roman" w:hAnsi="Times New Roman" w:cs="Times New Roman"/>
                      <w:kern w:val="0"/>
                    </w:rPr>
                    <w:t>一</w:t>
                  </w:r>
                </w:p>
              </w:tc>
              <w:tc>
                <w:tcPr>
                  <w:tcW w:w="176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20" w:lineRule="exact"/>
                    <w:jc w:val="center"/>
                    <w:rPr>
                      <w:rFonts w:hint="default" w:ascii="Times New Roman" w:hAnsi="Times New Roman" w:cs="Times New Roman"/>
                      <w:kern w:val="0"/>
                    </w:rPr>
                  </w:pPr>
                  <w:r>
                    <w:rPr>
                      <w:rFonts w:hint="default" w:ascii="Times New Roman" w:hAnsi="Times New Roman" w:cs="Times New Roman"/>
                      <w:kern w:val="0"/>
                    </w:rPr>
                    <w:t>二</w:t>
                  </w:r>
                </w:p>
              </w:tc>
              <w:tc>
                <w:tcPr>
                  <w:tcW w:w="176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20" w:lineRule="exact"/>
                    <w:jc w:val="center"/>
                    <w:rPr>
                      <w:rFonts w:hint="default" w:ascii="Times New Roman" w:hAnsi="Times New Roman" w:cs="Times New Roman"/>
                      <w:kern w:val="0"/>
                    </w:rPr>
                  </w:pPr>
                  <w:r>
                    <w:rPr>
                      <w:rFonts w:hint="default" w:ascii="Times New Roman" w:hAnsi="Times New Roman" w:cs="Times New Roman"/>
                      <w:kern w:val="0"/>
                    </w:rPr>
                    <w:t>三</w:t>
                  </w:r>
                </w:p>
              </w:tc>
              <w:tc>
                <w:tcPr>
                  <w:tcW w:w="176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20" w:lineRule="exact"/>
                    <w:jc w:val="center"/>
                    <w:rPr>
                      <w:rFonts w:hint="default" w:ascii="Times New Roman" w:hAnsi="Times New Roman" w:cs="Times New Roman"/>
                      <w:kern w:val="0"/>
                    </w:rPr>
                  </w:pPr>
                  <w:r>
                    <w:rPr>
                      <w:rFonts w:hint="default" w:ascii="Times New Roman" w:hAnsi="Times New Roman" w:cs="Times New Roman"/>
                      <w:kern w:val="0"/>
                    </w:rPr>
                    <w:t>简单分析</w:t>
                  </w:r>
                  <w:r>
                    <w:rPr>
                      <w:rFonts w:hint="default" w:ascii="Times New Roman" w:hAnsi="Times New Roman" w:cs="Times New Roman"/>
                      <w:kern w:val="0"/>
                      <w:vertAlign w:val="superscript"/>
                    </w:rPr>
                    <w:t>a</w:t>
                  </w:r>
                </w:p>
              </w:tc>
            </w:tr>
            <w:tr>
              <w:tblPrEx>
                <w:tblCellMar>
                  <w:top w:w="0" w:type="dxa"/>
                  <w:left w:w="108" w:type="dxa"/>
                  <w:bottom w:w="0" w:type="dxa"/>
                  <w:right w:w="108" w:type="dxa"/>
                </w:tblCellMar>
              </w:tblPrEx>
              <w:trPr>
                <w:trHeight w:val="619" w:hRule="atLeast"/>
                <w:jc w:val="center"/>
              </w:trPr>
              <w:tc>
                <w:tcPr>
                  <w:tcW w:w="8798" w:type="dxa"/>
                  <w:gridSpan w:val="5"/>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20" w:lineRule="exact"/>
                    <w:rPr>
                      <w:rFonts w:hint="default" w:ascii="Times New Roman" w:hAnsi="Times New Roman" w:cs="Times New Roman"/>
                      <w:kern w:val="0"/>
                    </w:rPr>
                  </w:pPr>
                  <w:r>
                    <w:rPr>
                      <w:rFonts w:hint="default" w:ascii="Times New Roman" w:hAnsi="Times New Roman" w:cs="Times New Roman"/>
                      <w:kern w:val="0"/>
                      <w:vertAlign w:val="superscript"/>
                    </w:rPr>
                    <w:t>a</w:t>
                  </w:r>
                  <w:r>
                    <w:rPr>
                      <w:rFonts w:hint="default" w:ascii="Times New Roman" w:hAnsi="Times New Roman" w:cs="Times New Roman"/>
                      <w:kern w:val="0"/>
                    </w:rPr>
                    <w:t xml:space="preserve"> 是相对于详细评价工作内容而言，在描述危险物质、环境影响途径、环境危害后果、风险防范措施等方面给出定性的说明。见附录A。</w:t>
                  </w:r>
                </w:p>
              </w:tc>
            </w:tr>
          </w:tbl>
          <w:p>
            <w:pPr>
              <w:spacing w:line="360" w:lineRule="auto"/>
              <w:ind w:firstLine="480" w:firstLineChars="200"/>
              <w:rPr>
                <w:rFonts w:hint="default" w:ascii="Times New Roman" w:hAnsi="Times New Roman" w:cs="Times New Roman"/>
                <w:kern w:val="0"/>
                <w:sz w:val="24"/>
              </w:rPr>
            </w:pPr>
          </w:p>
          <w:p>
            <w:pPr>
              <w:spacing w:line="360" w:lineRule="auto"/>
              <w:ind w:firstLine="480" w:firstLineChars="200"/>
              <w:rPr>
                <w:rFonts w:hint="default" w:ascii="Times New Roman" w:hAnsi="Times New Roman" w:cs="Times New Roman"/>
                <w:kern w:val="0"/>
                <w:sz w:val="24"/>
              </w:rPr>
            </w:pPr>
            <w:r>
              <w:rPr>
                <w:rFonts w:hint="default" w:ascii="Times New Roman" w:hAnsi="Times New Roman" w:cs="Times New Roman"/>
                <w:kern w:val="0"/>
                <w:sz w:val="24"/>
              </w:rPr>
              <w:t>项目风险潜势为Ⅰ，开展简单分析；</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2、过程环境风险</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本次事故风险评价不考虑工程外部事故风险因素（如地震、雷电等自然灾害以及战争、人为蓄意破坏等）。本项目土壤</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lang w:val="en-US" w:eastAsia="zh-CN"/>
              </w:rPr>
              <w:t>地下水</w:t>
            </w:r>
            <w:r>
              <w:rPr>
                <w:rFonts w:hint="default" w:ascii="Times New Roman" w:hAnsi="Times New Roman" w:cs="Times New Roman"/>
                <w:color w:val="auto"/>
                <w:sz w:val="24"/>
                <w:szCs w:val="22"/>
              </w:rPr>
              <w:t>修复过程中存在的潜在事故风险，主要表现在以下几个方面：</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（1）</w:t>
            </w:r>
            <w:r>
              <w:rPr>
                <w:rFonts w:hint="eastAsia" w:ascii="Times New Roman" w:hAnsi="Times New Roman" w:cs="Times New Roman"/>
                <w:color w:val="auto"/>
                <w:sz w:val="24"/>
                <w:szCs w:val="22"/>
                <w:lang w:val="en-US" w:eastAsia="zh-CN"/>
              </w:rPr>
              <w:t>污水处理</w:t>
            </w:r>
            <w:r>
              <w:rPr>
                <w:rFonts w:hint="default" w:ascii="Times New Roman" w:hAnsi="Times New Roman" w:cs="Times New Roman"/>
                <w:color w:val="auto"/>
                <w:sz w:val="24"/>
                <w:szCs w:val="22"/>
              </w:rPr>
              <w:t>设施故障造成的污染物超标排放风险；</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（2）物料等在储运过程中泄漏的事故性排放，造成的环境风险：</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（3）污染场地清理、运输过程中可能会导致含污染物的颗粒物进入到大气中，产生大气污染的风险。</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（4）污染土壤处置不当可能导致产生土壤交叉污染的风险；</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（5）本场地土壤污染物质为主要为</w:t>
            </w:r>
            <w:r>
              <w:rPr>
                <w:rFonts w:hint="eastAsia" w:ascii="Times New Roman" w:hAnsi="Times New Roman" w:cs="Times New Roman"/>
                <w:color w:val="auto"/>
                <w:sz w:val="24"/>
                <w:szCs w:val="22"/>
                <w:lang w:val="en-US" w:eastAsia="zh-CN"/>
              </w:rPr>
              <w:t>六价铬、总石油烃</w:t>
            </w:r>
            <w:r>
              <w:rPr>
                <w:rFonts w:hint="default" w:ascii="Times New Roman" w:hAnsi="Times New Roman" w:cs="Times New Roman"/>
                <w:color w:val="auto"/>
                <w:sz w:val="24"/>
                <w:szCs w:val="22"/>
              </w:rPr>
              <w:t>。污染土壤清运、修复、处置全过程中，均有工作人员直接接触污染土壤，存在人员安全健康事故的隐患。工作人员应加强自身防护。</w:t>
            </w:r>
          </w:p>
          <w:p>
            <w:pPr>
              <w:spacing w:line="360" w:lineRule="auto"/>
              <w:ind w:firstLine="480" w:firstLineChars="200"/>
              <w:rPr>
                <w:rFonts w:hint="eastAsia" w:ascii="Times New Roman" w:hAnsi="Times New Roman" w:eastAsia="宋体" w:cs="Times New Roman"/>
                <w:color w:val="auto"/>
                <w:sz w:val="24"/>
                <w:szCs w:val="22"/>
                <w:lang w:eastAsia="zh-CN"/>
              </w:rPr>
            </w:pPr>
            <w:r>
              <w:rPr>
                <w:rFonts w:hint="default" w:ascii="Times New Roman" w:hAnsi="Times New Roman" w:cs="Times New Roman"/>
                <w:color w:val="auto"/>
                <w:sz w:val="24"/>
                <w:szCs w:val="22"/>
              </w:rPr>
              <w:t>（6）本污染场地治理工程量较大，设备、车辆和人员较多，存在较多环节，具有发生安全生产事故的风险。例如施工过程中遇地下障碍物（包括各种管道和电缆等）</w:t>
            </w:r>
            <w:r>
              <w:rPr>
                <w:rFonts w:hint="eastAsia" w:ascii="Times New Roman" w:hAnsi="Times New Roman" w:cs="Times New Roman"/>
                <w:color w:val="auto"/>
                <w:sz w:val="24"/>
                <w:szCs w:val="22"/>
                <w:lang w:eastAsia="zh-CN"/>
              </w:rPr>
              <w:t>。</w:t>
            </w:r>
          </w:p>
          <w:p>
            <w:pPr>
              <w:spacing w:line="360" w:lineRule="auto"/>
              <w:ind w:firstLine="480" w:firstLineChars="200"/>
              <w:rPr>
                <w:rFonts w:hint="eastAsia" w:ascii="Times New Roman" w:hAnsi="Times New Roman" w:eastAsia="宋体" w:cs="Times New Roman"/>
                <w:color w:val="auto"/>
                <w:sz w:val="24"/>
                <w:szCs w:val="22"/>
                <w:lang w:eastAsia="zh-CN"/>
              </w:rPr>
            </w:pPr>
            <w:r>
              <w:rPr>
                <w:rFonts w:hint="default" w:ascii="Times New Roman" w:hAnsi="Times New Roman" w:cs="Times New Roman"/>
                <w:color w:val="auto"/>
                <w:sz w:val="24"/>
                <w:szCs w:val="22"/>
              </w:rPr>
              <w:t>（7）废水管网破裂等事故性排水，以及火灾爆炸事故的消防应急处置过程中，如不当操作有引发二次水污染的可能（受污染的消防水直接作为清下水排放）</w:t>
            </w:r>
            <w:r>
              <w:rPr>
                <w:rFonts w:hint="eastAsia" w:ascii="Times New Roman" w:hAnsi="Times New Roman" w:cs="Times New Roman"/>
                <w:color w:val="auto"/>
                <w:sz w:val="24"/>
                <w:szCs w:val="22"/>
                <w:lang w:eastAsia="zh-CN"/>
              </w:rPr>
              <w:t>。</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（8）火灾爆炸事故引起的其他连锁反应造成的环境风险。</w:t>
            </w:r>
          </w:p>
          <w:p>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sz w:val="24"/>
                <w:szCs w:val="24"/>
              </w:rPr>
            </w:pPr>
            <w:r>
              <w:rPr>
                <w:rFonts w:hint="eastAsia" w:ascii="Times New Roman" w:hAnsi="Times New Roman" w:cs="Times New Roman"/>
                <w:sz w:val="24"/>
                <w:szCs w:val="24"/>
                <w:lang w:val="en-US" w:eastAsia="zh-CN"/>
              </w:rPr>
              <w:t>3</w:t>
            </w:r>
            <w:r>
              <w:rPr>
                <w:rFonts w:hint="default" w:ascii="Times New Roman" w:hAnsi="Times New Roman" w:cs="Times New Roman"/>
                <w:sz w:val="24"/>
                <w:szCs w:val="24"/>
              </w:rPr>
              <w:t>、应急事故池</w:t>
            </w:r>
          </w:p>
          <w:p>
            <w:pPr>
              <w:keepNext w:val="0"/>
              <w:keepLines w:val="0"/>
              <w:pageBreakBefore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建设单位应在</w:t>
            </w:r>
            <w:r>
              <w:rPr>
                <w:rFonts w:hint="eastAsia" w:ascii="Times New Roman" w:hAnsi="Times New Roman" w:cs="Times New Roman"/>
                <w:sz w:val="24"/>
                <w:szCs w:val="24"/>
                <w:lang w:val="en-US" w:eastAsia="zh-CN"/>
              </w:rPr>
              <w:t>污水处理站</w:t>
            </w:r>
            <w:r>
              <w:rPr>
                <w:rFonts w:hint="default" w:ascii="Times New Roman" w:hAnsi="Times New Roman" w:cs="Times New Roman"/>
                <w:sz w:val="24"/>
                <w:szCs w:val="24"/>
              </w:rPr>
              <w:t>外设置一个事故池并设置与外部水体的切断设施，确保当发生</w:t>
            </w:r>
            <w:r>
              <w:rPr>
                <w:rFonts w:hint="eastAsia" w:ascii="Times New Roman" w:hAnsi="Times New Roman" w:cs="Times New Roman"/>
                <w:sz w:val="24"/>
                <w:szCs w:val="24"/>
                <w:lang w:val="en-US" w:eastAsia="zh-CN"/>
              </w:rPr>
              <w:t>污水处理站故障</w:t>
            </w:r>
            <w:r>
              <w:rPr>
                <w:rFonts w:hint="default" w:ascii="Times New Roman" w:hAnsi="Times New Roman" w:cs="Times New Roman"/>
                <w:sz w:val="24"/>
                <w:szCs w:val="24"/>
              </w:rPr>
              <w:t>时能够进入事故池中。根据项目厂区布置、地势并考虑方便事故废水收集，建议建设单位在</w:t>
            </w:r>
            <w:r>
              <w:rPr>
                <w:rFonts w:hint="eastAsia" w:ascii="Times New Roman" w:hAnsi="Times New Roman" w:cs="Times New Roman"/>
                <w:sz w:val="24"/>
                <w:szCs w:val="24"/>
                <w:lang w:val="en-US" w:eastAsia="zh-CN"/>
              </w:rPr>
              <w:t>污水处理站</w:t>
            </w:r>
            <w:r>
              <w:rPr>
                <w:rFonts w:hint="default" w:ascii="Times New Roman" w:hAnsi="Times New Roman" w:cs="Times New Roman"/>
                <w:sz w:val="24"/>
                <w:szCs w:val="24"/>
              </w:rPr>
              <w:t>周边地势较低处开挖一个事故池，当发生</w:t>
            </w:r>
            <w:r>
              <w:rPr>
                <w:rFonts w:hint="eastAsia" w:ascii="Times New Roman" w:hAnsi="Times New Roman" w:cs="Times New Roman"/>
                <w:sz w:val="24"/>
                <w:szCs w:val="24"/>
                <w:lang w:val="en-US" w:eastAsia="zh-CN"/>
              </w:rPr>
              <w:t>事故</w:t>
            </w:r>
            <w:r>
              <w:rPr>
                <w:rFonts w:hint="default" w:ascii="Times New Roman" w:hAnsi="Times New Roman" w:cs="Times New Roman"/>
                <w:sz w:val="24"/>
                <w:szCs w:val="24"/>
              </w:rPr>
              <w:t>事件时，</w:t>
            </w:r>
            <w:r>
              <w:rPr>
                <w:rFonts w:hint="eastAsia" w:ascii="Times New Roman" w:hAnsi="Times New Roman" w:cs="Times New Roman"/>
                <w:sz w:val="24"/>
                <w:szCs w:val="24"/>
                <w:lang w:val="en-US" w:eastAsia="zh-CN"/>
              </w:rPr>
              <w:t>修复期废水</w:t>
            </w:r>
            <w:r>
              <w:rPr>
                <w:rFonts w:hint="default" w:ascii="Times New Roman" w:hAnsi="Times New Roman" w:cs="Times New Roman"/>
                <w:sz w:val="24"/>
                <w:szCs w:val="24"/>
              </w:rPr>
              <w:t>可自然流淌到事故池方向。企业计划在拟建一个</w:t>
            </w:r>
            <w:r>
              <w:rPr>
                <w:rFonts w:hint="eastAsia" w:ascii="Times New Roman" w:hAnsi="Times New Roman" w:cs="Times New Roman"/>
                <w:sz w:val="24"/>
                <w:szCs w:val="24"/>
                <w:lang w:val="en-US" w:eastAsia="zh-CN"/>
              </w:rPr>
              <w:t>100</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事故应急池，从而避免事故废水外排。</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4、风险防范措施</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为使环境风险减小到最低限度，必须加强安全管理，制定完善、有效的风险防范措施，尽可能降低该项目环境风险事故发生的概率。</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（1）土壤</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lang w:val="en-US" w:eastAsia="zh-CN"/>
              </w:rPr>
              <w:t>地下水</w:t>
            </w:r>
            <w:r>
              <w:rPr>
                <w:rFonts w:hint="default" w:ascii="Times New Roman" w:hAnsi="Times New Roman" w:cs="Times New Roman"/>
                <w:color w:val="auto"/>
                <w:sz w:val="24"/>
                <w:szCs w:val="22"/>
              </w:rPr>
              <w:t>修复设计中严格执行国家、行业有关劳动安全卫生的法规和标准规范，完善厂内备用电系统，为了防止因停电而造成事故性排放的发生，厂内必须配套完善备用电系统，采用双电路供电，瞬时切换等。</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2）建立安全生产岗位责任制，制定完善的安全生产规章制度、安全操作规程、安全生产检查制度、禁火管理制度、事故管理制度等，必须切实加强安全管理，提高事故防范能力，员工实行持证上岗。易燃、易爆生产装置区、管道等危险区域设置永久性《严禁烟火》标志，按照《工业管路的基本识别色和识别符号》的规定对相关设备涂标志色等。</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3）应加强对工作人员的安全卫生教育和技术培训，使职工较全面的接受有关安全卫生的政策、法规教育，增强法制观念，不断强化职工安全意识，不断提高职工安全素质，增强职工处理突发安全事故的能力，并按规范配备个人劳动防护用品。</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（4）为了在发生风险事故时，能以最快的速度发挥最大的效能，有序的实施救援，尽快控制事态的发展，降低事故造成的危害，减少事故造成的损失，企业应制定突发环境事件应急预案。</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（5）企业须认真做好各种原辅料、污染土壤的贮存、管理，防止工作人员直接接触污染土壤；污染土壤</w:t>
            </w:r>
            <w:r>
              <w:rPr>
                <w:rFonts w:hint="eastAsia" w:ascii="Times New Roman" w:hAnsi="Times New Roman" w:cs="Times New Roman"/>
                <w:color w:val="auto"/>
                <w:sz w:val="24"/>
                <w:szCs w:val="22"/>
                <w:lang w:eastAsia="zh-CN"/>
              </w:rPr>
              <w:t>、</w:t>
            </w:r>
            <w:r>
              <w:rPr>
                <w:rFonts w:hint="eastAsia" w:ascii="Times New Roman" w:hAnsi="Times New Roman" w:cs="Times New Roman"/>
                <w:color w:val="auto"/>
                <w:sz w:val="24"/>
                <w:szCs w:val="22"/>
                <w:lang w:val="en-US" w:eastAsia="zh-CN"/>
              </w:rPr>
              <w:t>污染建筑垃圾不</w:t>
            </w:r>
            <w:r>
              <w:rPr>
                <w:rFonts w:hint="default" w:ascii="Times New Roman" w:hAnsi="Times New Roman" w:cs="Times New Roman"/>
                <w:color w:val="auto"/>
                <w:sz w:val="24"/>
                <w:szCs w:val="22"/>
              </w:rPr>
              <w:t>在</w:t>
            </w:r>
            <w:r>
              <w:rPr>
                <w:rFonts w:hint="eastAsia" w:ascii="Times New Roman" w:hAnsi="Times New Roman" w:cs="Times New Roman"/>
                <w:color w:val="auto"/>
                <w:sz w:val="24"/>
                <w:szCs w:val="22"/>
                <w:lang w:val="en-US" w:eastAsia="zh-CN"/>
              </w:rPr>
              <w:t>厂区暂存，直接清运</w:t>
            </w:r>
            <w:r>
              <w:rPr>
                <w:rFonts w:hint="default" w:ascii="Times New Roman" w:hAnsi="Times New Roman" w:cs="Times New Roman"/>
                <w:color w:val="auto"/>
                <w:sz w:val="24"/>
                <w:szCs w:val="22"/>
              </w:rPr>
              <w:t>。在采取严格控制修复药剂用量和规范施工作业、加强污水处理设施维护等防范措施下，本项目风险水平可以接受。</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5、分析结论</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本项目通过制定风险防范措施，制定安全生产规范，通过加强员工的安全、环保知识和风险事故安全教育，提高职工的风险意识，掌握本职工作所需的危险化学品安全知识和技能，严格遵守安全规章制度和操作规程，了解其作业场所和工作存在的危险有喜因素以及企业所采取的防范措施和环境突发事故应急措施，以减少风险发生的概率。</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八、运输过程环境影响分析</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土壤的运输包括污染土的厂内倒运和场外运输。场内倒运是指污染场区及预处理场区内的短驳，主要为场内倒运运输；场外运输是指污染场区与水泥厂之间的运输，主要为陆运。</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（1）运输计划</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根据修复产能和施工现场的场地条件，合理安排清挖施工，土壤运输包括污染土壤倒运、污染土外运，运输时间为19：00-22：00。</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（2）运输路线</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1）场内运输路线</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场区内运输道路设置为双车道，满足车辆进出双向行驶，车辆需严格听从现场指挥人员的指挥，根据施工挖掘机固定运输车辆，固定路线的原则按规定路线行驶。</w:t>
            </w:r>
          </w:p>
          <w:p>
            <w:pPr>
              <w:numPr>
                <w:ilvl w:val="0"/>
                <w:numId w:val="9"/>
              </w:num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场外运输想你</w:t>
            </w:r>
          </w:p>
          <w:p>
            <w:pPr>
              <w:numPr>
                <w:ilvl w:val="0"/>
                <w:numId w:val="0"/>
              </w:num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据了解，位于芜湖当地的芜湖海创环保科技有限公司具有水泥窑协同处置能力，该公司具有危险废物经营许可证，经营设施地址为安徽省芜湖市繁昌县繁阳镇（芜湖海螺厂区内），处理能力较大。芜湖海创环保科技有限公司距离本项目地块约36公里，驾车约55分钟，详见下图。</w:t>
            </w:r>
          </w:p>
          <w:p>
            <w:pPr>
              <w:pStyle w:val="144"/>
              <w:jc w:val="center"/>
              <w:rPr>
                <w:rFonts w:hint="eastAsia" w:ascii="Times New Roman" w:hAnsi="Times New Roman"/>
                <w:color w:val="000000"/>
                <w:sz w:val="24"/>
                <w:szCs w:val="24"/>
                <w:highlight w:val="none"/>
                <w:lang w:val="en-US" w:eastAsia="zh-CN"/>
              </w:rPr>
            </w:pPr>
            <w:r>
              <w:drawing>
                <wp:inline distT="0" distB="0" distL="114300" distR="114300">
                  <wp:extent cx="5267325" cy="3790950"/>
                  <wp:effectExtent l="0" t="0" r="9525" b="0"/>
                  <wp:docPr id="5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8"/>
                          <pic:cNvPicPr>
                            <a:picLocks noChangeAspect="1"/>
                          </pic:cNvPicPr>
                        </pic:nvPicPr>
                        <pic:blipFill>
                          <a:blip r:embed="rId43"/>
                          <a:stretch>
                            <a:fillRect/>
                          </a:stretch>
                        </pic:blipFill>
                        <pic:spPr>
                          <a:xfrm>
                            <a:off x="0" y="0"/>
                            <a:ext cx="5267325" cy="3790950"/>
                          </a:xfrm>
                          <a:prstGeom prst="rect">
                            <a:avLst/>
                          </a:prstGeom>
                          <a:noFill/>
                          <a:ln>
                            <a:noFill/>
                          </a:ln>
                        </pic:spPr>
                      </pic:pic>
                    </a:graphicData>
                  </a:graphic>
                </wp:inline>
              </w:drawing>
            </w:r>
          </w:p>
          <w:p>
            <w:pPr>
              <w:pStyle w:val="144"/>
              <w:rPr>
                <w:rFonts w:hint="eastAsia" w:ascii="Times New Roman" w:hAnsi="Times New Roman"/>
                <w:color w:val="000000"/>
                <w:sz w:val="24"/>
                <w:szCs w:val="24"/>
                <w:highlight w:val="none"/>
                <w:lang w:val="en-US" w:eastAsia="zh-CN"/>
              </w:rPr>
            </w:pPr>
          </w:p>
          <w:p>
            <w:pPr>
              <w:tabs>
                <w:tab w:val="left" w:pos="2445"/>
              </w:tabs>
              <w:spacing w:line="360" w:lineRule="auto"/>
              <w:ind w:firstLine="482" w:firstLineChars="200"/>
              <w:jc w:val="center"/>
              <w:rPr>
                <w:rFonts w:hint="eastAsia" w:ascii="Times New Roman" w:hAnsi="Times New Roman"/>
                <w:b/>
                <w:bCs/>
                <w:color w:val="000000"/>
                <w:sz w:val="24"/>
                <w:szCs w:val="24"/>
                <w:highlight w:val="none"/>
                <w:lang w:val="en-US" w:eastAsia="zh-CN"/>
              </w:rPr>
            </w:pPr>
            <w:r>
              <w:rPr>
                <w:rFonts w:hint="eastAsia" w:ascii="Times New Roman" w:hAnsi="Times New Roman"/>
                <w:b/>
                <w:bCs/>
                <w:color w:val="000000"/>
                <w:sz w:val="24"/>
                <w:szCs w:val="24"/>
                <w:highlight w:val="none"/>
                <w:lang w:val="en-US" w:eastAsia="zh-CN"/>
              </w:rPr>
              <w:t>图7-9 场外运输线路图</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（2）污染土壤运输污染防控措施</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①严格按照行驶路线行驶，确保挖运工作有序进行；场区内外均需严格按照规定时速限速行驶，严禁超速和不按规定路线行驶。</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②进出场区车辆登记，收发土壤识别铭牌，根据指挥装土卸土；工作期间严禁司机饮洒，严禁司机超时间工作，严格执行交通法规</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③厂区内设置专用行驶路线，严禁车辆在场区内随意行驶；配备洒水车，在场区运输道路上不定时洒水。</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④在大门处有专门人员进行车身的清扫、覆盖，然后通过车辆清洗台清洗，施工道路及出场500m内由专人负责清扫，可以最大限度的避免遗撒及二次污染。</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（3）公路运输的全程控制</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制定土壤运输牌号，根据各方管理需要对每辆运输车发放牌号，在运输车辆进出污染场区和水泥厂时进行发放和填写，以实现场地、车辆和水泥厂的交接，配备工作人员每天中、晚两次对当天所有运输车辆统计备案。</w:t>
            </w:r>
          </w:p>
          <w:p>
            <w:pPr>
              <w:tabs>
                <w:tab w:val="left" w:pos="2445"/>
              </w:tabs>
              <w:spacing w:line="360" w:lineRule="auto"/>
              <w:ind w:firstLine="480" w:firstLineChars="200"/>
              <w:rPr>
                <w:rFonts w:hint="eastAsia" w:ascii="Times New Roman" w:hAnsi="Times New Roman"/>
                <w:color w:val="000000"/>
                <w:sz w:val="24"/>
                <w:szCs w:val="24"/>
                <w:highlight w:val="none"/>
                <w:lang w:val="en-US" w:eastAsia="zh-CN"/>
              </w:rPr>
            </w:pPr>
            <w:r>
              <w:rPr>
                <w:rFonts w:hint="eastAsia" w:ascii="Times New Roman" w:hAnsi="Times New Roman"/>
                <w:color w:val="000000"/>
                <w:sz w:val="24"/>
                <w:szCs w:val="24"/>
                <w:highlight w:val="none"/>
                <w:lang w:val="en-US" w:eastAsia="zh-CN"/>
              </w:rPr>
              <w:t>整个运输过程采用GPS定位，使污染土壤从离开土方开挖场地到进水泥厂的全过程都在监控范围内，以确保污染土壤不外流。</w:t>
            </w:r>
          </w:p>
          <w:p>
            <w:pPr>
              <w:tabs>
                <w:tab w:val="left" w:pos="2445"/>
              </w:tabs>
              <w:spacing w:line="360" w:lineRule="auto"/>
              <w:ind w:firstLine="480" w:firstLineChars="200"/>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九</w:t>
            </w:r>
            <w:r>
              <w:rPr>
                <w:rFonts w:ascii="Times New Roman" w:hAnsi="Times New Roman"/>
                <w:color w:val="000000"/>
                <w:sz w:val="24"/>
                <w:szCs w:val="24"/>
                <w:highlight w:val="none"/>
              </w:rPr>
              <w:t>、环境管理及监测计划</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1、修复过程中的监测计划</w:t>
            </w:r>
          </w:p>
          <w:p>
            <w:pPr>
              <w:spacing w:line="360" w:lineRule="auto"/>
              <w:ind w:firstLine="480" w:firstLineChars="200"/>
              <w:rPr>
                <w:rFonts w:hint="eastAsia" w:ascii="Times New Roman" w:hAnsi="Times New Roman" w:eastAsia="宋体"/>
                <w:color w:val="000000"/>
                <w:sz w:val="24"/>
                <w:szCs w:val="24"/>
                <w:highlight w:val="none"/>
                <w:lang w:eastAsia="zh-CN"/>
              </w:rPr>
            </w:pPr>
            <w:r>
              <w:rPr>
                <w:rFonts w:hint="eastAsia" w:ascii="Times New Roman" w:hAnsi="Times New Roman"/>
                <w:color w:val="000000"/>
                <w:sz w:val="24"/>
                <w:szCs w:val="24"/>
                <w:highlight w:val="none"/>
              </w:rPr>
              <w:t>为了加强污染土壤修复治理项目的环境管理，监控项目实施过程中各种污染物的排放，减少对周围的影响，防止二次污染，特制定了污染物排放及环境影响监测方案，主要为环境土壤、空气、噪声、扬尘、度水排放等分项目的监测</w:t>
            </w:r>
            <w:r>
              <w:rPr>
                <w:rFonts w:hint="eastAsia" w:ascii="Times New Roman" w:hAnsi="Times New Roman"/>
                <w:color w:val="000000"/>
                <w:sz w:val="24"/>
                <w:szCs w:val="24"/>
                <w:highlight w:val="none"/>
                <w:lang w:eastAsia="zh-CN"/>
              </w:rPr>
              <w:t>。</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（1）度水监测</w:t>
            </w:r>
          </w:p>
          <w:p>
            <w:pPr>
              <w:spacing w:line="360" w:lineRule="auto"/>
              <w:ind w:firstLine="480" w:firstLineChars="200"/>
              <w:rPr>
                <w:rFonts w:hint="eastAsia" w:ascii="Times New Roman" w:hAnsi="Times New Roman" w:eastAsia="宋体"/>
                <w:color w:val="000000"/>
                <w:sz w:val="24"/>
                <w:szCs w:val="24"/>
                <w:highlight w:val="none"/>
                <w:lang w:eastAsia="zh-CN"/>
              </w:rPr>
            </w:pPr>
            <w:r>
              <w:rPr>
                <w:rFonts w:hint="eastAsia" w:ascii="Times New Roman" w:hAnsi="Times New Roman"/>
                <w:color w:val="000000"/>
                <w:sz w:val="24"/>
                <w:szCs w:val="24"/>
                <w:highlight w:val="none"/>
              </w:rPr>
              <w:t>施工现场废水主要包括基坑集水、大气降水、</w:t>
            </w:r>
            <w:r>
              <w:rPr>
                <w:rFonts w:hint="eastAsia" w:ascii="Times New Roman" w:hAnsi="Times New Roman"/>
                <w:color w:val="000000"/>
                <w:sz w:val="24"/>
                <w:szCs w:val="24"/>
                <w:highlight w:val="none"/>
                <w:lang w:val="en-US" w:eastAsia="zh-CN"/>
              </w:rPr>
              <w:t>地下污水抽水、</w:t>
            </w:r>
            <w:r>
              <w:rPr>
                <w:rFonts w:hint="eastAsia" w:ascii="Times New Roman" w:hAnsi="Times New Roman"/>
                <w:color w:val="000000"/>
                <w:sz w:val="24"/>
                <w:szCs w:val="24"/>
                <w:highlight w:val="none"/>
              </w:rPr>
              <w:t>清洗</w:t>
            </w:r>
            <w:r>
              <w:rPr>
                <w:rFonts w:hint="eastAsia" w:ascii="Times New Roman" w:hAnsi="Times New Roman"/>
                <w:color w:val="000000"/>
                <w:sz w:val="24"/>
                <w:szCs w:val="24"/>
                <w:highlight w:val="none"/>
                <w:lang w:val="en-US" w:eastAsia="zh-CN"/>
              </w:rPr>
              <w:t>废水</w:t>
            </w:r>
            <w:r>
              <w:rPr>
                <w:rFonts w:hint="eastAsia" w:ascii="Times New Roman" w:hAnsi="Times New Roman"/>
                <w:color w:val="000000"/>
                <w:sz w:val="24"/>
                <w:szCs w:val="24"/>
                <w:highlight w:val="none"/>
              </w:rPr>
              <w:t>等，以及生活污水</w:t>
            </w:r>
            <w:r>
              <w:rPr>
                <w:rFonts w:hint="eastAsia" w:ascii="Times New Roman" w:hAnsi="Times New Roman"/>
                <w:color w:val="000000"/>
                <w:sz w:val="24"/>
                <w:szCs w:val="24"/>
                <w:highlight w:val="none"/>
                <w:lang w:eastAsia="zh-CN"/>
              </w:rPr>
              <w:t>。</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①采样位置</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污水暂存设施和污水处理系统出水口。</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②检测频率</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水处理系统蓄水池中的排放水，按照每天监测1次。</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③监测目标和标准</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监测项目：</w:t>
            </w:r>
            <w:r>
              <w:rPr>
                <w:rFonts w:hint="eastAsia" w:ascii="Times New Roman" w:hAnsi="Times New Roman"/>
                <w:color w:val="000000"/>
                <w:sz w:val="24"/>
                <w:szCs w:val="24"/>
                <w:highlight w:val="none"/>
                <w:lang w:val="en-US" w:eastAsia="zh-CN"/>
              </w:rPr>
              <w:t>PH、</w:t>
            </w:r>
            <w:r>
              <w:rPr>
                <w:rFonts w:hint="eastAsia" w:ascii="Times New Roman" w:hAnsi="Times New Roman"/>
                <w:color w:val="000000"/>
                <w:sz w:val="24"/>
                <w:szCs w:val="24"/>
                <w:highlight w:val="none"/>
              </w:rPr>
              <w:t>COD、NH</w:t>
            </w:r>
            <w:r>
              <w:rPr>
                <w:rFonts w:hint="eastAsia" w:ascii="Times New Roman" w:hAnsi="Times New Roman"/>
                <w:color w:val="000000"/>
                <w:sz w:val="24"/>
                <w:szCs w:val="24"/>
                <w:highlight w:val="none"/>
                <w:vertAlign w:val="subscript"/>
                <w:lang w:val="en-US" w:eastAsia="zh-CN"/>
              </w:rPr>
              <w:t>3</w:t>
            </w:r>
            <w:r>
              <w:rPr>
                <w:rFonts w:hint="eastAsia" w:ascii="Times New Roman" w:hAnsi="Times New Roman"/>
                <w:color w:val="000000"/>
                <w:sz w:val="24"/>
                <w:szCs w:val="24"/>
                <w:highlight w:val="none"/>
              </w:rPr>
              <w:t>-N、S</w:t>
            </w:r>
            <w:r>
              <w:rPr>
                <w:rFonts w:hint="eastAsia" w:ascii="Times New Roman" w:hAnsi="Times New Roman"/>
                <w:color w:val="000000"/>
                <w:sz w:val="24"/>
                <w:szCs w:val="24"/>
                <w:highlight w:val="none"/>
                <w:lang w:val="en-US" w:eastAsia="zh-CN"/>
              </w:rPr>
              <w:t>S</w:t>
            </w:r>
            <w:r>
              <w:rPr>
                <w:rFonts w:hint="eastAsia" w:ascii="Times New Roman" w:hAnsi="Times New Roman"/>
                <w:color w:val="000000"/>
                <w:sz w:val="24"/>
                <w:szCs w:val="24"/>
                <w:highlight w:val="none"/>
              </w:rPr>
              <w:t>、</w:t>
            </w:r>
            <w:r>
              <w:rPr>
                <w:rFonts w:hint="eastAsia" w:ascii="Times New Roman" w:hAnsi="Times New Roman"/>
                <w:color w:val="000000"/>
                <w:sz w:val="24"/>
                <w:szCs w:val="24"/>
                <w:highlight w:val="none"/>
                <w:lang w:val="en-US" w:eastAsia="zh-CN"/>
              </w:rPr>
              <w:t>六价铬、总石油烃</w:t>
            </w:r>
            <w:r>
              <w:rPr>
                <w:rFonts w:hint="eastAsia" w:ascii="Times New Roman" w:hAnsi="Times New Roman"/>
                <w:color w:val="000000"/>
                <w:sz w:val="24"/>
                <w:szCs w:val="24"/>
                <w:highlight w:val="none"/>
              </w:rPr>
              <w:t>等；执行标准：排放口水质需满足本环评所列纳管标准。</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（2）土壤环境监测</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①布点方案</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采用分区、分层原则及相关导则和技术规范为准，采用以20 m*20m网格进行布点。分区原则：按照划分的污染物类型进行分区。分层原则：按每1m分为一层进行采样。</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②采样方法</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使用采样钻探设备在预定的点位采集特定深度的土壤样品，装满样品瓶，封盖后放入装有蓝冰的保温箱，最短时间内送实验室检测。采样、送样过程填写样品采集记录和样品流转单。</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③采样频次</w:t>
            </w:r>
          </w:p>
          <w:p>
            <w:pPr>
              <w:spacing w:line="360" w:lineRule="auto"/>
              <w:ind w:firstLine="480" w:firstLineChars="200"/>
              <w:rPr>
                <w:rFonts w:hint="eastAsia" w:ascii="Times New Roman" w:hAnsi="Times New Roman" w:eastAsia="宋体"/>
                <w:color w:val="000000"/>
                <w:sz w:val="24"/>
                <w:szCs w:val="24"/>
                <w:highlight w:val="none"/>
                <w:lang w:eastAsia="zh-CN"/>
              </w:rPr>
            </w:pPr>
            <w:r>
              <w:rPr>
                <w:rFonts w:hint="eastAsia" w:ascii="Times New Roman" w:hAnsi="Times New Roman"/>
                <w:color w:val="000000"/>
                <w:sz w:val="24"/>
                <w:szCs w:val="24"/>
                <w:highlight w:val="none"/>
              </w:rPr>
              <w:t>严格按照招标人要求，按照土壤修复处理批次、处理单元进行采样，每批次、每单元随机采集土壤样品，样品数量达到1个土样/400m</w:t>
            </w:r>
            <w:r>
              <w:rPr>
                <w:rFonts w:hint="eastAsia" w:ascii="Times New Roman" w:hAnsi="Times New Roman"/>
                <w:color w:val="000000"/>
                <w:sz w:val="24"/>
                <w:szCs w:val="24"/>
                <w:highlight w:val="none"/>
                <w:vertAlign w:val="superscript"/>
                <w:lang w:val="en-US" w:eastAsia="zh-CN"/>
              </w:rPr>
              <w:t>3</w:t>
            </w:r>
            <w:r>
              <w:rPr>
                <w:rFonts w:hint="eastAsia" w:ascii="Times New Roman" w:hAnsi="Times New Roman"/>
                <w:color w:val="000000"/>
                <w:sz w:val="24"/>
                <w:szCs w:val="24"/>
                <w:highlight w:val="none"/>
                <w:lang w:eastAsia="zh-CN"/>
              </w:rPr>
              <w:t>。</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（3）大气</w:t>
            </w:r>
            <w:r>
              <w:rPr>
                <w:rFonts w:hint="eastAsia" w:ascii="Times New Roman" w:hAnsi="Times New Roman"/>
                <w:color w:val="000000"/>
                <w:sz w:val="24"/>
                <w:szCs w:val="24"/>
                <w:highlight w:val="none"/>
                <w:lang w:val="en-US" w:eastAsia="zh-CN"/>
              </w:rPr>
              <w:t>环境监测</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为对比施工前后场地及周边空气中污染物的含量与污染状况，施工前后需对场地内和场地外空气介质中污染物浓度进行监测。此外，为判断污染物在场地内部和场地外空气介质中的扩散量和残留量是否符合相关的国家和国际安全标准，确保贮存和处置现场工人短期接触的职业健康安全和周边社区居民健康安全，需对施工全过程的空气污染物进行监测。</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①手工监测</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1）布点方案</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在施工时下风向和最近敏感点处设一个采样点.</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2）监测指标及评价标准</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根据本项目特点，建议监测指标包括TSP。下风向污染物按照排放标准执行，敏感点处参照各污染物的质量标准执行。</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（4）噪声环境监测</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在修复工程实施过程中，需对机械作业产生的噪声进行监测。测量时尽量选择无雨、无雪、风力6级以下的气候，且选在场地平坦、无大反射物的场地中进行监测。</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测点设在场界外1m，高度1.2m以上的位置及噪声敏感建筑物外，距墙壁或窗户1m处，距地面高度1.2m以上的位置。</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在场区的上下风向和周围敏感点的分布方向在厂界处布设监测点位，共布设</w:t>
            </w:r>
            <w:r>
              <w:rPr>
                <w:rFonts w:hint="eastAsia" w:ascii="Times New Roman" w:hAnsi="Times New Roman"/>
                <w:color w:val="000000"/>
                <w:sz w:val="24"/>
                <w:szCs w:val="24"/>
                <w:highlight w:val="none"/>
                <w:lang w:val="en-US" w:eastAsia="zh-CN"/>
              </w:rPr>
              <w:t>6</w:t>
            </w:r>
            <w:r>
              <w:rPr>
                <w:rFonts w:hint="eastAsia" w:ascii="Times New Roman" w:hAnsi="Times New Roman"/>
                <w:color w:val="000000"/>
                <w:sz w:val="24"/>
                <w:szCs w:val="24"/>
                <w:highlight w:val="none"/>
              </w:rPr>
              <w:t>个。</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（5）地下水环境监测</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在修复场地下游设置地下水监测点位，及时了解地下水水质情况。</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2、施工完成后监测</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为对比施工前后场地及周边空气中污染物的含量与污染状况，施工前后需对场地内和场地外空气介质中污染物浓度进行监测。</w:t>
            </w:r>
          </w:p>
          <w:p>
            <w:pPr>
              <w:spacing w:line="360" w:lineRule="auto"/>
              <w:ind w:firstLine="480" w:firstLineChars="200"/>
              <w:rPr>
                <w:rFonts w:hint="eastAsia" w:ascii="Times New Roman" w:hAnsi="Times New Roman"/>
                <w:color w:val="000000"/>
                <w:sz w:val="24"/>
                <w:szCs w:val="24"/>
                <w:highlight w:val="none"/>
              </w:rPr>
            </w:pPr>
            <w:r>
              <w:rPr>
                <w:rFonts w:hint="eastAsia" w:ascii="Times New Roman" w:hAnsi="Times New Roman"/>
                <w:color w:val="000000"/>
                <w:sz w:val="24"/>
                <w:szCs w:val="24"/>
                <w:highlight w:val="none"/>
              </w:rPr>
              <w:t>施工完成后大气监测布点、监测因子、监测方法、频率与施工前相同。</w:t>
            </w:r>
          </w:p>
          <w:p>
            <w:pPr>
              <w:pStyle w:val="144"/>
              <w:rPr>
                <w:rFonts w:hint="eastAsia" w:ascii="Times New Roman" w:hAnsi="Times New Roman"/>
                <w:color w:val="000000"/>
                <w:sz w:val="24"/>
                <w:szCs w:val="24"/>
                <w:highlight w:val="none"/>
              </w:rPr>
            </w:pPr>
          </w:p>
          <w:p>
            <w:pPr>
              <w:pStyle w:val="144"/>
              <w:rPr>
                <w:rFonts w:hint="eastAsia" w:ascii="Times New Roman" w:hAnsi="Times New Roman"/>
                <w:color w:val="000000"/>
                <w:sz w:val="24"/>
                <w:szCs w:val="24"/>
                <w:highlight w:val="none"/>
              </w:rPr>
            </w:pPr>
          </w:p>
          <w:p>
            <w:pPr>
              <w:spacing w:line="360" w:lineRule="auto"/>
              <w:ind w:firstLine="480" w:firstLineChars="200"/>
              <w:rPr>
                <w:rFonts w:ascii="Times New Roman" w:hAnsi="Times New Roman"/>
                <w:color w:val="000000"/>
                <w:sz w:val="24"/>
                <w:szCs w:val="24"/>
                <w:highlight w:val="none"/>
              </w:rPr>
            </w:pPr>
          </w:p>
          <w:p>
            <w:pPr>
              <w:spacing w:line="360" w:lineRule="auto"/>
              <w:ind w:firstLine="480" w:firstLineChars="200"/>
              <w:rPr>
                <w:rFonts w:ascii="Times New Roman" w:hAnsi="Times New Roman"/>
                <w:color w:val="000000"/>
                <w:sz w:val="24"/>
                <w:szCs w:val="24"/>
                <w:highlight w:val="none"/>
              </w:rPr>
            </w:pPr>
          </w:p>
          <w:p>
            <w:pPr>
              <w:spacing w:line="360" w:lineRule="auto"/>
              <w:ind w:firstLine="480" w:firstLineChars="200"/>
              <w:rPr>
                <w:rFonts w:ascii="Times New Roman" w:hAnsi="Times New Roman"/>
                <w:color w:val="000000"/>
                <w:sz w:val="24"/>
                <w:szCs w:val="24"/>
                <w:highlight w:val="none"/>
              </w:rPr>
            </w:pPr>
          </w:p>
          <w:p>
            <w:pPr>
              <w:spacing w:line="360" w:lineRule="auto"/>
              <w:ind w:firstLine="480" w:firstLineChars="200"/>
              <w:rPr>
                <w:rFonts w:hint="eastAsia" w:ascii="Times New Roman" w:hAnsi="Times New Roman"/>
                <w:color w:val="000000"/>
                <w:sz w:val="24"/>
                <w:szCs w:val="24"/>
                <w:highlight w:val="none"/>
                <w:lang w:val="en-US" w:eastAsia="zh-CN"/>
              </w:rPr>
            </w:pPr>
          </w:p>
          <w:p>
            <w:pPr>
              <w:spacing w:line="360" w:lineRule="auto"/>
              <w:ind w:firstLine="480" w:firstLineChars="200"/>
              <w:rPr>
                <w:rFonts w:hint="eastAsia" w:ascii="Times New Roman" w:hAnsi="Times New Roman"/>
                <w:color w:val="000000"/>
                <w:sz w:val="24"/>
                <w:szCs w:val="24"/>
                <w:highlight w:val="none"/>
                <w:lang w:val="en-US" w:eastAsia="zh-CN"/>
              </w:rPr>
            </w:pPr>
          </w:p>
          <w:p>
            <w:pPr>
              <w:spacing w:line="360" w:lineRule="auto"/>
              <w:ind w:firstLine="480" w:firstLineChars="200"/>
              <w:rPr>
                <w:rFonts w:hint="eastAsia" w:ascii="Times New Roman" w:hAnsi="Times New Roman"/>
                <w:color w:val="000000"/>
                <w:sz w:val="24"/>
                <w:szCs w:val="24"/>
                <w:highlight w:val="none"/>
                <w:lang w:val="en-US" w:eastAsia="zh-CN"/>
              </w:rPr>
            </w:pPr>
          </w:p>
          <w:p>
            <w:pPr>
              <w:spacing w:line="360" w:lineRule="auto"/>
              <w:ind w:firstLine="480" w:firstLineChars="200"/>
              <w:rPr>
                <w:rFonts w:hint="eastAsia" w:ascii="Times New Roman" w:hAnsi="Times New Roman"/>
                <w:color w:val="000000"/>
                <w:sz w:val="24"/>
                <w:szCs w:val="24"/>
                <w:highlight w:val="none"/>
                <w:lang w:val="en-US" w:eastAsia="zh-CN"/>
              </w:rPr>
            </w:pPr>
          </w:p>
          <w:p>
            <w:pPr>
              <w:spacing w:line="360" w:lineRule="auto"/>
              <w:ind w:firstLine="480" w:firstLineChars="200"/>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十</w:t>
            </w:r>
            <w:r>
              <w:rPr>
                <w:rFonts w:ascii="Times New Roman" w:hAnsi="Times New Roman"/>
                <w:color w:val="000000"/>
                <w:sz w:val="24"/>
                <w:szCs w:val="24"/>
                <w:highlight w:val="none"/>
              </w:rPr>
              <w:t>、环保投资估算</w:t>
            </w:r>
          </w:p>
          <w:p>
            <w:pPr>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本项目总投资为</w:t>
            </w:r>
            <w:r>
              <w:rPr>
                <w:rFonts w:hint="eastAsia" w:ascii="Times New Roman" w:hAnsi="Times New Roman"/>
                <w:color w:val="000000"/>
                <w:sz w:val="24"/>
                <w:szCs w:val="24"/>
                <w:highlight w:val="none"/>
                <w:lang w:val="en-US" w:eastAsia="zh-CN"/>
              </w:rPr>
              <w:t>3800</w:t>
            </w:r>
            <w:r>
              <w:rPr>
                <w:rFonts w:ascii="Times New Roman" w:hAnsi="Times New Roman"/>
                <w:color w:val="000000"/>
                <w:sz w:val="24"/>
                <w:szCs w:val="24"/>
                <w:highlight w:val="none"/>
              </w:rPr>
              <w:t>万元，其中环保投资为</w:t>
            </w:r>
            <w:r>
              <w:rPr>
                <w:rFonts w:hint="eastAsia" w:ascii="Times New Roman" w:hAnsi="Times New Roman"/>
                <w:color w:val="000000"/>
                <w:sz w:val="24"/>
                <w:szCs w:val="24"/>
                <w:highlight w:val="none"/>
                <w:lang w:val="en-US" w:eastAsia="zh-CN"/>
              </w:rPr>
              <w:t>105</w:t>
            </w:r>
            <w:r>
              <w:rPr>
                <w:rFonts w:ascii="Times New Roman" w:hAnsi="Times New Roman"/>
                <w:color w:val="000000"/>
                <w:sz w:val="24"/>
                <w:szCs w:val="24"/>
                <w:highlight w:val="none"/>
              </w:rPr>
              <w:t>万元，占总投资的</w:t>
            </w:r>
            <w:r>
              <w:rPr>
                <w:rFonts w:hint="eastAsia" w:ascii="Times New Roman" w:hAnsi="Times New Roman"/>
                <w:color w:val="000000"/>
                <w:sz w:val="24"/>
                <w:szCs w:val="24"/>
                <w:highlight w:val="none"/>
                <w:lang w:val="en-US" w:eastAsia="zh-CN"/>
              </w:rPr>
              <w:t>2.76</w:t>
            </w:r>
            <w:r>
              <w:rPr>
                <w:rFonts w:ascii="Times New Roman" w:hAnsi="Times New Roman"/>
                <w:color w:val="000000"/>
                <w:sz w:val="24"/>
                <w:szCs w:val="24"/>
                <w:highlight w:val="none"/>
              </w:rPr>
              <w:t>%，环保投资估算详见下表。</w:t>
            </w:r>
          </w:p>
          <w:p>
            <w:pPr>
              <w:pStyle w:val="14"/>
              <w:spacing w:after="0" w:line="360" w:lineRule="auto"/>
              <w:ind w:left="0" w:leftChars="0"/>
              <w:jc w:val="center"/>
              <w:rPr>
                <w:rFonts w:ascii="Times New Roman" w:hAnsi="Times New Roman"/>
                <w:b/>
                <w:color w:val="000000"/>
                <w:sz w:val="24"/>
                <w:szCs w:val="24"/>
                <w:highlight w:val="none"/>
              </w:rPr>
            </w:pPr>
            <w:r>
              <w:rPr>
                <w:rFonts w:ascii="Times New Roman" w:hAnsi="Times New Roman"/>
                <w:b/>
                <w:bCs/>
                <w:color w:val="000000"/>
                <w:sz w:val="24"/>
                <w:szCs w:val="24"/>
                <w:highlight w:val="none"/>
              </w:rPr>
              <w:t>表7-</w:t>
            </w:r>
            <w:r>
              <w:rPr>
                <w:rFonts w:hint="eastAsia" w:ascii="Times New Roman" w:hAnsi="Times New Roman"/>
                <w:b/>
                <w:bCs/>
                <w:color w:val="000000"/>
                <w:sz w:val="24"/>
                <w:szCs w:val="24"/>
                <w:highlight w:val="none"/>
                <w:lang w:val="en-US" w:eastAsia="zh-CN"/>
              </w:rPr>
              <w:t xml:space="preserve">21 </w:t>
            </w:r>
            <w:r>
              <w:rPr>
                <w:rFonts w:ascii="Times New Roman" w:hAnsi="Times New Roman"/>
                <w:b/>
                <w:bCs/>
                <w:color w:val="000000"/>
                <w:sz w:val="24"/>
                <w:szCs w:val="24"/>
                <w:highlight w:val="none"/>
              </w:rPr>
              <w:t xml:space="preserve"> </w:t>
            </w:r>
            <w:r>
              <w:rPr>
                <w:rFonts w:ascii="Times New Roman" w:hAnsi="Times New Roman"/>
                <w:b/>
                <w:color w:val="000000"/>
                <w:sz w:val="24"/>
                <w:szCs w:val="24"/>
                <w:highlight w:val="none"/>
              </w:rPr>
              <w:t>处理设施环保投资估算</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0"/>
              <w:gridCol w:w="1326"/>
              <w:gridCol w:w="2964"/>
              <w:gridCol w:w="1590"/>
              <w:gridCol w:w="2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noWrap w:val="0"/>
                  <w:vAlign w:val="center"/>
                </w:tcPr>
                <w:p>
                  <w:pPr>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时段</w:t>
                  </w:r>
                </w:p>
              </w:tc>
              <w:tc>
                <w:tcPr>
                  <w:tcW w:w="1326"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污染源</w:t>
                  </w:r>
                </w:p>
              </w:tc>
              <w:tc>
                <w:tcPr>
                  <w:tcW w:w="2964"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处理设施名称</w:t>
                  </w:r>
                </w:p>
              </w:tc>
              <w:tc>
                <w:tcPr>
                  <w:tcW w:w="1590"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投资（万元）</w:t>
                  </w:r>
                </w:p>
              </w:tc>
              <w:tc>
                <w:tcPr>
                  <w:tcW w:w="2630"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vMerge w:val="restart"/>
                  <w:noWrap w:val="0"/>
                  <w:vAlign w:val="center"/>
                </w:tcPr>
                <w:p>
                  <w:pPr>
                    <w:ind w:left="-105" w:leftChars="-50" w:right="-105" w:rightChars="-50"/>
                    <w:jc w:val="center"/>
                    <w:rPr>
                      <w:rFonts w:ascii="Times New Roman" w:hAnsi="Times New Roman"/>
                      <w:color w:val="000000"/>
                      <w:szCs w:val="21"/>
                      <w:highlight w:val="none"/>
                    </w:rPr>
                  </w:pPr>
                  <w:r>
                    <w:rPr>
                      <w:rFonts w:ascii="Times New Roman" w:hAnsi="Times New Roman"/>
                      <w:color w:val="000000"/>
                      <w:szCs w:val="21"/>
                      <w:highlight w:val="none"/>
                    </w:rPr>
                    <w:t>营运期</w:t>
                  </w:r>
                </w:p>
              </w:tc>
              <w:tc>
                <w:tcPr>
                  <w:tcW w:w="1326" w:type="dxa"/>
                  <w:noWrap w:val="0"/>
                  <w:vAlign w:val="center"/>
                </w:tcPr>
                <w:p>
                  <w:pPr>
                    <w:spacing w:line="240" w:lineRule="atLeast"/>
                    <w:jc w:val="center"/>
                    <w:rPr>
                      <w:rFonts w:ascii="Times New Roman" w:hAnsi="Times New Roman"/>
                      <w:color w:val="000000"/>
                      <w:szCs w:val="21"/>
                      <w:highlight w:val="none"/>
                    </w:rPr>
                  </w:pPr>
                  <w:r>
                    <w:rPr>
                      <w:rFonts w:ascii="Times New Roman" w:hAnsi="Times New Roman"/>
                      <w:color w:val="000000"/>
                      <w:szCs w:val="21"/>
                      <w:highlight w:val="none"/>
                      <w:lang w:eastAsia="en-US"/>
                    </w:rPr>
                    <w:t>废气</w:t>
                  </w:r>
                  <w:r>
                    <w:rPr>
                      <w:rFonts w:ascii="Times New Roman" w:hAnsi="Times New Roman"/>
                      <w:color w:val="000000"/>
                      <w:szCs w:val="21"/>
                      <w:highlight w:val="none"/>
                    </w:rPr>
                    <w:t>处理</w:t>
                  </w:r>
                </w:p>
              </w:tc>
              <w:tc>
                <w:tcPr>
                  <w:tcW w:w="2964" w:type="dxa"/>
                  <w:noWrap w:val="0"/>
                  <w:vAlign w:val="center"/>
                </w:tcPr>
                <w:p>
                  <w:pPr>
                    <w:pStyle w:val="44"/>
                    <w:rPr>
                      <w:rFonts w:hint="eastAsia" w:ascii="Times New Roman" w:hAnsi="Times New Roman"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场地土壤修复施工时场地四周设有阻施工围挡，施工现场做好定期酒水，堆场内空气流动性小</w:t>
                  </w:r>
                  <w:r>
                    <w:rPr>
                      <w:rFonts w:hint="eastAsia" w:ascii="Times New Roman" w:hAnsi="Times New Roman" w:cs="Times New Roman"/>
                      <w:color w:val="000000"/>
                      <w:szCs w:val="21"/>
                      <w:highlight w:val="none"/>
                      <w:lang w:val="en-US" w:eastAsia="zh-CN"/>
                    </w:rPr>
                    <w:t>；及时对道路进行酒水，保持一定湿度，并通过道路硬化和做好运输车辆加盖篷布及车厢防漏措施来得到控制扬尘。车辆进出场做好冲洗工作，出场后做好土壤保湿工作，减少在土壤装载过程中扬尘的产生：外运车辆加帆布履盖，减少在运输途中的扬尘产生；施工过程中喷洒气味抑制剂来控</w:t>
                  </w:r>
                </w:p>
                <w:p>
                  <w:pPr>
                    <w:pStyle w:val="44"/>
                    <w:rPr>
                      <w:rFonts w:hint="default" w:ascii="Times New Roman" w:hAnsi="Times New Roman" w:eastAsia="宋体" w:cs="Times New Roman"/>
                      <w:color w:val="000000"/>
                      <w:szCs w:val="21"/>
                      <w:highlight w:val="none"/>
                      <w:lang w:val="en-US" w:eastAsia="zh-CN"/>
                    </w:rPr>
                  </w:pPr>
                  <w:r>
                    <w:rPr>
                      <w:rFonts w:hint="eastAsia" w:ascii="Times New Roman" w:hAnsi="Times New Roman" w:cs="Times New Roman"/>
                      <w:color w:val="000000"/>
                      <w:szCs w:val="21"/>
                      <w:highlight w:val="none"/>
                      <w:lang w:val="en-US" w:eastAsia="zh-CN"/>
                    </w:rPr>
                    <w:t>制土壤气味的散发；营地油烟通过油烟净化器净化后排放。</w:t>
                  </w:r>
                </w:p>
              </w:tc>
              <w:tc>
                <w:tcPr>
                  <w:tcW w:w="1590"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50</w:t>
                  </w:r>
                </w:p>
              </w:tc>
              <w:tc>
                <w:tcPr>
                  <w:tcW w:w="2630" w:type="dxa"/>
                  <w:noWrap w:val="0"/>
                  <w:vAlign w:val="center"/>
                </w:tcPr>
                <w:p>
                  <w:pPr>
                    <w:jc w:val="center"/>
                    <w:rPr>
                      <w:rFonts w:ascii="Times New Roman" w:hAnsi="Times New Roman"/>
                      <w:color w:val="000000"/>
                      <w:szCs w:val="22"/>
                      <w:highlight w:val="none"/>
                    </w:rPr>
                  </w:pPr>
                  <w:r>
                    <w:rPr>
                      <w:rFonts w:hint="eastAsia" w:ascii="Times New Roman" w:hAnsi="Times New Roman" w:cs="Times New Roman"/>
                      <w:color w:val="auto"/>
                      <w:sz w:val="21"/>
                      <w:szCs w:val="21"/>
                      <w:lang w:val="en-US" w:eastAsia="zh-CN"/>
                    </w:rPr>
                    <w:t>颗粒物执行《大气污染物综合排放标准》（GB16297-1996）无组织排放监控浓度限值；食堂餐饮油烟排放执行《饮食业油烟排放标准（试行）》（GB18483-2001）中小型相关标准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vMerge w:val="continue"/>
                  <w:noWrap w:val="0"/>
                  <w:vAlign w:val="center"/>
                </w:tcPr>
                <w:p>
                  <w:pPr>
                    <w:ind w:left="-105" w:leftChars="-50" w:right="-105" w:rightChars="-50"/>
                    <w:jc w:val="center"/>
                    <w:rPr>
                      <w:rFonts w:ascii="Times New Roman" w:hAnsi="Times New Roman"/>
                      <w:color w:val="000000"/>
                      <w:szCs w:val="21"/>
                      <w:highlight w:val="none"/>
                    </w:rPr>
                  </w:pPr>
                </w:p>
              </w:tc>
              <w:tc>
                <w:tcPr>
                  <w:tcW w:w="1326" w:type="dxa"/>
                  <w:noWrap w:val="0"/>
                  <w:vAlign w:val="center"/>
                </w:tcPr>
                <w:p>
                  <w:pPr>
                    <w:pStyle w:val="44"/>
                    <w:rPr>
                      <w:rFonts w:ascii="Times New Roman" w:hAnsi="Times New Roman" w:cs="Times New Roman"/>
                      <w:color w:val="000000"/>
                      <w:szCs w:val="21"/>
                      <w:highlight w:val="none"/>
                    </w:rPr>
                  </w:pPr>
                  <w:r>
                    <w:rPr>
                      <w:rFonts w:ascii="Times New Roman" w:hAnsi="Times New Roman" w:cs="Times New Roman"/>
                      <w:color w:val="000000"/>
                      <w:szCs w:val="21"/>
                      <w:highlight w:val="none"/>
                    </w:rPr>
                    <w:t>污水处理与收集</w:t>
                  </w:r>
                </w:p>
              </w:tc>
              <w:tc>
                <w:tcPr>
                  <w:tcW w:w="2964" w:type="dxa"/>
                  <w:noWrap w:val="0"/>
                  <w:vAlign w:val="center"/>
                </w:tcPr>
                <w:p>
                  <w:pPr>
                    <w:pStyle w:val="44"/>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生活污水经隔油池、化粪池处置，初期雨水汇入至雨水收集系统内，伴随基坑废水、污染地下水抽水、车辆清洗废水等一同排放至厂区西南侧新建的污水处理站内处置，该污水处理站处理规模为80m</w:t>
                  </w:r>
                  <w:r>
                    <w:rPr>
                      <w:rFonts w:hint="default" w:ascii="Times New Roman" w:hAnsi="Times New Roman" w:eastAsia="宋体" w:cs="Times New Roman"/>
                      <w:color w:val="000000"/>
                      <w:szCs w:val="21"/>
                      <w:highlight w:val="none"/>
                      <w:vertAlign w:val="superscript"/>
                      <w:lang w:val="en-US" w:eastAsia="zh-CN"/>
                    </w:rPr>
                    <w:t>3</w:t>
                  </w:r>
                  <w:r>
                    <w:rPr>
                      <w:rFonts w:hint="default" w:ascii="Times New Roman" w:hAnsi="Times New Roman" w:eastAsia="宋体" w:cs="Times New Roman"/>
                      <w:color w:val="000000"/>
                      <w:szCs w:val="21"/>
                      <w:highlight w:val="none"/>
                      <w:lang w:val="en-US" w:eastAsia="zh-CN"/>
                    </w:rPr>
                    <w:t>/d，处理工艺采用“调节+破乳池+气浮+两级滤碳”工艺</w:t>
                  </w:r>
                </w:p>
              </w:tc>
              <w:tc>
                <w:tcPr>
                  <w:tcW w:w="1590"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30</w:t>
                  </w:r>
                </w:p>
              </w:tc>
              <w:tc>
                <w:tcPr>
                  <w:tcW w:w="2630" w:type="dxa"/>
                  <w:noWrap w:val="0"/>
                  <w:vAlign w:val="center"/>
                </w:tcPr>
                <w:p>
                  <w:pPr>
                    <w:jc w:val="center"/>
                    <w:rPr>
                      <w:rFonts w:ascii="Times New Roman" w:hAnsi="Times New Roman"/>
                      <w:color w:val="000000"/>
                      <w:szCs w:val="22"/>
                      <w:highlight w:val="none"/>
                    </w:rPr>
                  </w:pPr>
                  <w:r>
                    <w:rPr>
                      <w:rFonts w:ascii="Times New Roman" w:hAnsi="Times New Roman"/>
                      <w:color w:val="000000"/>
                      <w:highlight w:val="none"/>
                    </w:rPr>
                    <w:t>《污水综合排放标准》（GB8978-1996）中的三级标准（氨氮参照《污水排入城镇下水道水质标准》（GB/T31962-2015中的标准）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0" w:type="dxa"/>
                  <w:vMerge w:val="continue"/>
                  <w:noWrap w:val="0"/>
                  <w:vAlign w:val="center"/>
                </w:tcPr>
                <w:p>
                  <w:pPr>
                    <w:ind w:left="-105" w:leftChars="-50" w:right="-105" w:rightChars="-50"/>
                    <w:jc w:val="center"/>
                    <w:rPr>
                      <w:rFonts w:ascii="Times New Roman" w:hAnsi="Times New Roman"/>
                      <w:color w:val="000000"/>
                      <w:szCs w:val="21"/>
                      <w:highlight w:val="none"/>
                    </w:rPr>
                  </w:pPr>
                </w:p>
              </w:tc>
              <w:tc>
                <w:tcPr>
                  <w:tcW w:w="1326" w:type="dxa"/>
                  <w:vMerge w:val="restart"/>
                  <w:noWrap w:val="0"/>
                  <w:vAlign w:val="center"/>
                </w:tcPr>
                <w:p>
                  <w:pPr>
                    <w:pStyle w:val="44"/>
                    <w:rPr>
                      <w:rFonts w:ascii="Times New Roman" w:hAnsi="Times New Roman" w:cs="Times New Roman"/>
                      <w:color w:val="000000"/>
                      <w:szCs w:val="21"/>
                      <w:highlight w:val="none"/>
                    </w:rPr>
                  </w:pPr>
                  <w:r>
                    <w:rPr>
                      <w:rFonts w:ascii="Times New Roman" w:hAnsi="Times New Roman" w:cs="Times New Roman"/>
                      <w:color w:val="000000"/>
                      <w:szCs w:val="21"/>
                      <w:highlight w:val="none"/>
                    </w:rPr>
                    <w:t>固废处理</w:t>
                  </w:r>
                </w:p>
              </w:tc>
              <w:tc>
                <w:tcPr>
                  <w:tcW w:w="2964" w:type="dxa"/>
                  <w:noWrap w:val="0"/>
                  <w:vAlign w:val="center"/>
                </w:tcPr>
                <w:p>
                  <w:pPr>
                    <w:pStyle w:val="44"/>
                    <w:rPr>
                      <w:rFonts w:ascii="Times New Roman" w:hAnsi="Times New Roman" w:cs="Times New Roman"/>
                      <w:color w:val="000000"/>
                      <w:szCs w:val="21"/>
                      <w:highlight w:val="none"/>
                    </w:rPr>
                  </w:pPr>
                  <w:r>
                    <w:rPr>
                      <w:rFonts w:ascii="Times New Roman" w:hAnsi="Times New Roman" w:cs="Times New Roman"/>
                      <w:color w:val="000000"/>
                      <w:szCs w:val="21"/>
                      <w:highlight w:val="none"/>
                    </w:rPr>
                    <w:t>生活垃圾收集桶</w:t>
                  </w:r>
                </w:p>
              </w:tc>
              <w:tc>
                <w:tcPr>
                  <w:tcW w:w="1590" w:type="dxa"/>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w:t>
                  </w:r>
                </w:p>
              </w:tc>
              <w:tc>
                <w:tcPr>
                  <w:tcW w:w="2630" w:type="dxa"/>
                  <w:vMerge w:val="restart"/>
                  <w:noWrap w:val="0"/>
                  <w:vAlign w:val="center"/>
                </w:tcPr>
                <w:p>
                  <w:pPr>
                    <w:jc w:val="center"/>
                    <w:rPr>
                      <w:rFonts w:ascii="Times New Roman" w:hAnsi="Times New Roman"/>
                      <w:color w:val="000000"/>
                      <w:szCs w:val="22"/>
                      <w:highlight w:val="none"/>
                    </w:rPr>
                  </w:pPr>
                  <w:r>
                    <w:rPr>
                      <w:rFonts w:ascii="Times New Roman" w:hAnsi="Times New Roman"/>
                      <w:color w:val="000000"/>
                      <w:szCs w:val="21"/>
                      <w:highlight w:val="none"/>
                    </w:rPr>
                    <w:t>符合环境卫生管理要求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0" w:type="dxa"/>
                  <w:vMerge w:val="continue"/>
                  <w:noWrap w:val="0"/>
                  <w:vAlign w:val="center"/>
                </w:tcPr>
                <w:p>
                  <w:pPr>
                    <w:ind w:left="-105" w:leftChars="-50" w:right="-105" w:rightChars="-50"/>
                    <w:jc w:val="center"/>
                    <w:rPr>
                      <w:rFonts w:ascii="Times New Roman" w:hAnsi="Times New Roman"/>
                      <w:color w:val="000000"/>
                      <w:szCs w:val="21"/>
                      <w:highlight w:val="none"/>
                    </w:rPr>
                  </w:pPr>
                </w:p>
              </w:tc>
              <w:tc>
                <w:tcPr>
                  <w:tcW w:w="1326" w:type="dxa"/>
                  <w:vMerge w:val="continue"/>
                  <w:noWrap w:val="0"/>
                  <w:vAlign w:val="center"/>
                </w:tcPr>
                <w:p>
                  <w:pPr>
                    <w:pStyle w:val="44"/>
                    <w:rPr>
                      <w:rFonts w:ascii="Times New Roman" w:hAnsi="Times New Roman" w:cs="Times New Roman"/>
                      <w:color w:val="000000"/>
                      <w:szCs w:val="21"/>
                      <w:highlight w:val="none"/>
                    </w:rPr>
                  </w:pPr>
                </w:p>
              </w:tc>
              <w:tc>
                <w:tcPr>
                  <w:tcW w:w="2964" w:type="dxa"/>
                  <w:noWrap w:val="0"/>
                  <w:vAlign w:val="center"/>
                </w:tcPr>
                <w:p>
                  <w:pPr>
                    <w:pStyle w:val="44"/>
                    <w:rPr>
                      <w:rFonts w:hint="eastAsia" w:ascii="Times New Roman" w:hAnsi="Times New Roman" w:cs="Times New Roman"/>
                      <w:color w:val="000000"/>
                      <w:szCs w:val="21"/>
                      <w:highlight w:val="none"/>
                      <w:lang w:val="en-US" w:eastAsia="zh-CN"/>
                    </w:rPr>
                  </w:pPr>
                  <w:r>
                    <w:rPr>
                      <w:rFonts w:ascii="Times New Roman" w:hAnsi="Times New Roman" w:cs="Times New Roman"/>
                      <w:color w:val="000000"/>
                      <w:szCs w:val="21"/>
                      <w:highlight w:val="none"/>
                    </w:rPr>
                    <w:t>危险固废暂存场所</w:t>
                  </w:r>
                </w:p>
              </w:tc>
              <w:tc>
                <w:tcPr>
                  <w:tcW w:w="1590" w:type="dxa"/>
                  <w:noWrap w:val="0"/>
                  <w:vAlign w:val="center"/>
                </w:tcPr>
                <w:p>
                  <w:pPr>
                    <w:jc w:val="center"/>
                    <w:rPr>
                      <w:rFonts w:hint="eastAsia"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w:t>
                  </w:r>
                </w:p>
              </w:tc>
              <w:tc>
                <w:tcPr>
                  <w:tcW w:w="2630" w:type="dxa"/>
                  <w:vMerge w:val="continue"/>
                  <w:noWrap w:val="0"/>
                  <w:vAlign w:val="center"/>
                </w:tcPr>
                <w:p>
                  <w:pPr>
                    <w:jc w:val="center"/>
                    <w:rPr>
                      <w:rFonts w:ascii="Times New Roman" w:hAnsi="Times New Roman"/>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vMerge w:val="continue"/>
                  <w:noWrap w:val="0"/>
                  <w:vAlign w:val="center"/>
                </w:tcPr>
                <w:p>
                  <w:pPr>
                    <w:ind w:left="-105" w:leftChars="-50" w:right="-105" w:rightChars="-50"/>
                    <w:jc w:val="center"/>
                    <w:rPr>
                      <w:rFonts w:ascii="Times New Roman" w:hAnsi="Times New Roman"/>
                      <w:color w:val="000000"/>
                      <w:szCs w:val="21"/>
                      <w:highlight w:val="none"/>
                    </w:rPr>
                  </w:pPr>
                </w:p>
              </w:tc>
              <w:tc>
                <w:tcPr>
                  <w:tcW w:w="1326" w:type="dxa"/>
                  <w:noWrap w:val="0"/>
                  <w:vAlign w:val="center"/>
                </w:tcPr>
                <w:p>
                  <w:pPr>
                    <w:pStyle w:val="44"/>
                    <w:rPr>
                      <w:rFonts w:ascii="Times New Roman" w:hAnsi="Times New Roman" w:cs="Times New Roman"/>
                      <w:color w:val="000000"/>
                      <w:szCs w:val="21"/>
                      <w:highlight w:val="none"/>
                    </w:rPr>
                  </w:pPr>
                  <w:r>
                    <w:rPr>
                      <w:rFonts w:ascii="Times New Roman" w:hAnsi="Times New Roman" w:cs="Times New Roman"/>
                      <w:color w:val="000000"/>
                      <w:szCs w:val="21"/>
                      <w:highlight w:val="none"/>
                    </w:rPr>
                    <w:t>噪声治理</w:t>
                  </w:r>
                </w:p>
              </w:tc>
              <w:tc>
                <w:tcPr>
                  <w:tcW w:w="2964" w:type="dxa"/>
                  <w:noWrap w:val="0"/>
                  <w:vAlign w:val="center"/>
                </w:tcPr>
                <w:p>
                  <w:pPr>
                    <w:pStyle w:val="44"/>
                    <w:rPr>
                      <w:rFonts w:hint="default" w:ascii="Times New Roman" w:hAnsi="Times New Roman" w:eastAsia="宋体" w:cs="Times New Roman"/>
                      <w:color w:val="000000"/>
                      <w:szCs w:val="21"/>
                      <w:highlight w:val="none"/>
                      <w:lang w:val="en-US" w:eastAsia="zh-CN"/>
                    </w:rPr>
                  </w:pPr>
                  <w:r>
                    <w:rPr>
                      <w:rFonts w:hint="eastAsia" w:ascii="Times New Roman" w:hAnsi="Times New Roman" w:cs="Times New Roman"/>
                      <w:color w:val="000000"/>
                      <w:szCs w:val="21"/>
                      <w:highlight w:val="none"/>
                    </w:rPr>
                    <w:t>施工期间要做好降噪措施，选用低噪设备并定期检修</w:t>
                  </w:r>
                  <w:r>
                    <w:rPr>
                      <w:rFonts w:hint="eastAsia" w:ascii="Times New Roman" w:hAnsi="Times New Roman" w:cs="Times New Roman"/>
                      <w:color w:val="000000"/>
                      <w:szCs w:val="21"/>
                      <w:highlight w:val="none"/>
                      <w:lang w:eastAsia="zh-CN"/>
                    </w:rPr>
                    <w:t>，</w:t>
                  </w:r>
                  <w:r>
                    <w:rPr>
                      <w:rFonts w:hint="eastAsia" w:ascii="Times New Roman" w:hAnsi="Times New Roman" w:cs="Times New Roman"/>
                      <w:color w:val="000000"/>
                      <w:szCs w:val="21"/>
                      <w:highlight w:val="none"/>
                    </w:rPr>
                    <w:t>采取合理的作业时间</w:t>
                  </w:r>
                  <w:r>
                    <w:rPr>
                      <w:rFonts w:hint="eastAsia" w:ascii="Times New Roman" w:hAnsi="Times New Roman" w:cs="Times New Roman"/>
                      <w:color w:val="000000"/>
                      <w:szCs w:val="21"/>
                      <w:highlight w:val="none"/>
                      <w:lang w:eastAsia="zh-CN"/>
                    </w:rPr>
                    <w:t>，</w:t>
                  </w:r>
                  <w:r>
                    <w:rPr>
                      <w:rFonts w:hint="eastAsia" w:ascii="Times New Roman" w:hAnsi="Times New Roman" w:cs="Times New Roman"/>
                      <w:color w:val="000000"/>
                      <w:szCs w:val="21"/>
                      <w:highlight w:val="none"/>
                      <w:lang w:val="en-US" w:eastAsia="zh-CN"/>
                    </w:rPr>
                    <w:t>采用隔声屏障</w:t>
                  </w:r>
                </w:p>
              </w:tc>
              <w:tc>
                <w:tcPr>
                  <w:tcW w:w="1590" w:type="dxa"/>
                  <w:noWrap w:val="0"/>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10</w:t>
                  </w:r>
                </w:p>
              </w:tc>
              <w:tc>
                <w:tcPr>
                  <w:tcW w:w="2630" w:type="dxa"/>
                  <w:noWrap w:val="0"/>
                  <w:vAlign w:val="center"/>
                </w:tcPr>
                <w:p>
                  <w:pPr>
                    <w:ind w:hanging="16"/>
                    <w:jc w:val="center"/>
                    <w:rPr>
                      <w:rFonts w:ascii="Times New Roman" w:hAnsi="Times New Roman"/>
                      <w:color w:val="000000"/>
                      <w:szCs w:val="22"/>
                      <w:highlight w:val="none"/>
                    </w:rPr>
                  </w:pPr>
                  <w:r>
                    <w:rPr>
                      <w:rFonts w:ascii="Times New Roman" w:hAnsi="Times New Roman"/>
                      <w:color w:val="000000"/>
                      <w:szCs w:val="21"/>
                      <w:highlight w:val="none"/>
                    </w:rPr>
                    <w:t>满</w:t>
                  </w:r>
                  <w:r>
                    <w:rPr>
                      <w:rFonts w:hint="eastAsia" w:ascii="Times New Roman" w:hAnsi="Times New Roman"/>
                      <w:color w:val="000000"/>
                      <w:szCs w:val="21"/>
                      <w:highlight w:val="none"/>
                    </w:rPr>
                    <w:t>足《建筑施工场界环境噪声排放标准》（GB12523-2011）标准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vMerge w:val="continue"/>
                  <w:noWrap w:val="0"/>
                  <w:vAlign w:val="center"/>
                </w:tcPr>
                <w:p>
                  <w:pPr>
                    <w:ind w:left="-105" w:leftChars="-50" w:right="-105" w:rightChars="-50"/>
                    <w:jc w:val="center"/>
                    <w:rPr>
                      <w:rFonts w:ascii="Times New Roman" w:hAnsi="Times New Roman"/>
                      <w:color w:val="000000"/>
                      <w:szCs w:val="21"/>
                      <w:highlight w:val="none"/>
                    </w:rPr>
                  </w:pPr>
                </w:p>
              </w:tc>
              <w:tc>
                <w:tcPr>
                  <w:tcW w:w="1326" w:type="dxa"/>
                  <w:noWrap w:val="0"/>
                  <w:vAlign w:val="center"/>
                </w:tcPr>
                <w:p>
                  <w:pPr>
                    <w:pStyle w:val="44"/>
                    <w:rPr>
                      <w:rFonts w:ascii="Times New Roman" w:hAnsi="Times New Roman" w:cs="Times New Roman"/>
                      <w:color w:val="000000"/>
                      <w:szCs w:val="21"/>
                      <w:highlight w:val="none"/>
                    </w:rPr>
                  </w:pPr>
                  <w:r>
                    <w:rPr>
                      <w:rFonts w:hint="default" w:ascii="Times New Roman" w:hAnsi="Times New Roman" w:cs="Times New Roman"/>
                      <w:color w:val="000000"/>
                      <w:szCs w:val="21"/>
                      <w:lang w:val="en-US" w:eastAsia="zh-CN"/>
                    </w:rPr>
                    <w:t>防渗治理</w:t>
                  </w:r>
                </w:p>
              </w:tc>
              <w:tc>
                <w:tcPr>
                  <w:tcW w:w="2964" w:type="dxa"/>
                  <w:noWrap w:val="0"/>
                  <w:vAlign w:val="center"/>
                </w:tcPr>
                <w:p>
                  <w:pPr>
                    <w:pStyle w:val="44"/>
                    <w:rPr>
                      <w:rFonts w:hint="eastAsia" w:ascii="Times New Roman" w:hAnsi="Times New Roman" w:cs="Times New Roman"/>
                      <w:color w:val="000000"/>
                      <w:szCs w:val="21"/>
                      <w:highlight w:val="none"/>
                    </w:rPr>
                  </w:pPr>
                  <w:r>
                    <w:rPr>
                      <w:rFonts w:hint="default" w:ascii="Times New Roman" w:hAnsi="Times New Roman" w:cs="Times New Roman"/>
                      <w:szCs w:val="21"/>
                    </w:rPr>
                    <w:t>危废暂存仓库</w:t>
                  </w:r>
                  <w:r>
                    <w:rPr>
                      <w:rFonts w:hint="default" w:ascii="Times New Roman" w:hAnsi="Times New Roman" w:cs="Times New Roman"/>
                      <w:szCs w:val="21"/>
                      <w:lang w:eastAsia="zh-CN"/>
                    </w:rPr>
                    <w:t>、</w:t>
                  </w:r>
                  <w:r>
                    <w:rPr>
                      <w:rFonts w:hint="default" w:ascii="Times New Roman" w:hAnsi="Times New Roman" w:cs="Times New Roman"/>
                      <w:szCs w:val="21"/>
                    </w:rPr>
                    <w:t>污水处理设备所在地面</w:t>
                  </w:r>
                  <w:r>
                    <w:rPr>
                      <w:rFonts w:hint="default" w:ascii="Times New Roman" w:hAnsi="Times New Roman" w:cs="Times New Roman"/>
                      <w:szCs w:val="21"/>
                      <w:lang w:eastAsia="zh-CN"/>
                    </w:rPr>
                    <w:t>、</w:t>
                  </w:r>
                  <w:r>
                    <w:rPr>
                      <w:rFonts w:hint="default" w:ascii="Times New Roman" w:hAnsi="Times New Roman" w:cs="Times New Roman"/>
                      <w:szCs w:val="21"/>
                    </w:rPr>
                    <w:t>事故池</w:t>
                  </w:r>
                  <w:r>
                    <w:rPr>
                      <w:rFonts w:hint="default" w:ascii="Times New Roman" w:hAnsi="Times New Roman" w:cs="Times New Roman"/>
                      <w:szCs w:val="21"/>
                      <w:lang w:eastAsia="zh-CN"/>
                    </w:rPr>
                    <w:t>、</w:t>
                  </w:r>
                  <w:r>
                    <w:rPr>
                      <w:rFonts w:hint="eastAsia" w:ascii="Times New Roman" w:hAnsi="Times New Roman" w:cs="Times New Roman"/>
                      <w:szCs w:val="21"/>
                      <w:lang w:val="en-US" w:eastAsia="zh-CN"/>
                    </w:rPr>
                    <w:t>雨水收集池</w:t>
                  </w:r>
                  <w:r>
                    <w:rPr>
                      <w:rFonts w:hint="default" w:ascii="Times New Roman" w:hAnsi="Times New Roman" w:cs="Times New Roman"/>
                      <w:szCs w:val="21"/>
                      <w:lang w:val="en-US" w:eastAsia="zh-CN"/>
                    </w:rPr>
                    <w:t>所在地面做重点防渗处理</w:t>
                  </w:r>
                </w:p>
              </w:tc>
              <w:tc>
                <w:tcPr>
                  <w:tcW w:w="1590"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10</w:t>
                  </w:r>
                </w:p>
              </w:tc>
              <w:tc>
                <w:tcPr>
                  <w:tcW w:w="2630" w:type="dxa"/>
                  <w:noWrap w:val="0"/>
                  <w:vAlign w:val="center"/>
                </w:tcPr>
                <w:p>
                  <w:pPr>
                    <w:ind w:hanging="16" w:firstLineChars="0"/>
                    <w:jc w:val="center"/>
                    <w:rPr>
                      <w:rFonts w:ascii="Times New Roman" w:hAnsi="Times New Roman"/>
                      <w:color w:val="000000"/>
                      <w:szCs w:val="21"/>
                      <w:highlight w:val="none"/>
                    </w:rPr>
                  </w:pPr>
                  <w:r>
                    <w:rPr>
                      <w:rFonts w:hint="default" w:ascii="Times New Roman" w:hAnsi="Times New Roman" w:cs="Times New Roman"/>
                      <w:color w:val="000000"/>
                      <w:szCs w:val="21"/>
                      <w:lang w:val="en-US" w:eastAsia="zh-CN"/>
                    </w:rPr>
                    <w:t>满足重点防渗处理要求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dxa"/>
                  <w:vMerge w:val="continue"/>
                  <w:noWrap w:val="0"/>
                  <w:vAlign w:val="center"/>
                </w:tcPr>
                <w:p>
                  <w:pPr>
                    <w:ind w:left="-105" w:leftChars="-50" w:right="-105" w:rightChars="-50"/>
                    <w:jc w:val="center"/>
                    <w:rPr>
                      <w:rFonts w:ascii="Times New Roman" w:hAnsi="Times New Roman"/>
                      <w:color w:val="000000"/>
                      <w:szCs w:val="21"/>
                      <w:highlight w:val="none"/>
                    </w:rPr>
                  </w:pPr>
                </w:p>
              </w:tc>
              <w:tc>
                <w:tcPr>
                  <w:tcW w:w="1326" w:type="dxa"/>
                  <w:noWrap w:val="0"/>
                  <w:vAlign w:val="center"/>
                </w:tcPr>
                <w:p>
                  <w:pPr>
                    <w:pStyle w:val="44"/>
                    <w:rPr>
                      <w:rFonts w:hint="default" w:ascii="Times New Roman" w:hAnsi="Times New Roman" w:cs="Times New Roman"/>
                      <w:color w:val="000000"/>
                      <w:szCs w:val="21"/>
                      <w:lang w:val="en-US" w:eastAsia="zh-CN"/>
                    </w:rPr>
                  </w:pPr>
                  <w:r>
                    <w:rPr>
                      <w:rFonts w:hint="default" w:ascii="Times New Roman" w:hAnsi="Times New Roman" w:cs="Times New Roman"/>
                      <w:color w:val="000000"/>
                      <w:szCs w:val="21"/>
                      <w:lang w:val="en-US" w:eastAsia="zh-CN"/>
                    </w:rPr>
                    <w:t>环境风险治理</w:t>
                  </w:r>
                </w:p>
              </w:tc>
              <w:tc>
                <w:tcPr>
                  <w:tcW w:w="2964" w:type="dxa"/>
                  <w:noWrap w:val="0"/>
                  <w:vAlign w:val="center"/>
                </w:tcPr>
                <w:p>
                  <w:pPr>
                    <w:pStyle w:val="44"/>
                    <w:rPr>
                      <w:rFonts w:hint="default" w:ascii="Times New Roman" w:hAnsi="Times New Roman" w:cs="Times New Roman"/>
                      <w:szCs w:val="21"/>
                    </w:rPr>
                  </w:pPr>
                  <w:r>
                    <w:rPr>
                      <w:rFonts w:hint="default" w:ascii="Times New Roman" w:hAnsi="Times New Roman" w:cs="Times New Roman"/>
                      <w:szCs w:val="21"/>
                      <w:lang w:val="en-US" w:eastAsia="zh-CN"/>
                    </w:rPr>
                    <w:t>建设事故池1座，容积</w:t>
                  </w:r>
                  <w:r>
                    <w:rPr>
                      <w:rFonts w:hint="eastAsia" w:ascii="Times New Roman" w:hAnsi="Times New Roman" w:cs="Times New Roman"/>
                      <w:szCs w:val="21"/>
                      <w:lang w:val="en-US" w:eastAsia="zh-CN"/>
                    </w:rPr>
                    <w:t>100</w:t>
                  </w:r>
                  <w:r>
                    <w:rPr>
                      <w:rFonts w:hint="default" w:ascii="Times New Roman" w:hAnsi="Times New Roman" w:cs="Times New Roman"/>
                      <w:szCs w:val="21"/>
                      <w:lang w:val="en-US" w:eastAsia="zh-CN"/>
                    </w:rPr>
                    <w:t>m</w:t>
                  </w:r>
                  <w:r>
                    <w:rPr>
                      <w:rFonts w:hint="default" w:ascii="Times New Roman" w:hAnsi="Times New Roman" w:cs="Times New Roman"/>
                      <w:szCs w:val="21"/>
                      <w:vertAlign w:val="superscript"/>
                      <w:lang w:val="en-US" w:eastAsia="zh-CN"/>
                    </w:rPr>
                    <w:t>3</w:t>
                  </w:r>
                </w:p>
              </w:tc>
              <w:tc>
                <w:tcPr>
                  <w:tcW w:w="1590" w:type="dxa"/>
                  <w:noWrap w:val="0"/>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5</w:t>
                  </w:r>
                </w:p>
              </w:tc>
              <w:tc>
                <w:tcPr>
                  <w:tcW w:w="2630" w:type="dxa"/>
                  <w:noWrap w:val="0"/>
                  <w:vAlign w:val="center"/>
                </w:tcPr>
                <w:p>
                  <w:pPr>
                    <w:ind w:hanging="16" w:firstLineChars="0"/>
                    <w:jc w:val="center"/>
                    <w:rPr>
                      <w:rFonts w:ascii="Times New Roman" w:hAnsi="Times New Roman"/>
                      <w:color w:val="000000"/>
                      <w:szCs w:val="21"/>
                      <w:highlight w:val="none"/>
                    </w:rPr>
                  </w:pPr>
                  <w:r>
                    <w:rPr>
                      <w:rFonts w:hint="default" w:ascii="Times New Roman" w:hAnsi="Times New Roman" w:cs="Times New Roman"/>
                      <w:color w:val="000000"/>
                      <w:szCs w:val="21"/>
                      <w:lang w:val="en-US" w:eastAsia="zh-CN"/>
                    </w:rPr>
                    <w:t>满足环境风险管理要求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50" w:type="dxa"/>
                  <w:gridSpan w:val="3"/>
                  <w:noWrap w:val="0"/>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合计</w:t>
                  </w:r>
                </w:p>
              </w:tc>
              <w:tc>
                <w:tcPr>
                  <w:tcW w:w="1590" w:type="dxa"/>
                  <w:noWrap w:val="0"/>
                  <w:vAlign w:val="center"/>
                </w:tcPr>
                <w:p>
                  <w:pPr>
                    <w:jc w:val="center"/>
                    <w:rPr>
                      <w:rFonts w:hint="default" w:ascii="Times New Roman" w:hAnsi="Times New Roman"/>
                      <w:color w:val="000000"/>
                      <w:szCs w:val="21"/>
                      <w:highlight w:val="none"/>
                      <w:lang w:val="en-US"/>
                    </w:rPr>
                  </w:pPr>
                  <w:r>
                    <w:rPr>
                      <w:rFonts w:hint="eastAsia" w:ascii="Times New Roman" w:hAnsi="Times New Roman"/>
                      <w:color w:val="000000"/>
                      <w:szCs w:val="21"/>
                      <w:highlight w:val="none"/>
                      <w:lang w:val="en-US" w:eastAsia="zh-CN"/>
                    </w:rPr>
                    <w:t>105</w:t>
                  </w:r>
                </w:p>
              </w:tc>
              <w:tc>
                <w:tcPr>
                  <w:tcW w:w="2630" w:type="dxa"/>
                  <w:noWrap w:val="0"/>
                  <w:vAlign w:val="center"/>
                </w:tcPr>
                <w:p>
                  <w:pPr>
                    <w:jc w:val="center"/>
                    <w:rPr>
                      <w:rFonts w:ascii="Times New Roman" w:hAnsi="Times New Roman"/>
                      <w:color w:val="000000"/>
                      <w:szCs w:val="22"/>
                      <w:highlight w:val="none"/>
                    </w:rPr>
                  </w:pPr>
                  <w:r>
                    <w:rPr>
                      <w:rFonts w:ascii="Times New Roman" w:hAnsi="Times New Roman"/>
                      <w:color w:val="000000"/>
                      <w:szCs w:val="21"/>
                      <w:highlight w:val="none"/>
                    </w:rPr>
                    <w:t>——</w:t>
                  </w:r>
                </w:p>
              </w:tc>
            </w:tr>
          </w:tbl>
          <w:p>
            <w:pPr>
              <w:spacing w:line="360" w:lineRule="auto"/>
              <w:ind w:firstLine="480" w:firstLineChars="200"/>
              <w:rPr>
                <w:rFonts w:ascii="Times New Roman" w:hAnsi="Times New Roman"/>
                <w:bCs/>
                <w:color w:val="000000"/>
                <w:sz w:val="24"/>
                <w:highlight w:val="none"/>
              </w:rPr>
            </w:pPr>
            <w:r>
              <w:rPr>
                <w:rFonts w:hint="eastAsia" w:ascii="Times New Roman" w:hAnsi="Times New Roman"/>
                <w:bCs/>
                <w:color w:val="000000"/>
                <w:sz w:val="24"/>
                <w:highlight w:val="none"/>
                <w:lang w:val="en-US" w:eastAsia="zh-CN"/>
              </w:rPr>
              <w:t>十一</w:t>
            </w:r>
            <w:r>
              <w:rPr>
                <w:rFonts w:ascii="Times New Roman" w:hAnsi="Times New Roman"/>
                <w:bCs/>
                <w:color w:val="000000"/>
                <w:sz w:val="24"/>
                <w:highlight w:val="none"/>
              </w:rPr>
              <w:t>、“三同时”验收</w:t>
            </w:r>
          </w:p>
          <w:p>
            <w:pPr>
              <w:spacing w:line="360" w:lineRule="auto"/>
              <w:ind w:firstLine="480" w:firstLineChars="200"/>
              <w:rPr>
                <w:rFonts w:ascii="Times New Roman" w:hAnsi="Times New Roman"/>
                <w:b/>
                <w:bCs/>
                <w:color w:val="000000"/>
                <w:sz w:val="24"/>
                <w:highlight w:val="none"/>
              </w:rPr>
            </w:pPr>
            <w:r>
              <w:rPr>
                <w:rFonts w:ascii="Times New Roman" w:hAnsi="Times New Roman"/>
                <w:color w:val="000000"/>
                <w:sz w:val="24"/>
                <w:highlight w:val="none"/>
              </w:rPr>
              <w:t>拟建项目所有环保设施均应执行“三同时”制度，具体验收内容见表。</w:t>
            </w:r>
          </w:p>
          <w:p>
            <w:pPr>
              <w:pStyle w:val="26"/>
              <w:spacing w:after="0" w:line="360" w:lineRule="auto"/>
              <w:ind w:firstLine="241"/>
              <w:jc w:val="center"/>
              <w:rPr>
                <w:rFonts w:ascii="Times New Roman" w:hAnsi="Times New Roman"/>
                <w:b/>
                <w:bCs/>
                <w:color w:val="000000"/>
                <w:sz w:val="24"/>
                <w:highlight w:val="none"/>
              </w:rPr>
            </w:pPr>
            <w:r>
              <w:rPr>
                <w:rFonts w:ascii="Times New Roman" w:hAnsi="Times New Roman"/>
                <w:b/>
                <w:bCs/>
                <w:color w:val="000000"/>
                <w:sz w:val="24"/>
                <w:highlight w:val="none"/>
              </w:rPr>
              <w:t>表7-</w:t>
            </w:r>
            <w:r>
              <w:rPr>
                <w:rFonts w:hint="eastAsia" w:ascii="Times New Roman" w:hAnsi="Times New Roman"/>
                <w:b/>
                <w:bCs/>
                <w:color w:val="000000"/>
                <w:sz w:val="24"/>
                <w:highlight w:val="none"/>
                <w:lang w:val="en-US" w:eastAsia="zh-CN"/>
              </w:rPr>
              <w:t>22</w:t>
            </w:r>
            <w:r>
              <w:rPr>
                <w:rFonts w:ascii="Times New Roman" w:hAnsi="Times New Roman"/>
                <w:b/>
                <w:bCs/>
                <w:color w:val="000000"/>
                <w:sz w:val="24"/>
                <w:highlight w:val="none"/>
              </w:rPr>
              <w:t xml:space="preserve">  环保措施“三同时”验收一览表</w:t>
            </w:r>
          </w:p>
          <w:tbl>
            <w:tblPr>
              <w:tblStyle w:val="27"/>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487"/>
              <w:gridCol w:w="738"/>
              <w:gridCol w:w="1195"/>
              <w:gridCol w:w="3587"/>
              <w:gridCol w:w="285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noWrap w:val="0"/>
                  <w:tcMar>
                    <w:left w:w="34" w:type="dxa"/>
                    <w:right w:w="34" w:type="dxa"/>
                  </w:tcMar>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项目</w:t>
                  </w:r>
                </w:p>
              </w:tc>
              <w:tc>
                <w:tcPr>
                  <w:tcW w:w="738" w:type="dxa"/>
                  <w:noWrap w:val="0"/>
                  <w:tcMar>
                    <w:left w:w="34" w:type="dxa"/>
                    <w:right w:w="34" w:type="dxa"/>
                  </w:tcMar>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污染源分类</w:t>
                  </w:r>
                </w:p>
              </w:tc>
              <w:tc>
                <w:tcPr>
                  <w:tcW w:w="1195" w:type="dxa"/>
                  <w:noWrap w:val="0"/>
                  <w:tcMar>
                    <w:left w:w="34" w:type="dxa"/>
                    <w:right w:w="34" w:type="dxa"/>
                  </w:tcMar>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污染防治对象</w:t>
                  </w:r>
                </w:p>
              </w:tc>
              <w:tc>
                <w:tcPr>
                  <w:tcW w:w="3587" w:type="dxa"/>
                  <w:noWrap w:val="0"/>
                  <w:tcMar>
                    <w:left w:w="34" w:type="dxa"/>
                    <w:right w:w="34" w:type="dxa"/>
                  </w:tcMar>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主要工程内容</w:t>
                  </w:r>
                </w:p>
              </w:tc>
              <w:tc>
                <w:tcPr>
                  <w:tcW w:w="2850" w:type="dxa"/>
                  <w:noWrap w:val="0"/>
                  <w:tcMar>
                    <w:left w:w="34" w:type="dxa"/>
                    <w:right w:w="34" w:type="dxa"/>
                  </w:tcMar>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预期效果</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restart"/>
                  <w:noWrap w:val="0"/>
                  <w:tcMar>
                    <w:left w:w="34" w:type="dxa"/>
                    <w:right w:w="34" w:type="dxa"/>
                  </w:tcMar>
                  <w:textDirection w:val="tbRlV"/>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营运期</w:t>
                  </w:r>
                </w:p>
              </w:tc>
              <w:tc>
                <w:tcPr>
                  <w:tcW w:w="738" w:type="dxa"/>
                  <w:noWrap w:val="0"/>
                  <w:tcMar>
                    <w:left w:w="34" w:type="dxa"/>
                    <w:right w:w="34" w:type="dxa"/>
                  </w:tcMar>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水污</w:t>
                  </w:r>
                </w:p>
                <w:p>
                  <w:pPr>
                    <w:jc w:val="center"/>
                    <w:rPr>
                      <w:rFonts w:ascii="Times New Roman" w:hAnsi="Times New Roman"/>
                      <w:color w:val="000000"/>
                      <w:szCs w:val="21"/>
                      <w:highlight w:val="none"/>
                    </w:rPr>
                  </w:pPr>
                  <w:r>
                    <w:rPr>
                      <w:rFonts w:ascii="Times New Roman" w:hAnsi="Times New Roman"/>
                      <w:color w:val="000000"/>
                      <w:szCs w:val="21"/>
                      <w:highlight w:val="none"/>
                    </w:rPr>
                    <w:t>染源</w:t>
                  </w:r>
                </w:p>
              </w:tc>
              <w:tc>
                <w:tcPr>
                  <w:tcW w:w="1195" w:type="dxa"/>
                  <w:noWrap w:val="0"/>
                  <w:tcMar>
                    <w:left w:w="34" w:type="dxa"/>
                    <w:right w:w="34" w:type="dxa"/>
                  </w:tcMar>
                  <w:vAlign w:val="center"/>
                </w:tcPr>
                <w:p>
                  <w:pPr>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生活废水</w:t>
                  </w:r>
                </w:p>
              </w:tc>
              <w:tc>
                <w:tcPr>
                  <w:tcW w:w="3587" w:type="dxa"/>
                  <w:noWrap w:val="0"/>
                  <w:tcMar>
                    <w:left w:w="34" w:type="dxa"/>
                    <w:right w:w="34" w:type="dxa"/>
                  </w:tcMar>
                  <w:vAlign w:val="center"/>
                </w:tcPr>
                <w:p>
                  <w:pPr>
                    <w:jc w:val="center"/>
                    <w:rPr>
                      <w:rFonts w:ascii="Times New Roman" w:hAnsi="Times New Roman"/>
                      <w:color w:val="000000"/>
                      <w:szCs w:val="21"/>
                      <w:highlight w:val="none"/>
                    </w:rPr>
                  </w:pPr>
                  <w:r>
                    <w:rPr>
                      <w:rFonts w:hint="default" w:ascii="Times New Roman" w:hAnsi="Times New Roman" w:eastAsia="宋体" w:cs="Times New Roman"/>
                      <w:color w:val="000000"/>
                      <w:szCs w:val="21"/>
                      <w:highlight w:val="none"/>
                      <w:lang w:val="en-US" w:eastAsia="zh-CN"/>
                    </w:rPr>
                    <w:t>生活污水经隔油池、化粪池处置</w:t>
                  </w:r>
                </w:p>
              </w:tc>
              <w:tc>
                <w:tcPr>
                  <w:tcW w:w="2850" w:type="dxa"/>
                  <w:noWrap w:val="0"/>
                  <w:tcMar>
                    <w:left w:w="34" w:type="dxa"/>
                    <w:right w:w="34" w:type="dxa"/>
                  </w:tcMar>
                  <w:vAlign w:val="center"/>
                </w:tcPr>
                <w:p>
                  <w:pPr>
                    <w:jc w:val="center"/>
                    <w:rPr>
                      <w:rFonts w:ascii="Times New Roman" w:hAnsi="Times New Roman"/>
                      <w:color w:val="000000"/>
                      <w:szCs w:val="21"/>
                      <w:highlight w:val="none"/>
                    </w:rPr>
                  </w:pPr>
                  <w:r>
                    <w:rPr>
                      <w:rFonts w:ascii="Times New Roman" w:hAnsi="Times New Roman"/>
                      <w:color w:val="000000"/>
                      <w:highlight w:val="none"/>
                    </w:rPr>
                    <w:t>《污水综合排放标准》（GB8978-1996）中的三级标准（氨氮参照《污水排入城镇下水道水质标准》（GB/T31962-2015中的标准）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textDirection w:val="tbRlV"/>
                  <w:vAlign w:val="center"/>
                </w:tcPr>
                <w:p>
                  <w:pPr>
                    <w:jc w:val="center"/>
                    <w:rPr>
                      <w:rFonts w:ascii="Times New Roman" w:hAnsi="Times New Roman"/>
                      <w:color w:val="000000"/>
                      <w:szCs w:val="21"/>
                      <w:highlight w:val="none"/>
                    </w:rPr>
                  </w:pPr>
                </w:p>
              </w:tc>
              <w:tc>
                <w:tcPr>
                  <w:tcW w:w="738" w:type="dxa"/>
                  <w:noWrap w:val="0"/>
                  <w:tcMar>
                    <w:left w:w="34" w:type="dxa"/>
                    <w:right w:w="34" w:type="dxa"/>
                  </w:tcMar>
                  <w:vAlign w:val="center"/>
                </w:tcPr>
                <w:p>
                  <w:pPr>
                    <w:jc w:val="center"/>
                    <w:rPr>
                      <w:rFonts w:ascii="Times New Roman" w:hAnsi="Times New Roman"/>
                      <w:color w:val="000000"/>
                      <w:szCs w:val="21"/>
                      <w:highlight w:val="none"/>
                    </w:rPr>
                  </w:pPr>
                </w:p>
              </w:tc>
              <w:tc>
                <w:tcPr>
                  <w:tcW w:w="1195" w:type="dxa"/>
                  <w:noWrap w:val="0"/>
                  <w:tcMar>
                    <w:left w:w="34" w:type="dxa"/>
                    <w:right w:w="34" w:type="dxa"/>
                  </w:tcMar>
                  <w:vAlign w:val="center"/>
                </w:tcPr>
                <w:p>
                  <w:pPr>
                    <w:jc w:val="center"/>
                    <w:rPr>
                      <w:rFonts w:hint="default" w:ascii="Times New Roman" w:hAnsi="Times New Roman"/>
                      <w:color w:val="000000"/>
                      <w:szCs w:val="21"/>
                      <w:highlight w:val="none"/>
                      <w:lang w:val="en-US" w:eastAsia="zh-CN"/>
                    </w:rPr>
                  </w:pPr>
                  <w:r>
                    <w:rPr>
                      <w:rFonts w:hint="eastAsia" w:ascii="Times New Roman" w:hAnsi="Times New Roman"/>
                      <w:color w:val="000000"/>
                      <w:szCs w:val="21"/>
                      <w:highlight w:val="none"/>
                      <w:lang w:val="en-US" w:eastAsia="zh-CN"/>
                    </w:rPr>
                    <w:t>初期雨水、基坑废水、清洗废水、污染地下水抽水</w:t>
                  </w:r>
                </w:p>
              </w:tc>
              <w:tc>
                <w:tcPr>
                  <w:tcW w:w="3587" w:type="dxa"/>
                  <w:noWrap w:val="0"/>
                  <w:tcMar>
                    <w:left w:w="34" w:type="dxa"/>
                    <w:right w:w="34" w:type="dxa"/>
                  </w:tcMar>
                  <w:vAlign w:val="center"/>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初期雨水汇入至雨水收集系统内，伴随基坑废水、污染地下水抽水、车辆清洗废水等一同排放至厂区西南侧新建的污水处理站内处置，该污水处理站处理规模为80m</w:t>
                  </w:r>
                  <w:r>
                    <w:rPr>
                      <w:rFonts w:hint="default" w:ascii="Times New Roman" w:hAnsi="Times New Roman" w:eastAsia="宋体" w:cs="Times New Roman"/>
                      <w:color w:val="000000"/>
                      <w:szCs w:val="21"/>
                      <w:highlight w:val="none"/>
                      <w:vertAlign w:val="superscript"/>
                      <w:lang w:val="en-US" w:eastAsia="zh-CN"/>
                    </w:rPr>
                    <w:t>3</w:t>
                  </w:r>
                  <w:r>
                    <w:rPr>
                      <w:rFonts w:hint="default" w:ascii="Times New Roman" w:hAnsi="Times New Roman" w:eastAsia="宋体" w:cs="Times New Roman"/>
                      <w:color w:val="000000"/>
                      <w:szCs w:val="21"/>
                      <w:highlight w:val="none"/>
                      <w:lang w:val="en-US" w:eastAsia="zh-CN"/>
                    </w:rPr>
                    <w:t>/d，处理工艺采用“调节+破乳池+气浮+两级滤碳”工艺</w:t>
                  </w:r>
                </w:p>
              </w:tc>
              <w:tc>
                <w:tcPr>
                  <w:tcW w:w="2850" w:type="dxa"/>
                  <w:noWrap w:val="0"/>
                  <w:tcMar>
                    <w:left w:w="34" w:type="dxa"/>
                    <w:right w:w="34" w:type="dxa"/>
                  </w:tcMar>
                  <w:vAlign w:val="center"/>
                </w:tcPr>
                <w:p>
                  <w:pPr>
                    <w:jc w:val="center"/>
                    <w:rPr>
                      <w:rFonts w:ascii="Times New Roman" w:hAnsi="Times New Roman"/>
                      <w:color w:val="000000"/>
                      <w:highlight w:val="none"/>
                    </w:rPr>
                  </w:pPr>
                  <w:r>
                    <w:rPr>
                      <w:rFonts w:hint="eastAsia" w:ascii="Times New Roman" w:hAnsi="Times New Roman"/>
                      <w:color w:val="000000"/>
                      <w:highlight w:val="none"/>
                    </w:rPr>
                    <w:t>各股废水污染物处理满足《污水综合排放标准》（GB8978-1996）表4中的三级标准，其中氨氮参照《污水排入城镇下水道水质标准》（GB/T31962-2015中的标准，六价铬执行《污水综合排放标准》（GB8978-1996）表1中的标准，总石油烃参考荷兰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5" w:hRule="atLeast"/>
                <w:jc w:val="center"/>
              </w:trPr>
              <w:tc>
                <w:tcPr>
                  <w:tcW w:w="487" w:type="dxa"/>
                  <w:vMerge w:val="continue"/>
                  <w:noWrap w:val="0"/>
                  <w:tcMar>
                    <w:left w:w="34" w:type="dxa"/>
                    <w:right w:w="34" w:type="dxa"/>
                  </w:tcMar>
                  <w:vAlign w:val="center"/>
                </w:tcPr>
                <w:p>
                  <w:pPr>
                    <w:jc w:val="center"/>
                    <w:rPr>
                      <w:rFonts w:ascii="Times New Roman" w:hAnsi="Times New Roman"/>
                      <w:color w:val="000000"/>
                      <w:szCs w:val="21"/>
                      <w:highlight w:val="none"/>
                    </w:rPr>
                  </w:pPr>
                </w:p>
              </w:tc>
              <w:tc>
                <w:tcPr>
                  <w:tcW w:w="738" w:type="dxa"/>
                  <w:vMerge w:val="restart"/>
                  <w:noWrap w:val="0"/>
                  <w:tcMar>
                    <w:left w:w="34" w:type="dxa"/>
                    <w:right w:w="34" w:type="dxa"/>
                  </w:tcMar>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大气</w:t>
                  </w:r>
                </w:p>
                <w:p>
                  <w:pPr>
                    <w:jc w:val="center"/>
                    <w:rPr>
                      <w:rFonts w:ascii="Times New Roman" w:hAnsi="Times New Roman"/>
                      <w:color w:val="000000"/>
                      <w:szCs w:val="21"/>
                      <w:highlight w:val="none"/>
                    </w:rPr>
                  </w:pPr>
                  <w:r>
                    <w:rPr>
                      <w:rFonts w:ascii="Times New Roman" w:hAnsi="Times New Roman"/>
                      <w:color w:val="000000"/>
                      <w:szCs w:val="21"/>
                      <w:highlight w:val="none"/>
                    </w:rPr>
                    <w:t>污染源</w:t>
                  </w:r>
                </w:p>
              </w:tc>
              <w:tc>
                <w:tcPr>
                  <w:tcW w:w="1195" w:type="dxa"/>
                  <w:tcBorders>
                    <w:bottom w:val="single" w:color="auto" w:sz="4" w:space="0"/>
                  </w:tcBorders>
                  <w:noWrap w:val="0"/>
                  <w:tcMar>
                    <w:left w:w="34" w:type="dxa"/>
                    <w:right w:w="34" w:type="dxa"/>
                  </w:tcMar>
                  <w:vAlign w:val="center"/>
                </w:tcPr>
                <w:p>
                  <w:pPr>
                    <w:jc w:val="center"/>
                    <w:rPr>
                      <w:rFonts w:hint="default" w:ascii="Times New Roman" w:hAnsi="Times New Roman" w:eastAsia="宋体"/>
                      <w:color w:val="000000"/>
                      <w:szCs w:val="21"/>
                      <w:highlight w:val="none"/>
                      <w:lang w:val="en-US" w:eastAsia="zh-CN"/>
                    </w:rPr>
                  </w:pPr>
                  <w:r>
                    <w:rPr>
                      <w:rFonts w:ascii="Times New Roman" w:hAnsi="Times New Roman"/>
                      <w:color w:val="000000"/>
                      <w:szCs w:val="21"/>
                      <w:highlight w:val="none"/>
                    </w:rPr>
                    <w:t>颗粒物</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异味</w:t>
                  </w:r>
                </w:p>
              </w:tc>
              <w:tc>
                <w:tcPr>
                  <w:tcW w:w="3587" w:type="dxa"/>
                  <w:noWrap w:val="0"/>
                  <w:tcMar>
                    <w:left w:w="34" w:type="dxa"/>
                    <w:right w:w="34" w:type="dxa"/>
                  </w:tcMar>
                  <w:vAlign w:val="center"/>
                </w:tcPr>
                <w:p>
                  <w:pPr>
                    <w:pStyle w:val="44"/>
                    <w:rPr>
                      <w:rFonts w:ascii="Times New Roman" w:hAnsi="Times New Roman" w:cs="Times New Roman"/>
                      <w:color w:val="000000"/>
                      <w:szCs w:val="21"/>
                      <w:highlight w:val="none"/>
                    </w:rPr>
                  </w:pPr>
                  <w:r>
                    <w:rPr>
                      <w:rFonts w:hint="default" w:ascii="Times New Roman" w:hAnsi="Times New Roman" w:eastAsia="宋体" w:cs="Times New Roman"/>
                      <w:color w:val="000000"/>
                      <w:szCs w:val="21"/>
                      <w:highlight w:val="none"/>
                      <w:lang w:val="en-US" w:eastAsia="zh-CN"/>
                    </w:rPr>
                    <w:t>场地土壤修复施工时场地四周设有阻施工围挡，施工现场做好定期酒水，堆场内空气流动性小</w:t>
                  </w:r>
                  <w:r>
                    <w:rPr>
                      <w:rFonts w:hint="eastAsia" w:ascii="Times New Roman" w:hAnsi="Times New Roman" w:cs="Times New Roman"/>
                      <w:color w:val="000000"/>
                      <w:szCs w:val="21"/>
                      <w:highlight w:val="none"/>
                      <w:lang w:val="en-US" w:eastAsia="zh-CN"/>
                    </w:rPr>
                    <w:t>；及时对道路进行酒水，保持一定湿度，并通过道路硬化和做好运输车辆加盖篷布及车厢防漏措施来得到控制扬尘。车辆进出场做好冲洗工作，出场后做好土壤保湿工作，减少在土壤装载过程中扬尘的产生：外运车辆加帆布履盖，减少在运输途中的扬尘产生；施工过程中喷洒气味抑制剂来控制土壤气味的散发。</w:t>
                  </w:r>
                </w:p>
              </w:tc>
              <w:tc>
                <w:tcPr>
                  <w:tcW w:w="2850" w:type="dxa"/>
                  <w:tcBorders>
                    <w:bottom w:val="single" w:color="auto" w:sz="4" w:space="0"/>
                  </w:tcBorders>
                  <w:noWrap w:val="0"/>
                  <w:tcMar>
                    <w:left w:w="34" w:type="dxa"/>
                    <w:right w:w="34" w:type="dxa"/>
                  </w:tcMar>
                  <w:vAlign w:val="center"/>
                </w:tcPr>
                <w:p>
                  <w:pPr>
                    <w:jc w:val="center"/>
                    <w:rPr>
                      <w:rFonts w:ascii="Times New Roman" w:hAnsi="Times New Roman"/>
                      <w:color w:val="000000"/>
                      <w:szCs w:val="21"/>
                      <w:highlight w:val="none"/>
                    </w:rPr>
                  </w:pPr>
                  <w:r>
                    <w:rPr>
                      <w:rFonts w:hint="eastAsia" w:ascii="Times New Roman" w:hAnsi="Times New Roman" w:cs="Times New Roman"/>
                      <w:color w:val="auto"/>
                      <w:sz w:val="21"/>
                      <w:szCs w:val="21"/>
                      <w:lang w:val="en-US" w:eastAsia="zh-CN"/>
                    </w:rPr>
                    <w:t>颗粒物执行《大气污染物综合排放标准》（GB16297-1996）无组织排放监控浓度限值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4" w:hRule="atLeast"/>
                <w:jc w:val="center"/>
              </w:trPr>
              <w:tc>
                <w:tcPr>
                  <w:tcW w:w="487" w:type="dxa"/>
                  <w:vMerge w:val="continue"/>
                  <w:noWrap w:val="0"/>
                  <w:tcMar>
                    <w:left w:w="34" w:type="dxa"/>
                    <w:right w:w="34" w:type="dxa"/>
                  </w:tcMar>
                  <w:vAlign w:val="center"/>
                </w:tcPr>
                <w:p>
                  <w:pPr>
                    <w:jc w:val="center"/>
                    <w:rPr>
                      <w:rFonts w:ascii="Times New Roman" w:hAnsi="Times New Roman"/>
                      <w:color w:val="000000"/>
                      <w:szCs w:val="21"/>
                      <w:highlight w:val="none"/>
                    </w:rPr>
                  </w:pPr>
                </w:p>
              </w:tc>
              <w:tc>
                <w:tcPr>
                  <w:tcW w:w="738" w:type="dxa"/>
                  <w:vMerge w:val="continue"/>
                  <w:noWrap w:val="0"/>
                  <w:tcMar>
                    <w:left w:w="34" w:type="dxa"/>
                    <w:right w:w="34" w:type="dxa"/>
                  </w:tcMar>
                  <w:vAlign w:val="center"/>
                </w:tcPr>
                <w:p>
                  <w:pPr>
                    <w:jc w:val="center"/>
                    <w:rPr>
                      <w:rFonts w:ascii="Times New Roman" w:hAnsi="Times New Roman"/>
                      <w:color w:val="000000"/>
                      <w:szCs w:val="21"/>
                      <w:highlight w:val="none"/>
                    </w:rPr>
                  </w:pPr>
                </w:p>
              </w:tc>
              <w:tc>
                <w:tcPr>
                  <w:tcW w:w="1195" w:type="dxa"/>
                  <w:tcBorders>
                    <w:bottom w:val="single" w:color="auto" w:sz="4" w:space="0"/>
                  </w:tcBorders>
                  <w:noWrap w:val="0"/>
                  <w:tcMar>
                    <w:left w:w="34" w:type="dxa"/>
                    <w:right w:w="34" w:type="dxa"/>
                  </w:tcMar>
                  <w:vAlign w:val="center"/>
                </w:tcPr>
                <w:p>
                  <w:pPr>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食堂油烟</w:t>
                  </w:r>
                </w:p>
              </w:tc>
              <w:tc>
                <w:tcPr>
                  <w:tcW w:w="3587" w:type="dxa"/>
                  <w:noWrap w:val="0"/>
                  <w:tcMar>
                    <w:left w:w="34" w:type="dxa"/>
                    <w:right w:w="34" w:type="dxa"/>
                  </w:tcMar>
                  <w:vAlign w:val="center"/>
                </w:tcPr>
                <w:p>
                  <w:pPr>
                    <w:pStyle w:val="44"/>
                    <w:rPr>
                      <w:rFonts w:ascii="Times New Roman" w:hAnsi="Times New Roman" w:cs="Times New Roman"/>
                      <w:color w:val="000000"/>
                      <w:szCs w:val="21"/>
                      <w:highlight w:val="none"/>
                    </w:rPr>
                  </w:pPr>
                  <w:r>
                    <w:rPr>
                      <w:rFonts w:hint="eastAsia" w:ascii="Times New Roman" w:hAnsi="Times New Roman" w:cs="Times New Roman"/>
                      <w:color w:val="000000"/>
                      <w:szCs w:val="21"/>
                      <w:highlight w:val="none"/>
                      <w:lang w:val="en-US" w:eastAsia="zh-CN"/>
                    </w:rPr>
                    <w:t>营地油烟通过油烟净化器净化后排放。</w:t>
                  </w:r>
                </w:p>
              </w:tc>
              <w:tc>
                <w:tcPr>
                  <w:tcW w:w="2850" w:type="dxa"/>
                  <w:tcBorders>
                    <w:top w:val="single" w:color="auto" w:sz="4" w:space="0"/>
                  </w:tcBorders>
                  <w:noWrap w:val="0"/>
                  <w:tcMar>
                    <w:left w:w="34" w:type="dxa"/>
                    <w:right w:w="34" w:type="dxa"/>
                  </w:tcMar>
                  <w:vAlign w:val="center"/>
                </w:tcPr>
                <w:p>
                  <w:pPr>
                    <w:jc w:val="center"/>
                    <w:rPr>
                      <w:rFonts w:ascii="Times New Roman" w:hAnsi="Times New Roman"/>
                      <w:color w:val="000000"/>
                      <w:szCs w:val="22"/>
                      <w:highlight w:val="none"/>
                    </w:rPr>
                  </w:pPr>
                  <w:r>
                    <w:rPr>
                      <w:rFonts w:hint="eastAsia" w:ascii="Times New Roman" w:hAnsi="Times New Roman" w:cs="Times New Roman"/>
                      <w:color w:val="000000"/>
                      <w:szCs w:val="21"/>
                      <w:highlight w:val="none"/>
                    </w:rPr>
                    <w:t>食堂餐饮油烟排放执行《饮食业油烟排放标准（试行）》（GB18483-2001）中小型相关标准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73" w:hRule="atLeast"/>
                <w:jc w:val="center"/>
              </w:trPr>
              <w:tc>
                <w:tcPr>
                  <w:tcW w:w="487" w:type="dxa"/>
                  <w:vMerge w:val="continue"/>
                  <w:noWrap w:val="0"/>
                  <w:tcMar>
                    <w:left w:w="34" w:type="dxa"/>
                    <w:right w:w="34" w:type="dxa"/>
                  </w:tcMar>
                  <w:vAlign w:val="center"/>
                </w:tcPr>
                <w:p>
                  <w:pPr>
                    <w:jc w:val="center"/>
                    <w:rPr>
                      <w:rFonts w:ascii="Times New Roman" w:hAnsi="Times New Roman"/>
                      <w:color w:val="000000"/>
                      <w:szCs w:val="21"/>
                      <w:highlight w:val="none"/>
                    </w:rPr>
                  </w:pPr>
                </w:p>
              </w:tc>
              <w:tc>
                <w:tcPr>
                  <w:tcW w:w="738" w:type="dxa"/>
                  <w:noWrap w:val="0"/>
                  <w:tcMar>
                    <w:left w:w="34" w:type="dxa"/>
                    <w:right w:w="34" w:type="dxa"/>
                  </w:tcMar>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噪声</w:t>
                  </w:r>
                </w:p>
                <w:p>
                  <w:pPr>
                    <w:jc w:val="center"/>
                    <w:rPr>
                      <w:rFonts w:ascii="Times New Roman" w:hAnsi="Times New Roman"/>
                      <w:color w:val="000000"/>
                      <w:szCs w:val="21"/>
                      <w:highlight w:val="none"/>
                    </w:rPr>
                  </w:pPr>
                  <w:r>
                    <w:rPr>
                      <w:rFonts w:ascii="Times New Roman" w:hAnsi="Times New Roman"/>
                      <w:color w:val="000000"/>
                      <w:szCs w:val="21"/>
                      <w:highlight w:val="none"/>
                    </w:rPr>
                    <w:t>污染源</w:t>
                  </w:r>
                </w:p>
              </w:tc>
              <w:tc>
                <w:tcPr>
                  <w:tcW w:w="1195" w:type="dxa"/>
                  <w:noWrap w:val="0"/>
                  <w:tcMar>
                    <w:left w:w="34" w:type="dxa"/>
                    <w:right w:w="34" w:type="dxa"/>
                  </w:tcMar>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设备噪声</w:t>
                  </w:r>
                </w:p>
              </w:tc>
              <w:tc>
                <w:tcPr>
                  <w:tcW w:w="3587" w:type="dxa"/>
                  <w:noWrap w:val="0"/>
                  <w:tcMar>
                    <w:left w:w="34" w:type="dxa"/>
                    <w:right w:w="34" w:type="dxa"/>
                  </w:tcMar>
                  <w:vAlign w:val="center"/>
                </w:tcPr>
                <w:p>
                  <w:pPr>
                    <w:pStyle w:val="44"/>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cs="Times New Roman"/>
                      <w:color w:val="000000"/>
                      <w:szCs w:val="21"/>
                      <w:highlight w:val="none"/>
                    </w:rPr>
                    <w:t>施工期间要做好降噪措施，选用低噪设备并定期检修</w:t>
                  </w:r>
                  <w:r>
                    <w:rPr>
                      <w:rFonts w:hint="eastAsia" w:ascii="Times New Roman" w:hAnsi="Times New Roman" w:cs="Times New Roman"/>
                      <w:color w:val="000000"/>
                      <w:szCs w:val="21"/>
                      <w:highlight w:val="none"/>
                      <w:lang w:eastAsia="zh-CN"/>
                    </w:rPr>
                    <w:t>，</w:t>
                  </w:r>
                  <w:r>
                    <w:rPr>
                      <w:rFonts w:hint="eastAsia" w:ascii="Times New Roman" w:hAnsi="Times New Roman" w:cs="Times New Roman"/>
                      <w:color w:val="000000"/>
                      <w:szCs w:val="21"/>
                      <w:highlight w:val="none"/>
                    </w:rPr>
                    <w:t>采取合理的作业时间</w:t>
                  </w:r>
                  <w:r>
                    <w:rPr>
                      <w:rFonts w:hint="eastAsia" w:ascii="Times New Roman" w:hAnsi="Times New Roman" w:cs="Times New Roman"/>
                      <w:color w:val="000000"/>
                      <w:szCs w:val="21"/>
                      <w:highlight w:val="none"/>
                      <w:lang w:eastAsia="zh-CN"/>
                    </w:rPr>
                    <w:t>，</w:t>
                  </w:r>
                  <w:r>
                    <w:rPr>
                      <w:rFonts w:hint="eastAsia" w:ascii="Times New Roman" w:hAnsi="Times New Roman" w:cs="Times New Roman"/>
                      <w:color w:val="000000"/>
                      <w:szCs w:val="21"/>
                      <w:highlight w:val="none"/>
                      <w:lang w:val="en-US" w:eastAsia="zh-CN"/>
                    </w:rPr>
                    <w:t>采用隔声屏障</w:t>
                  </w:r>
                </w:p>
              </w:tc>
              <w:tc>
                <w:tcPr>
                  <w:tcW w:w="2850" w:type="dxa"/>
                  <w:noWrap w:val="0"/>
                  <w:tcMar>
                    <w:left w:w="34" w:type="dxa"/>
                    <w:right w:w="34" w:type="dxa"/>
                  </w:tcMar>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满</w:t>
                  </w:r>
                  <w:r>
                    <w:rPr>
                      <w:rFonts w:hint="eastAsia" w:ascii="Times New Roman" w:hAnsi="Times New Roman"/>
                      <w:color w:val="000000"/>
                      <w:szCs w:val="21"/>
                      <w:highlight w:val="none"/>
                    </w:rPr>
                    <w:t>足《建筑施工场界环境噪声排放标准》（GB12523-2011）标准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vAlign w:val="center"/>
                </w:tcPr>
                <w:p>
                  <w:pPr>
                    <w:jc w:val="center"/>
                    <w:rPr>
                      <w:rFonts w:ascii="Times New Roman" w:hAnsi="Times New Roman"/>
                      <w:color w:val="000000"/>
                      <w:szCs w:val="21"/>
                      <w:highlight w:val="none"/>
                    </w:rPr>
                  </w:pPr>
                </w:p>
              </w:tc>
              <w:tc>
                <w:tcPr>
                  <w:tcW w:w="738" w:type="dxa"/>
                  <w:vMerge w:val="restart"/>
                  <w:noWrap w:val="0"/>
                  <w:tcMar>
                    <w:left w:w="34" w:type="dxa"/>
                    <w:right w:w="34" w:type="dxa"/>
                  </w:tcMar>
                  <w:vAlign w:val="center"/>
                </w:tcPr>
                <w:p>
                  <w:pPr>
                    <w:jc w:val="center"/>
                    <w:rPr>
                      <w:rFonts w:ascii="Times New Roman" w:hAnsi="Times New Roman"/>
                      <w:color w:val="000000"/>
                      <w:szCs w:val="21"/>
                      <w:highlight w:val="none"/>
                    </w:rPr>
                  </w:pPr>
                  <w:r>
                    <w:rPr>
                      <w:rFonts w:ascii="Times New Roman" w:hAnsi="Times New Roman"/>
                      <w:color w:val="000000"/>
                      <w:szCs w:val="21"/>
                      <w:highlight w:val="none"/>
                    </w:rPr>
                    <w:t>固体</w:t>
                  </w:r>
                </w:p>
                <w:p>
                  <w:pPr>
                    <w:jc w:val="center"/>
                    <w:rPr>
                      <w:rFonts w:ascii="Times New Roman" w:hAnsi="Times New Roman"/>
                      <w:color w:val="000000"/>
                      <w:szCs w:val="21"/>
                      <w:highlight w:val="none"/>
                    </w:rPr>
                  </w:pPr>
                  <w:r>
                    <w:rPr>
                      <w:rFonts w:ascii="Times New Roman" w:hAnsi="Times New Roman"/>
                      <w:color w:val="000000"/>
                      <w:szCs w:val="21"/>
                      <w:highlight w:val="none"/>
                    </w:rPr>
                    <w:t>废物</w:t>
                  </w:r>
                </w:p>
              </w:tc>
              <w:tc>
                <w:tcPr>
                  <w:tcW w:w="1195" w:type="dxa"/>
                  <w:noWrap w:val="0"/>
                  <w:tcMar>
                    <w:left w:w="34" w:type="dxa"/>
                    <w:right w:w="34" w:type="dxa"/>
                  </w:tcMar>
                  <w:vAlign w:val="center"/>
                </w:tcPr>
                <w:p>
                  <w:pPr>
                    <w:pStyle w:val="99"/>
                    <w:spacing w:line="240" w:lineRule="atLeast"/>
                    <w:ind w:firstLine="0" w:firstLineChars="0"/>
                    <w:jc w:val="center"/>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val="en-US" w:eastAsia="zh-CN"/>
                    </w:rPr>
                    <w:t>生活垃圾</w:t>
                  </w:r>
                </w:p>
              </w:tc>
              <w:tc>
                <w:tcPr>
                  <w:tcW w:w="3587" w:type="dxa"/>
                  <w:noWrap w:val="0"/>
                  <w:tcMar>
                    <w:left w:w="34" w:type="dxa"/>
                    <w:right w:w="34" w:type="dxa"/>
                  </w:tcMar>
                  <w:vAlign w:val="center"/>
                </w:tcPr>
                <w:p>
                  <w:pPr>
                    <w:pStyle w:val="99"/>
                    <w:spacing w:line="240" w:lineRule="atLeast"/>
                    <w:ind w:firstLine="0" w:firstLineChars="0"/>
                    <w:jc w:val="center"/>
                    <w:rPr>
                      <w:rFonts w:ascii="Times New Roman" w:hAnsi="Times New Roman"/>
                      <w:color w:val="000000"/>
                      <w:szCs w:val="21"/>
                      <w:highlight w:val="none"/>
                    </w:rPr>
                  </w:pPr>
                  <w:r>
                    <w:rPr>
                      <w:rFonts w:ascii="Times New Roman" w:hAnsi="Times New Roman"/>
                      <w:color w:val="000000"/>
                      <w:szCs w:val="21"/>
                      <w:highlight w:val="none"/>
                    </w:rPr>
                    <w:t>由</w:t>
                  </w:r>
                  <w:r>
                    <w:rPr>
                      <w:rFonts w:ascii="Times New Roman" w:hAnsi="Times New Roman"/>
                      <w:color w:val="000000"/>
                      <w:szCs w:val="21"/>
                      <w:highlight w:val="none"/>
                      <w:lang w:eastAsia="en-US"/>
                    </w:rPr>
                    <w:t>环卫部门处置</w:t>
                  </w:r>
                </w:p>
              </w:tc>
              <w:tc>
                <w:tcPr>
                  <w:tcW w:w="2850" w:type="dxa"/>
                  <w:vMerge w:val="restart"/>
                  <w:noWrap w:val="0"/>
                  <w:tcMar>
                    <w:left w:w="34" w:type="dxa"/>
                    <w:right w:w="34" w:type="dxa"/>
                  </w:tcMar>
                  <w:vAlign w:val="center"/>
                </w:tcPr>
                <w:p>
                  <w:pPr>
                    <w:jc w:val="center"/>
                    <w:rPr>
                      <w:rFonts w:ascii="Times New Roman" w:hAnsi="Times New Roman"/>
                      <w:color w:val="000000"/>
                      <w:szCs w:val="22"/>
                      <w:highlight w:val="none"/>
                    </w:rPr>
                  </w:pPr>
                  <w:r>
                    <w:rPr>
                      <w:rFonts w:ascii="Times New Roman" w:hAnsi="Times New Roman"/>
                      <w:color w:val="000000"/>
                      <w:szCs w:val="22"/>
                      <w:highlight w:val="none"/>
                    </w:rPr>
                    <w:t>综合利用及处置率</w:t>
                  </w:r>
                </w:p>
                <w:p>
                  <w:pPr>
                    <w:jc w:val="center"/>
                    <w:rPr>
                      <w:rFonts w:ascii="Times New Roman" w:hAnsi="Times New Roman"/>
                      <w:color w:val="000000"/>
                      <w:szCs w:val="21"/>
                      <w:highlight w:val="none"/>
                    </w:rPr>
                  </w:pPr>
                  <w:r>
                    <w:rPr>
                      <w:rFonts w:ascii="Times New Roman" w:hAnsi="Times New Roman"/>
                      <w:color w:val="000000"/>
                      <w:szCs w:val="22"/>
                      <w:highlight w:val="none"/>
                    </w:rPr>
                    <w:t>100%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noWrap w:val="0"/>
                  <w:tcMar>
                    <w:left w:w="34" w:type="dxa"/>
                    <w:right w:w="34" w:type="dxa"/>
                  </w:tcMar>
                  <w:vAlign w:val="center"/>
                </w:tcPr>
                <w:p>
                  <w:pPr>
                    <w:jc w:val="center"/>
                    <w:rPr>
                      <w:rFonts w:ascii="Times New Roman" w:hAnsi="Times New Roman"/>
                      <w:color w:val="000000"/>
                      <w:szCs w:val="21"/>
                      <w:highlight w:val="none"/>
                    </w:rPr>
                  </w:pPr>
                </w:p>
              </w:tc>
              <w:tc>
                <w:tcPr>
                  <w:tcW w:w="738" w:type="dxa"/>
                  <w:vMerge w:val="continue"/>
                  <w:noWrap w:val="0"/>
                  <w:tcMar>
                    <w:left w:w="34" w:type="dxa"/>
                    <w:right w:w="34" w:type="dxa"/>
                  </w:tcMar>
                  <w:vAlign w:val="center"/>
                </w:tcPr>
                <w:p>
                  <w:pPr>
                    <w:jc w:val="center"/>
                    <w:rPr>
                      <w:rFonts w:ascii="Times New Roman" w:hAnsi="Times New Roman"/>
                      <w:color w:val="000000"/>
                      <w:szCs w:val="21"/>
                      <w:highlight w:val="none"/>
                    </w:rPr>
                  </w:pPr>
                </w:p>
              </w:tc>
              <w:tc>
                <w:tcPr>
                  <w:tcW w:w="1195" w:type="dxa"/>
                  <w:tcBorders>
                    <w:bottom w:val="single" w:color="auto" w:sz="4" w:space="0"/>
                  </w:tcBorders>
                  <w:noWrap w:val="0"/>
                  <w:tcMar>
                    <w:left w:w="34" w:type="dxa"/>
                    <w:right w:w="34" w:type="dxa"/>
                  </w:tcMar>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非污染建筑垃圾</w:t>
                  </w:r>
                </w:p>
              </w:tc>
              <w:tc>
                <w:tcPr>
                  <w:tcW w:w="3587" w:type="dxa"/>
                  <w:tcBorders>
                    <w:top w:val="single" w:color="auto" w:sz="4" w:space="0"/>
                    <w:bottom w:val="single" w:color="auto" w:sz="4" w:space="0"/>
                  </w:tcBorders>
                  <w:noWrap w:val="0"/>
                  <w:tcMar>
                    <w:left w:w="34" w:type="dxa"/>
                    <w:right w:w="34" w:type="dxa"/>
                  </w:tcMar>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由物资回收公司处理再利用</w:t>
                  </w:r>
                </w:p>
              </w:tc>
              <w:tc>
                <w:tcPr>
                  <w:tcW w:w="2850" w:type="dxa"/>
                  <w:vMerge w:val="continue"/>
                  <w:noWrap w:val="0"/>
                  <w:tcMar>
                    <w:left w:w="34" w:type="dxa"/>
                    <w:right w:w="34" w:type="dxa"/>
                  </w:tcMar>
                  <w:vAlign w:val="center"/>
                </w:tcPr>
                <w:p>
                  <w:pPr>
                    <w:jc w:val="center"/>
                    <w:rPr>
                      <w:rFonts w:ascii="Times New Roman" w:hAnsi="Times New Roman"/>
                      <w:color w:val="000000"/>
                      <w:szCs w:val="21"/>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noWrap w:val="0"/>
                  <w:tcMar>
                    <w:left w:w="34" w:type="dxa"/>
                    <w:right w:w="34" w:type="dxa"/>
                  </w:tcMar>
                  <w:vAlign w:val="center"/>
                </w:tcPr>
                <w:p>
                  <w:pPr>
                    <w:jc w:val="center"/>
                    <w:rPr>
                      <w:rFonts w:ascii="Times New Roman" w:hAnsi="Times New Roman"/>
                      <w:color w:val="000000"/>
                      <w:szCs w:val="21"/>
                      <w:highlight w:val="none"/>
                    </w:rPr>
                  </w:pPr>
                </w:p>
              </w:tc>
              <w:tc>
                <w:tcPr>
                  <w:tcW w:w="738" w:type="dxa"/>
                  <w:vMerge w:val="continue"/>
                  <w:noWrap w:val="0"/>
                  <w:tcMar>
                    <w:left w:w="34" w:type="dxa"/>
                    <w:right w:w="34" w:type="dxa"/>
                  </w:tcMar>
                  <w:vAlign w:val="center"/>
                </w:tcPr>
                <w:p>
                  <w:pPr>
                    <w:jc w:val="center"/>
                    <w:rPr>
                      <w:rFonts w:ascii="Times New Roman" w:hAnsi="Times New Roman"/>
                      <w:color w:val="000000"/>
                      <w:szCs w:val="21"/>
                      <w:highlight w:val="none"/>
                    </w:rPr>
                  </w:pPr>
                </w:p>
              </w:tc>
              <w:tc>
                <w:tcPr>
                  <w:tcW w:w="1195" w:type="dxa"/>
                  <w:tcBorders>
                    <w:top w:val="single" w:color="auto" w:sz="4" w:space="0"/>
                  </w:tcBorders>
                  <w:noWrap w:val="0"/>
                  <w:tcMar>
                    <w:left w:w="34" w:type="dxa"/>
                    <w:right w:w="34" w:type="dxa"/>
                  </w:tcMar>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污染垃圾</w:t>
                  </w:r>
                </w:p>
              </w:tc>
              <w:tc>
                <w:tcPr>
                  <w:tcW w:w="3587" w:type="dxa"/>
                  <w:tcBorders>
                    <w:top w:val="single" w:color="auto" w:sz="4" w:space="0"/>
                    <w:bottom w:val="single" w:color="auto" w:sz="4" w:space="0"/>
                  </w:tcBorders>
                  <w:noWrap w:val="0"/>
                  <w:tcMar>
                    <w:left w:w="34" w:type="dxa"/>
                    <w:right w:w="34" w:type="dxa"/>
                  </w:tcMar>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直接由货车清运至异地水泥窑协同处置</w:t>
                  </w:r>
                </w:p>
              </w:tc>
              <w:tc>
                <w:tcPr>
                  <w:tcW w:w="2850" w:type="dxa"/>
                  <w:vMerge w:val="continue"/>
                  <w:noWrap w:val="0"/>
                  <w:tcMar>
                    <w:left w:w="34" w:type="dxa"/>
                    <w:right w:w="34" w:type="dxa"/>
                  </w:tcMar>
                  <w:vAlign w:val="center"/>
                </w:tcPr>
                <w:p>
                  <w:pPr>
                    <w:jc w:val="center"/>
                    <w:rPr>
                      <w:rFonts w:ascii="Times New Roman" w:hAnsi="Times New Roman"/>
                      <w:color w:val="000000"/>
                      <w:szCs w:val="21"/>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87" w:type="dxa"/>
                  <w:vMerge w:val="continue"/>
                  <w:noWrap w:val="0"/>
                  <w:tcMar>
                    <w:left w:w="34" w:type="dxa"/>
                    <w:right w:w="34" w:type="dxa"/>
                  </w:tcMar>
                  <w:vAlign w:val="center"/>
                </w:tcPr>
                <w:p>
                  <w:pPr>
                    <w:jc w:val="center"/>
                    <w:rPr>
                      <w:rFonts w:ascii="Times New Roman" w:hAnsi="Times New Roman"/>
                      <w:color w:val="000000"/>
                      <w:szCs w:val="21"/>
                      <w:highlight w:val="none"/>
                    </w:rPr>
                  </w:pPr>
                </w:p>
              </w:tc>
              <w:tc>
                <w:tcPr>
                  <w:tcW w:w="738" w:type="dxa"/>
                  <w:vMerge w:val="continue"/>
                  <w:noWrap w:val="0"/>
                  <w:tcMar>
                    <w:left w:w="34" w:type="dxa"/>
                    <w:right w:w="34" w:type="dxa"/>
                  </w:tcMar>
                  <w:vAlign w:val="center"/>
                </w:tcPr>
                <w:p>
                  <w:pPr>
                    <w:jc w:val="center"/>
                    <w:rPr>
                      <w:rFonts w:ascii="Times New Roman" w:hAnsi="Times New Roman"/>
                      <w:color w:val="000000"/>
                      <w:szCs w:val="21"/>
                      <w:highlight w:val="none"/>
                    </w:rPr>
                  </w:pPr>
                </w:p>
              </w:tc>
              <w:tc>
                <w:tcPr>
                  <w:tcW w:w="1195" w:type="dxa"/>
                  <w:noWrap w:val="0"/>
                  <w:tcMar>
                    <w:left w:w="34" w:type="dxa"/>
                    <w:right w:w="34" w:type="dxa"/>
                  </w:tcMar>
                  <w:vAlign w:val="center"/>
                </w:tcPr>
                <w:p>
                  <w:pPr>
                    <w:pStyle w:val="99"/>
                    <w:spacing w:line="240" w:lineRule="atLeast"/>
                    <w:ind w:firstLine="0" w:firstLineChars="0"/>
                    <w:jc w:val="center"/>
                    <w:rPr>
                      <w:rFonts w:hint="default" w:ascii="Times New Roman" w:hAnsi="Times New Roman" w:eastAsia="宋体"/>
                      <w:color w:val="000000"/>
                      <w:szCs w:val="21"/>
                      <w:highlight w:val="none"/>
                      <w:lang w:val="en-US" w:eastAsia="zh-CN"/>
                    </w:rPr>
                  </w:pPr>
                  <w:r>
                    <w:rPr>
                      <w:rFonts w:ascii="Times New Roman" w:hAnsi="Times New Roman"/>
                      <w:color w:val="000000"/>
                      <w:szCs w:val="21"/>
                      <w:highlight w:val="none"/>
                      <w:lang w:eastAsia="en-US"/>
                    </w:rPr>
                    <w:t>废</w:t>
                  </w:r>
                  <w:r>
                    <w:rPr>
                      <w:rFonts w:hint="eastAsia" w:ascii="Times New Roman" w:hAnsi="Times New Roman"/>
                      <w:color w:val="000000"/>
                      <w:szCs w:val="21"/>
                      <w:highlight w:val="none"/>
                      <w:lang w:val="en-US" w:eastAsia="zh-CN"/>
                    </w:rPr>
                    <w:t>活性炭、污泥</w:t>
                  </w:r>
                </w:p>
              </w:tc>
              <w:tc>
                <w:tcPr>
                  <w:tcW w:w="3587" w:type="dxa"/>
                  <w:tcBorders>
                    <w:top w:val="single" w:color="auto" w:sz="4" w:space="0"/>
                  </w:tcBorders>
                  <w:noWrap w:val="0"/>
                  <w:tcMar>
                    <w:left w:w="34" w:type="dxa"/>
                    <w:right w:w="34" w:type="dxa"/>
                  </w:tcMar>
                  <w:vAlign w:val="center"/>
                </w:tcPr>
                <w:p>
                  <w:pPr>
                    <w:spacing w:line="240" w:lineRule="atLeast"/>
                    <w:jc w:val="center"/>
                    <w:rPr>
                      <w:rFonts w:ascii="Times New Roman" w:hAnsi="Times New Roman"/>
                      <w:color w:val="000000"/>
                      <w:szCs w:val="21"/>
                      <w:highlight w:val="none"/>
                    </w:rPr>
                  </w:pPr>
                  <w:r>
                    <w:rPr>
                      <w:rFonts w:ascii="Times New Roman" w:hAnsi="Times New Roman"/>
                      <w:color w:val="000000"/>
                      <w:szCs w:val="21"/>
                      <w:highlight w:val="none"/>
                    </w:rPr>
                    <w:t>暂存于</w:t>
                  </w:r>
                  <w:r>
                    <w:rPr>
                      <w:rFonts w:hint="eastAsia" w:ascii="Times New Roman" w:hAnsi="Times New Roman"/>
                      <w:color w:val="000000"/>
                      <w:szCs w:val="21"/>
                      <w:highlight w:val="none"/>
                      <w:lang w:val="en-US" w:eastAsia="zh-CN"/>
                    </w:rPr>
                    <w:t>西南</w:t>
                  </w:r>
                  <w:r>
                    <w:rPr>
                      <w:rFonts w:hint="eastAsia" w:ascii="Times New Roman" w:hAnsi="Times New Roman"/>
                      <w:color w:val="000000"/>
                      <w:szCs w:val="21"/>
                      <w:highlight w:val="none"/>
                    </w:rPr>
                    <w:t>侧</w:t>
                  </w:r>
                  <w:r>
                    <w:rPr>
                      <w:rFonts w:hint="eastAsia" w:ascii="Times New Roman" w:hAnsi="Times New Roman"/>
                      <w:color w:val="000000"/>
                      <w:szCs w:val="21"/>
                      <w:highlight w:val="none"/>
                      <w:lang w:val="en-US" w:eastAsia="zh-CN"/>
                    </w:rPr>
                    <w:t>建设</w:t>
                  </w:r>
                  <w:r>
                    <w:rPr>
                      <w:rFonts w:ascii="Times New Roman" w:hAnsi="Times New Roman"/>
                      <w:color w:val="000000"/>
                      <w:szCs w:val="21"/>
                      <w:highlight w:val="none"/>
                    </w:rPr>
                    <w:t>的危废暂存场所（建筑面积</w:t>
                  </w:r>
                  <w:r>
                    <w:rPr>
                      <w:rFonts w:hint="eastAsia" w:ascii="Times New Roman" w:hAnsi="Times New Roman"/>
                      <w:color w:val="000000"/>
                      <w:szCs w:val="21"/>
                      <w:highlight w:val="none"/>
                      <w:lang w:val="en-US" w:eastAsia="zh-CN"/>
                    </w:rPr>
                    <w:t>3</w:t>
                  </w:r>
                  <w:r>
                    <w:rPr>
                      <w:rFonts w:ascii="Times New Roman" w:hAnsi="Times New Roman"/>
                      <w:color w:val="000000"/>
                      <w:szCs w:val="21"/>
                      <w:highlight w:val="none"/>
                    </w:rPr>
                    <w:t>0m</w:t>
                  </w:r>
                  <w:r>
                    <w:rPr>
                      <w:rFonts w:ascii="Times New Roman" w:hAnsi="Times New Roman"/>
                      <w:color w:val="000000"/>
                      <w:szCs w:val="21"/>
                      <w:highlight w:val="none"/>
                      <w:vertAlign w:val="superscript"/>
                    </w:rPr>
                    <w:t>2</w:t>
                  </w:r>
                  <w:r>
                    <w:rPr>
                      <w:rFonts w:ascii="Times New Roman" w:hAnsi="Times New Roman"/>
                      <w:color w:val="000000"/>
                      <w:szCs w:val="21"/>
                      <w:highlight w:val="none"/>
                    </w:rPr>
                    <w:t>），交由有资质单位处置</w:t>
                  </w:r>
                </w:p>
              </w:tc>
              <w:tc>
                <w:tcPr>
                  <w:tcW w:w="2850" w:type="dxa"/>
                  <w:vMerge w:val="continue"/>
                  <w:noWrap w:val="0"/>
                  <w:tcMar>
                    <w:left w:w="34" w:type="dxa"/>
                    <w:right w:w="34" w:type="dxa"/>
                  </w:tcMar>
                  <w:vAlign w:val="center"/>
                </w:tcPr>
                <w:p>
                  <w:pPr>
                    <w:jc w:val="center"/>
                    <w:rPr>
                      <w:rFonts w:ascii="Times New Roman" w:hAnsi="Times New Roman"/>
                      <w:color w:val="000000"/>
                      <w:szCs w:val="21"/>
                      <w:highlight w:val="none"/>
                    </w:rPr>
                  </w:pPr>
                </w:p>
              </w:tc>
            </w:tr>
          </w:tbl>
          <w:p>
            <w:pPr>
              <w:ind w:firstLine="480"/>
              <w:rPr>
                <w:rFonts w:ascii="Times New Roman" w:hAnsi="Times New Roman"/>
                <w:color w:val="000000"/>
                <w:highlight w:val="none"/>
              </w:rPr>
            </w:pPr>
          </w:p>
          <w:p>
            <w:pPr>
              <w:pStyle w:val="26"/>
              <w:spacing w:line="360" w:lineRule="auto"/>
              <w:ind w:firstLine="241"/>
              <w:jc w:val="center"/>
              <w:rPr>
                <w:rFonts w:ascii="Times New Roman" w:hAnsi="Times New Roman"/>
                <w:b/>
                <w:bCs/>
                <w:color w:val="000000"/>
                <w:sz w:val="24"/>
                <w:highlight w:val="none"/>
              </w:rPr>
            </w:pPr>
          </w:p>
          <w:p>
            <w:pPr>
              <w:pStyle w:val="13"/>
              <w:spacing w:line="360" w:lineRule="auto"/>
              <w:ind w:firstLine="0"/>
              <w:rPr>
                <w:rFonts w:ascii="Times New Roman" w:hAnsi="Times New Roman"/>
                <w:color w:val="000000"/>
                <w:sz w:val="24"/>
                <w:highlight w:val="none"/>
              </w:rPr>
            </w:pPr>
          </w:p>
        </w:tc>
      </w:tr>
    </w:tbl>
    <w:p>
      <w:pPr>
        <w:pStyle w:val="4"/>
        <w:rPr>
          <w:rFonts w:ascii="Times New Roman" w:hAnsi="Times New Roman"/>
        </w:rPr>
      </w:pPr>
      <w:bookmarkStart w:id="7" w:name="_Hlk484172954"/>
      <w:r>
        <w:rPr>
          <w:rFonts w:ascii="Times New Roman" w:hAnsi="Times New Roman"/>
        </w:rPr>
        <w:t>建设项目拟采取的防治措施及预期治理效果</w:t>
      </w:r>
    </w:p>
    <w:bookmarkEnd w:id="7"/>
    <w:tbl>
      <w:tblPr>
        <w:tblStyle w:val="27"/>
        <w:tblW w:w="937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85"/>
        <w:gridCol w:w="465"/>
        <w:gridCol w:w="1389"/>
        <w:gridCol w:w="1632"/>
        <w:gridCol w:w="2874"/>
        <w:gridCol w:w="26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gridSpan w:val="2"/>
            <w:tcBorders>
              <w:top w:val="single" w:color="auto" w:sz="4" w:space="0"/>
              <w:left w:val="single" w:color="auto" w:sz="4" w:space="0"/>
              <w:tl2br w:val="single" w:color="auto" w:sz="6" w:space="0"/>
            </w:tcBorders>
            <w:noWrap w:val="0"/>
            <w:vAlign w:val="top"/>
          </w:tcPr>
          <w:p>
            <w:pPr>
              <w:spacing w:line="240" w:lineRule="atLeast"/>
              <w:jc w:val="right"/>
              <w:rPr>
                <w:rFonts w:ascii="Times New Roman" w:hAnsi="Times New Roman"/>
                <w:szCs w:val="21"/>
                <w:highlight w:val="none"/>
              </w:rPr>
            </w:pPr>
            <w:r>
              <w:rPr>
                <w:rFonts w:ascii="Times New Roman" w:hAnsi="Times New Roman"/>
                <w:szCs w:val="21"/>
                <w:highlight w:val="none"/>
              </w:rPr>
              <w:t>内容</w:t>
            </w:r>
          </w:p>
          <w:p>
            <w:pPr>
              <w:spacing w:line="240" w:lineRule="atLeast"/>
              <w:rPr>
                <w:rFonts w:ascii="Times New Roman" w:hAnsi="Times New Roman"/>
                <w:szCs w:val="21"/>
                <w:highlight w:val="none"/>
              </w:rPr>
            </w:pPr>
            <w:r>
              <w:rPr>
                <w:rFonts w:ascii="Times New Roman" w:hAnsi="Times New Roman"/>
                <w:szCs w:val="21"/>
                <w:highlight w:val="none"/>
              </w:rPr>
              <w:t>类型</w:t>
            </w:r>
          </w:p>
        </w:tc>
        <w:tc>
          <w:tcPr>
            <w:tcW w:w="1389" w:type="dxa"/>
            <w:tcBorders>
              <w:top w:val="single" w:color="auto" w:sz="4" w:space="0"/>
            </w:tcBorders>
            <w:noWrap w:val="0"/>
            <w:vAlign w:val="center"/>
          </w:tcPr>
          <w:p>
            <w:pPr>
              <w:spacing w:line="240" w:lineRule="atLeast"/>
              <w:jc w:val="center"/>
              <w:rPr>
                <w:rFonts w:ascii="Times New Roman" w:hAnsi="Times New Roman"/>
                <w:szCs w:val="21"/>
                <w:highlight w:val="none"/>
              </w:rPr>
            </w:pPr>
            <w:r>
              <w:rPr>
                <w:rFonts w:ascii="Times New Roman" w:hAnsi="Times New Roman"/>
                <w:szCs w:val="21"/>
                <w:highlight w:val="none"/>
              </w:rPr>
              <w:t>排放源</w:t>
            </w:r>
          </w:p>
          <w:p>
            <w:pPr>
              <w:spacing w:line="240" w:lineRule="atLeast"/>
              <w:jc w:val="center"/>
              <w:rPr>
                <w:rFonts w:ascii="Times New Roman" w:hAnsi="Times New Roman"/>
                <w:szCs w:val="21"/>
                <w:highlight w:val="none"/>
              </w:rPr>
            </w:pPr>
            <w:r>
              <w:rPr>
                <w:rFonts w:ascii="Times New Roman" w:hAnsi="Times New Roman"/>
                <w:szCs w:val="21"/>
                <w:highlight w:val="none"/>
              </w:rPr>
              <w:t>（编号）</w:t>
            </w:r>
          </w:p>
        </w:tc>
        <w:tc>
          <w:tcPr>
            <w:tcW w:w="1632" w:type="dxa"/>
            <w:tcBorders>
              <w:top w:val="single" w:color="auto" w:sz="4" w:space="0"/>
            </w:tcBorders>
            <w:noWrap w:val="0"/>
            <w:vAlign w:val="center"/>
          </w:tcPr>
          <w:p>
            <w:pPr>
              <w:spacing w:line="240" w:lineRule="atLeast"/>
              <w:jc w:val="center"/>
              <w:rPr>
                <w:rFonts w:ascii="Times New Roman" w:hAnsi="Times New Roman"/>
                <w:szCs w:val="21"/>
                <w:highlight w:val="none"/>
              </w:rPr>
            </w:pPr>
            <w:r>
              <w:rPr>
                <w:rFonts w:ascii="Times New Roman" w:hAnsi="Times New Roman"/>
                <w:szCs w:val="21"/>
                <w:highlight w:val="none"/>
              </w:rPr>
              <w:t>污染物名称</w:t>
            </w:r>
          </w:p>
        </w:tc>
        <w:tc>
          <w:tcPr>
            <w:tcW w:w="2874" w:type="dxa"/>
            <w:tcBorders>
              <w:top w:val="single" w:color="auto" w:sz="4" w:space="0"/>
              <w:bottom w:val="single" w:color="auto" w:sz="4" w:space="0"/>
            </w:tcBorders>
            <w:noWrap w:val="0"/>
            <w:vAlign w:val="center"/>
          </w:tcPr>
          <w:p>
            <w:pPr>
              <w:spacing w:line="240" w:lineRule="atLeast"/>
              <w:jc w:val="center"/>
              <w:rPr>
                <w:rFonts w:ascii="Times New Roman" w:hAnsi="Times New Roman"/>
                <w:szCs w:val="21"/>
                <w:highlight w:val="none"/>
              </w:rPr>
            </w:pPr>
            <w:r>
              <w:rPr>
                <w:rFonts w:ascii="Times New Roman" w:hAnsi="Times New Roman"/>
                <w:szCs w:val="21"/>
                <w:highlight w:val="none"/>
              </w:rPr>
              <w:t>防治措施</w:t>
            </w:r>
          </w:p>
        </w:tc>
        <w:tc>
          <w:tcPr>
            <w:tcW w:w="2628" w:type="dxa"/>
            <w:tcBorders>
              <w:top w:val="single" w:color="auto" w:sz="4" w:space="0"/>
              <w:bottom w:val="single" w:color="auto" w:sz="4" w:space="0"/>
              <w:right w:val="single" w:color="auto" w:sz="4" w:space="0"/>
            </w:tcBorders>
            <w:noWrap w:val="0"/>
            <w:vAlign w:val="center"/>
          </w:tcPr>
          <w:p>
            <w:pPr>
              <w:spacing w:line="240" w:lineRule="atLeast"/>
              <w:jc w:val="center"/>
              <w:rPr>
                <w:rFonts w:ascii="Times New Roman" w:hAnsi="Times New Roman"/>
                <w:szCs w:val="21"/>
                <w:highlight w:val="none"/>
              </w:rPr>
            </w:pPr>
            <w:r>
              <w:rPr>
                <w:rFonts w:ascii="Times New Roman" w:hAnsi="Times New Roman"/>
                <w:szCs w:val="21"/>
                <w:highlight w:val="none"/>
              </w:rPr>
              <w:t>预期治理效果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restart"/>
            <w:tcBorders>
              <w:top w:val="single" w:color="auto" w:sz="4" w:space="0"/>
              <w:left w:val="single" w:color="auto" w:sz="4" w:space="0"/>
              <w:right w:val="single" w:color="auto" w:sz="4" w:space="0"/>
            </w:tcBorders>
            <w:noWrap w:val="0"/>
            <w:vAlign w:val="center"/>
          </w:tcPr>
          <w:p>
            <w:pPr>
              <w:spacing w:line="240" w:lineRule="atLeast"/>
              <w:jc w:val="center"/>
              <w:rPr>
                <w:rFonts w:ascii="Times New Roman" w:hAnsi="Times New Roman"/>
                <w:szCs w:val="21"/>
                <w:highlight w:val="none"/>
              </w:rPr>
            </w:pPr>
            <w:r>
              <w:rPr>
                <w:rFonts w:ascii="Times New Roman" w:hAnsi="Times New Roman"/>
                <w:szCs w:val="21"/>
                <w:highlight w:val="none"/>
              </w:rPr>
              <w:t>营运期</w:t>
            </w:r>
          </w:p>
        </w:tc>
        <w:tc>
          <w:tcPr>
            <w:tcW w:w="465" w:type="dxa"/>
            <w:vMerge w:val="restart"/>
            <w:tcBorders>
              <w:top w:val="single" w:color="auto" w:sz="4" w:space="0"/>
              <w:left w:val="single" w:color="auto" w:sz="4" w:space="0"/>
            </w:tcBorders>
            <w:noWrap w:val="0"/>
            <w:vAlign w:val="center"/>
          </w:tcPr>
          <w:p>
            <w:pPr>
              <w:spacing w:line="240" w:lineRule="atLeast"/>
              <w:jc w:val="center"/>
              <w:rPr>
                <w:rFonts w:ascii="Times New Roman" w:hAnsi="Times New Roman"/>
                <w:szCs w:val="21"/>
                <w:highlight w:val="none"/>
              </w:rPr>
            </w:pPr>
            <w:r>
              <w:rPr>
                <w:rFonts w:ascii="Times New Roman" w:hAnsi="Times New Roman"/>
                <w:szCs w:val="21"/>
                <w:highlight w:val="none"/>
              </w:rPr>
              <w:t>大</w:t>
            </w:r>
          </w:p>
          <w:p>
            <w:pPr>
              <w:spacing w:line="240" w:lineRule="atLeast"/>
              <w:jc w:val="center"/>
              <w:rPr>
                <w:rFonts w:ascii="Times New Roman" w:hAnsi="Times New Roman"/>
                <w:szCs w:val="21"/>
                <w:highlight w:val="none"/>
              </w:rPr>
            </w:pPr>
            <w:r>
              <w:rPr>
                <w:rFonts w:ascii="Times New Roman" w:hAnsi="Times New Roman"/>
                <w:szCs w:val="21"/>
                <w:highlight w:val="none"/>
              </w:rPr>
              <w:t>气</w:t>
            </w:r>
          </w:p>
          <w:p>
            <w:pPr>
              <w:spacing w:line="240" w:lineRule="atLeast"/>
              <w:jc w:val="center"/>
              <w:rPr>
                <w:rFonts w:ascii="Times New Roman" w:hAnsi="Times New Roman"/>
                <w:szCs w:val="21"/>
                <w:highlight w:val="none"/>
              </w:rPr>
            </w:pPr>
            <w:r>
              <w:rPr>
                <w:rFonts w:ascii="Times New Roman" w:hAnsi="Times New Roman"/>
                <w:szCs w:val="21"/>
                <w:highlight w:val="none"/>
              </w:rPr>
              <w:t>污</w:t>
            </w:r>
          </w:p>
          <w:p>
            <w:pPr>
              <w:spacing w:line="240" w:lineRule="atLeast"/>
              <w:jc w:val="center"/>
              <w:rPr>
                <w:rFonts w:ascii="Times New Roman" w:hAnsi="Times New Roman"/>
                <w:szCs w:val="21"/>
                <w:highlight w:val="none"/>
              </w:rPr>
            </w:pPr>
            <w:r>
              <w:rPr>
                <w:rFonts w:ascii="Times New Roman" w:hAnsi="Times New Roman"/>
                <w:szCs w:val="21"/>
                <w:highlight w:val="none"/>
              </w:rPr>
              <w:t>染</w:t>
            </w:r>
          </w:p>
          <w:p>
            <w:pPr>
              <w:spacing w:line="240" w:lineRule="atLeast"/>
              <w:jc w:val="center"/>
              <w:rPr>
                <w:rFonts w:ascii="Times New Roman" w:hAnsi="Times New Roman"/>
                <w:szCs w:val="21"/>
                <w:highlight w:val="none"/>
              </w:rPr>
            </w:pPr>
            <w:r>
              <w:rPr>
                <w:rFonts w:ascii="Times New Roman" w:hAnsi="Times New Roman"/>
                <w:szCs w:val="21"/>
                <w:highlight w:val="none"/>
              </w:rPr>
              <w:t>物</w:t>
            </w:r>
          </w:p>
          <w:p>
            <w:pPr>
              <w:spacing w:line="240" w:lineRule="atLeast"/>
              <w:jc w:val="center"/>
              <w:rPr>
                <w:rFonts w:ascii="Times New Roman" w:hAnsi="Times New Roman"/>
                <w:szCs w:val="21"/>
                <w:highlight w:val="none"/>
              </w:rPr>
            </w:pPr>
          </w:p>
        </w:tc>
        <w:tc>
          <w:tcPr>
            <w:tcW w:w="1389" w:type="dxa"/>
            <w:tcBorders>
              <w:top w:val="single" w:color="auto" w:sz="4" w:space="0"/>
            </w:tcBorders>
            <w:noWrap w:val="0"/>
            <w:vAlign w:val="center"/>
          </w:tcPr>
          <w:p>
            <w:pPr>
              <w:jc w:val="center"/>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修复场地</w:t>
            </w:r>
          </w:p>
        </w:tc>
        <w:tc>
          <w:tcPr>
            <w:tcW w:w="1632" w:type="dxa"/>
            <w:tcBorders>
              <w:top w:val="single" w:color="auto" w:sz="4" w:space="0"/>
            </w:tcBorders>
            <w:noWrap w:val="0"/>
            <w:vAlign w:val="center"/>
          </w:tcPr>
          <w:p>
            <w:pPr>
              <w:jc w:val="center"/>
              <w:rPr>
                <w:rFonts w:ascii="Times New Roman" w:hAnsi="Times New Roman"/>
                <w:szCs w:val="21"/>
                <w:highlight w:val="none"/>
              </w:rPr>
            </w:pPr>
            <w:r>
              <w:rPr>
                <w:rFonts w:ascii="Times New Roman" w:hAnsi="Times New Roman"/>
                <w:color w:val="000000"/>
                <w:szCs w:val="21"/>
                <w:highlight w:val="none"/>
              </w:rPr>
              <w:t>颗粒物</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异味</w:t>
            </w:r>
          </w:p>
        </w:tc>
        <w:tc>
          <w:tcPr>
            <w:tcW w:w="2874" w:type="dxa"/>
            <w:tcBorders>
              <w:top w:val="single" w:color="auto" w:sz="4" w:space="0"/>
              <w:bottom w:val="single" w:color="auto" w:sz="4" w:space="0"/>
            </w:tcBorders>
            <w:noWrap w:val="0"/>
            <w:vAlign w:val="center"/>
          </w:tcPr>
          <w:p>
            <w:pPr>
              <w:pStyle w:val="44"/>
              <w:rPr>
                <w:rFonts w:ascii="Times New Roman" w:hAnsi="Times New Roman" w:cs="Times New Roman"/>
                <w:color w:val="FF0000"/>
                <w:szCs w:val="21"/>
                <w:highlight w:val="none"/>
              </w:rPr>
            </w:pPr>
            <w:r>
              <w:rPr>
                <w:rFonts w:hint="default" w:ascii="Times New Roman" w:hAnsi="Times New Roman" w:eastAsia="宋体" w:cs="Times New Roman"/>
                <w:color w:val="000000"/>
                <w:szCs w:val="21"/>
                <w:highlight w:val="none"/>
                <w:lang w:val="en-US" w:eastAsia="zh-CN"/>
              </w:rPr>
              <w:t>场地土壤修复施工时场地四周设有阻施工围挡，施工现场做好定期酒水，堆场内空气流动性小</w:t>
            </w:r>
            <w:r>
              <w:rPr>
                <w:rFonts w:hint="eastAsia" w:ascii="Times New Roman" w:hAnsi="Times New Roman" w:cs="Times New Roman"/>
                <w:color w:val="000000"/>
                <w:szCs w:val="21"/>
                <w:highlight w:val="none"/>
                <w:lang w:val="en-US" w:eastAsia="zh-CN"/>
              </w:rPr>
              <w:t>；及时对道路进行酒水，保持一定湿度，并通过道路硬化和做好运输车辆加盖篷布及车厢防漏措施来得到控制扬尘。车辆进出场做好冲洗工作，出场后做好土壤保湿工作，减少在土壤装载过程中扬尘的产生：外运车辆加帆布履盖，减少在运输途中的扬尘产生；施工过程中喷洒气味抑制剂来控制土壤气味的散发。</w:t>
            </w:r>
          </w:p>
        </w:tc>
        <w:tc>
          <w:tcPr>
            <w:tcW w:w="2628" w:type="dxa"/>
            <w:tcBorders>
              <w:top w:val="single" w:color="auto" w:sz="4" w:space="0"/>
              <w:bottom w:val="single" w:color="auto" w:sz="4" w:space="0"/>
              <w:right w:val="single" w:color="auto" w:sz="4" w:space="0"/>
            </w:tcBorders>
            <w:noWrap w:val="0"/>
            <w:vAlign w:val="center"/>
          </w:tcPr>
          <w:p>
            <w:pPr>
              <w:jc w:val="center"/>
              <w:rPr>
                <w:rFonts w:ascii="Times New Roman" w:hAnsi="Times New Roman"/>
                <w:color w:val="FF0000"/>
                <w:highlight w:val="none"/>
              </w:rPr>
            </w:pPr>
            <w:r>
              <w:rPr>
                <w:rFonts w:hint="eastAsia" w:ascii="Times New Roman" w:hAnsi="Times New Roman" w:cs="Times New Roman"/>
                <w:color w:val="auto"/>
                <w:sz w:val="21"/>
                <w:szCs w:val="21"/>
                <w:lang w:val="en-US" w:eastAsia="zh-CN"/>
              </w:rPr>
              <w:t>颗粒物执行《大气污染物综合排放标准》（GB16297-1996）无组织排放监控浓度限值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szCs w:val="21"/>
                <w:highlight w:val="none"/>
              </w:rPr>
            </w:pPr>
          </w:p>
        </w:tc>
        <w:tc>
          <w:tcPr>
            <w:tcW w:w="465" w:type="dxa"/>
            <w:vMerge w:val="continue"/>
            <w:tcBorders>
              <w:left w:val="single" w:color="auto" w:sz="4" w:space="0"/>
            </w:tcBorders>
            <w:noWrap w:val="0"/>
            <w:vAlign w:val="center"/>
          </w:tcPr>
          <w:p>
            <w:pPr>
              <w:spacing w:line="240" w:lineRule="atLeast"/>
              <w:jc w:val="center"/>
              <w:rPr>
                <w:rFonts w:ascii="Times New Roman" w:hAnsi="Times New Roman"/>
                <w:szCs w:val="21"/>
                <w:highlight w:val="none"/>
              </w:rPr>
            </w:pPr>
          </w:p>
        </w:tc>
        <w:tc>
          <w:tcPr>
            <w:tcW w:w="1389" w:type="dxa"/>
            <w:tcBorders>
              <w:top w:val="single" w:color="auto" w:sz="4" w:space="0"/>
            </w:tcBorders>
            <w:noWrap w:val="0"/>
            <w:vAlign w:val="center"/>
          </w:tcPr>
          <w:p>
            <w:pPr>
              <w:jc w:val="center"/>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食堂</w:t>
            </w:r>
          </w:p>
        </w:tc>
        <w:tc>
          <w:tcPr>
            <w:tcW w:w="1632" w:type="dxa"/>
            <w:tcBorders>
              <w:top w:val="single" w:color="auto" w:sz="4" w:space="0"/>
            </w:tcBorders>
            <w:noWrap w:val="0"/>
            <w:vAlign w:val="center"/>
          </w:tcPr>
          <w:p>
            <w:pPr>
              <w:jc w:val="center"/>
              <w:rPr>
                <w:rFonts w:ascii="Times New Roman" w:hAnsi="Times New Roman"/>
                <w:color w:val="000000"/>
                <w:szCs w:val="21"/>
                <w:highlight w:val="none"/>
              </w:rPr>
            </w:pPr>
            <w:r>
              <w:rPr>
                <w:rFonts w:hint="eastAsia" w:ascii="Times New Roman" w:hAnsi="Times New Roman"/>
                <w:color w:val="000000"/>
                <w:szCs w:val="21"/>
                <w:highlight w:val="none"/>
                <w:lang w:val="en-US" w:eastAsia="zh-CN"/>
              </w:rPr>
              <w:t>食堂油烟</w:t>
            </w:r>
          </w:p>
        </w:tc>
        <w:tc>
          <w:tcPr>
            <w:tcW w:w="2874" w:type="dxa"/>
            <w:tcBorders>
              <w:top w:val="single" w:color="auto" w:sz="4" w:space="0"/>
              <w:bottom w:val="single" w:color="auto" w:sz="4" w:space="0"/>
            </w:tcBorders>
            <w:noWrap w:val="0"/>
            <w:vAlign w:val="center"/>
          </w:tcPr>
          <w:p>
            <w:pPr>
              <w:pStyle w:val="44"/>
              <w:rPr>
                <w:rFonts w:ascii="Times New Roman" w:hAnsi="Times New Roman" w:cs="Times New Roman"/>
                <w:color w:val="000000"/>
                <w:szCs w:val="21"/>
                <w:highlight w:val="none"/>
              </w:rPr>
            </w:pPr>
            <w:r>
              <w:rPr>
                <w:rFonts w:hint="eastAsia" w:ascii="Times New Roman" w:hAnsi="Times New Roman" w:cs="Times New Roman"/>
                <w:color w:val="000000"/>
                <w:szCs w:val="21"/>
                <w:highlight w:val="none"/>
                <w:lang w:val="en-US" w:eastAsia="zh-CN"/>
              </w:rPr>
              <w:t>营地油烟通过油烟净化器净化后排放。</w:t>
            </w:r>
          </w:p>
        </w:tc>
        <w:tc>
          <w:tcPr>
            <w:tcW w:w="2628" w:type="dxa"/>
            <w:tcBorders>
              <w:top w:val="single" w:color="auto" w:sz="4" w:space="0"/>
              <w:right w:val="single" w:color="auto" w:sz="4" w:space="0"/>
            </w:tcBorders>
            <w:noWrap w:val="0"/>
            <w:vAlign w:val="center"/>
          </w:tcPr>
          <w:p>
            <w:pPr>
              <w:jc w:val="center"/>
              <w:rPr>
                <w:rFonts w:ascii="Times New Roman" w:hAnsi="Times New Roman"/>
                <w:color w:val="000000"/>
                <w:szCs w:val="22"/>
                <w:highlight w:val="none"/>
              </w:rPr>
            </w:pPr>
            <w:r>
              <w:rPr>
                <w:rFonts w:hint="eastAsia" w:ascii="Times New Roman" w:hAnsi="Times New Roman" w:cs="Times New Roman"/>
                <w:color w:val="000000"/>
                <w:szCs w:val="21"/>
                <w:highlight w:val="none"/>
              </w:rPr>
              <w:t>食堂餐饮油烟排放执行《饮食业油烟排放标准（试行）》（GB18483-2001）中小型相关标准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szCs w:val="21"/>
                <w:highlight w:val="none"/>
              </w:rPr>
            </w:pPr>
          </w:p>
        </w:tc>
        <w:tc>
          <w:tcPr>
            <w:tcW w:w="465" w:type="dxa"/>
            <w:tcBorders>
              <w:top w:val="single" w:color="auto" w:sz="4" w:space="0"/>
              <w:left w:val="single" w:color="auto" w:sz="4" w:space="0"/>
            </w:tcBorders>
            <w:noWrap w:val="0"/>
            <w:vAlign w:val="center"/>
          </w:tcPr>
          <w:p>
            <w:pPr>
              <w:spacing w:line="240" w:lineRule="atLeast"/>
              <w:jc w:val="center"/>
              <w:rPr>
                <w:rFonts w:ascii="Times New Roman" w:hAnsi="Times New Roman"/>
                <w:szCs w:val="21"/>
                <w:highlight w:val="none"/>
              </w:rPr>
            </w:pPr>
          </w:p>
          <w:p>
            <w:pPr>
              <w:spacing w:line="240" w:lineRule="atLeast"/>
              <w:jc w:val="center"/>
              <w:rPr>
                <w:rFonts w:ascii="Times New Roman" w:hAnsi="Times New Roman"/>
                <w:szCs w:val="21"/>
                <w:highlight w:val="none"/>
              </w:rPr>
            </w:pPr>
          </w:p>
          <w:p>
            <w:pPr>
              <w:spacing w:line="240" w:lineRule="atLeast"/>
              <w:jc w:val="center"/>
              <w:rPr>
                <w:rFonts w:ascii="Times New Roman" w:hAnsi="Times New Roman"/>
                <w:szCs w:val="21"/>
                <w:highlight w:val="none"/>
              </w:rPr>
            </w:pPr>
          </w:p>
          <w:p>
            <w:pPr>
              <w:spacing w:line="240" w:lineRule="atLeast"/>
              <w:jc w:val="center"/>
              <w:rPr>
                <w:rFonts w:ascii="Times New Roman" w:hAnsi="Times New Roman"/>
                <w:szCs w:val="21"/>
                <w:highlight w:val="none"/>
              </w:rPr>
            </w:pPr>
            <w:r>
              <w:rPr>
                <w:rFonts w:ascii="Times New Roman" w:hAnsi="Times New Roman"/>
                <w:szCs w:val="21"/>
                <w:highlight w:val="none"/>
              </w:rPr>
              <w:t>水</w:t>
            </w:r>
          </w:p>
          <w:p>
            <w:pPr>
              <w:spacing w:line="240" w:lineRule="atLeast"/>
              <w:jc w:val="center"/>
              <w:rPr>
                <w:rFonts w:ascii="Times New Roman" w:hAnsi="Times New Roman"/>
                <w:szCs w:val="21"/>
                <w:highlight w:val="none"/>
              </w:rPr>
            </w:pPr>
            <w:r>
              <w:rPr>
                <w:rFonts w:ascii="Times New Roman" w:hAnsi="Times New Roman"/>
                <w:szCs w:val="21"/>
                <w:highlight w:val="none"/>
              </w:rPr>
              <w:t>污</w:t>
            </w:r>
          </w:p>
          <w:p>
            <w:pPr>
              <w:spacing w:line="240" w:lineRule="atLeast"/>
              <w:jc w:val="center"/>
              <w:rPr>
                <w:rFonts w:ascii="Times New Roman" w:hAnsi="Times New Roman"/>
                <w:szCs w:val="21"/>
                <w:highlight w:val="none"/>
              </w:rPr>
            </w:pPr>
            <w:r>
              <w:rPr>
                <w:rFonts w:ascii="Times New Roman" w:hAnsi="Times New Roman"/>
                <w:szCs w:val="21"/>
                <w:highlight w:val="none"/>
              </w:rPr>
              <w:t>染</w:t>
            </w:r>
          </w:p>
          <w:p>
            <w:pPr>
              <w:spacing w:line="240" w:lineRule="atLeast"/>
              <w:jc w:val="center"/>
              <w:rPr>
                <w:rFonts w:ascii="Times New Roman" w:hAnsi="Times New Roman"/>
                <w:szCs w:val="21"/>
                <w:highlight w:val="none"/>
              </w:rPr>
            </w:pPr>
            <w:r>
              <w:rPr>
                <w:rFonts w:ascii="Times New Roman" w:hAnsi="Times New Roman"/>
                <w:szCs w:val="21"/>
                <w:highlight w:val="none"/>
              </w:rPr>
              <w:t>物</w:t>
            </w:r>
          </w:p>
        </w:tc>
        <w:tc>
          <w:tcPr>
            <w:tcW w:w="1389" w:type="dxa"/>
            <w:noWrap w:val="0"/>
            <w:vAlign w:val="center"/>
          </w:tcPr>
          <w:p>
            <w:pPr>
              <w:spacing w:line="240" w:lineRule="atLeast"/>
              <w:jc w:val="center"/>
              <w:rPr>
                <w:rFonts w:hint="default" w:ascii="Times New Roman" w:hAnsi="Times New Roman" w:eastAsia="宋体"/>
                <w:szCs w:val="21"/>
                <w:highlight w:val="none"/>
                <w:lang w:val="en-US" w:eastAsia="zh-CN"/>
              </w:rPr>
            </w:pPr>
            <w:r>
              <w:rPr>
                <w:rFonts w:hint="eastAsia" w:ascii="Times New Roman" w:hAnsi="Times New Roman"/>
                <w:color w:val="000000"/>
                <w:szCs w:val="21"/>
                <w:highlight w:val="none"/>
                <w:lang w:val="en-US" w:eastAsia="zh-CN"/>
              </w:rPr>
              <w:t>初期雨水、基坑废水、清洗废水、污染地下水抽水、生活污水</w:t>
            </w:r>
          </w:p>
        </w:tc>
        <w:tc>
          <w:tcPr>
            <w:tcW w:w="1632" w:type="dxa"/>
            <w:tcBorders>
              <w:bottom w:val="single" w:color="auto" w:sz="4" w:space="0"/>
            </w:tcBorders>
            <w:noWrap w:val="0"/>
            <w:vAlign w:val="center"/>
          </w:tcPr>
          <w:p>
            <w:pPr>
              <w:spacing w:line="240" w:lineRule="atLeast"/>
              <w:jc w:val="center"/>
              <w:rPr>
                <w:rFonts w:hint="default" w:ascii="Times New Roman" w:hAnsi="Times New Roman" w:cs="Times New Roman"/>
              </w:rPr>
            </w:pPr>
            <w:r>
              <w:rPr>
                <w:rFonts w:hint="default" w:ascii="Times New Roman" w:hAnsi="Times New Roman" w:cs="Times New Roman"/>
                <w:lang w:val="de-DE"/>
              </w:rPr>
              <w:t>COD</w:t>
            </w:r>
          </w:p>
          <w:p>
            <w:pPr>
              <w:spacing w:line="240" w:lineRule="atLeast"/>
              <w:jc w:val="center"/>
              <w:rPr>
                <w:rFonts w:hint="default" w:ascii="Times New Roman" w:hAnsi="Times New Roman" w:cs="Times New Roman"/>
                <w:lang w:val="de-DE"/>
              </w:rPr>
            </w:pPr>
            <w:r>
              <w:rPr>
                <w:rFonts w:hint="default" w:ascii="Times New Roman" w:hAnsi="Times New Roman" w:cs="Times New Roman"/>
              </w:rPr>
              <w:t>BOD</w:t>
            </w:r>
            <w:r>
              <w:rPr>
                <w:rFonts w:hint="default" w:ascii="Times New Roman" w:hAnsi="Times New Roman" w:cs="Times New Roman"/>
                <w:vertAlign w:val="subscript"/>
              </w:rPr>
              <w:t>5</w:t>
            </w:r>
          </w:p>
          <w:p>
            <w:pPr>
              <w:spacing w:line="240" w:lineRule="atLeast"/>
              <w:jc w:val="center"/>
              <w:rPr>
                <w:rFonts w:hint="default" w:ascii="Times New Roman" w:hAnsi="Times New Roman" w:cs="Times New Roman"/>
              </w:rPr>
            </w:pPr>
            <w:r>
              <w:rPr>
                <w:rFonts w:hint="default" w:ascii="Times New Roman" w:hAnsi="Times New Roman" w:cs="Times New Roman"/>
                <w:lang w:val="de-DE"/>
              </w:rPr>
              <w:t>SS</w:t>
            </w:r>
          </w:p>
          <w:p>
            <w:pPr>
              <w:spacing w:line="240" w:lineRule="atLeast"/>
              <w:jc w:val="center"/>
              <w:rPr>
                <w:rFonts w:hint="default" w:ascii="Times New Roman" w:hAnsi="Times New Roman" w:cs="Times New Roman"/>
                <w:lang w:val="en-US" w:eastAsia="zh-CN"/>
              </w:rPr>
            </w:pPr>
            <w:r>
              <w:rPr>
                <w:rFonts w:hint="default" w:ascii="Times New Roman" w:hAnsi="Times New Roman" w:cs="Times New Roman"/>
                <w:lang w:val="en-US" w:eastAsia="zh-CN"/>
              </w:rPr>
              <w:t>动植物油</w:t>
            </w:r>
          </w:p>
          <w:p>
            <w:pPr>
              <w:spacing w:line="240" w:lineRule="atLeast"/>
              <w:jc w:val="center"/>
              <w:rPr>
                <w:rFonts w:hint="default" w:ascii="Times New Roman" w:hAnsi="Times New Roman" w:cs="Times New Roman"/>
                <w:lang w:val="de-DE"/>
              </w:rPr>
            </w:pPr>
            <w:r>
              <w:rPr>
                <w:rFonts w:hint="default" w:ascii="Times New Roman" w:hAnsi="Times New Roman" w:cs="Times New Roman"/>
                <w:lang w:val="de-DE"/>
              </w:rPr>
              <w:t>氨氮</w:t>
            </w:r>
          </w:p>
          <w:p>
            <w:pPr>
              <w:spacing w:line="240" w:lineRule="atLeast"/>
              <w:jc w:val="center"/>
              <w:rPr>
                <w:rFonts w:hint="default" w:ascii="Times New Roman" w:hAnsi="Times New Roman" w:cs="Times New Roman"/>
                <w:lang w:val="en-US" w:eastAsia="zh-CN"/>
              </w:rPr>
            </w:pPr>
            <w:r>
              <w:rPr>
                <w:rFonts w:hint="default" w:ascii="Times New Roman" w:hAnsi="Times New Roman" w:cs="Times New Roman"/>
                <w:lang w:val="en-US" w:eastAsia="zh-CN"/>
              </w:rPr>
              <w:t>六价铬</w:t>
            </w:r>
          </w:p>
          <w:p>
            <w:pPr>
              <w:pStyle w:val="144"/>
              <w:rPr>
                <w:rFonts w:hint="default" w:ascii="Times New Roman" w:hAnsi="Times New Roman" w:cs="Times New Roman"/>
                <w:lang w:val="en-US" w:eastAsia="zh-CN"/>
              </w:rPr>
            </w:pPr>
            <w:r>
              <w:rPr>
                <w:rFonts w:hint="default" w:ascii="Times New Roman" w:hAnsi="Times New Roman" w:cs="Times New Roman"/>
                <w:highlight w:val="none"/>
                <w:lang w:val="en-US" w:eastAsia="zh-CN"/>
              </w:rPr>
              <w:t>总石油烃</w:t>
            </w:r>
          </w:p>
        </w:tc>
        <w:tc>
          <w:tcPr>
            <w:tcW w:w="2874" w:type="dxa"/>
            <w:tcBorders>
              <w:bottom w:val="single" w:color="auto" w:sz="4" w:space="0"/>
            </w:tcBorders>
            <w:noWrap w:val="0"/>
            <w:vAlign w:val="center"/>
          </w:tcPr>
          <w:p>
            <w:pPr>
              <w:jc w:val="center"/>
              <w:rPr>
                <w:rFonts w:hint="default" w:ascii="Times New Roman" w:hAnsi="Times New Roman" w:cs="Times New Roman"/>
                <w:szCs w:val="21"/>
                <w:highlight w:val="none"/>
              </w:rPr>
            </w:pPr>
            <w:r>
              <w:rPr>
                <w:rFonts w:hint="default" w:ascii="Times New Roman" w:hAnsi="Times New Roman" w:eastAsia="宋体" w:cs="Times New Roman"/>
                <w:color w:val="000000"/>
                <w:szCs w:val="21"/>
                <w:highlight w:val="none"/>
                <w:lang w:val="en-US" w:eastAsia="zh-CN"/>
              </w:rPr>
              <w:t>初期雨水汇入至雨水收集系统内，伴随基坑废水、污染地下水抽水、车辆清洗废水等一同排放至厂区西南侧新建的污水处理站内处置，该污水处理站处理规模为80m</w:t>
            </w:r>
            <w:r>
              <w:rPr>
                <w:rFonts w:hint="default" w:ascii="Times New Roman" w:hAnsi="Times New Roman" w:eastAsia="宋体" w:cs="Times New Roman"/>
                <w:color w:val="000000"/>
                <w:szCs w:val="21"/>
                <w:highlight w:val="none"/>
                <w:vertAlign w:val="superscript"/>
                <w:lang w:val="en-US" w:eastAsia="zh-CN"/>
              </w:rPr>
              <w:t>3</w:t>
            </w:r>
            <w:r>
              <w:rPr>
                <w:rFonts w:hint="default" w:ascii="Times New Roman" w:hAnsi="Times New Roman" w:eastAsia="宋体" w:cs="Times New Roman"/>
                <w:color w:val="000000"/>
                <w:szCs w:val="21"/>
                <w:highlight w:val="none"/>
                <w:lang w:val="en-US" w:eastAsia="zh-CN"/>
              </w:rPr>
              <w:t>/d，处理工艺采用“调节+破乳池+气浮+两级滤碳”工艺</w:t>
            </w:r>
          </w:p>
        </w:tc>
        <w:tc>
          <w:tcPr>
            <w:tcW w:w="2628" w:type="dxa"/>
            <w:tcBorders>
              <w:right w:val="single" w:color="auto" w:sz="4" w:space="0"/>
            </w:tcBorders>
            <w:noWrap w:val="0"/>
            <w:vAlign w:val="center"/>
          </w:tcPr>
          <w:p>
            <w:pPr>
              <w:jc w:val="center"/>
              <w:rPr>
                <w:rFonts w:ascii="Times New Roman" w:hAnsi="Times New Roman"/>
                <w:szCs w:val="21"/>
                <w:highlight w:val="none"/>
              </w:rPr>
            </w:pPr>
            <w:r>
              <w:rPr>
                <w:rFonts w:hint="eastAsia" w:ascii="Times New Roman" w:hAnsi="Times New Roman"/>
                <w:color w:val="000000"/>
                <w:highlight w:val="none"/>
              </w:rPr>
              <w:t>各股废水污染物处理满足《污水综合排放标准》（GB8978-1996）表4中的三级标准，其中氨氮参照《污水排入城镇下水道水质标准》（GB/T31962-2015中的标准，六价铬执行《污水综合排放标准》（GB8978-1996）表1中的标准，总石油烃参考荷兰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szCs w:val="21"/>
              </w:rPr>
            </w:pPr>
          </w:p>
        </w:tc>
        <w:tc>
          <w:tcPr>
            <w:tcW w:w="465" w:type="dxa"/>
            <w:vMerge w:val="restart"/>
            <w:tcBorders>
              <w:left w:val="single" w:color="auto" w:sz="4" w:space="0"/>
            </w:tcBorders>
            <w:noWrap w:val="0"/>
            <w:vAlign w:val="center"/>
          </w:tcPr>
          <w:p>
            <w:pPr>
              <w:spacing w:line="240" w:lineRule="atLeast"/>
              <w:jc w:val="center"/>
              <w:rPr>
                <w:rFonts w:ascii="Times New Roman" w:hAnsi="Times New Roman"/>
                <w:szCs w:val="21"/>
              </w:rPr>
            </w:pPr>
            <w:r>
              <w:rPr>
                <w:rFonts w:ascii="Times New Roman" w:hAnsi="Times New Roman"/>
                <w:szCs w:val="21"/>
              </w:rPr>
              <w:t>固体废物</w:t>
            </w:r>
          </w:p>
        </w:tc>
        <w:tc>
          <w:tcPr>
            <w:tcW w:w="1389" w:type="dxa"/>
            <w:vMerge w:val="restart"/>
            <w:noWrap w:val="0"/>
            <w:vAlign w:val="center"/>
          </w:tcPr>
          <w:p>
            <w:pPr>
              <w:spacing w:line="240" w:lineRule="atLeast"/>
              <w:jc w:val="center"/>
              <w:rPr>
                <w:rFonts w:ascii="Times New Roman" w:hAnsi="Times New Roman"/>
                <w:szCs w:val="21"/>
              </w:rPr>
            </w:pPr>
            <w:r>
              <w:rPr>
                <w:rFonts w:ascii="Times New Roman" w:hAnsi="Times New Roman"/>
                <w:szCs w:val="21"/>
              </w:rPr>
              <w:t>厂区</w:t>
            </w:r>
          </w:p>
        </w:tc>
        <w:tc>
          <w:tcPr>
            <w:tcW w:w="1632" w:type="dxa"/>
            <w:noWrap w:val="0"/>
            <w:vAlign w:val="center"/>
          </w:tcPr>
          <w:p>
            <w:pPr>
              <w:pStyle w:val="99"/>
              <w:spacing w:line="240" w:lineRule="atLeast"/>
              <w:ind w:firstLine="0" w:firstLineChars="0"/>
              <w:jc w:val="center"/>
              <w:rPr>
                <w:rFonts w:ascii="Times New Roman" w:hAnsi="Times New Roman"/>
                <w:color w:val="000000"/>
                <w:szCs w:val="21"/>
              </w:rPr>
            </w:pPr>
            <w:r>
              <w:rPr>
                <w:rFonts w:hint="eastAsia" w:ascii="Times New Roman" w:hAnsi="Times New Roman"/>
                <w:color w:val="000000"/>
                <w:szCs w:val="21"/>
                <w:highlight w:val="none"/>
                <w:lang w:val="en-US" w:eastAsia="zh-CN"/>
              </w:rPr>
              <w:t>生活垃圾</w:t>
            </w:r>
          </w:p>
        </w:tc>
        <w:tc>
          <w:tcPr>
            <w:tcW w:w="2874" w:type="dxa"/>
            <w:tcBorders>
              <w:top w:val="single" w:color="auto" w:sz="4" w:space="0"/>
            </w:tcBorders>
            <w:noWrap w:val="0"/>
            <w:vAlign w:val="center"/>
          </w:tcPr>
          <w:p>
            <w:pPr>
              <w:pStyle w:val="99"/>
              <w:spacing w:line="240" w:lineRule="atLeast"/>
              <w:ind w:firstLine="0" w:firstLineChars="0"/>
              <w:jc w:val="center"/>
              <w:rPr>
                <w:rFonts w:ascii="Times New Roman" w:hAnsi="Times New Roman"/>
                <w:color w:val="000000"/>
                <w:szCs w:val="21"/>
              </w:rPr>
            </w:pPr>
            <w:r>
              <w:rPr>
                <w:rFonts w:ascii="Times New Roman" w:hAnsi="Times New Roman"/>
                <w:color w:val="000000"/>
                <w:szCs w:val="21"/>
                <w:highlight w:val="none"/>
              </w:rPr>
              <w:t>由</w:t>
            </w:r>
            <w:r>
              <w:rPr>
                <w:rFonts w:ascii="Times New Roman" w:hAnsi="Times New Roman"/>
                <w:color w:val="000000"/>
                <w:szCs w:val="21"/>
                <w:highlight w:val="none"/>
                <w:lang w:eastAsia="en-US"/>
              </w:rPr>
              <w:t>环卫部门处置</w:t>
            </w:r>
          </w:p>
        </w:tc>
        <w:tc>
          <w:tcPr>
            <w:tcW w:w="2628" w:type="dxa"/>
            <w:vMerge w:val="restart"/>
            <w:tcBorders>
              <w:right w:val="single" w:color="auto" w:sz="4" w:space="0"/>
            </w:tcBorders>
            <w:noWrap w:val="0"/>
            <w:vAlign w:val="center"/>
          </w:tcPr>
          <w:p>
            <w:pPr>
              <w:spacing w:line="240" w:lineRule="atLeast"/>
              <w:jc w:val="center"/>
              <w:rPr>
                <w:rFonts w:ascii="Times New Roman" w:hAnsi="Times New Roman"/>
                <w:szCs w:val="21"/>
                <w:highlight w:val="yellow"/>
              </w:rPr>
            </w:pPr>
            <w:r>
              <w:rPr>
                <w:rFonts w:ascii="Times New Roman" w:hAnsi="Times New Roman"/>
                <w:szCs w:val="21"/>
              </w:rPr>
              <w:t>合理处置不对外环境产生影响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szCs w:val="21"/>
              </w:rPr>
            </w:pPr>
          </w:p>
        </w:tc>
        <w:tc>
          <w:tcPr>
            <w:tcW w:w="465" w:type="dxa"/>
            <w:vMerge w:val="continue"/>
            <w:tcBorders>
              <w:left w:val="single" w:color="auto" w:sz="4" w:space="0"/>
            </w:tcBorders>
            <w:noWrap w:val="0"/>
            <w:vAlign w:val="center"/>
          </w:tcPr>
          <w:p>
            <w:pPr>
              <w:spacing w:line="240" w:lineRule="atLeast"/>
              <w:jc w:val="center"/>
              <w:rPr>
                <w:rFonts w:ascii="Times New Roman" w:hAnsi="Times New Roman"/>
                <w:szCs w:val="21"/>
              </w:rPr>
            </w:pPr>
          </w:p>
        </w:tc>
        <w:tc>
          <w:tcPr>
            <w:tcW w:w="1389" w:type="dxa"/>
            <w:vMerge w:val="continue"/>
            <w:noWrap w:val="0"/>
            <w:vAlign w:val="center"/>
          </w:tcPr>
          <w:p>
            <w:pPr>
              <w:spacing w:line="240" w:lineRule="atLeast"/>
              <w:jc w:val="center"/>
              <w:rPr>
                <w:rFonts w:ascii="Times New Roman" w:hAnsi="Times New Roman"/>
                <w:szCs w:val="21"/>
              </w:rPr>
            </w:pPr>
          </w:p>
        </w:tc>
        <w:tc>
          <w:tcPr>
            <w:tcW w:w="1632" w:type="dxa"/>
            <w:noWrap w:val="0"/>
            <w:vAlign w:val="center"/>
          </w:tcPr>
          <w:p>
            <w:pPr>
              <w:pStyle w:val="99"/>
              <w:spacing w:line="240" w:lineRule="atLeast"/>
              <w:ind w:firstLine="0" w:firstLineChars="0"/>
              <w:jc w:val="center"/>
              <w:rPr>
                <w:rFonts w:ascii="Times New Roman" w:hAnsi="Times New Roman"/>
                <w:color w:val="000000"/>
                <w:szCs w:val="21"/>
              </w:rPr>
            </w:pPr>
            <w:r>
              <w:rPr>
                <w:rFonts w:hint="eastAsia" w:ascii="Times New Roman" w:hAnsi="Times New Roman"/>
                <w:color w:val="000000"/>
                <w:szCs w:val="21"/>
                <w:highlight w:val="none"/>
                <w:lang w:val="en-US" w:eastAsia="zh-CN"/>
              </w:rPr>
              <w:t>非污染建筑垃圾</w:t>
            </w:r>
          </w:p>
        </w:tc>
        <w:tc>
          <w:tcPr>
            <w:tcW w:w="2874" w:type="dxa"/>
            <w:tcBorders>
              <w:top w:val="single" w:color="auto" w:sz="4" w:space="0"/>
            </w:tcBorders>
            <w:noWrap w:val="0"/>
            <w:vAlign w:val="center"/>
          </w:tcPr>
          <w:p>
            <w:pPr>
              <w:pStyle w:val="99"/>
              <w:spacing w:line="240" w:lineRule="atLeast"/>
              <w:ind w:firstLine="0" w:firstLineChars="0"/>
              <w:jc w:val="center"/>
              <w:rPr>
                <w:rFonts w:ascii="Times New Roman" w:hAnsi="Times New Roman"/>
                <w:color w:val="000000"/>
                <w:szCs w:val="21"/>
              </w:rPr>
            </w:pPr>
            <w:r>
              <w:rPr>
                <w:rFonts w:hint="eastAsia" w:ascii="Times New Roman" w:hAnsi="Times New Roman"/>
                <w:color w:val="000000"/>
                <w:szCs w:val="21"/>
                <w:highlight w:val="none"/>
                <w:lang w:val="en-US" w:eastAsia="zh-CN"/>
              </w:rPr>
              <w:t>由物资回收公司处理再利用</w:t>
            </w:r>
          </w:p>
        </w:tc>
        <w:tc>
          <w:tcPr>
            <w:tcW w:w="2628" w:type="dxa"/>
            <w:vMerge w:val="continue"/>
            <w:tcBorders>
              <w:right w:val="single" w:color="auto" w:sz="4" w:space="0"/>
            </w:tcBorders>
            <w:noWrap w:val="0"/>
            <w:vAlign w:val="center"/>
          </w:tcPr>
          <w:p>
            <w:pPr>
              <w:spacing w:line="240" w:lineRule="atLeast"/>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szCs w:val="21"/>
              </w:rPr>
            </w:pPr>
          </w:p>
        </w:tc>
        <w:tc>
          <w:tcPr>
            <w:tcW w:w="465" w:type="dxa"/>
            <w:vMerge w:val="continue"/>
            <w:tcBorders>
              <w:left w:val="single" w:color="auto" w:sz="4" w:space="0"/>
            </w:tcBorders>
            <w:noWrap w:val="0"/>
            <w:vAlign w:val="center"/>
          </w:tcPr>
          <w:p>
            <w:pPr>
              <w:spacing w:line="240" w:lineRule="atLeast"/>
              <w:jc w:val="center"/>
              <w:rPr>
                <w:rFonts w:ascii="Times New Roman" w:hAnsi="Times New Roman"/>
                <w:szCs w:val="21"/>
              </w:rPr>
            </w:pPr>
          </w:p>
        </w:tc>
        <w:tc>
          <w:tcPr>
            <w:tcW w:w="1389" w:type="dxa"/>
            <w:vMerge w:val="continue"/>
            <w:noWrap w:val="0"/>
            <w:vAlign w:val="center"/>
          </w:tcPr>
          <w:p>
            <w:pPr>
              <w:spacing w:line="240" w:lineRule="atLeast"/>
              <w:jc w:val="center"/>
              <w:rPr>
                <w:rFonts w:ascii="Times New Roman" w:hAnsi="Times New Roman"/>
                <w:szCs w:val="21"/>
              </w:rPr>
            </w:pPr>
          </w:p>
        </w:tc>
        <w:tc>
          <w:tcPr>
            <w:tcW w:w="1632" w:type="dxa"/>
            <w:noWrap w:val="0"/>
            <w:vAlign w:val="center"/>
          </w:tcPr>
          <w:p>
            <w:pPr>
              <w:pStyle w:val="99"/>
              <w:spacing w:line="240" w:lineRule="atLeast"/>
              <w:ind w:firstLine="0" w:firstLineChars="0"/>
              <w:jc w:val="center"/>
              <w:rPr>
                <w:rFonts w:ascii="Times New Roman" w:hAnsi="Times New Roman"/>
                <w:color w:val="000000"/>
                <w:szCs w:val="21"/>
              </w:rPr>
            </w:pPr>
            <w:r>
              <w:rPr>
                <w:rFonts w:hint="eastAsia" w:ascii="Times New Roman" w:hAnsi="Times New Roman"/>
                <w:color w:val="000000"/>
                <w:szCs w:val="21"/>
                <w:highlight w:val="none"/>
                <w:lang w:val="en-US" w:eastAsia="zh-CN"/>
              </w:rPr>
              <w:t>污染垃圾</w:t>
            </w:r>
          </w:p>
        </w:tc>
        <w:tc>
          <w:tcPr>
            <w:tcW w:w="2874" w:type="dxa"/>
            <w:tcBorders>
              <w:top w:val="single" w:color="auto" w:sz="4" w:space="0"/>
            </w:tcBorders>
            <w:noWrap w:val="0"/>
            <w:vAlign w:val="center"/>
          </w:tcPr>
          <w:p>
            <w:pPr>
              <w:spacing w:line="240" w:lineRule="atLeast"/>
              <w:jc w:val="center"/>
              <w:rPr>
                <w:rFonts w:ascii="Times New Roman" w:hAnsi="Times New Roman"/>
                <w:color w:val="000000"/>
                <w:szCs w:val="21"/>
              </w:rPr>
            </w:pPr>
            <w:r>
              <w:rPr>
                <w:rFonts w:hint="eastAsia" w:ascii="Times New Roman" w:hAnsi="Times New Roman"/>
                <w:color w:val="000000"/>
                <w:szCs w:val="21"/>
                <w:highlight w:val="none"/>
                <w:lang w:val="en-US" w:eastAsia="zh-CN"/>
              </w:rPr>
              <w:t>直接由货车清运至异地水泥窑协同处置</w:t>
            </w:r>
          </w:p>
        </w:tc>
        <w:tc>
          <w:tcPr>
            <w:tcW w:w="2628" w:type="dxa"/>
            <w:vMerge w:val="continue"/>
            <w:tcBorders>
              <w:right w:val="single" w:color="auto" w:sz="4" w:space="0"/>
            </w:tcBorders>
            <w:noWrap w:val="0"/>
            <w:vAlign w:val="center"/>
          </w:tcPr>
          <w:p>
            <w:pPr>
              <w:spacing w:line="240" w:lineRule="atLeast"/>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5" w:type="dxa"/>
            <w:vMerge w:val="continue"/>
            <w:tcBorders>
              <w:left w:val="single" w:color="auto" w:sz="4" w:space="0"/>
              <w:right w:val="single" w:color="auto" w:sz="4" w:space="0"/>
            </w:tcBorders>
            <w:noWrap w:val="0"/>
            <w:vAlign w:val="center"/>
          </w:tcPr>
          <w:p>
            <w:pPr>
              <w:spacing w:line="240" w:lineRule="atLeast"/>
              <w:jc w:val="center"/>
              <w:rPr>
                <w:rFonts w:ascii="Times New Roman" w:hAnsi="Times New Roman"/>
                <w:szCs w:val="21"/>
              </w:rPr>
            </w:pPr>
          </w:p>
        </w:tc>
        <w:tc>
          <w:tcPr>
            <w:tcW w:w="465" w:type="dxa"/>
            <w:vMerge w:val="continue"/>
            <w:tcBorders>
              <w:left w:val="single" w:color="auto" w:sz="4" w:space="0"/>
            </w:tcBorders>
            <w:noWrap w:val="0"/>
            <w:vAlign w:val="center"/>
          </w:tcPr>
          <w:p>
            <w:pPr>
              <w:spacing w:line="240" w:lineRule="atLeast"/>
              <w:jc w:val="center"/>
              <w:rPr>
                <w:rFonts w:ascii="Times New Roman" w:hAnsi="Times New Roman"/>
                <w:szCs w:val="21"/>
              </w:rPr>
            </w:pPr>
          </w:p>
        </w:tc>
        <w:tc>
          <w:tcPr>
            <w:tcW w:w="1389" w:type="dxa"/>
            <w:vMerge w:val="continue"/>
            <w:noWrap w:val="0"/>
            <w:vAlign w:val="center"/>
          </w:tcPr>
          <w:p>
            <w:pPr>
              <w:spacing w:line="240" w:lineRule="atLeast"/>
              <w:jc w:val="center"/>
              <w:rPr>
                <w:rFonts w:ascii="Times New Roman" w:hAnsi="Times New Roman"/>
                <w:szCs w:val="21"/>
              </w:rPr>
            </w:pPr>
          </w:p>
        </w:tc>
        <w:tc>
          <w:tcPr>
            <w:tcW w:w="1632" w:type="dxa"/>
            <w:noWrap w:val="0"/>
            <w:vAlign w:val="center"/>
          </w:tcPr>
          <w:p>
            <w:pPr>
              <w:pStyle w:val="99"/>
              <w:spacing w:line="240" w:lineRule="atLeast"/>
              <w:ind w:firstLine="0" w:firstLineChars="0"/>
              <w:jc w:val="center"/>
              <w:rPr>
                <w:rFonts w:ascii="Times New Roman" w:hAnsi="Times New Roman"/>
                <w:color w:val="000000"/>
                <w:szCs w:val="21"/>
              </w:rPr>
            </w:pPr>
            <w:r>
              <w:rPr>
                <w:rFonts w:ascii="Times New Roman" w:hAnsi="Times New Roman"/>
                <w:color w:val="000000"/>
                <w:szCs w:val="21"/>
                <w:highlight w:val="none"/>
                <w:lang w:eastAsia="en-US"/>
              </w:rPr>
              <w:t>废</w:t>
            </w:r>
            <w:r>
              <w:rPr>
                <w:rFonts w:hint="eastAsia" w:ascii="Times New Roman" w:hAnsi="Times New Roman"/>
                <w:color w:val="000000"/>
                <w:szCs w:val="21"/>
                <w:highlight w:val="none"/>
                <w:lang w:val="en-US" w:eastAsia="zh-CN"/>
              </w:rPr>
              <w:t>活性炭、污泥</w:t>
            </w:r>
          </w:p>
        </w:tc>
        <w:tc>
          <w:tcPr>
            <w:tcW w:w="2874" w:type="dxa"/>
            <w:tcBorders>
              <w:top w:val="single" w:color="auto" w:sz="4" w:space="0"/>
            </w:tcBorders>
            <w:noWrap w:val="0"/>
            <w:vAlign w:val="center"/>
          </w:tcPr>
          <w:p>
            <w:pPr>
              <w:spacing w:line="240" w:lineRule="atLeast"/>
              <w:jc w:val="center"/>
              <w:rPr>
                <w:rFonts w:ascii="Times New Roman" w:hAnsi="Times New Roman"/>
                <w:color w:val="000000"/>
                <w:szCs w:val="21"/>
              </w:rPr>
            </w:pPr>
            <w:r>
              <w:rPr>
                <w:rFonts w:ascii="Times New Roman" w:hAnsi="Times New Roman"/>
                <w:color w:val="000000"/>
                <w:szCs w:val="21"/>
                <w:highlight w:val="none"/>
              </w:rPr>
              <w:t>暂存于</w:t>
            </w:r>
            <w:r>
              <w:rPr>
                <w:rFonts w:hint="eastAsia" w:ascii="Times New Roman" w:hAnsi="Times New Roman"/>
                <w:color w:val="000000"/>
                <w:szCs w:val="21"/>
                <w:highlight w:val="none"/>
                <w:lang w:val="en-US" w:eastAsia="zh-CN"/>
              </w:rPr>
              <w:t>西南</w:t>
            </w:r>
            <w:r>
              <w:rPr>
                <w:rFonts w:hint="eastAsia" w:ascii="Times New Roman" w:hAnsi="Times New Roman"/>
                <w:color w:val="000000"/>
                <w:szCs w:val="21"/>
                <w:highlight w:val="none"/>
              </w:rPr>
              <w:t>侧</w:t>
            </w:r>
            <w:r>
              <w:rPr>
                <w:rFonts w:hint="eastAsia" w:ascii="Times New Roman" w:hAnsi="Times New Roman"/>
                <w:color w:val="000000"/>
                <w:szCs w:val="21"/>
                <w:highlight w:val="none"/>
                <w:lang w:val="en-US" w:eastAsia="zh-CN"/>
              </w:rPr>
              <w:t>建设</w:t>
            </w:r>
            <w:r>
              <w:rPr>
                <w:rFonts w:ascii="Times New Roman" w:hAnsi="Times New Roman"/>
                <w:color w:val="000000"/>
                <w:szCs w:val="21"/>
                <w:highlight w:val="none"/>
              </w:rPr>
              <w:t>的危废暂存场所（建筑面积</w:t>
            </w:r>
            <w:r>
              <w:rPr>
                <w:rFonts w:hint="eastAsia" w:ascii="Times New Roman" w:hAnsi="Times New Roman"/>
                <w:color w:val="000000"/>
                <w:szCs w:val="21"/>
                <w:highlight w:val="none"/>
                <w:lang w:val="en-US" w:eastAsia="zh-CN"/>
              </w:rPr>
              <w:t>3</w:t>
            </w:r>
            <w:r>
              <w:rPr>
                <w:rFonts w:ascii="Times New Roman" w:hAnsi="Times New Roman"/>
                <w:color w:val="000000"/>
                <w:szCs w:val="21"/>
                <w:highlight w:val="none"/>
              </w:rPr>
              <w:t>0m</w:t>
            </w:r>
            <w:r>
              <w:rPr>
                <w:rFonts w:ascii="Times New Roman" w:hAnsi="Times New Roman"/>
                <w:color w:val="000000"/>
                <w:szCs w:val="21"/>
                <w:highlight w:val="none"/>
                <w:vertAlign w:val="superscript"/>
              </w:rPr>
              <w:t>2</w:t>
            </w:r>
            <w:r>
              <w:rPr>
                <w:rFonts w:ascii="Times New Roman" w:hAnsi="Times New Roman"/>
                <w:color w:val="000000"/>
                <w:szCs w:val="21"/>
                <w:highlight w:val="none"/>
              </w:rPr>
              <w:t>），交由有资质单位处置</w:t>
            </w:r>
          </w:p>
        </w:tc>
        <w:tc>
          <w:tcPr>
            <w:tcW w:w="2628" w:type="dxa"/>
            <w:vMerge w:val="continue"/>
            <w:tcBorders>
              <w:right w:val="single" w:color="auto" w:sz="4" w:space="0"/>
            </w:tcBorders>
            <w:noWrap w:val="0"/>
            <w:vAlign w:val="center"/>
          </w:tcPr>
          <w:p>
            <w:pPr>
              <w:spacing w:line="240" w:lineRule="atLeast"/>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2" w:hRule="atLeast"/>
          <w:jc w:val="center"/>
        </w:trPr>
        <w:tc>
          <w:tcPr>
            <w:tcW w:w="85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ascii="Times New Roman" w:hAnsi="Times New Roman"/>
                <w:szCs w:val="21"/>
              </w:rPr>
            </w:pPr>
            <w:r>
              <w:rPr>
                <w:rFonts w:ascii="Times New Roman" w:hAnsi="Times New Roman"/>
                <w:szCs w:val="21"/>
              </w:rPr>
              <w:t>噪</w:t>
            </w:r>
          </w:p>
          <w:p>
            <w:pPr>
              <w:spacing w:line="240" w:lineRule="atLeast"/>
              <w:jc w:val="center"/>
              <w:rPr>
                <w:rFonts w:ascii="Times New Roman" w:hAnsi="Times New Roman"/>
                <w:sz w:val="24"/>
                <w:szCs w:val="24"/>
              </w:rPr>
            </w:pPr>
            <w:r>
              <w:rPr>
                <w:rFonts w:ascii="Times New Roman" w:hAnsi="Times New Roman"/>
                <w:szCs w:val="21"/>
              </w:rPr>
              <w:t>声</w:t>
            </w:r>
          </w:p>
        </w:tc>
        <w:tc>
          <w:tcPr>
            <w:tcW w:w="8523"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atLeast"/>
              <w:ind w:firstLine="420" w:firstLineChars="200"/>
              <w:rPr>
                <w:rFonts w:ascii="Times New Roman" w:hAnsi="Times New Roman"/>
                <w:szCs w:val="21"/>
              </w:rPr>
            </w:pPr>
            <w:r>
              <w:rPr>
                <w:rFonts w:hint="eastAsia" w:ascii="Times New Roman" w:hAnsi="Times New Roman"/>
                <w:szCs w:val="21"/>
                <w:lang w:val="en-US" w:eastAsia="zh-CN"/>
              </w:rPr>
              <w:t>修复</w:t>
            </w:r>
            <w:r>
              <w:rPr>
                <w:rFonts w:ascii="Times New Roman" w:hAnsi="Times New Roman"/>
                <w:szCs w:val="21"/>
              </w:rPr>
              <w:t>期项目厂界噪声可满足</w:t>
            </w:r>
            <w:r>
              <w:rPr>
                <w:rFonts w:hint="eastAsia" w:ascii="Times New Roman" w:hAnsi="Times New Roman"/>
                <w:color w:val="000000"/>
                <w:szCs w:val="21"/>
                <w:highlight w:val="none"/>
              </w:rPr>
              <w:t>《建筑施工场界环境噪声排放标准》（GB12523-2011）标准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2" w:hRule="atLeast"/>
          <w:jc w:val="center"/>
        </w:trPr>
        <w:tc>
          <w:tcPr>
            <w:tcW w:w="9373"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pPr>
            <w:r>
              <w:t>生态保护措施及预期效果：</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rPr>
            </w:pPr>
            <w:r>
              <w:rPr>
                <w:rFonts w:hint="eastAsia"/>
              </w:rPr>
              <w:t>本工程施工期短，施工完成后对项目所在地土壤及地下水环境质量有明显正效益。</w:t>
            </w: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p>
            <w:pPr>
              <w:pStyle w:val="144"/>
              <w:rPr>
                <w:rFonts w:hint="eastAsia" w:ascii="Times New Roman" w:hAnsi="Times New Roman"/>
              </w:rPr>
            </w:pPr>
          </w:p>
        </w:tc>
      </w:tr>
    </w:tbl>
    <w:p>
      <w:pPr>
        <w:pStyle w:val="4"/>
        <w:rPr>
          <w:rFonts w:hint="eastAsia"/>
        </w:rPr>
      </w:pPr>
      <w:r>
        <w:rPr>
          <w:rFonts w:ascii="Times New Roman" w:hAnsi="Times New Roman"/>
          <w:color w:val="000000"/>
          <w:sz w:val="28"/>
          <w:highlight w:val="yellow"/>
        </w:rPr>
        <w:br w:type="page"/>
      </w:r>
      <w:r>
        <w:t>结论与建议</w:t>
      </w:r>
    </w:p>
    <w:tbl>
      <w:tblPr>
        <w:tblStyle w:val="2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37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094" w:hRule="atLeast"/>
          <w:jc w:val="center"/>
        </w:trPr>
        <w:tc>
          <w:tcPr>
            <w:tcW w:w="937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Times New Roman" w:hAnsi="Times New Roman"/>
                <w:b/>
                <w:color w:val="000000"/>
                <w:sz w:val="28"/>
                <w:szCs w:val="28"/>
              </w:rPr>
            </w:pPr>
            <w:r>
              <w:rPr>
                <w:rFonts w:ascii="Times New Roman" w:hAnsi="Times New Roman"/>
                <w:b/>
                <w:color w:val="000000"/>
                <w:sz w:val="28"/>
                <w:szCs w:val="28"/>
              </w:rPr>
              <w:t>结论：</w:t>
            </w:r>
          </w:p>
          <w:p>
            <w:pPr>
              <w:spacing w:line="360" w:lineRule="auto"/>
              <w:ind w:firstLine="482" w:firstLineChars="200"/>
              <w:jc w:val="left"/>
              <w:rPr>
                <w:rFonts w:ascii="Times New Roman" w:hAnsi="Times New Roman"/>
                <w:b/>
                <w:sz w:val="24"/>
              </w:rPr>
            </w:pPr>
            <w:r>
              <w:rPr>
                <w:rFonts w:ascii="Times New Roman" w:hAnsi="Times New Roman"/>
                <w:b/>
                <w:sz w:val="24"/>
              </w:rPr>
              <w:t>（一）项目概况</w:t>
            </w:r>
          </w:p>
          <w:p>
            <w:pPr>
              <w:spacing w:line="360" w:lineRule="auto"/>
              <w:ind w:firstLine="470" w:firstLineChars="196"/>
              <w:rPr>
                <w:rFonts w:hint="eastAsia" w:ascii="Times New Roman" w:hAnsi="Times New Roman"/>
                <w:kern w:val="0"/>
                <w:sz w:val="24"/>
                <w:highlight w:val="none"/>
              </w:rPr>
            </w:pPr>
            <w:r>
              <w:rPr>
                <w:rFonts w:hint="eastAsia" w:ascii="Times New Roman" w:hAnsi="Times New Roman"/>
                <w:kern w:val="0"/>
                <w:sz w:val="24"/>
                <w:highlight w:val="none"/>
                <w:lang w:eastAsia="zh-CN"/>
              </w:rPr>
              <w:t>镜湖区老船厂智慧港项目二期污染地块污染治理项目</w:t>
            </w:r>
            <w:r>
              <w:rPr>
                <w:rFonts w:hint="eastAsia" w:ascii="Times New Roman" w:hAnsi="Times New Roman"/>
                <w:kern w:val="0"/>
                <w:sz w:val="24"/>
                <w:highlight w:val="none"/>
              </w:rPr>
              <w:t>污染土壤修复量为8221.5m</w:t>
            </w:r>
            <w:r>
              <w:rPr>
                <w:rFonts w:hint="eastAsia" w:ascii="Times New Roman" w:hAnsi="Times New Roman"/>
                <w:kern w:val="0"/>
                <w:sz w:val="24"/>
                <w:highlight w:val="none"/>
                <w:vertAlign w:val="superscript"/>
              </w:rPr>
              <w:t>3</w:t>
            </w:r>
            <w:r>
              <w:rPr>
                <w:rFonts w:hint="eastAsia" w:ascii="Times New Roman" w:hAnsi="Times New Roman"/>
                <w:kern w:val="0"/>
                <w:sz w:val="24"/>
                <w:highlight w:val="none"/>
              </w:rPr>
              <w:t>，污染地下水修复量为15464.6m</w:t>
            </w:r>
            <w:r>
              <w:rPr>
                <w:rFonts w:hint="eastAsia" w:ascii="Times New Roman" w:hAnsi="Times New Roman"/>
                <w:kern w:val="0"/>
                <w:sz w:val="24"/>
                <w:highlight w:val="none"/>
                <w:vertAlign w:val="superscript"/>
                <w:lang w:val="en-US" w:eastAsia="zh-CN"/>
              </w:rPr>
              <w:t>3</w:t>
            </w:r>
            <w:r>
              <w:rPr>
                <w:rFonts w:hint="eastAsia" w:ascii="Times New Roman" w:hAnsi="Times New Roman"/>
                <w:kern w:val="0"/>
                <w:sz w:val="24"/>
                <w:highlight w:val="none"/>
                <w:lang w:eastAsia="zh-CN"/>
              </w:rPr>
              <w:t>。</w:t>
            </w:r>
            <w:r>
              <w:rPr>
                <w:rFonts w:hint="eastAsia" w:ascii="Times New Roman" w:hAnsi="Times New Roman"/>
                <w:kern w:val="0"/>
                <w:sz w:val="24"/>
                <w:highlight w:val="none"/>
                <w:lang w:val="en-US" w:eastAsia="zh-CN"/>
              </w:rPr>
              <w:t>污染土壤采用水泥窑协同处置方法，地下水原地异位处理，将污染地下水抽出至地表处理系统进行深度处理，修复验收合格后排入污水管网。</w:t>
            </w:r>
          </w:p>
          <w:p>
            <w:pPr>
              <w:spacing w:line="360" w:lineRule="auto"/>
              <w:ind w:firstLine="482" w:firstLineChars="200"/>
              <w:jc w:val="left"/>
              <w:rPr>
                <w:rFonts w:ascii="Times New Roman" w:hAnsi="Times New Roman"/>
                <w:sz w:val="24"/>
              </w:rPr>
            </w:pPr>
            <w:r>
              <w:rPr>
                <w:rFonts w:ascii="Times New Roman" w:hAnsi="Times New Roman"/>
                <w:b/>
                <w:sz w:val="24"/>
              </w:rPr>
              <w:t>（二）产业政策符合性分析</w:t>
            </w:r>
          </w:p>
          <w:p>
            <w:pPr>
              <w:spacing w:line="360" w:lineRule="auto"/>
              <w:ind w:firstLine="480" w:firstLineChars="200"/>
              <w:rPr>
                <w:rFonts w:ascii="Times New Roman" w:hAnsi="Times New Roman"/>
                <w:sz w:val="24"/>
                <w:szCs w:val="22"/>
              </w:rPr>
            </w:pPr>
            <w:r>
              <w:rPr>
                <w:rFonts w:ascii="Times New Roman" w:hAnsi="Times New Roman"/>
                <w:sz w:val="24"/>
                <w:highlight w:val="none"/>
              </w:rPr>
              <w:t>对照国家发展和改革委员会令第9号令《产业结构调整指导目录（201</w:t>
            </w:r>
            <w:r>
              <w:rPr>
                <w:rFonts w:hint="eastAsia" w:ascii="Times New Roman" w:hAnsi="Times New Roman"/>
                <w:sz w:val="24"/>
                <w:highlight w:val="none"/>
                <w:lang w:val="en-US" w:eastAsia="zh-CN"/>
              </w:rPr>
              <w:t>9</w:t>
            </w:r>
            <w:r>
              <w:rPr>
                <w:rFonts w:ascii="Times New Roman" w:hAnsi="Times New Roman"/>
                <w:sz w:val="24"/>
                <w:highlight w:val="none"/>
              </w:rPr>
              <w:t>年本）》，本项目不属于鼓励类、限制类和淘汰类，属于允许类项目，因此本项目符合国家产业政策，项目已经于20</w:t>
            </w:r>
            <w:r>
              <w:rPr>
                <w:rFonts w:hint="eastAsia" w:ascii="Times New Roman" w:hAnsi="Times New Roman"/>
                <w:sz w:val="24"/>
                <w:highlight w:val="none"/>
                <w:lang w:val="en-US" w:eastAsia="zh-CN"/>
              </w:rPr>
              <w:t>20</w:t>
            </w:r>
            <w:r>
              <w:rPr>
                <w:rFonts w:ascii="Times New Roman" w:hAnsi="Times New Roman"/>
                <w:sz w:val="24"/>
                <w:highlight w:val="none"/>
              </w:rPr>
              <w:t>年</w:t>
            </w:r>
            <w:r>
              <w:rPr>
                <w:rFonts w:hint="eastAsia" w:ascii="Times New Roman" w:hAnsi="Times New Roman"/>
                <w:sz w:val="24"/>
                <w:highlight w:val="none"/>
                <w:lang w:val="en-US" w:eastAsia="zh-CN"/>
              </w:rPr>
              <w:t>4</w:t>
            </w:r>
            <w:r>
              <w:rPr>
                <w:rFonts w:ascii="Times New Roman" w:hAnsi="Times New Roman"/>
                <w:sz w:val="24"/>
                <w:highlight w:val="none"/>
              </w:rPr>
              <w:t>月</w:t>
            </w:r>
            <w:r>
              <w:rPr>
                <w:rFonts w:hint="eastAsia" w:ascii="Times New Roman" w:hAnsi="Times New Roman"/>
                <w:sz w:val="24"/>
                <w:highlight w:val="none"/>
                <w:lang w:val="en-US" w:eastAsia="zh-CN"/>
              </w:rPr>
              <w:t>9</w:t>
            </w:r>
            <w:r>
              <w:rPr>
                <w:rFonts w:ascii="Times New Roman" w:hAnsi="Times New Roman"/>
                <w:sz w:val="24"/>
                <w:highlight w:val="none"/>
              </w:rPr>
              <w:t>日取得</w:t>
            </w:r>
            <w:r>
              <w:rPr>
                <w:rFonts w:hint="eastAsia" w:ascii="Times New Roman" w:hAnsi="Times New Roman"/>
                <w:kern w:val="0"/>
                <w:sz w:val="24"/>
                <w:highlight w:val="none"/>
                <w:lang w:eastAsia="zh-CN"/>
              </w:rPr>
              <w:t>芜湖市镜湖区发展和改革委员会</w:t>
            </w:r>
            <w:r>
              <w:rPr>
                <w:rFonts w:ascii="Times New Roman" w:hAnsi="Times New Roman"/>
                <w:kern w:val="0"/>
                <w:sz w:val="24"/>
                <w:highlight w:val="none"/>
              </w:rPr>
              <w:t>文件“关于同意</w:t>
            </w:r>
            <w:r>
              <w:rPr>
                <w:rFonts w:hint="eastAsia" w:ascii="Times New Roman" w:hAnsi="Times New Roman"/>
                <w:sz w:val="24"/>
                <w:szCs w:val="24"/>
                <w:highlight w:val="none"/>
                <w:lang w:eastAsia="zh-CN"/>
              </w:rPr>
              <w:t>镜湖区老船厂智慧港项目二期污染地块污染治理项目</w:t>
            </w:r>
            <w:r>
              <w:rPr>
                <w:rFonts w:ascii="Times New Roman" w:hAnsi="Times New Roman"/>
                <w:sz w:val="24"/>
                <w:szCs w:val="24"/>
                <w:highlight w:val="none"/>
              </w:rPr>
              <w:t>项目</w:t>
            </w:r>
            <w:r>
              <w:rPr>
                <w:rFonts w:ascii="Times New Roman" w:hAnsi="Times New Roman"/>
                <w:kern w:val="0"/>
                <w:sz w:val="24"/>
                <w:highlight w:val="none"/>
              </w:rPr>
              <w:t>备案的通知”</w:t>
            </w:r>
            <w:r>
              <w:rPr>
                <w:rFonts w:ascii="Times New Roman" w:hAnsi="Times New Roman"/>
                <w:sz w:val="24"/>
                <w:szCs w:val="22"/>
                <w:highlight w:val="none"/>
              </w:rPr>
              <w:t xml:space="preserve">，因此项目符合国家和当地的相关产业政策。 </w:t>
            </w:r>
            <w:r>
              <w:rPr>
                <w:rFonts w:ascii="Times New Roman" w:hAnsi="Times New Roman"/>
                <w:sz w:val="24"/>
                <w:szCs w:val="22"/>
              </w:rPr>
              <w:t xml:space="preserve"> </w:t>
            </w:r>
          </w:p>
          <w:p>
            <w:pPr>
              <w:spacing w:line="360" w:lineRule="auto"/>
              <w:ind w:firstLine="482" w:firstLineChars="200"/>
              <w:jc w:val="left"/>
              <w:rPr>
                <w:rFonts w:ascii="Times New Roman" w:hAnsi="Times New Roman"/>
                <w:b/>
                <w:color w:val="0000FF"/>
                <w:sz w:val="24"/>
              </w:rPr>
            </w:pPr>
            <w:r>
              <w:rPr>
                <w:rFonts w:ascii="Times New Roman" w:hAnsi="Times New Roman"/>
                <w:b/>
                <w:sz w:val="24"/>
              </w:rPr>
              <w:t>（三）选址可行性分析</w:t>
            </w:r>
          </w:p>
          <w:p>
            <w:pPr>
              <w:spacing w:line="360" w:lineRule="auto"/>
              <w:ind w:firstLine="439" w:firstLineChars="183"/>
              <w:rPr>
                <w:rFonts w:hint="default" w:ascii="Times New Roman" w:hAnsi="Times New Roman" w:eastAsia="宋体"/>
                <w:color w:val="auto"/>
                <w:sz w:val="24"/>
                <w:szCs w:val="24"/>
                <w:highlight w:val="none"/>
                <w:lang w:val="en-US" w:eastAsia="zh-CN"/>
              </w:rPr>
            </w:pPr>
            <w:r>
              <w:rPr>
                <w:rFonts w:ascii="Times New Roman" w:hAnsi="Times New Roman"/>
                <w:color w:val="000000"/>
                <w:sz w:val="24"/>
                <w:szCs w:val="24"/>
                <w:highlight w:val="none"/>
              </w:rPr>
              <w:t>本项目</w:t>
            </w:r>
            <w:r>
              <w:rPr>
                <w:rFonts w:hint="eastAsia" w:ascii="Times New Roman" w:hAnsi="Times New Roman"/>
                <w:color w:val="000000"/>
                <w:sz w:val="24"/>
                <w:szCs w:val="24"/>
                <w:highlight w:val="none"/>
                <w:lang w:val="en-US" w:eastAsia="zh-CN"/>
              </w:rPr>
              <w:t>安徽省芜湖市镜湖区长江中路49号芜湖市造船厂内</w:t>
            </w:r>
            <w:r>
              <w:rPr>
                <w:rFonts w:ascii="Times New Roman" w:hAnsi="Times New Roman"/>
                <w:color w:val="000000"/>
                <w:sz w:val="24"/>
                <w:szCs w:val="24"/>
                <w:highlight w:val="none"/>
              </w:rPr>
              <w:t>，</w:t>
            </w:r>
            <w:r>
              <w:rPr>
                <w:rFonts w:hint="eastAsia" w:ascii="Times New Roman" w:hAnsi="Times New Roman"/>
                <w:color w:val="000000"/>
                <w:sz w:val="24"/>
                <w:szCs w:val="24"/>
                <w:highlight w:val="none"/>
              </w:rPr>
              <w:t>场地位于镜湖区，周边以居住用地、公共服务用地为主。场地周边土地利用如</w:t>
            </w:r>
            <w:r>
              <w:rPr>
                <w:rFonts w:hint="eastAsia" w:ascii="Times New Roman" w:hAnsi="Times New Roman"/>
                <w:color w:val="000000"/>
                <w:sz w:val="24"/>
                <w:szCs w:val="24"/>
                <w:highlight w:val="none"/>
                <w:lang w:val="en-US" w:eastAsia="zh-CN"/>
              </w:rPr>
              <w:t>下</w:t>
            </w:r>
            <w:r>
              <w:rPr>
                <w:rFonts w:hint="eastAsia" w:ascii="Times New Roman" w:hAnsi="Times New Roman"/>
                <w:color w:val="000000"/>
                <w:sz w:val="24"/>
                <w:szCs w:val="24"/>
                <w:highlight w:val="none"/>
              </w:rPr>
              <w:t>图所示。场地紧</w:t>
            </w:r>
            <w:r>
              <w:rPr>
                <w:rFonts w:hint="eastAsia" w:ascii="Times New Roman" w:hAnsi="Times New Roman"/>
                <w:color w:val="000000"/>
                <w:sz w:val="24"/>
                <w:szCs w:val="24"/>
                <w:highlight w:val="none"/>
                <w:lang w:val="en-US" w:eastAsia="zh-CN"/>
              </w:rPr>
              <w:t>北侧为</w:t>
            </w:r>
            <w:r>
              <w:rPr>
                <w:rFonts w:hint="eastAsia" w:ascii="Times New Roman" w:hAnsi="Times New Roman"/>
                <w:color w:val="000000"/>
                <w:sz w:val="24"/>
                <w:szCs w:val="24"/>
                <w:highlight w:val="none"/>
              </w:rPr>
              <w:t>芜湖造船厂原厂区一期地块</w:t>
            </w:r>
            <w:r>
              <w:rPr>
                <w:rFonts w:hint="eastAsia" w:ascii="Times New Roman" w:hAnsi="Times New Roman"/>
                <w:color w:val="000000"/>
                <w:sz w:val="24"/>
                <w:szCs w:val="24"/>
                <w:highlight w:val="none"/>
                <w:lang w:eastAsia="zh-CN"/>
              </w:rPr>
              <w:t>，</w:t>
            </w:r>
            <w:r>
              <w:rPr>
                <w:rFonts w:hint="eastAsia" w:ascii="Times New Roman" w:hAnsi="Times New Roman"/>
                <w:color w:val="000000"/>
                <w:sz w:val="24"/>
                <w:szCs w:val="24"/>
                <w:highlight w:val="none"/>
                <w:lang w:val="en-US" w:eastAsia="zh-CN"/>
              </w:rPr>
              <w:t>西侧为</w:t>
            </w:r>
            <w:r>
              <w:rPr>
                <w:rFonts w:hint="eastAsia" w:ascii="Times New Roman" w:hAnsi="Times New Roman"/>
                <w:color w:val="000000"/>
                <w:sz w:val="24"/>
                <w:szCs w:val="24"/>
                <w:highlight w:val="none"/>
              </w:rPr>
              <w:t>世茂滨江花园</w:t>
            </w:r>
            <w:r>
              <w:rPr>
                <w:rFonts w:hint="eastAsia" w:ascii="Times New Roman" w:hAnsi="Times New Roman"/>
                <w:color w:val="000000"/>
                <w:sz w:val="24"/>
                <w:szCs w:val="24"/>
                <w:highlight w:val="none"/>
                <w:lang w:eastAsia="zh-CN"/>
              </w:rPr>
              <w:t>，</w:t>
            </w:r>
            <w:r>
              <w:rPr>
                <w:rFonts w:hint="eastAsia" w:ascii="Times New Roman" w:hAnsi="Times New Roman"/>
                <w:color w:val="000000"/>
                <w:sz w:val="24"/>
                <w:szCs w:val="24"/>
                <w:highlight w:val="none"/>
                <w:lang w:val="en-US" w:eastAsia="zh-CN"/>
              </w:rPr>
              <w:t>南侧为</w:t>
            </w:r>
            <w:r>
              <w:rPr>
                <w:rFonts w:hint="eastAsia" w:ascii="Times New Roman" w:hAnsi="Times New Roman"/>
                <w:color w:val="000000"/>
                <w:sz w:val="24"/>
                <w:szCs w:val="24"/>
                <w:highlight w:val="none"/>
              </w:rPr>
              <w:t>江南新村、狮子山庄</w:t>
            </w:r>
            <w:r>
              <w:rPr>
                <w:rFonts w:hint="eastAsia" w:ascii="Times New Roman" w:hAnsi="Times New Roman"/>
                <w:color w:val="000000"/>
                <w:sz w:val="24"/>
                <w:szCs w:val="24"/>
                <w:highlight w:val="none"/>
                <w:lang w:eastAsia="zh-CN"/>
              </w:rPr>
              <w:t>，</w:t>
            </w:r>
            <w:r>
              <w:rPr>
                <w:rFonts w:hint="eastAsia" w:ascii="Times New Roman" w:hAnsi="Times New Roman"/>
                <w:color w:val="000000"/>
                <w:sz w:val="24"/>
                <w:szCs w:val="24"/>
                <w:highlight w:val="none"/>
                <w:lang w:val="en-US" w:eastAsia="zh-CN"/>
              </w:rPr>
              <w:t>东侧为</w:t>
            </w:r>
            <w:r>
              <w:rPr>
                <w:rFonts w:hint="eastAsia" w:ascii="Times New Roman" w:hAnsi="Times New Roman"/>
                <w:color w:val="000000"/>
                <w:sz w:val="24"/>
                <w:szCs w:val="24"/>
                <w:highlight w:val="none"/>
              </w:rPr>
              <w:t>新工村</w:t>
            </w:r>
            <w:r>
              <w:rPr>
                <w:rFonts w:hint="eastAsia" w:ascii="Times New Roman" w:hAnsi="Times New Roman"/>
                <w:color w:val="000000"/>
                <w:sz w:val="24"/>
                <w:szCs w:val="24"/>
                <w:highlight w:val="none"/>
                <w:lang w:eastAsia="zh-CN"/>
              </w:rPr>
              <w:t>。</w:t>
            </w:r>
            <w:r>
              <w:rPr>
                <w:rFonts w:hint="eastAsia" w:ascii="Times New Roman" w:hAnsi="Times New Roman"/>
                <w:color w:val="000000"/>
                <w:sz w:val="24"/>
                <w:szCs w:val="24"/>
                <w:highlight w:val="none"/>
              </w:rPr>
              <w:t>北部和东部将进行拆迁，纳入到芜湖市镜湖区老船厂·智慧港项目中，场地西部和南部分布着众多敏感点，主要为居住和生活区。</w:t>
            </w:r>
            <w:r>
              <w:rPr>
                <w:rFonts w:hint="eastAsia" w:ascii="Times New Roman" w:hAnsi="Times New Roman"/>
                <w:color w:val="000000"/>
                <w:sz w:val="24"/>
                <w:szCs w:val="24"/>
                <w:highlight w:val="none"/>
                <w:lang w:val="en-US" w:eastAsia="zh-CN"/>
              </w:rPr>
              <w:t>对于施工期产生的扬尘，采用设置围堰、雾炮喷洒、规范化</w:t>
            </w:r>
            <w:r>
              <w:rPr>
                <w:rFonts w:hint="eastAsia" w:ascii="Times New Roman" w:hAnsi="Times New Roman"/>
                <w:color w:val="auto"/>
                <w:sz w:val="24"/>
                <w:szCs w:val="24"/>
                <w:highlight w:val="none"/>
                <w:lang w:val="en-US" w:eastAsia="zh-CN"/>
              </w:rPr>
              <w:t>作业等方式减少粉尘对周围敏感点的影响，合理设置施工时间，减少施工噪声对周围敏感点的影响。本工程为土壤、地下水修复项目，不涉及新增占地，工程施工完成后，区域的土壤、地下水环境将得到改善，本项目仅施工期会对周边的环境产生一定的影响，落实本次评价提出的各项污染防治措施后，可确保施工期污染物达标排放。因此，本项目的选址是可行的。</w:t>
            </w:r>
          </w:p>
          <w:p>
            <w:pPr>
              <w:tabs>
                <w:tab w:val="left" w:pos="6313"/>
              </w:tabs>
              <w:spacing w:line="360" w:lineRule="auto"/>
              <w:ind w:firstLine="482" w:firstLineChars="200"/>
              <w:jc w:val="left"/>
              <w:rPr>
                <w:rFonts w:ascii="Times New Roman" w:hAnsi="Times New Roman"/>
                <w:b/>
                <w:sz w:val="24"/>
              </w:rPr>
            </w:pPr>
            <w:r>
              <w:rPr>
                <w:rFonts w:ascii="Times New Roman" w:hAnsi="Times New Roman"/>
                <w:b/>
                <w:sz w:val="24"/>
              </w:rPr>
              <w:t>（四）环境质量现状评价结论</w:t>
            </w:r>
          </w:p>
          <w:p>
            <w:pPr>
              <w:spacing w:line="360" w:lineRule="auto"/>
              <w:ind w:firstLine="480" w:firstLineChars="200"/>
              <w:rPr>
                <w:rFonts w:ascii="Times New Roman" w:hAnsi="Times New Roman"/>
                <w:color w:val="000000"/>
                <w:sz w:val="24"/>
              </w:rPr>
            </w:pPr>
            <w:r>
              <w:rPr>
                <w:rFonts w:ascii="Times New Roman" w:hAnsi="Times New Roman"/>
                <w:color w:val="000000"/>
                <w:sz w:val="24"/>
              </w:rPr>
              <w:t>（1）环境空气</w:t>
            </w:r>
          </w:p>
          <w:p>
            <w:pPr>
              <w:spacing w:line="360" w:lineRule="auto"/>
              <w:ind w:firstLine="480" w:firstLineChars="200"/>
              <w:rPr>
                <w:rFonts w:ascii="Times New Roman" w:hAnsi="Times New Roman"/>
                <w:color w:val="000000"/>
                <w:sz w:val="24"/>
              </w:rPr>
            </w:pPr>
            <w:r>
              <w:rPr>
                <w:rFonts w:ascii="Times New Roman" w:hAnsi="Times New Roman"/>
                <w:color w:val="000000"/>
                <w:sz w:val="24"/>
              </w:rPr>
              <w:t>项目所在区域大气环境质量指标</w:t>
            </w:r>
            <w:r>
              <w:rPr>
                <w:rFonts w:hint="eastAsia" w:ascii="Times New Roman" w:hAnsi="Times New Roman"/>
                <w:color w:val="000000"/>
                <w:sz w:val="24"/>
                <w:lang w:val="en-US" w:eastAsia="zh-CN"/>
              </w:rPr>
              <w:t>不</w:t>
            </w:r>
            <w:r>
              <w:rPr>
                <w:rFonts w:ascii="Times New Roman" w:hAnsi="Times New Roman"/>
                <w:color w:val="000000"/>
                <w:sz w:val="24"/>
              </w:rPr>
              <w:t>满足《环境空气质量标准》（GB3095-2012）中二级标准要求。</w:t>
            </w:r>
          </w:p>
          <w:p>
            <w:pPr>
              <w:spacing w:line="360" w:lineRule="auto"/>
              <w:ind w:firstLine="480" w:firstLineChars="200"/>
              <w:rPr>
                <w:rFonts w:ascii="Times New Roman" w:hAnsi="Times New Roman"/>
                <w:color w:val="000000"/>
                <w:sz w:val="24"/>
              </w:rPr>
            </w:pPr>
            <w:r>
              <w:rPr>
                <w:rFonts w:ascii="Times New Roman" w:hAnsi="Times New Roman"/>
                <w:color w:val="000000"/>
                <w:sz w:val="24"/>
              </w:rPr>
              <w:t>（2）地表水长江水质满足《地表水环境质量标准》（GB3838-2002）中的Ⅲ类标准。</w:t>
            </w:r>
          </w:p>
          <w:p>
            <w:pPr>
              <w:spacing w:line="360" w:lineRule="auto"/>
              <w:ind w:firstLine="480" w:firstLineChars="200"/>
              <w:rPr>
                <w:rFonts w:ascii="Times New Roman" w:hAnsi="Times New Roman"/>
                <w:color w:val="000000"/>
                <w:sz w:val="24"/>
              </w:rPr>
            </w:pPr>
            <w:r>
              <w:rPr>
                <w:rFonts w:ascii="Times New Roman" w:hAnsi="Times New Roman"/>
                <w:color w:val="000000"/>
                <w:sz w:val="24"/>
              </w:rPr>
              <w:t>（3）该项目所在区域基本无较大噪声源，声环境质量较好，项目区域能够满足《声环境质量标准》（GB3096-2008）中</w:t>
            </w:r>
            <w:r>
              <w:rPr>
                <w:rFonts w:hint="eastAsia" w:ascii="Times New Roman" w:hAnsi="Times New Roman"/>
                <w:color w:val="000000"/>
                <w:sz w:val="24"/>
                <w:lang w:eastAsia="zh-CN"/>
              </w:rPr>
              <w:t>2类</w:t>
            </w:r>
            <w:r>
              <w:rPr>
                <w:rFonts w:ascii="Times New Roman" w:hAnsi="Times New Roman"/>
                <w:color w:val="000000"/>
                <w:sz w:val="24"/>
              </w:rPr>
              <w:t>区标准要求。</w:t>
            </w:r>
          </w:p>
          <w:p>
            <w:pPr>
              <w:autoSpaceDE w:val="0"/>
              <w:autoSpaceDN w:val="0"/>
              <w:adjustRightInd w:val="0"/>
              <w:spacing w:line="360" w:lineRule="auto"/>
              <w:ind w:firstLine="482" w:firstLineChars="200"/>
              <w:rPr>
                <w:rFonts w:ascii="Times New Roman" w:hAnsi="Times New Roman"/>
                <w:b/>
                <w:sz w:val="24"/>
              </w:rPr>
            </w:pPr>
            <w:r>
              <w:rPr>
                <w:rFonts w:ascii="Times New Roman" w:hAnsi="Times New Roman"/>
                <w:b/>
                <w:bCs/>
                <w:color w:val="000000"/>
                <w:sz w:val="24"/>
                <w:szCs w:val="24"/>
              </w:rPr>
              <w:t>（五）</w:t>
            </w:r>
            <w:r>
              <w:rPr>
                <w:rFonts w:ascii="Times New Roman" w:hAnsi="Times New Roman"/>
                <w:b/>
                <w:sz w:val="24"/>
              </w:rPr>
              <w:t>营运期环境影响分析结论</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（1） 大气</w:t>
            </w:r>
          </w:p>
          <w:p>
            <w:pPr>
              <w:spacing w:line="360" w:lineRule="auto"/>
              <w:ind w:firstLine="480" w:firstLineChars="200"/>
              <w:rPr>
                <w:rFonts w:ascii="Times New Roman" w:hAnsi="Times New Roman"/>
                <w:sz w:val="24"/>
                <w:szCs w:val="24"/>
              </w:rPr>
            </w:pPr>
            <w:r>
              <w:rPr>
                <w:rFonts w:hint="eastAsia" w:ascii="Times New Roman" w:hAnsi="Times New Roman"/>
                <w:color w:val="000000"/>
                <w:sz w:val="24"/>
              </w:rPr>
              <w:t>场地土壤修复施工时场地四周设有阻施工围挡，施工现场做好定期酒水，堆场内空气流动性小；及时对道路进行酒水，保持一定湿度，并通过道路硬化和做好运输车辆加盖篷布及车厢防漏措施来得到控制扬尘。车辆进出场做好冲洗工作，出场后做好土壤保湿工作，减少在土壤装载过程中扬尘的产生：外运车辆加帆布履盖，减少在运输途中的扬尘产生；施工过程中喷洒气味抑制剂来控制土壤气味的散发。</w:t>
            </w:r>
            <w:r>
              <w:rPr>
                <w:rFonts w:ascii="Times New Roman" w:hAnsi="Times New Roman"/>
                <w:sz w:val="24"/>
                <w:szCs w:val="24"/>
              </w:rPr>
              <w:t>本项目废气排放均能满足相关标准，故本项目建成后对周围大气环境质量影响较小。</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（2）废水</w:t>
            </w:r>
            <w:r>
              <w:rPr>
                <w:rFonts w:ascii="Times New Roman" w:hAnsi="Times New Roman"/>
                <w:color w:val="000000"/>
                <w:sz w:val="24"/>
                <w:szCs w:val="24"/>
              </w:rPr>
              <w:tab/>
            </w:r>
          </w:p>
          <w:p>
            <w:pPr>
              <w:spacing w:line="360" w:lineRule="auto"/>
              <w:ind w:firstLine="480" w:firstLineChars="200"/>
              <w:rPr>
                <w:rFonts w:ascii="Times New Roman" w:hAnsi="Times New Roman"/>
                <w:sz w:val="24"/>
                <w:szCs w:val="22"/>
              </w:rPr>
            </w:pPr>
            <w:r>
              <w:rPr>
                <w:rFonts w:ascii="Times New Roman" w:hAnsi="Times New Roman"/>
                <w:sz w:val="24"/>
              </w:rPr>
              <w:t>本项目</w:t>
            </w:r>
            <w:r>
              <w:rPr>
                <w:rFonts w:hint="eastAsia" w:ascii="Times New Roman" w:hAnsi="Times New Roman"/>
                <w:sz w:val="24"/>
              </w:rPr>
              <w:t>生活污水经隔油池、化粪池处置，初期雨水汇入至雨水收集系统内，伴随基坑废水、污染地下水抽水、车辆清洗废水等一同排放至厂区西南侧新建的污水处理站内处置，该污水处理站处理规模为80m</w:t>
            </w:r>
            <w:r>
              <w:rPr>
                <w:rFonts w:hint="eastAsia" w:ascii="Times New Roman" w:hAnsi="Times New Roman"/>
                <w:sz w:val="24"/>
                <w:vertAlign w:val="superscript"/>
              </w:rPr>
              <w:t>3</w:t>
            </w:r>
            <w:r>
              <w:rPr>
                <w:rFonts w:hint="eastAsia" w:ascii="Times New Roman" w:hAnsi="Times New Roman"/>
                <w:sz w:val="24"/>
              </w:rPr>
              <w:t>/d，处理工艺采用“调节+破乳池+气浮+两级滤碳”工艺，各股废水污染物处理满足《污水综合排放标准》（GB8978-1996）表4中的三级标准，其中氨氮参照《污水排入城镇下水道水质标准》（GB/T31962-2015中的标准，六价铬执行《污水综合排放标准》（GB8978-1996）表1中的标准，总石油烃参考荷兰标准后，一同排放至</w:t>
            </w:r>
            <w:r>
              <w:rPr>
                <w:rFonts w:hint="eastAsia" w:ascii="Times New Roman" w:hAnsi="Times New Roman"/>
                <w:sz w:val="24"/>
                <w:lang w:eastAsia="zh-CN"/>
              </w:rPr>
              <w:t>朱家桥污水处理厂</w:t>
            </w:r>
            <w:r>
              <w:rPr>
                <w:rFonts w:hint="eastAsia" w:ascii="Times New Roman" w:hAnsi="Times New Roman"/>
                <w:sz w:val="24"/>
              </w:rPr>
              <w:t>处置，尾水排放满足《城镇污水处理厂污染物排放标准》（GB18918-2002）一级标准中 A 类标准，其中六价铬满足《城镇污水处理厂污染物排放标准》（GB18918-2002）表2中最高允许排放浓度</w:t>
            </w:r>
            <w:r>
              <w:rPr>
                <w:rFonts w:ascii="Times New Roman" w:hAnsi="Times New Roman"/>
                <w:sz w:val="24"/>
              </w:rPr>
              <w:t>，本项目建成后对周围地表水影响较小。</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（3）噪声</w:t>
            </w:r>
          </w:p>
          <w:p>
            <w:pPr>
              <w:spacing w:line="360" w:lineRule="auto"/>
              <w:ind w:firstLine="480" w:firstLineChars="200"/>
              <w:rPr>
                <w:rFonts w:ascii="Times New Roman" w:hAnsi="Times New Roman"/>
                <w:sz w:val="24"/>
                <w:szCs w:val="24"/>
              </w:rPr>
            </w:pPr>
            <w:r>
              <w:rPr>
                <w:rFonts w:ascii="Times New Roman" w:hAnsi="Times New Roman"/>
                <w:color w:val="000000"/>
                <w:sz w:val="24"/>
                <w:szCs w:val="24"/>
              </w:rPr>
              <w:t>由预测结果可知，正常运行时，</w:t>
            </w:r>
            <w:r>
              <w:rPr>
                <w:rFonts w:hint="eastAsia" w:ascii="Times New Roman" w:hAnsi="Times New Roman"/>
                <w:color w:val="000000"/>
                <w:sz w:val="24"/>
                <w:szCs w:val="24"/>
              </w:rPr>
              <w:t>修复期项目厂界噪声可满足《建筑施工场界环境噪声排放标准》（GB12523-2011）标准</w:t>
            </w:r>
            <w:r>
              <w:rPr>
                <w:rFonts w:ascii="Times New Roman" w:hAnsi="Times New Roman"/>
                <w:color w:val="000000"/>
                <w:sz w:val="24"/>
                <w:szCs w:val="24"/>
              </w:rPr>
              <w:t>。因此，在落实环评提出的各项隔声减振措施的情况下，项目的</w:t>
            </w:r>
            <w:r>
              <w:rPr>
                <w:rFonts w:hint="eastAsia" w:ascii="Times New Roman" w:hAnsi="Times New Roman"/>
                <w:color w:val="000000"/>
                <w:sz w:val="24"/>
                <w:szCs w:val="24"/>
                <w:lang w:val="en-US" w:eastAsia="zh-CN"/>
              </w:rPr>
              <w:t>修复期</w:t>
            </w:r>
            <w:r>
              <w:rPr>
                <w:rFonts w:ascii="Times New Roman" w:hAnsi="Times New Roman"/>
                <w:color w:val="000000"/>
                <w:sz w:val="24"/>
                <w:szCs w:val="24"/>
              </w:rPr>
              <w:t>产生的噪声对项目区域声环境质量影响甚微</w:t>
            </w:r>
            <w:r>
              <w:rPr>
                <w:rFonts w:ascii="Times New Roman" w:hAnsi="Times New Roman"/>
                <w:sz w:val="24"/>
                <w:szCs w:val="24"/>
              </w:rPr>
              <w:t>。</w:t>
            </w:r>
          </w:p>
          <w:p>
            <w:pPr>
              <w:spacing w:line="360" w:lineRule="auto"/>
              <w:ind w:firstLine="480" w:firstLineChars="200"/>
              <w:rPr>
                <w:rFonts w:ascii="Times New Roman" w:hAnsi="Times New Roman"/>
                <w:sz w:val="24"/>
                <w:szCs w:val="24"/>
              </w:rPr>
            </w:pPr>
            <w:r>
              <w:rPr>
                <w:rFonts w:ascii="Times New Roman" w:hAnsi="Times New Roman"/>
                <w:sz w:val="24"/>
                <w:szCs w:val="24"/>
              </w:rPr>
              <w:t>（4）固废</w:t>
            </w:r>
          </w:p>
          <w:p>
            <w:pPr>
              <w:tabs>
                <w:tab w:val="left" w:pos="-160"/>
              </w:tabs>
              <w:spacing w:line="360" w:lineRule="auto"/>
              <w:ind w:firstLine="480" w:firstLineChars="200"/>
              <w:rPr>
                <w:rFonts w:ascii="Times New Roman" w:hAnsi="Times New Roman"/>
                <w:color w:val="000000"/>
                <w:sz w:val="24"/>
                <w:szCs w:val="24"/>
              </w:rPr>
            </w:pPr>
            <w:r>
              <w:rPr>
                <w:rFonts w:hint="eastAsia" w:ascii="Times New Roman" w:hAnsi="Times New Roman"/>
                <w:sz w:val="24"/>
                <w:lang w:val="en-US" w:eastAsia="zh-CN"/>
              </w:rPr>
              <w:t>本</w:t>
            </w:r>
            <w:r>
              <w:rPr>
                <w:rFonts w:hint="eastAsia" w:ascii="Times New Roman" w:hAnsi="Times New Roman"/>
                <w:sz w:val="24"/>
              </w:rPr>
              <w:t>项目设置危险废物临时贮存库，其中受污染建筑垃圾及污染土壤直接装车外运至水泥厂处置，不在项目地内暂存，危废库内仅存放污泥、废活性炭危废。</w:t>
            </w:r>
            <w:r>
              <w:rPr>
                <w:rFonts w:ascii="Times New Roman" w:hAnsi="Times New Roman"/>
                <w:sz w:val="24"/>
              </w:rPr>
              <w:t>本项目固废均可做到综合利用或无害化处置。</w:t>
            </w:r>
          </w:p>
          <w:p>
            <w:pPr>
              <w:tabs>
                <w:tab w:val="left" w:pos="6313"/>
              </w:tabs>
              <w:spacing w:line="360" w:lineRule="auto"/>
              <w:ind w:firstLine="482" w:firstLineChars="200"/>
              <w:jc w:val="left"/>
              <w:rPr>
                <w:rFonts w:ascii="Times New Roman" w:hAnsi="Times New Roman"/>
                <w:b/>
                <w:sz w:val="24"/>
              </w:rPr>
            </w:pPr>
            <w:r>
              <w:rPr>
                <w:rFonts w:ascii="Times New Roman" w:hAnsi="Times New Roman"/>
                <w:b/>
                <w:sz w:val="24"/>
              </w:rPr>
              <w:t>（六）总量控制</w:t>
            </w:r>
          </w:p>
          <w:p>
            <w:pPr>
              <w:spacing w:line="360" w:lineRule="auto"/>
              <w:ind w:firstLine="480" w:firstLineChars="200"/>
              <w:rPr>
                <w:rFonts w:ascii="Times New Roman" w:hAnsi="Times New Roman"/>
                <w:b/>
                <w:color w:val="000000"/>
                <w:sz w:val="24"/>
                <w:szCs w:val="24"/>
              </w:rPr>
            </w:pPr>
            <w:r>
              <w:rPr>
                <w:rFonts w:hint="eastAsia" w:ascii="Times New Roman" w:hAnsi="Times New Roman"/>
                <w:color w:val="000000"/>
                <w:sz w:val="24"/>
              </w:rPr>
              <w:t>本项目为土壤、地下水修复项目，无需申请总量控制指标</w:t>
            </w:r>
            <w:r>
              <w:rPr>
                <w:rFonts w:hint="eastAsia" w:ascii="Times New Roman" w:hAnsi="Times New Roman"/>
                <w:color w:val="000000"/>
                <w:kern w:val="0"/>
                <w:sz w:val="24"/>
                <w:szCs w:val="22"/>
              </w:rPr>
              <w:t>。</w:t>
            </w:r>
          </w:p>
          <w:p>
            <w:pPr>
              <w:spacing w:line="360" w:lineRule="auto"/>
              <w:ind w:firstLine="482" w:firstLineChars="200"/>
              <w:rPr>
                <w:rFonts w:ascii="Times New Roman" w:hAnsi="Times New Roman"/>
                <w:b/>
                <w:color w:val="000000"/>
                <w:sz w:val="24"/>
                <w:szCs w:val="24"/>
              </w:rPr>
            </w:pPr>
            <w:r>
              <w:rPr>
                <w:rFonts w:ascii="Times New Roman" w:hAnsi="Times New Roman"/>
                <w:b/>
                <w:color w:val="000000"/>
                <w:sz w:val="24"/>
                <w:szCs w:val="24"/>
              </w:rPr>
              <w:t>（七）项目结论</w:t>
            </w:r>
          </w:p>
          <w:p>
            <w:pPr>
              <w:spacing w:line="360" w:lineRule="auto"/>
              <w:ind w:firstLine="482" w:firstLineChars="200"/>
              <w:rPr>
                <w:rFonts w:ascii="Times New Roman" w:hAnsi="Times New Roman"/>
                <w:b/>
                <w:bCs/>
                <w:sz w:val="24"/>
                <w:szCs w:val="22"/>
                <w:lang w:val="zh-CN"/>
              </w:rPr>
            </w:pPr>
            <w:r>
              <w:rPr>
                <w:rFonts w:ascii="Times New Roman" w:hAnsi="Times New Roman"/>
                <w:b/>
                <w:bCs/>
                <w:sz w:val="24"/>
                <w:szCs w:val="22"/>
                <w:lang w:val="zh-CN"/>
              </w:rPr>
              <w:t>综上所述，本项目符合国家产业政策要求，项目选址合理，建设项目所在地环境现状较好。废水、废气、噪声和固废污染物采取本评价提出的污染防治措施后可达标排放。该项目在坚持“三同时”原则并按照本报告中提出的各项环保措施治理后，从环境影响评价的角度来讲，项目建设是可行的。</w:t>
            </w:r>
          </w:p>
          <w:p>
            <w:pPr>
              <w:spacing w:line="360" w:lineRule="auto"/>
              <w:rPr>
                <w:rFonts w:ascii="Times New Roman" w:hAnsi="Times New Roman"/>
                <w:b/>
                <w:color w:val="000000"/>
                <w:sz w:val="28"/>
                <w:szCs w:val="28"/>
              </w:rPr>
            </w:pPr>
            <w:r>
              <w:rPr>
                <w:rFonts w:ascii="Times New Roman" w:hAnsi="Times New Roman"/>
                <w:b/>
                <w:color w:val="000000"/>
                <w:sz w:val="28"/>
                <w:szCs w:val="28"/>
              </w:rPr>
              <w:t>建议及要求：</w:t>
            </w:r>
          </w:p>
          <w:p>
            <w:pPr>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落实环保投资，确保环保资金到位，确保顺利实现达标排放，做到经济、社会、环境效益的统一协调发展。为了能使本项目产生的各项污染防治措施达到较好的实际使用效果，建议业主加强各种处理设施的维修、保养及管理，确保污染治理设施的正常运转。</w:t>
            </w:r>
          </w:p>
          <w:p>
            <w:pPr>
              <w:spacing w:line="360" w:lineRule="auto"/>
              <w:rPr>
                <w:rFonts w:ascii="Times New Roman" w:hAnsi="Times New Roman"/>
                <w:color w:val="000000"/>
                <w:sz w:val="24"/>
                <w:szCs w:val="24"/>
              </w:rPr>
            </w:pPr>
          </w:p>
        </w:tc>
      </w:tr>
    </w:tbl>
    <w:p>
      <w:pPr>
        <w:rPr>
          <w:color w:val="000000"/>
        </w:rPr>
      </w:pPr>
    </w:p>
    <w:tbl>
      <w:tblPr>
        <w:tblStyle w:val="27"/>
        <w:tblW w:w="0" w:type="auto"/>
        <w:jc w:val="center"/>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Layout w:type="fixed"/>
        <w:tblCellMar>
          <w:top w:w="0" w:type="dxa"/>
          <w:left w:w="108" w:type="dxa"/>
          <w:bottom w:w="0" w:type="dxa"/>
          <w:right w:w="108" w:type="dxa"/>
        </w:tblCellMar>
      </w:tblPr>
      <w:tblGrid>
        <w:gridCol w:w="9282"/>
      </w:tblGrid>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998" w:hRule="atLeast"/>
          <w:jc w:val="center"/>
        </w:trPr>
        <w:tc>
          <w:tcPr>
            <w:tcW w:w="9282" w:type="dxa"/>
            <w:noWrap w:val="0"/>
            <w:vAlign w:val="top"/>
          </w:tcPr>
          <w:p>
            <w:pPr>
              <w:rPr>
                <w:w w:val="98"/>
                <w:kern w:val="0"/>
                <w:sz w:val="28"/>
              </w:rPr>
            </w:pPr>
            <w:r>
              <w:rPr>
                <w:w w:val="98"/>
                <w:kern w:val="0"/>
                <w:sz w:val="28"/>
              </w:rPr>
              <w:t>预审意见：</w:t>
            </w:r>
          </w:p>
          <w:p>
            <w:pPr>
              <w:rPr>
                <w:w w:val="98"/>
              </w:rPr>
            </w:pPr>
          </w:p>
          <w:p>
            <w:pPr>
              <w:rPr>
                <w:w w:val="98"/>
              </w:rPr>
            </w:pPr>
          </w:p>
          <w:p>
            <w:pPr>
              <w:rPr>
                <w:w w:val="98"/>
              </w:rPr>
            </w:pPr>
          </w:p>
          <w:p>
            <w:pPr>
              <w:rPr>
                <w:w w:val="98"/>
              </w:rPr>
            </w:pPr>
          </w:p>
          <w:p>
            <w:pPr>
              <w:rPr>
                <w:w w:val="98"/>
              </w:rPr>
            </w:pPr>
          </w:p>
          <w:p>
            <w:pPr>
              <w:rPr>
                <w:w w:val="98"/>
              </w:rPr>
            </w:pPr>
          </w:p>
          <w:p>
            <w:pPr>
              <w:rPr>
                <w:w w:val="98"/>
              </w:rPr>
            </w:pPr>
          </w:p>
          <w:p>
            <w:pPr>
              <w:rPr>
                <w:w w:val="98"/>
              </w:rPr>
            </w:pPr>
          </w:p>
          <w:p>
            <w:pPr>
              <w:rPr>
                <w:w w:val="98"/>
                <w:kern w:val="0"/>
                <w:sz w:val="28"/>
              </w:rPr>
            </w:pPr>
          </w:p>
          <w:p>
            <w:pPr>
              <w:rPr>
                <w:w w:val="98"/>
                <w:kern w:val="0"/>
                <w:sz w:val="28"/>
              </w:rPr>
            </w:pPr>
          </w:p>
          <w:p>
            <w:pPr>
              <w:rPr>
                <w:w w:val="98"/>
                <w:kern w:val="0"/>
                <w:sz w:val="28"/>
              </w:rPr>
            </w:pPr>
            <w:r>
              <w:rPr>
                <w:w w:val="98"/>
                <w:kern w:val="0"/>
                <w:sz w:val="28"/>
              </w:rPr>
              <w:t xml:space="preserve">                                                  </w:t>
            </w:r>
            <w:r>
              <w:rPr>
                <w:w w:val="98"/>
              </w:rPr>
              <w:t xml:space="preserve"> </w:t>
            </w:r>
            <w:r>
              <w:rPr>
                <w:w w:val="98"/>
                <w:kern w:val="0"/>
                <w:sz w:val="28"/>
              </w:rPr>
              <w:t>公   章</w:t>
            </w:r>
          </w:p>
          <w:p>
            <w:pPr>
              <w:ind w:firstLine="200" w:firstLineChars="98"/>
              <w:rPr>
                <w:w w:val="98"/>
                <w:kern w:val="0"/>
                <w:sz w:val="28"/>
              </w:rPr>
            </w:pPr>
            <w:r>
              <w:rPr>
                <w:w w:val="98"/>
              </w:rPr>
              <w:t xml:space="preserve"> </w:t>
            </w:r>
            <w:r>
              <w:rPr>
                <w:w w:val="98"/>
                <w:kern w:val="0"/>
                <w:sz w:val="28"/>
              </w:rPr>
              <w:t xml:space="preserve">经办人： </w:t>
            </w:r>
            <w:r>
              <w:rPr>
                <w:w w:val="98"/>
              </w:rPr>
              <w:t xml:space="preserve">                                                </w:t>
            </w:r>
            <w:r>
              <w:rPr>
                <w:w w:val="98"/>
                <w:kern w:val="0"/>
                <w:sz w:val="28"/>
              </w:rPr>
              <w:t>年    月    日</w:t>
            </w:r>
          </w:p>
          <w:p>
            <w:pPr>
              <w:ind w:firstLine="268" w:firstLineChars="98"/>
              <w:rPr>
                <w:w w:val="98"/>
                <w:kern w:val="0"/>
                <w:sz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4230" w:hRule="atLeast"/>
          <w:jc w:val="center"/>
        </w:trPr>
        <w:tc>
          <w:tcPr>
            <w:tcW w:w="9282" w:type="dxa"/>
            <w:noWrap w:val="0"/>
            <w:vAlign w:val="top"/>
          </w:tcPr>
          <w:p>
            <w:pPr>
              <w:rPr>
                <w:rFonts w:hint="eastAsia" w:ascii="宋体" w:hAnsi="宋体"/>
                <w:w w:val="98"/>
                <w:kern w:val="0"/>
                <w:sz w:val="28"/>
              </w:rPr>
            </w:pPr>
          </w:p>
          <w:p>
            <w:pPr>
              <w:rPr>
                <w:rFonts w:ascii="宋体" w:hAnsi="宋体"/>
                <w:w w:val="98"/>
                <w:kern w:val="0"/>
                <w:sz w:val="28"/>
              </w:rPr>
            </w:pPr>
            <w:r>
              <w:rPr>
                <w:rFonts w:ascii="宋体" w:hAnsi="宋体"/>
                <w:w w:val="98"/>
                <w:kern w:val="0"/>
                <w:sz w:val="28"/>
              </w:rPr>
              <w:t>下一级环境保护行政主管部门审查意见：</w:t>
            </w: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ascii="宋体" w:hAnsi="宋体"/>
                <w:w w:val="98"/>
              </w:rPr>
            </w:pPr>
          </w:p>
          <w:p>
            <w:pPr>
              <w:rPr>
                <w:rFonts w:hint="eastAsia" w:ascii="宋体" w:hAnsi="宋体"/>
                <w:w w:val="98"/>
              </w:rPr>
            </w:pPr>
          </w:p>
          <w:p>
            <w:pPr>
              <w:rPr>
                <w:rFonts w:hint="eastAsia" w:ascii="宋体" w:hAnsi="宋体"/>
                <w:w w:val="98"/>
              </w:rPr>
            </w:pPr>
          </w:p>
          <w:p>
            <w:pPr>
              <w:rPr>
                <w:rFonts w:ascii="宋体" w:hAnsi="宋体"/>
                <w:w w:val="98"/>
                <w:kern w:val="0"/>
                <w:sz w:val="28"/>
              </w:rPr>
            </w:pPr>
            <w:r>
              <w:rPr>
                <w:rFonts w:ascii="宋体" w:hAnsi="宋体"/>
                <w:w w:val="98"/>
              </w:rPr>
              <w:t xml:space="preserve"> </w:t>
            </w:r>
            <w:r>
              <w:rPr>
                <w:rFonts w:hint="eastAsia" w:ascii="宋体" w:hAnsi="宋体"/>
                <w:w w:val="98"/>
              </w:rPr>
              <w:t xml:space="preserve">                                                                 </w:t>
            </w:r>
            <w:r>
              <w:rPr>
                <w:rFonts w:ascii="宋体" w:hAnsi="宋体"/>
                <w:w w:val="98"/>
                <w:kern w:val="0"/>
                <w:sz w:val="28"/>
              </w:rPr>
              <w:t>公   章</w:t>
            </w:r>
          </w:p>
          <w:p>
            <w:pPr>
              <w:rPr>
                <w:rFonts w:ascii="宋体" w:hAnsi="宋体"/>
                <w:w w:val="98"/>
                <w:kern w:val="0"/>
                <w:sz w:val="28"/>
              </w:rPr>
            </w:pPr>
            <w:r>
              <w:rPr>
                <w:rFonts w:ascii="宋体" w:hAnsi="宋体"/>
                <w:w w:val="98"/>
              </w:rPr>
              <w:t xml:space="preserve">   </w:t>
            </w:r>
            <w:r>
              <w:rPr>
                <w:rFonts w:ascii="宋体" w:hAnsi="宋体"/>
                <w:w w:val="98"/>
                <w:kern w:val="0"/>
                <w:sz w:val="28"/>
              </w:rPr>
              <w:t>经办人：                                   年    月    日</w:t>
            </w:r>
          </w:p>
          <w:p>
            <w:pPr>
              <w:rPr>
                <w:rFonts w:hint="eastAsia" w:ascii="宋体" w:hAnsi="宋体"/>
                <w:w w:val="98"/>
                <w:kern w:val="0"/>
                <w:sz w:val="28"/>
              </w:rPr>
            </w:pPr>
            <w:r>
              <w:rPr>
                <w:rFonts w:hint="eastAsia" w:ascii="宋体" w:hAnsi="宋体"/>
                <w:w w:val="98"/>
                <w:kern w:val="0"/>
                <w:sz w:val="28"/>
              </w:rPr>
              <w:t>审查意见；</w:t>
            </w: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p>
          <w:p>
            <w:pPr>
              <w:rPr>
                <w:rFonts w:hint="eastAsia" w:ascii="宋体" w:hAnsi="宋体"/>
                <w:w w:val="98"/>
                <w:kern w:val="0"/>
                <w:sz w:val="28"/>
              </w:rPr>
            </w:pPr>
            <w:r>
              <w:rPr>
                <w:rFonts w:hint="eastAsia" w:ascii="宋体" w:hAnsi="宋体"/>
                <w:w w:val="98"/>
                <w:kern w:val="0"/>
                <w:sz w:val="28"/>
              </w:rPr>
              <w:t xml:space="preserve">                                                 公  章</w:t>
            </w:r>
          </w:p>
          <w:p>
            <w:pPr>
              <w:rPr>
                <w:rFonts w:hint="eastAsia" w:ascii="宋体" w:hAnsi="宋体"/>
                <w:w w:val="98"/>
                <w:kern w:val="0"/>
                <w:sz w:val="28"/>
              </w:rPr>
            </w:pPr>
            <w:r>
              <w:rPr>
                <w:rFonts w:hint="eastAsia" w:ascii="宋体" w:hAnsi="宋体"/>
                <w:w w:val="98"/>
                <w:kern w:val="0"/>
                <w:sz w:val="28"/>
              </w:rPr>
              <w:t>经办人；                                      年   月    日</w:t>
            </w:r>
          </w:p>
        </w:tc>
      </w:tr>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13363" w:hRule="atLeast"/>
          <w:jc w:val="center"/>
        </w:trPr>
        <w:tc>
          <w:tcPr>
            <w:tcW w:w="9282" w:type="dxa"/>
            <w:noWrap w:val="0"/>
            <w:vAlign w:val="center"/>
          </w:tcPr>
          <w:p>
            <w:pPr>
              <w:spacing w:line="360" w:lineRule="auto"/>
              <w:jc w:val="center"/>
              <w:rPr>
                <w:rFonts w:hint="eastAsia" w:ascii="宋体" w:hAnsi="宋体"/>
                <w:b/>
                <w:sz w:val="32"/>
                <w:szCs w:val="32"/>
              </w:rPr>
            </w:pPr>
            <w:r>
              <w:rPr>
                <w:rFonts w:ascii="宋体" w:hAnsi="宋体"/>
                <w:b/>
                <w:sz w:val="32"/>
                <w:szCs w:val="32"/>
              </w:rPr>
              <w:t>注        释</w:t>
            </w:r>
          </w:p>
          <w:p>
            <w:pPr>
              <w:spacing w:line="360" w:lineRule="auto"/>
              <w:ind w:firstLine="352" w:firstLineChars="147"/>
              <w:rPr>
                <w:rFonts w:hint="eastAsia" w:ascii="宋体" w:hAnsi="宋体"/>
                <w:sz w:val="24"/>
              </w:rPr>
            </w:pPr>
            <w:r>
              <w:rPr>
                <w:rFonts w:ascii="宋体" w:hAnsi="宋体"/>
                <w:sz w:val="24"/>
              </w:rPr>
              <w:t>一、本报告表应附以下附件、附图：</w:t>
            </w:r>
          </w:p>
          <w:p>
            <w:pPr>
              <w:spacing w:line="360" w:lineRule="auto"/>
              <w:ind w:firstLine="480" w:firstLineChars="200"/>
              <w:rPr>
                <w:rFonts w:hint="eastAsia" w:ascii="宋体" w:hAnsi="宋体"/>
                <w:sz w:val="24"/>
              </w:rPr>
            </w:pPr>
            <w:r>
              <w:rPr>
                <w:rFonts w:ascii="宋体" w:hAnsi="宋体"/>
                <w:sz w:val="24"/>
              </w:rPr>
              <w:t xml:space="preserve">附件1  </w:t>
            </w:r>
            <w:r>
              <w:rPr>
                <w:rFonts w:hint="eastAsia" w:ascii="宋体" w:hAnsi="宋体"/>
                <w:sz w:val="24"/>
              </w:rPr>
              <w:t>项目委托书</w:t>
            </w:r>
          </w:p>
          <w:p>
            <w:pPr>
              <w:spacing w:line="360" w:lineRule="auto"/>
              <w:ind w:firstLine="480" w:firstLineChars="200"/>
              <w:rPr>
                <w:rFonts w:hint="eastAsia" w:ascii="宋体" w:hAnsi="宋体"/>
                <w:sz w:val="24"/>
              </w:rPr>
            </w:pPr>
            <w:r>
              <w:rPr>
                <w:rFonts w:ascii="宋体" w:hAnsi="宋体"/>
                <w:sz w:val="24"/>
              </w:rPr>
              <w:t xml:space="preserve">附件2  </w:t>
            </w:r>
            <w:r>
              <w:rPr>
                <w:rFonts w:hint="eastAsia" w:ascii="宋体" w:hAnsi="宋体"/>
                <w:sz w:val="24"/>
                <w:lang w:val="en-US" w:eastAsia="zh-CN"/>
              </w:rPr>
              <w:t>承诺</w:t>
            </w:r>
          </w:p>
          <w:p>
            <w:pPr>
              <w:spacing w:line="360" w:lineRule="auto"/>
              <w:ind w:firstLine="480" w:firstLineChars="200"/>
              <w:rPr>
                <w:rFonts w:hint="default" w:ascii="宋体" w:hAnsi="宋体" w:eastAsia="宋体"/>
                <w:sz w:val="24"/>
                <w:lang w:val="en-US" w:eastAsia="zh-CN"/>
              </w:rPr>
            </w:pPr>
            <w:r>
              <w:rPr>
                <w:rFonts w:ascii="宋体" w:hAnsi="宋体"/>
                <w:sz w:val="24"/>
              </w:rPr>
              <w:t>附件3</w:t>
            </w:r>
            <w:r>
              <w:rPr>
                <w:rFonts w:hint="eastAsia" w:ascii="宋体" w:hAnsi="宋体"/>
                <w:sz w:val="24"/>
              </w:rPr>
              <w:t xml:space="preserve"> </w:t>
            </w:r>
            <w:r>
              <w:rPr>
                <w:rFonts w:ascii="宋体" w:hAnsi="宋体"/>
                <w:sz w:val="24"/>
              </w:rPr>
              <w:t xml:space="preserve"> </w:t>
            </w:r>
            <w:r>
              <w:rPr>
                <w:rFonts w:hint="eastAsia" w:ascii="宋体" w:hAnsi="宋体"/>
                <w:sz w:val="24"/>
              </w:rPr>
              <w:t>立项</w:t>
            </w:r>
          </w:p>
          <w:p>
            <w:pPr>
              <w:spacing w:line="360" w:lineRule="auto"/>
              <w:ind w:firstLine="480" w:firstLineChars="200"/>
              <w:rPr>
                <w:rFonts w:hint="eastAsia" w:ascii="宋体" w:hAnsi="宋体"/>
                <w:sz w:val="24"/>
                <w:lang w:val="en-US" w:eastAsia="zh-CN"/>
              </w:rPr>
            </w:pPr>
            <w:r>
              <w:rPr>
                <w:rFonts w:ascii="宋体" w:hAnsi="宋体"/>
                <w:sz w:val="24"/>
              </w:rPr>
              <w:t xml:space="preserve">附件4  </w:t>
            </w:r>
            <w:r>
              <w:rPr>
                <w:rFonts w:hint="eastAsia" w:ascii="宋体" w:hAnsi="宋体"/>
                <w:sz w:val="24"/>
                <w:lang w:val="en-US" w:eastAsia="zh-CN"/>
              </w:rPr>
              <w:t>原环评批复</w:t>
            </w:r>
          </w:p>
          <w:p>
            <w:pPr>
              <w:spacing w:line="360" w:lineRule="auto"/>
              <w:ind w:firstLine="480" w:firstLineChars="200"/>
              <w:rPr>
                <w:rFonts w:hint="eastAsia" w:ascii="宋体" w:hAnsi="宋体"/>
                <w:sz w:val="24"/>
                <w:lang w:val="en-US" w:eastAsia="zh-CN"/>
              </w:rPr>
            </w:pPr>
            <w:r>
              <w:rPr>
                <w:rFonts w:hint="eastAsia" w:ascii="宋体" w:hAnsi="宋体"/>
                <w:sz w:val="24"/>
                <w:lang w:val="en-US" w:eastAsia="zh-CN"/>
              </w:rPr>
              <w:t>附件5  监测数据</w:t>
            </w:r>
          </w:p>
          <w:p>
            <w:pPr>
              <w:spacing w:line="360" w:lineRule="auto"/>
              <w:ind w:firstLine="480" w:firstLineChars="200"/>
              <w:rPr>
                <w:rFonts w:hint="eastAsia" w:ascii="宋体" w:hAnsi="宋体"/>
                <w:sz w:val="24"/>
                <w:lang w:val="en-US" w:eastAsia="zh-CN"/>
              </w:rPr>
            </w:pPr>
            <w:r>
              <w:rPr>
                <w:rFonts w:hint="eastAsia" w:ascii="宋体" w:hAnsi="宋体"/>
                <w:sz w:val="24"/>
                <w:lang w:val="en-US" w:eastAsia="zh-CN"/>
              </w:rPr>
              <w:t>附件6  租赁合同</w:t>
            </w:r>
          </w:p>
          <w:p>
            <w:pPr>
              <w:spacing w:line="360" w:lineRule="auto"/>
              <w:ind w:firstLine="480" w:firstLineChars="200"/>
              <w:rPr>
                <w:rFonts w:ascii="宋体" w:hAnsi="宋体"/>
                <w:sz w:val="24"/>
              </w:rPr>
            </w:pPr>
            <w:r>
              <w:rPr>
                <w:rFonts w:ascii="宋体" w:hAnsi="宋体"/>
                <w:sz w:val="24"/>
              </w:rPr>
              <w:t>附图1  项目地理位置图（应反映行政区划、水系、标明纳污口位置</w:t>
            </w:r>
          </w:p>
          <w:p>
            <w:pPr>
              <w:spacing w:line="360" w:lineRule="auto"/>
              <w:rPr>
                <w:rFonts w:ascii="宋体" w:hAnsi="宋体"/>
                <w:sz w:val="24"/>
              </w:rPr>
            </w:pPr>
            <w:r>
              <w:rPr>
                <w:rFonts w:ascii="宋体" w:hAnsi="宋体"/>
                <w:sz w:val="24"/>
              </w:rPr>
              <w:t xml:space="preserve">           和地形地貌等）</w:t>
            </w:r>
          </w:p>
          <w:p>
            <w:pPr>
              <w:spacing w:line="360" w:lineRule="auto"/>
              <w:ind w:firstLine="480" w:firstLineChars="200"/>
              <w:rPr>
                <w:rFonts w:hint="eastAsia" w:ascii="宋体" w:hAnsi="宋体"/>
                <w:sz w:val="24"/>
              </w:rPr>
            </w:pPr>
            <w:r>
              <w:rPr>
                <w:rFonts w:hint="eastAsia" w:ascii="宋体" w:hAnsi="宋体"/>
                <w:sz w:val="24"/>
              </w:rPr>
              <w:t>附图2</w:t>
            </w:r>
            <w:r>
              <w:rPr>
                <w:rFonts w:ascii="宋体" w:hAnsi="宋体"/>
                <w:sz w:val="24"/>
              </w:rPr>
              <w:t xml:space="preserve">  </w:t>
            </w:r>
            <w:r>
              <w:rPr>
                <w:rFonts w:hint="eastAsia" w:ascii="宋体" w:hAnsi="宋体"/>
                <w:sz w:val="24"/>
              </w:rPr>
              <w:t>厂区平面布置图</w:t>
            </w:r>
          </w:p>
          <w:p>
            <w:pPr>
              <w:spacing w:line="360" w:lineRule="auto"/>
              <w:ind w:firstLine="480" w:firstLineChars="200"/>
              <w:rPr>
                <w:rFonts w:ascii="宋体" w:hAnsi="宋体"/>
                <w:sz w:val="24"/>
              </w:rPr>
            </w:pPr>
            <w:r>
              <w:rPr>
                <w:rFonts w:ascii="宋体" w:hAnsi="宋体"/>
                <w:sz w:val="24"/>
              </w:rPr>
              <w:t>二、如果本报告表不能说明项目产生的污染及对环境造成的影响，应进行专项评价。根据建设项目的特点和当地环境特征，应选下列1—2项进行专项评价。</w:t>
            </w:r>
          </w:p>
          <w:p>
            <w:pPr>
              <w:spacing w:line="360" w:lineRule="auto"/>
              <w:ind w:firstLine="480" w:firstLineChars="200"/>
              <w:rPr>
                <w:rFonts w:ascii="宋体" w:hAnsi="宋体"/>
                <w:sz w:val="24"/>
              </w:rPr>
            </w:pPr>
            <w:r>
              <w:rPr>
                <w:rFonts w:ascii="宋体" w:hAnsi="宋体"/>
                <w:sz w:val="24"/>
              </w:rPr>
              <w:t>1、大气环境影响专项评价</w:t>
            </w:r>
          </w:p>
          <w:p>
            <w:pPr>
              <w:spacing w:line="360" w:lineRule="auto"/>
              <w:ind w:firstLine="480" w:firstLineChars="200"/>
              <w:rPr>
                <w:rFonts w:ascii="宋体" w:hAnsi="宋体"/>
                <w:sz w:val="24"/>
              </w:rPr>
            </w:pPr>
            <w:r>
              <w:rPr>
                <w:rFonts w:ascii="宋体" w:hAnsi="宋体"/>
                <w:sz w:val="24"/>
              </w:rPr>
              <w:t>2、水环境影响专项评价（包括地表水和地下水）</w:t>
            </w:r>
          </w:p>
          <w:p>
            <w:pPr>
              <w:spacing w:line="360" w:lineRule="auto"/>
              <w:ind w:firstLine="480" w:firstLineChars="200"/>
              <w:rPr>
                <w:rFonts w:ascii="宋体" w:hAnsi="宋体"/>
                <w:sz w:val="24"/>
              </w:rPr>
            </w:pPr>
            <w:r>
              <w:rPr>
                <w:rFonts w:ascii="宋体" w:hAnsi="宋体"/>
                <w:sz w:val="24"/>
              </w:rPr>
              <w:t>3、生态影响专项评价</w:t>
            </w:r>
          </w:p>
          <w:p>
            <w:pPr>
              <w:spacing w:line="360" w:lineRule="auto"/>
              <w:ind w:firstLine="480" w:firstLineChars="200"/>
              <w:rPr>
                <w:rFonts w:ascii="宋体" w:hAnsi="宋体"/>
                <w:sz w:val="24"/>
              </w:rPr>
            </w:pPr>
            <w:r>
              <w:rPr>
                <w:rFonts w:ascii="宋体" w:hAnsi="宋体"/>
                <w:sz w:val="24"/>
              </w:rPr>
              <w:t>4、声影响专项评价</w:t>
            </w:r>
          </w:p>
          <w:p>
            <w:pPr>
              <w:spacing w:line="360" w:lineRule="auto"/>
              <w:ind w:firstLine="480" w:firstLineChars="200"/>
              <w:rPr>
                <w:rFonts w:ascii="宋体" w:hAnsi="宋体"/>
                <w:sz w:val="24"/>
              </w:rPr>
            </w:pPr>
            <w:r>
              <w:rPr>
                <w:rFonts w:ascii="宋体" w:hAnsi="宋体"/>
                <w:sz w:val="24"/>
              </w:rPr>
              <w:t>5、土壤影响专项评价</w:t>
            </w:r>
          </w:p>
          <w:p>
            <w:pPr>
              <w:spacing w:line="360" w:lineRule="auto"/>
              <w:ind w:firstLine="480" w:firstLineChars="200"/>
              <w:rPr>
                <w:rFonts w:ascii="宋体" w:hAnsi="宋体"/>
                <w:sz w:val="24"/>
              </w:rPr>
            </w:pPr>
            <w:r>
              <w:rPr>
                <w:rFonts w:ascii="宋体" w:hAnsi="宋体"/>
                <w:sz w:val="24"/>
              </w:rPr>
              <w:t>6、</w:t>
            </w:r>
            <w:r>
              <w:rPr>
                <w:rFonts w:hint="eastAsia" w:ascii="宋体" w:hAnsi="宋体"/>
                <w:sz w:val="24"/>
              </w:rPr>
              <w:t>固体废物</w:t>
            </w:r>
            <w:r>
              <w:rPr>
                <w:rFonts w:ascii="宋体" w:hAnsi="宋体"/>
                <w:sz w:val="24"/>
              </w:rPr>
              <w:t>影响专项评价</w:t>
            </w:r>
          </w:p>
          <w:p>
            <w:pPr>
              <w:spacing w:line="360" w:lineRule="auto"/>
              <w:ind w:firstLine="480" w:firstLineChars="200"/>
              <w:rPr>
                <w:rFonts w:hint="eastAsia" w:ascii="宋体" w:hAnsi="宋体"/>
                <w:sz w:val="24"/>
              </w:rPr>
            </w:pPr>
            <w:r>
              <w:rPr>
                <w:rFonts w:ascii="宋体" w:hAnsi="宋体"/>
                <w:sz w:val="24"/>
              </w:rPr>
              <w:t>以上专项评价未包括的可另列专项，专项评价按照《环境影响评价技术导则》中的要求进行。</w:t>
            </w:r>
          </w:p>
          <w:p>
            <w:pPr>
              <w:spacing w:line="480" w:lineRule="auto"/>
              <w:ind w:firstLine="480" w:firstLineChars="200"/>
              <w:rPr>
                <w:rFonts w:hint="eastAsia" w:ascii="宋体" w:hAnsi="宋体"/>
                <w:sz w:val="24"/>
              </w:rPr>
            </w:pPr>
          </w:p>
          <w:p>
            <w:pPr>
              <w:spacing w:line="480" w:lineRule="auto"/>
              <w:rPr>
                <w:rFonts w:hint="eastAsia" w:ascii="宋体" w:hAnsi="宋体"/>
                <w:sz w:val="24"/>
              </w:rPr>
            </w:pPr>
          </w:p>
        </w:tc>
      </w:tr>
    </w:tbl>
    <w:p>
      <w:pPr>
        <w:rPr>
          <w:rFonts w:hint="eastAsia"/>
          <w:color w:val="000000"/>
        </w:rPr>
      </w:pPr>
    </w:p>
    <w:p>
      <w:pPr>
        <w:jc w:val="center"/>
        <w:rPr>
          <w:rFonts w:hint="eastAsia" w:ascii="宋体" w:hAnsi="宋体" w:eastAsia="宋体" w:cs="宋体"/>
          <w:b w:val="0"/>
          <w:bCs w:val="0"/>
          <w:sz w:val="52"/>
          <w:szCs w:val="52"/>
          <w:lang w:val="en-US" w:eastAsia="zh-CN"/>
        </w:rPr>
        <w:sectPr>
          <w:footerReference r:id="rId4" w:type="default"/>
          <w:pgSz w:w="11906" w:h="16838"/>
          <w:pgMar w:top="1440" w:right="1800" w:bottom="1558" w:left="1800" w:header="851" w:footer="992" w:gutter="0"/>
          <w:pgNumType w:start="1"/>
          <w:cols w:space="720" w:num="1"/>
          <w:docGrid w:type="lines" w:linePitch="312" w:charSpace="0"/>
        </w:sectPr>
      </w:pPr>
    </w:p>
    <w:p>
      <w:pPr>
        <w:pStyle w:val="26"/>
        <w:bidi w:val="0"/>
        <w:ind w:left="0" w:leftChars="0" w:firstLine="0" w:firstLineChars="0"/>
        <w:jc w:val="both"/>
        <w:rPr>
          <w:rFonts w:hint="default"/>
          <w:lang w:val="en-US" w:eastAsia="zh-CN"/>
        </w:rPr>
      </w:pPr>
    </w:p>
    <w:sectPr>
      <w:footerReference r:id="rId5" w:type="default"/>
      <w:type w:val="continuous"/>
      <w:pgSz w:w="16838" w:h="11906" w:orient="landscape"/>
      <w:pgMar w:top="1800" w:right="1440" w:bottom="1800" w:left="155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Arial Black">
    <w:panose1 w:val="020B0A04020102020204"/>
    <w:charset w:val="00"/>
    <w:family w:val="swiss"/>
    <w:pitch w:val="default"/>
    <w:sig w:usb0="A00002AF" w:usb1="400078FB" w:usb2="00000000" w:usb3="00000000" w:csb0="6000009F" w:csb1="DFD70000"/>
  </w:font>
  <w:font w:name="等线">
    <w:panose1 w:val="02010600030101010101"/>
    <w:charset w:val="86"/>
    <w:family w:val="auto"/>
    <w:pitch w:val="default"/>
    <w:sig w:usb0="A00002BF" w:usb1="38CF7CFA" w:usb2="00000016" w:usb3="00000000" w:csb0="0004000F" w:csb1="00000000"/>
  </w:font>
  <w:font w:name="??">
    <w:altName w:val="Times New Roman"/>
    <w:panose1 w:val="00000000000000000000"/>
    <w:charset w:val="00"/>
    <w:family w:val="roman"/>
    <w:pitch w:val="default"/>
    <w:sig w:usb0="00000000" w:usb1="00000000" w:usb2="00000000" w:usb3="00000000" w:csb0="00040001"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rStyle w:val="33"/>
        <w:rFonts w:hint="eastAsia"/>
      </w:rPr>
    </w:pPr>
  </w:p>
  <w:p>
    <w:pPr>
      <w:pStyle w:val="18"/>
      <w:jc w:val="center"/>
      <w:rPr>
        <w:rFonts w:hint="eastAsia"/>
      </w:rPr>
    </w:pPr>
    <w:r>
      <w:rPr>
        <w:rStyle w:val="33"/>
        <w:rFonts w:hint="eastAsia"/>
      </w:rPr>
      <w:t xml:space="preserve">                               </w:t>
    </w:r>
    <w:r>
      <w:rPr>
        <w:rFonts w:hint="eastAsia"/>
      </w:rPr>
      <w:t xml:space="preserve">                       </w:t>
    </w:r>
    <w:r>
      <w:rPr>
        <w:sz w:val="21"/>
        <w:szCs w:val="21"/>
      </w:rPr>
      <w:tab/>
    </w:r>
    <w:r>
      <w:rPr>
        <w:rStyle w:val="33"/>
        <w:rFonts w:hint="eastAsia"/>
        <w:sz w:val="21"/>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rStyle w:val="33"/>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j9384rIB&#10;AABPAwAADgAAAAAAAAABACAAAAAeAQAAZHJzL2Uyb0RvYy54bWxQSwUGAAAAAAYABgBZAQAAQgUA&#10;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p>
    <w:pPr>
      <w:pStyle w:val="18"/>
      <w:jc w:val="center"/>
      <w:rPr>
        <w:rFonts w:hint="eastAsia"/>
      </w:rPr>
    </w:pPr>
    <w:r>
      <w:rPr>
        <w:rStyle w:val="33"/>
        <w:rFonts w:hint="eastAsia"/>
      </w:rPr>
      <w:t xml:space="preserve">                               </w:t>
    </w:r>
    <w:r>
      <w:rPr>
        <w:rFonts w:hint="eastAsia"/>
      </w:rPr>
      <w:t xml:space="preserve">                       </w:t>
    </w:r>
    <w:r>
      <w:rPr>
        <w:sz w:val="21"/>
        <w:szCs w:val="21"/>
      </w:rPr>
      <w:tab/>
    </w:r>
    <w:r>
      <w:rPr>
        <w:rStyle w:val="33"/>
        <w:rFonts w:hint="eastAsia"/>
        <w:sz w:val="21"/>
        <w:szCs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rStyle w:val="33"/>
        <w:rFonts w:hint="eastAsia"/>
      </w:rPr>
    </w:pPr>
  </w:p>
  <w:p>
    <w:pPr>
      <w:pStyle w:val="18"/>
      <w:jc w:val="center"/>
      <w:rPr>
        <w:rFonts w:hint="eastAsia"/>
      </w:rPr>
    </w:pPr>
    <w:r>
      <w:rPr>
        <w:rStyle w:val="33"/>
        <w:rFonts w:hint="eastAsia"/>
      </w:rPr>
      <w:t xml:space="preserve">                               </w:t>
    </w:r>
    <w:r>
      <w:rPr>
        <w:rFonts w:hint="eastAsia"/>
      </w:rPr>
      <w:t xml:space="preserve">                       </w:t>
    </w:r>
    <w:r>
      <w:rPr>
        <w:sz w:val="21"/>
        <w:szCs w:val="21"/>
      </w:rPr>
      <w:tab/>
    </w:r>
    <w:r>
      <w:rPr>
        <w:rStyle w:val="33"/>
        <w:rFonts w:hint="eastAsia"/>
        <w:sz w:val="21"/>
        <w:szCs w:val="21"/>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279A92"/>
    <w:multiLevelType w:val="singleLevel"/>
    <w:tmpl w:val="81279A92"/>
    <w:lvl w:ilvl="0" w:tentative="0">
      <w:start w:val="2"/>
      <w:numFmt w:val="decimal"/>
      <w:suff w:val="nothing"/>
      <w:lvlText w:val="%1）"/>
      <w:lvlJc w:val="left"/>
    </w:lvl>
  </w:abstractNum>
  <w:abstractNum w:abstractNumId="1">
    <w:nsid w:val="8717E807"/>
    <w:multiLevelType w:val="singleLevel"/>
    <w:tmpl w:val="8717E807"/>
    <w:lvl w:ilvl="0" w:tentative="0">
      <w:start w:val="1"/>
      <w:numFmt w:val="upperLetter"/>
      <w:suff w:val="nothing"/>
      <w:lvlText w:val="%1、"/>
      <w:lvlJc w:val="left"/>
    </w:lvl>
  </w:abstractNum>
  <w:abstractNum w:abstractNumId="2">
    <w:nsid w:val="BFA1F737"/>
    <w:multiLevelType w:val="singleLevel"/>
    <w:tmpl w:val="BFA1F737"/>
    <w:lvl w:ilvl="0" w:tentative="0">
      <w:start w:val="1"/>
      <w:numFmt w:val="decimal"/>
      <w:suff w:val="nothing"/>
      <w:lvlText w:val="%1、"/>
      <w:lvlJc w:val="left"/>
    </w:lvl>
  </w:abstractNum>
  <w:abstractNum w:abstractNumId="3">
    <w:nsid w:val="C86FC1BB"/>
    <w:multiLevelType w:val="singleLevel"/>
    <w:tmpl w:val="C86FC1BB"/>
    <w:lvl w:ilvl="0" w:tentative="0">
      <w:start w:val="4"/>
      <w:numFmt w:val="decimal"/>
      <w:suff w:val="nothing"/>
      <w:lvlText w:val="%1、"/>
      <w:lvlJc w:val="left"/>
    </w:lvl>
  </w:abstractNum>
  <w:abstractNum w:abstractNumId="4">
    <w:nsid w:val="35C3CF50"/>
    <w:multiLevelType w:val="singleLevel"/>
    <w:tmpl w:val="35C3CF50"/>
    <w:lvl w:ilvl="0" w:tentative="0">
      <w:start w:val="1"/>
      <w:numFmt w:val="chineseCounting"/>
      <w:suff w:val="nothing"/>
      <w:lvlText w:val="%1、"/>
      <w:lvlJc w:val="left"/>
      <w:rPr>
        <w:rFonts w:hint="eastAsia"/>
      </w:rPr>
    </w:lvl>
  </w:abstractNum>
  <w:abstractNum w:abstractNumId="5">
    <w:nsid w:val="3FAE4587"/>
    <w:multiLevelType w:val="singleLevel"/>
    <w:tmpl w:val="3FAE4587"/>
    <w:lvl w:ilvl="0" w:tentative="0">
      <w:start w:val="1"/>
      <w:numFmt w:val="decimal"/>
      <w:lvlText w:val="%1."/>
      <w:lvlJc w:val="left"/>
      <w:pPr>
        <w:tabs>
          <w:tab w:val="left" w:pos="842"/>
        </w:tabs>
        <w:ind w:left="0" w:firstLine="482"/>
      </w:pPr>
    </w:lvl>
  </w:abstractNum>
  <w:abstractNum w:abstractNumId="6">
    <w:nsid w:val="4BA307A9"/>
    <w:multiLevelType w:val="singleLevel"/>
    <w:tmpl w:val="4BA307A9"/>
    <w:lvl w:ilvl="0" w:tentative="0">
      <w:start w:val="1"/>
      <w:numFmt w:val="decimal"/>
      <w:suff w:val="nothing"/>
      <w:lvlText w:val="%1、"/>
      <w:lvlJc w:val="left"/>
    </w:lvl>
  </w:abstractNum>
  <w:abstractNum w:abstractNumId="7">
    <w:nsid w:val="518D36E0"/>
    <w:multiLevelType w:val="singleLevel"/>
    <w:tmpl w:val="518D36E0"/>
    <w:lvl w:ilvl="0" w:tentative="0">
      <w:start w:val="1"/>
      <w:numFmt w:val="decimal"/>
      <w:suff w:val="nothing"/>
      <w:lvlText w:val="%1）"/>
      <w:lvlJc w:val="left"/>
    </w:lvl>
  </w:abstractNum>
  <w:abstractNum w:abstractNumId="8">
    <w:nsid w:val="5D1538CB"/>
    <w:multiLevelType w:val="singleLevel"/>
    <w:tmpl w:val="5D1538CB"/>
    <w:lvl w:ilvl="0" w:tentative="0">
      <w:start w:val="3"/>
      <w:numFmt w:val="decimal"/>
      <w:suff w:val="nothing"/>
      <w:lvlText w:val="（%1）"/>
      <w:lvlJc w:val="left"/>
    </w:lvl>
  </w:abstractNum>
  <w:num w:numId="1">
    <w:abstractNumId w:val="5"/>
    <w:lvlOverride w:ilvl="0">
      <w:startOverride w:val="1"/>
    </w:lvlOverride>
  </w:num>
  <w:num w:numId="2">
    <w:abstractNumId w:val="7"/>
  </w:num>
  <w:num w:numId="3">
    <w:abstractNumId w:val="8"/>
  </w:num>
  <w:num w:numId="4">
    <w:abstractNumId w:val="6"/>
  </w:num>
  <w:num w:numId="5">
    <w:abstractNumId w:val="3"/>
  </w:num>
  <w:num w:numId="6">
    <w:abstractNumId w:val="2"/>
  </w:num>
  <w:num w:numId="7">
    <w:abstractNumId w:val="4"/>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DC9"/>
    <w:rsid w:val="00000EFA"/>
    <w:rsid w:val="0000120D"/>
    <w:rsid w:val="00001254"/>
    <w:rsid w:val="00001465"/>
    <w:rsid w:val="000022AE"/>
    <w:rsid w:val="0000304C"/>
    <w:rsid w:val="00003081"/>
    <w:rsid w:val="0000371C"/>
    <w:rsid w:val="00003A7D"/>
    <w:rsid w:val="0000452A"/>
    <w:rsid w:val="00004EBE"/>
    <w:rsid w:val="000050B7"/>
    <w:rsid w:val="000055E1"/>
    <w:rsid w:val="00005BD6"/>
    <w:rsid w:val="0000623D"/>
    <w:rsid w:val="00006346"/>
    <w:rsid w:val="0000703B"/>
    <w:rsid w:val="00007761"/>
    <w:rsid w:val="00007A1C"/>
    <w:rsid w:val="00010389"/>
    <w:rsid w:val="00010B86"/>
    <w:rsid w:val="00010D60"/>
    <w:rsid w:val="00010FF2"/>
    <w:rsid w:val="0001118E"/>
    <w:rsid w:val="00012237"/>
    <w:rsid w:val="000122B4"/>
    <w:rsid w:val="0001241E"/>
    <w:rsid w:val="00012903"/>
    <w:rsid w:val="00013335"/>
    <w:rsid w:val="000134AE"/>
    <w:rsid w:val="00014730"/>
    <w:rsid w:val="00014F0D"/>
    <w:rsid w:val="00015256"/>
    <w:rsid w:val="00015482"/>
    <w:rsid w:val="00015861"/>
    <w:rsid w:val="000159C4"/>
    <w:rsid w:val="00015A86"/>
    <w:rsid w:val="00015F03"/>
    <w:rsid w:val="00016338"/>
    <w:rsid w:val="0001694A"/>
    <w:rsid w:val="00016957"/>
    <w:rsid w:val="000174A7"/>
    <w:rsid w:val="00017CEC"/>
    <w:rsid w:val="00020648"/>
    <w:rsid w:val="000206A2"/>
    <w:rsid w:val="000210FB"/>
    <w:rsid w:val="000211C0"/>
    <w:rsid w:val="00021684"/>
    <w:rsid w:val="00021E0B"/>
    <w:rsid w:val="00021EF2"/>
    <w:rsid w:val="0002231C"/>
    <w:rsid w:val="000229DD"/>
    <w:rsid w:val="000234CC"/>
    <w:rsid w:val="0002385E"/>
    <w:rsid w:val="00023D86"/>
    <w:rsid w:val="00024B64"/>
    <w:rsid w:val="00024D93"/>
    <w:rsid w:val="00024E32"/>
    <w:rsid w:val="00025019"/>
    <w:rsid w:val="00025032"/>
    <w:rsid w:val="00025BF8"/>
    <w:rsid w:val="00025EAA"/>
    <w:rsid w:val="0002646F"/>
    <w:rsid w:val="00026865"/>
    <w:rsid w:val="00026BFD"/>
    <w:rsid w:val="0002794D"/>
    <w:rsid w:val="00027D0A"/>
    <w:rsid w:val="00027D28"/>
    <w:rsid w:val="00027D36"/>
    <w:rsid w:val="00030349"/>
    <w:rsid w:val="00030547"/>
    <w:rsid w:val="000306A8"/>
    <w:rsid w:val="00030EF5"/>
    <w:rsid w:val="000315A3"/>
    <w:rsid w:val="000316EF"/>
    <w:rsid w:val="00032229"/>
    <w:rsid w:val="00032679"/>
    <w:rsid w:val="00032950"/>
    <w:rsid w:val="00032D5F"/>
    <w:rsid w:val="00032FBC"/>
    <w:rsid w:val="000336AE"/>
    <w:rsid w:val="0003370B"/>
    <w:rsid w:val="00033D86"/>
    <w:rsid w:val="000344AC"/>
    <w:rsid w:val="000355A6"/>
    <w:rsid w:val="0003585E"/>
    <w:rsid w:val="00036078"/>
    <w:rsid w:val="0003645F"/>
    <w:rsid w:val="000367C2"/>
    <w:rsid w:val="000367E0"/>
    <w:rsid w:val="00036BA2"/>
    <w:rsid w:val="00037560"/>
    <w:rsid w:val="000403A9"/>
    <w:rsid w:val="0004052A"/>
    <w:rsid w:val="00040950"/>
    <w:rsid w:val="00041083"/>
    <w:rsid w:val="000412C2"/>
    <w:rsid w:val="000417A2"/>
    <w:rsid w:val="0004181F"/>
    <w:rsid w:val="0004259B"/>
    <w:rsid w:val="000426D8"/>
    <w:rsid w:val="00042DE0"/>
    <w:rsid w:val="00043290"/>
    <w:rsid w:val="0004360A"/>
    <w:rsid w:val="000447DA"/>
    <w:rsid w:val="00044908"/>
    <w:rsid w:val="00044FD0"/>
    <w:rsid w:val="00044FD9"/>
    <w:rsid w:val="000452D9"/>
    <w:rsid w:val="00045B8C"/>
    <w:rsid w:val="00046981"/>
    <w:rsid w:val="00046BD6"/>
    <w:rsid w:val="00046D1B"/>
    <w:rsid w:val="0004767C"/>
    <w:rsid w:val="00047754"/>
    <w:rsid w:val="00047EB8"/>
    <w:rsid w:val="000502FC"/>
    <w:rsid w:val="00050350"/>
    <w:rsid w:val="00050BA3"/>
    <w:rsid w:val="000518F0"/>
    <w:rsid w:val="0005202E"/>
    <w:rsid w:val="0005237C"/>
    <w:rsid w:val="000528E3"/>
    <w:rsid w:val="00052C49"/>
    <w:rsid w:val="00052C4D"/>
    <w:rsid w:val="000531F2"/>
    <w:rsid w:val="000534BB"/>
    <w:rsid w:val="0005354E"/>
    <w:rsid w:val="00053598"/>
    <w:rsid w:val="000537A7"/>
    <w:rsid w:val="00053986"/>
    <w:rsid w:val="00053EBB"/>
    <w:rsid w:val="00054392"/>
    <w:rsid w:val="00054AB6"/>
    <w:rsid w:val="00054DFF"/>
    <w:rsid w:val="00056089"/>
    <w:rsid w:val="000568C4"/>
    <w:rsid w:val="00056FA8"/>
    <w:rsid w:val="0005728A"/>
    <w:rsid w:val="00057292"/>
    <w:rsid w:val="0005794D"/>
    <w:rsid w:val="00057BCC"/>
    <w:rsid w:val="000600D6"/>
    <w:rsid w:val="000605A5"/>
    <w:rsid w:val="000607D4"/>
    <w:rsid w:val="00060E65"/>
    <w:rsid w:val="00060F32"/>
    <w:rsid w:val="000610D4"/>
    <w:rsid w:val="00061C1F"/>
    <w:rsid w:val="00061E3E"/>
    <w:rsid w:val="00061E8D"/>
    <w:rsid w:val="00062927"/>
    <w:rsid w:val="00063344"/>
    <w:rsid w:val="00064274"/>
    <w:rsid w:val="000646E7"/>
    <w:rsid w:val="00064E8F"/>
    <w:rsid w:val="0006507A"/>
    <w:rsid w:val="00065209"/>
    <w:rsid w:val="00065EC0"/>
    <w:rsid w:val="00065F82"/>
    <w:rsid w:val="0006602A"/>
    <w:rsid w:val="000668DC"/>
    <w:rsid w:val="000700ED"/>
    <w:rsid w:val="00070699"/>
    <w:rsid w:val="00070F58"/>
    <w:rsid w:val="0007254C"/>
    <w:rsid w:val="000725C6"/>
    <w:rsid w:val="00073A57"/>
    <w:rsid w:val="00073F89"/>
    <w:rsid w:val="000746EA"/>
    <w:rsid w:val="0007475D"/>
    <w:rsid w:val="0007490B"/>
    <w:rsid w:val="00075207"/>
    <w:rsid w:val="00075F01"/>
    <w:rsid w:val="00075F11"/>
    <w:rsid w:val="00076448"/>
    <w:rsid w:val="000765F1"/>
    <w:rsid w:val="0007662E"/>
    <w:rsid w:val="00076987"/>
    <w:rsid w:val="00076E65"/>
    <w:rsid w:val="0007758B"/>
    <w:rsid w:val="00080029"/>
    <w:rsid w:val="00080B57"/>
    <w:rsid w:val="00080C82"/>
    <w:rsid w:val="00080EC7"/>
    <w:rsid w:val="00081CA8"/>
    <w:rsid w:val="000820E3"/>
    <w:rsid w:val="000822DF"/>
    <w:rsid w:val="00083CDF"/>
    <w:rsid w:val="00083E91"/>
    <w:rsid w:val="000858C7"/>
    <w:rsid w:val="00085A5B"/>
    <w:rsid w:val="00085B1B"/>
    <w:rsid w:val="0008622A"/>
    <w:rsid w:val="0008623E"/>
    <w:rsid w:val="00086401"/>
    <w:rsid w:val="0008744B"/>
    <w:rsid w:val="000879B5"/>
    <w:rsid w:val="00090110"/>
    <w:rsid w:val="00090727"/>
    <w:rsid w:val="00090970"/>
    <w:rsid w:val="00090C73"/>
    <w:rsid w:val="00090E5B"/>
    <w:rsid w:val="00091E20"/>
    <w:rsid w:val="00092753"/>
    <w:rsid w:val="000928DF"/>
    <w:rsid w:val="00092BB1"/>
    <w:rsid w:val="00093B14"/>
    <w:rsid w:val="00093BC9"/>
    <w:rsid w:val="00093E46"/>
    <w:rsid w:val="00093FCD"/>
    <w:rsid w:val="00094210"/>
    <w:rsid w:val="00094946"/>
    <w:rsid w:val="00094D80"/>
    <w:rsid w:val="000959C0"/>
    <w:rsid w:val="00095FA4"/>
    <w:rsid w:val="00095FD2"/>
    <w:rsid w:val="000963EE"/>
    <w:rsid w:val="000964A0"/>
    <w:rsid w:val="000977B3"/>
    <w:rsid w:val="00097A5B"/>
    <w:rsid w:val="000A086D"/>
    <w:rsid w:val="000A0A96"/>
    <w:rsid w:val="000A0B93"/>
    <w:rsid w:val="000A1E8C"/>
    <w:rsid w:val="000A2165"/>
    <w:rsid w:val="000A280C"/>
    <w:rsid w:val="000A33CF"/>
    <w:rsid w:val="000A45B9"/>
    <w:rsid w:val="000A4612"/>
    <w:rsid w:val="000A4747"/>
    <w:rsid w:val="000A4B2A"/>
    <w:rsid w:val="000A4E85"/>
    <w:rsid w:val="000A5157"/>
    <w:rsid w:val="000A5F18"/>
    <w:rsid w:val="000A5FA8"/>
    <w:rsid w:val="000A625E"/>
    <w:rsid w:val="000A68EA"/>
    <w:rsid w:val="000A69A0"/>
    <w:rsid w:val="000A6A3D"/>
    <w:rsid w:val="000A72B1"/>
    <w:rsid w:val="000A73A8"/>
    <w:rsid w:val="000A76BF"/>
    <w:rsid w:val="000B0201"/>
    <w:rsid w:val="000B06CE"/>
    <w:rsid w:val="000B0F3C"/>
    <w:rsid w:val="000B116C"/>
    <w:rsid w:val="000B23E7"/>
    <w:rsid w:val="000B2643"/>
    <w:rsid w:val="000B26A2"/>
    <w:rsid w:val="000B27B4"/>
    <w:rsid w:val="000B290D"/>
    <w:rsid w:val="000B2E8B"/>
    <w:rsid w:val="000B337E"/>
    <w:rsid w:val="000B3931"/>
    <w:rsid w:val="000B3B91"/>
    <w:rsid w:val="000B4181"/>
    <w:rsid w:val="000B42D9"/>
    <w:rsid w:val="000B46C5"/>
    <w:rsid w:val="000B4DF6"/>
    <w:rsid w:val="000B540B"/>
    <w:rsid w:val="000B54A0"/>
    <w:rsid w:val="000B593F"/>
    <w:rsid w:val="000B5C78"/>
    <w:rsid w:val="000B5D28"/>
    <w:rsid w:val="000B5D2A"/>
    <w:rsid w:val="000C0762"/>
    <w:rsid w:val="000C0C62"/>
    <w:rsid w:val="000C1335"/>
    <w:rsid w:val="000C16AD"/>
    <w:rsid w:val="000C2094"/>
    <w:rsid w:val="000C21D9"/>
    <w:rsid w:val="000C25B8"/>
    <w:rsid w:val="000C266C"/>
    <w:rsid w:val="000C2BE6"/>
    <w:rsid w:val="000C2D5A"/>
    <w:rsid w:val="000C2F9A"/>
    <w:rsid w:val="000C317B"/>
    <w:rsid w:val="000C349C"/>
    <w:rsid w:val="000C373F"/>
    <w:rsid w:val="000C4595"/>
    <w:rsid w:val="000C4679"/>
    <w:rsid w:val="000C48C0"/>
    <w:rsid w:val="000C5101"/>
    <w:rsid w:val="000C5352"/>
    <w:rsid w:val="000C5392"/>
    <w:rsid w:val="000C5934"/>
    <w:rsid w:val="000C5952"/>
    <w:rsid w:val="000C5E37"/>
    <w:rsid w:val="000C6C32"/>
    <w:rsid w:val="000C6ECE"/>
    <w:rsid w:val="000C7405"/>
    <w:rsid w:val="000C7415"/>
    <w:rsid w:val="000C756B"/>
    <w:rsid w:val="000C7798"/>
    <w:rsid w:val="000C7A2E"/>
    <w:rsid w:val="000C7E22"/>
    <w:rsid w:val="000C7EF7"/>
    <w:rsid w:val="000D01B2"/>
    <w:rsid w:val="000D073C"/>
    <w:rsid w:val="000D22FF"/>
    <w:rsid w:val="000D26FA"/>
    <w:rsid w:val="000D2BBC"/>
    <w:rsid w:val="000D2C3A"/>
    <w:rsid w:val="000D30E1"/>
    <w:rsid w:val="000D31BC"/>
    <w:rsid w:val="000D35E1"/>
    <w:rsid w:val="000D4358"/>
    <w:rsid w:val="000D606A"/>
    <w:rsid w:val="000D691C"/>
    <w:rsid w:val="000D6DAE"/>
    <w:rsid w:val="000D6E3D"/>
    <w:rsid w:val="000D794F"/>
    <w:rsid w:val="000E076B"/>
    <w:rsid w:val="000E13DC"/>
    <w:rsid w:val="000E153D"/>
    <w:rsid w:val="000E174C"/>
    <w:rsid w:val="000E1F47"/>
    <w:rsid w:val="000E249B"/>
    <w:rsid w:val="000E2808"/>
    <w:rsid w:val="000E32CF"/>
    <w:rsid w:val="000E3A89"/>
    <w:rsid w:val="000E41E7"/>
    <w:rsid w:val="000E479B"/>
    <w:rsid w:val="000E4AAE"/>
    <w:rsid w:val="000E4B4C"/>
    <w:rsid w:val="000E525C"/>
    <w:rsid w:val="000E5ABC"/>
    <w:rsid w:val="000E5EB3"/>
    <w:rsid w:val="000E6234"/>
    <w:rsid w:val="000E65C2"/>
    <w:rsid w:val="000E765B"/>
    <w:rsid w:val="000E7C19"/>
    <w:rsid w:val="000E7C9A"/>
    <w:rsid w:val="000F0AD1"/>
    <w:rsid w:val="000F1292"/>
    <w:rsid w:val="000F14F5"/>
    <w:rsid w:val="000F15E2"/>
    <w:rsid w:val="000F1BDE"/>
    <w:rsid w:val="000F1C88"/>
    <w:rsid w:val="000F21B1"/>
    <w:rsid w:val="000F235C"/>
    <w:rsid w:val="000F2461"/>
    <w:rsid w:val="000F24CE"/>
    <w:rsid w:val="000F2A9D"/>
    <w:rsid w:val="000F2CA0"/>
    <w:rsid w:val="000F3B10"/>
    <w:rsid w:val="000F3B76"/>
    <w:rsid w:val="000F4FDA"/>
    <w:rsid w:val="000F50C8"/>
    <w:rsid w:val="000F54AA"/>
    <w:rsid w:val="000F57CD"/>
    <w:rsid w:val="000F5D7B"/>
    <w:rsid w:val="000F65D9"/>
    <w:rsid w:val="000F67C7"/>
    <w:rsid w:val="000F6AA9"/>
    <w:rsid w:val="000F6D68"/>
    <w:rsid w:val="000F748F"/>
    <w:rsid w:val="001001C7"/>
    <w:rsid w:val="00100857"/>
    <w:rsid w:val="0010112E"/>
    <w:rsid w:val="00101398"/>
    <w:rsid w:val="00101454"/>
    <w:rsid w:val="00101EEF"/>
    <w:rsid w:val="00101F00"/>
    <w:rsid w:val="00102AB8"/>
    <w:rsid w:val="00103440"/>
    <w:rsid w:val="00103DDF"/>
    <w:rsid w:val="0010419E"/>
    <w:rsid w:val="0010436F"/>
    <w:rsid w:val="00104677"/>
    <w:rsid w:val="00104E47"/>
    <w:rsid w:val="00104FB3"/>
    <w:rsid w:val="001052FC"/>
    <w:rsid w:val="001054FF"/>
    <w:rsid w:val="0010571C"/>
    <w:rsid w:val="00105861"/>
    <w:rsid w:val="00105A88"/>
    <w:rsid w:val="0010653F"/>
    <w:rsid w:val="001066F0"/>
    <w:rsid w:val="00107714"/>
    <w:rsid w:val="0010781C"/>
    <w:rsid w:val="00107A9D"/>
    <w:rsid w:val="0011019A"/>
    <w:rsid w:val="00110E97"/>
    <w:rsid w:val="00110F44"/>
    <w:rsid w:val="00111218"/>
    <w:rsid w:val="001118F5"/>
    <w:rsid w:val="00111983"/>
    <w:rsid w:val="00111A53"/>
    <w:rsid w:val="00111C07"/>
    <w:rsid w:val="00111D1E"/>
    <w:rsid w:val="00111D1F"/>
    <w:rsid w:val="001126FD"/>
    <w:rsid w:val="00112DB7"/>
    <w:rsid w:val="00112F5E"/>
    <w:rsid w:val="0011327D"/>
    <w:rsid w:val="00113B28"/>
    <w:rsid w:val="00113EDC"/>
    <w:rsid w:val="00114046"/>
    <w:rsid w:val="00114ADE"/>
    <w:rsid w:val="00114FF4"/>
    <w:rsid w:val="00115703"/>
    <w:rsid w:val="00115AE7"/>
    <w:rsid w:val="001163BB"/>
    <w:rsid w:val="0011666A"/>
    <w:rsid w:val="00116FB5"/>
    <w:rsid w:val="0011703F"/>
    <w:rsid w:val="0011738F"/>
    <w:rsid w:val="0011741B"/>
    <w:rsid w:val="00117D86"/>
    <w:rsid w:val="00120280"/>
    <w:rsid w:val="00120488"/>
    <w:rsid w:val="00120ED9"/>
    <w:rsid w:val="00120FA0"/>
    <w:rsid w:val="00121A18"/>
    <w:rsid w:val="00121DDF"/>
    <w:rsid w:val="0012253D"/>
    <w:rsid w:val="00122A97"/>
    <w:rsid w:val="00122A9F"/>
    <w:rsid w:val="00122BC6"/>
    <w:rsid w:val="00123907"/>
    <w:rsid w:val="00123A4D"/>
    <w:rsid w:val="00123BC9"/>
    <w:rsid w:val="00123E5A"/>
    <w:rsid w:val="001242EE"/>
    <w:rsid w:val="00124DE7"/>
    <w:rsid w:val="00126089"/>
    <w:rsid w:val="00127275"/>
    <w:rsid w:val="001273CC"/>
    <w:rsid w:val="00127807"/>
    <w:rsid w:val="0012795E"/>
    <w:rsid w:val="00130461"/>
    <w:rsid w:val="00130657"/>
    <w:rsid w:val="00130854"/>
    <w:rsid w:val="0013199B"/>
    <w:rsid w:val="00131D0F"/>
    <w:rsid w:val="00132970"/>
    <w:rsid w:val="00133075"/>
    <w:rsid w:val="00133E15"/>
    <w:rsid w:val="00133F1A"/>
    <w:rsid w:val="00134690"/>
    <w:rsid w:val="0013485B"/>
    <w:rsid w:val="001348E2"/>
    <w:rsid w:val="00134CFA"/>
    <w:rsid w:val="0013582D"/>
    <w:rsid w:val="00136968"/>
    <w:rsid w:val="00136A34"/>
    <w:rsid w:val="001373D5"/>
    <w:rsid w:val="001373F7"/>
    <w:rsid w:val="001377B2"/>
    <w:rsid w:val="00137B1F"/>
    <w:rsid w:val="00140185"/>
    <w:rsid w:val="0014043A"/>
    <w:rsid w:val="0014079C"/>
    <w:rsid w:val="00141006"/>
    <w:rsid w:val="001419E3"/>
    <w:rsid w:val="001422A5"/>
    <w:rsid w:val="001423A9"/>
    <w:rsid w:val="00142A0E"/>
    <w:rsid w:val="00142AAF"/>
    <w:rsid w:val="001435FB"/>
    <w:rsid w:val="00143A7D"/>
    <w:rsid w:val="00143B3D"/>
    <w:rsid w:val="0014439B"/>
    <w:rsid w:val="001444D9"/>
    <w:rsid w:val="001451DF"/>
    <w:rsid w:val="0014540D"/>
    <w:rsid w:val="0014575F"/>
    <w:rsid w:val="00145835"/>
    <w:rsid w:val="00145F4A"/>
    <w:rsid w:val="001467B9"/>
    <w:rsid w:val="00146B99"/>
    <w:rsid w:val="001473A0"/>
    <w:rsid w:val="0014745B"/>
    <w:rsid w:val="0014750D"/>
    <w:rsid w:val="0014755D"/>
    <w:rsid w:val="00147BB3"/>
    <w:rsid w:val="00147E41"/>
    <w:rsid w:val="00147E60"/>
    <w:rsid w:val="00150EE3"/>
    <w:rsid w:val="00151816"/>
    <w:rsid w:val="0015191E"/>
    <w:rsid w:val="00152A92"/>
    <w:rsid w:val="00152EE7"/>
    <w:rsid w:val="001530DD"/>
    <w:rsid w:val="001534D3"/>
    <w:rsid w:val="001538F9"/>
    <w:rsid w:val="00153BA6"/>
    <w:rsid w:val="00153FD5"/>
    <w:rsid w:val="00154267"/>
    <w:rsid w:val="0015432B"/>
    <w:rsid w:val="0015453B"/>
    <w:rsid w:val="00154556"/>
    <w:rsid w:val="001545DA"/>
    <w:rsid w:val="0015498A"/>
    <w:rsid w:val="00154C66"/>
    <w:rsid w:val="00154F72"/>
    <w:rsid w:val="00155183"/>
    <w:rsid w:val="0015531D"/>
    <w:rsid w:val="0015557F"/>
    <w:rsid w:val="00155D27"/>
    <w:rsid w:val="00155FFB"/>
    <w:rsid w:val="001564EF"/>
    <w:rsid w:val="0015712A"/>
    <w:rsid w:val="001571E4"/>
    <w:rsid w:val="0015721D"/>
    <w:rsid w:val="001573EA"/>
    <w:rsid w:val="00157EC1"/>
    <w:rsid w:val="0016016A"/>
    <w:rsid w:val="00160B3E"/>
    <w:rsid w:val="00160F77"/>
    <w:rsid w:val="00161C9A"/>
    <w:rsid w:val="00162128"/>
    <w:rsid w:val="00163313"/>
    <w:rsid w:val="00163872"/>
    <w:rsid w:val="0016394D"/>
    <w:rsid w:val="001663EB"/>
    <w:rsid w:val="001665A7"/>
    <w:rsid w:val="00166C44"/>
    <w:rsid w:val="00166D66"/>
    <w:rsid w:val="00167E73"/>
    <w:rsid w:val="00170A67"/>
    <w:rsid w:val="00170D4C"/>
    <w:rsid w:val="001718E2"/>
    <w:rsid w:val="001718FE"/>
    <w:rsid w:val="0017195D"/>
    <w:rsid w:val="001719D2"/>
    <w:rsid w:val="00171E5B"/>
    <w:rsid w:val="00171F93"/>
    <w:rsid w:val="001721B3"/>
    <w:rsid w:val="001722E8"/>
    <w:rsid w:val="001725B5"/>
    <w:rsid w:val="001725D8"/>
    <w:rsid w:val="00172F2F"/>
    <w:rsid w:val="001731D6"/>
    <w:rsid w:val="00173262"/>
    <w:rsid w:val="00173F84"/>
    <w:rsid w:val="00174BFC"/>
    <w:rsid w:val="001750A6"/>
    <w:rsid w:val="00175BCF"/>
    <w:rsid w:val="00176EBC"/>
    <w:rsid w:val="00177746"/>
    <w:rsid w:val="00177D7D"/>
    <w:rsid w:val="001808DA"/>
    <w:rsid w:val="001809F0"/>
    <w:rsid w:val="0018133F"/>
    <w:rsid w:val="00181D82"/>
    <w:rsid w:val="00182063"/>
    <w:rsid w:val="00183FB3"/>
    <w:rsid w:val="00184370"/>
    <w:rsid w:val="0018457D"/>
    <w:rsid w:val="00184C50"/>
    <w:rsid w:val="00185730"/>
    <w:rsid w:val="001857E1"/>
    <w:rsid w:val="00185801"/>
    <w:rsid w:val="0018713B"/>
    <w:rsid w:val="00187409"/>
    <w:rsid w:val="001874FC"/>
    <w:rsid w:val="00187531"/>
    <w:rsid w:val="0018755F"/>
    <w:rsid w:val="00187BCA"/>
    <w:rsid w:val="00190DD0"/>
    <w:rsid w:val="00191086"/>
    <w:rsid w:val="00191832"/>
    <w:rsid w:val="00191C74"/>
    <w:rsid w:val="00191D6B"/>
    <w:rsid w:val="00191EBC"/>
    <w:rsid w:val="00191FBE"/>
    <w:rsid w:val="0019211F"/>
    <w:rsid w:val="00192B19"/>
    <w:rsid w:val="00192D08"/>
    <w:rsid w:val="001930AB"/>
    <w:rsid w:val="00193416"/>
    <w:rsid w:val="001934DB"/>
    <w:rsid w:val="00193BEE"/>
    <w:rsid w:val="00194A4E"/>
    <w:rsid w:val="00194DB5"/>
    <w:rsid w:val="0019575C"/>
    <w:rsid w:val="00195FF0"/>
    <w:rsid w:val="00196288"/>
    <w:rsid w:val="00196746"/>
    <w:rsid w:val="00196EE8"/>
    <w:rsid w:val="0019721C"/>
    <w:rsid w:val="0019742A"/>
    <w:rsid w:val="00197C60"/>
    <w:rsid w:val="00197EED"/>
    <w:rsid w:val="001A0002"/>
    <w:rsid w:val="001A083A"/>
    <w:rsid w:val="001A08B5"/>
    <w:rsid w:val="001A0D04"/>
    <w:rsid w:val="001A0E14"/>
    <w:rsid w:val="001A0FC1"/>
    <w:rsid w:val="001A113E"/>
    <w:rsid w:val="001A137F"/>
    <w:rsid w:val="001A20C8"/>
    <w:rsid w:val="001A269B"/>
    <w:rsid w:val="001A31F1"/>
    <w:rsid w:val="001A4507"/>
    <w:rsid w:val="001A4C60"/>
    <w:rsid w:val="001A4E50"/>
    <w:rsid w:val="001A4FB4"/>
    <w:rsid w:val="001A538D"/>
    <w:rsid w:val="001A561C"/>
    <w:rsid w:val="001A569A"/>
    <w:rsid w:val="001A5733"/>
    <w:rsid w:val="001A599C"/>
    <w:rsid w:val="001A5F04"/>
    <w:rsid w:val="001A6A6D"/>
    <w:rsid w:val="001A6C66"/>
    <w:rsid w:val="001A6D78"/>
    <w:rsid w:val="001A7CF3"/>
    <w:rsid w:val="001A7F5D"/>
    <w:rsid w:val="001B0685"/>
    <w:rsid w:val="001B0D46"/>
    <w:rsid w:val="001B0FA5"/>
    <w:rsid w:val="001B1490"/>
    <w:rsid w:val="001B1922"/>
    <w:rsid w:val="001B1E74"/>
    <w:rsid w:val="001B23BA"/>
    <w:rsid w:val="001B28C2"/>
    <w:rsid w:val="001B29FA"/>
    <w:rsid w:val="001B2CB5"/>
    <w:rsid w:val="001B2F16"/>
    <w:rsid w:val="001B35B3"/>
    <w:rsid w:val="001B3753"/>
    <w:rsid w:val="001B38D8"/>
    <w:rsid w:val="001B3A7F"/>
    <w:rsid w:val="001B3E01"/>
    <w:rsid w:val="001B4FBE"/>
    <w:rsid w:val="001B5113"/>
    <w:rsid w:val="001B5D27"/>
    <w:rsid w:val="001B5E2A"/>
    <w:rsid w:val="001B61F3"/>
    <w:rsid w:val="001B6599"/>
    <w:rsid w:val="001B698B"/>
    <w:rsid w:val="001B6BD3"/>
    <w:rsid w:val="001B70DA"/>
    <w:rsid w:val="001B7608"/>
    <w:rsid w:val="001B7968"/>
    <w:rsid w:val="001B7CE5"/>
    <w:rsid w:val="001C052D"/>
    <w:rsid w:val="001C07EB"/>
    <w:rsid w:val="001C0C4C"/>
    <w:rsid w:val="001C0DC3"/>
    <w:rsid w:val="001C106A"/>
    <w:rsid w:val="001C12AF"/>
    <w:rsid w:val="001C12C4"/>
    <w:rsid w:val="001C131A"/>
    <w:rsid w:val="001C1594"/>
    <w:rsid w:val="001C17E2"/>
    <w:rsid w:val="001C18F2"/>
    <w:rsid w:val="001C19CE"/>
    <w:rsid w:val="001C1CB4"/>
    <w:rsid w:val="001C2491"/>
    <w:rsid w:val="001C2C5F"/>
    <w:rsid w:val="001C32DA"/>
    <w:rsid w:val="001C3326"/>
    <w:rsid w:val="001C3529"/>
    <w:rsid w:val="001C3734"/>
    <w:rsid w:val="001C3AC3"/>
    <w:rsid w:val="001C3B8F"/>
    <w:rsid w:val="001C3C2E"/>
    <w:rsid w:val="001C46E8"/>
    <w:rsid w:val="001C4767"/>
    <w:rsid w:val="001C4A1F"/>
    <w:rsid w:val="001C4D8B"/>
    <w:rsid w:val="001C4EA2"/>
    <w:rsid w:val="001C51DC"/>
    <w:rsid w:val="001C53A8"/>
    <w:rsid w:val="001C557D"/>
    <w:rsid w:val="001C59E4"/>
    <w:rsid w:val="001C6C1F"/>
    <w:rsid w:val="001C6CA5"/>
    <w:rsid w:val="001C77D7"/>
    <w:rsid w:val="001C7966"/>
    <w:rsid w:val="001C79CB"/>
    <w:rsid w:val="001D0647"/>
    <w:rsid w:val="001D0810"/>
    <w:rsid w:val="001D140F"/>
    <w:rsid w:val="001D177A"/>
    <w:rsid w:val="001D1CE6"/>
    <w:rsid w:val="001D2B2E"/>
    <w:rsid w:val="001D2BA3"/>
    <w:rsid w:val="001D2E29"/>
    <w:rsid w:val="001D33DC"/>
    <w:rsid w:val="001D35EA"/>
    <w:rsid w:val="001D396F"/>
    <w:rsid w:val="001D47C2"/>
    <w:rsid w:val="001D49BA"/>
    <w:rsid w:val="001D5688"/>
    <w:rsid w:val="001D5848"/>
    <w:rsid w:val="001D5891"/>
    <w:rsid w:val="001D607D"/>
    <w:rsid w:val="001D6A66"/>
    <w:rsid w:val="001D6DE5"/>
    <w:rsid w:val="001D77CA"/>
    <w:rsid w:val="001D7AE7"/>
    <w:rsid w:val="001E099C"/>
    <w:rsid w:val="001E0E97"/>
    <w:rsid w:val="001E143D"/>
    <w:rsid w:val="001E14A6"/>
    <w:rsid w:val="001E1554"/>
    <w:rsid w:val="001E1661"/>
    <w:rsid w:val="001E1CAD"/>
    <w:rsid w:val="001E1E39"/>
    <w:rsid w:val="001E2095"/>
    <w:rsid w:val="001E223A"/>
    <w:rsid w:val="001E2528"/>
    <w:rsid w:val="001E2C75"/>
    <w:rsid w:val="001E2D5C"/>
    <w:rsid w:val="001E2DA3"/>
    <w:rsid w:val="001E2EBD"/>
    <w:rsid w:val="001E3270"/>
    <w:rsid w:val="001E3D8E"/>
    <w:rsid w:val="001E4078"/>
    <w:rsid w:val="001E4A75"/>
    <w:rsid w:val="001E4AD5"/>
    <w:rsid w:val="001E4D49"/>
    <w:rsid w:val="001E5455"/>
    <w:rsid w:val="001E59A1"/>
    <w:rsid w:val="001E59CC"/>
    <w:rsid w:val="001E5EC5"/>
    <w:rsid w:val="001E5FCA"/>
    <w:rsid w:val="001E6120"/>
    <w:rsid w:val="001E61B9"/>
    <w:rsid w:val="001E6EE4"/>
    <w:rsid w:val="001E6F54"/>
    <w:rsid w:val="001E6FA7"/>
    <w:rsid w:val="001E7139"/>
    <w:rsid w:val="001E7679"/>
    <w:rsid w:val="001E7AB9"/>
    <w:rsid w:val="001F01CA"/>
    <w:rsid w:val="001F1510"/>
    <w:rsid w:val="001F1966"/>
    <w:rsid w:val="001F1C65"/>
    <w:rsid w:val="001F2004"/>
    <w:rsid w:val="001F2703"/>
    <w:rsid w:val="001F295B"/>
    <w:rsid w:val="001F2F7B"/>
    <w:rsid w:val="001F3667"/>
    <w:rsid w:val="001F39BB"/>
    <w:rsid w:val="001F3C6A"/>
    <w:rsid w:val="001F47E5"/>
    <w:rsid w:val="001F48D1"/>
    <w:rsid w:val="001F5B32"/>
    <w:rsid w:val="001F5CE8"/>
    <w:rsid w:val="001F5FE7"/>
    <w:rsid w:val="001F6398"/>
    <w:rsid w:val="001F64A8"/>
    <w:rsid w:val="001F6777"/>
    <w:rsid w:val="001F7308"/>
    <w:rsid w:val="001F76A1"/>
    <w:rsid w:val="001F7BE8"/>
    <w:rsid w:val="00200249"/>
    <w:rsid w:val="00200AEC"/>
    <w:rsid w:val="00200E48"/>
    <w:rsid w:val="00201693"/>
    <w:rsid w:val="00201FD2"/>
    <w:rsid w:val="00201FF9"/>
    <w:rsid w:val="00202916"/>
    <w:rsid w:val="00202DBA"/>
    <w:rsid w:val="00202F24"/>
    <w:rsid w:val="00203677"/>
    <w:rsid w:val="00203915"/>
    <w:rsid w:val="002045CC"/>
    <w:rsid w:val="00204E8C"/>
    <w:rsid w:val="00205515"/>
    <w:rsid w:val="00205660"/>
    <w:rsid w:val="00205F84"/>
    <w:rsid w:val="00206DAA"/>
    <w:rsid w:val="00207FC8"/>
    <w:rsid w:val="0021004F"/>
    <w:rsid w:val="002102A3"/>
    <w:rsid w:val="00210400"/>
    <w:rsid w:val="00210A14"/>
    <w:rsid w:val="00210B9F"/>
    <w:rsid w:val="00211934"/>
    <w:rsid w:val="00211939"/>
    <w:rsid w:val="00211E63"/>
    <w:rsid w:val="00212411"/>
    <w:rsid w:val="00212ADE"/>
    <w:rsid w:val="00212BC6"/>
    <w:rsid w:val="002132F2"/>
    <w:rsid w:val="002149C8"/>
    <w:rsid w:val="00214EEE"/>
    <w:rsid w:val="00215A4A"/>
    <w:rsid w:val="0021658C"/>
    <w:rsid w:val="002165D6"/>
    <w:rsid w:val="002172CF"/>
    <w:rsid w:val="00217CC4"/>
    <w:rsid w:val="00220A1B"/>
    <w:rsid w:val="00221075"/>
    <w:rsid w:val="0022205B"/>
    <w:rsid w:val="0022216E"/>
    <w:rsid w:val="0022240D"/>
    <w:rsid w:val="002241F4"/>
    <w:rsid w:val="002248EC"/>
    <w:rsid w:val="00224ED2"/>
    <w:rsid w:val="00225EDA"/>
    <w:rsid w:val="00225FDE"/>
    <w:rsid w:val="00226480"/>
    <w:rsid w:val="002270CD"/>
    <w:rsid w:val="00227945"/>
    <w:rsid w:val="00227BCF"/>
    <w:rsid w:val="00227D67"/>
    <w:rsid w:val="00227F28"/>
    <w:rsid w:val="002304F7"/>
    <w:rsid w:val="0023095E"/>
    <w:rsid w:val="00231272"/>
    <w:rsid w:val="002313B4"/>
    <w:rsid w:val="00231641"/>
    <w:rsid w:val="00231B9B"/>
    <w:rsid w:val="0023248D"/>
    <w:rsid w:val="002331B3"/>
    <w:rsid w:val="002347F3"/>
    <w:rsid w:val="0023499D"/>
    <w:rsid w:val="002349F3"/>
    <w:rsid w:val="00235409"/>
    <w:rsid w:val="002357FD"/>
    <w:rsid w:val="00235869"/>
    <w:rsid w:val="002366A4"/>
    <w:rsid w:val="00236A99"/>
    <w:rsid w:val="00236F04"/>
    <w:rsid w:val="00236F2A"/>
    <w:rsid w:val="002373E7"/>
    <w:rsid w:val="002374D5"/>
    <w:rsid w:val="0023755D"/>
    <w:rsid w:val="00237C41"/>
    <w:rsid w:val="002400AB"/>
    <w:rsid w:val="0024070F"/>
    <w:rsid w:val="00240A6D"/>
    <w:rsid w:val="00241DDA"/>
    <w:rsid w:val="0024202E"/>
    <w:rsid w:val="00242716"/>
    <w:rsid w:val="00242F56"/>
    <w:rsid w:val="002430F3"/>
    <w:rsid w:val="00243AE5"/>
    <w:rsid w:val="00244747"/>
    <w:rsid w:val="002447A6"/>
    <w:rsid w:val="00245281"/>
    <w:rsid w:val="00245BE0"/>
    <w:rsid w:val="00245E24"/>
    <w:rsid w:val="00245EB8"/>
    <w:rsid w:val="00246399"/>
    <w:rsid w:val="00246481"/>
    <w:rsid w:val="002471A2"/>
    <w:rsid w:val="002471F0"/>
    <w:rsid w:val="00247307"/>
    <w:rsid w:val="00247CC8"/>
    <w:rsid w:val="00247FFA"/>
    <w:rsid w:val="00250AB8"/>
    <w:rsid w:val="002514C6"/>
    <w:rsid w:val="00251526"/>
    <w:rsid w:val="002518C7"/>
    <w:rsid w:val="00252205"/>
    <w:rsid w:val="002527E2"/>
    <w:rsid w:val="00252A08"/>
    <w:rsid w:val="002530F6"/>
    <w:rsid w:val="00253905"/>
    <w:rsid w:val="00253B41"/>
    <w:rsid w:val="00253B6D"/>
    <w:rsid w:val="00254175"/>
    <w:rsid w:val="00254980"/>
    <w:rsid w:val="00254EE8"/>
    <w:rsid w:val="00254FA3"/>
    <w:rsid w:val="00255238"/>
    <w:rsid w:val="0025583E"/>
    <w:rsid w:val="0025631C"/>
    <w:rsid w:val="00256D6F"/>
    <w:rsid w:val="00257265"/>
    <w:rsid w:val="00257826"/>
    <w:rsid w:val="0026021A"/>
    <w:rsid w:val="00260797"/>
    <w:rsid w:val="00260FFC"/>
    <w:rsid w:val="00261F7C"/>
    <w:rsid w:val="00262061"/>
    <w:rsid w:val="002626A9"/>
    <w:rsid w:val="0026302E"/>
    <w:rsid w:val="00263745"/>
    <w:rsid w:val="002649E6"/>
    <w:rsid w:val="00265098"/>
    <w:rsid w:val="002655D9"/>
    <w:rsid w:val="0026570D"/>
    <w:rsid w:val="00266216"/>
    <w:rsid w:val="0026672A"/>
    <w:rsid w:val="00266EEF"/>
    <w:rsid w:val="00266FBE"/>
    <w:rsid w:val="00270003"/>
    <w:rsid w:val="002701FE"/>
    <w:rsid w:val="00270416"/>
    <w:rsid w:val="00270490"/>
    <w:rsid w:val="00270834"/>
    <w:rsid w:val="002708E9"/>
    <w:rsid w:val="00270BDB"/>
    <w:rsid w:val="00270BFE"/>
    <w:rsid w:val="00270F73"/>
    <w:rsid w:val="00271173"/>
    <w:rsid w:val="00271768"/>
    <w:rsid w:val="00271A3A"/>
    <w:rsid w:val="00271BFC"/>
    <w:rsid w:val="00271D1E"/>
    <w:rsid w:val="00271D83"/>
    <w:rsid w:val="002723B0"/>
    <w:rsid w:val="0027252D"/>
    <w:rsid w:val="00272AA4"/>
    <w:rsid w:val="00273193"/>
    <w:rsid w:val="00273CEA"/>
    <w:rsid w:val="00274309"/>
    <w:rsid w:val="00274A48"/>
    <w:rsid w:val="00274A9C"/>
    <w:rsid w:val="00274D2D"/>
    <w:rsid w:val="002755F6"/>
    <w:rsid w:val="00275E6F"/>
    <w:rsid w:val="00276003"/>
    <w:rsid w:val="00276B63"/>
    <w:rsid w:val="00276E80"/>
    <w:rsid w:val="00277573"/>
    <w:rsid w:val="0028080F"/>
    <w:rsid w:val="00280969"/>
    <w:rsid w:val="00280CFA"/>
    <w:rsid w:val="002811F6"/>
    <w:rsid w:val="00281AFF"/>
    <w:rsid w:val="00281E03"/>
    <w:rsid w:val="00281F57"/>
    <w:rsid w:val="00281FF5"/>
    <w:rsid w:val="00282443"/>
    <w:rsid w:val="00282B70"/>
    <w:rsid w:val="00283467"/>
    <w:rsid w:val="00283FA7"/>
    <w:rsid w:val="0028420C"/>
    <w:rsid w:val="0028484E"/>
    <w:rsid w:val="00284A66"/>
    <w:rsid w:val="0028550C"/>
    <w:rsid w:val="0028598F"/>
    <w:rsid w:val="00286084"/>
    <w:rsid w:val="002878C6"/>
    <w:rsid w:val="0029022A"/>
    <w:rsid w:val="0029034F"/>
    <w:rsid w:val="00291AF3"/>
    <w:rsid w:val="00292163"/>
    <w:rsid w:val="0029258D"/>
    <w:rsid w:val="0029258E"/>
    <w:rsid w:val="0029276E"/>
    <w:rsid w:val="00292B7D"/>
    <w:rsid w:val="00292D56"/>
    <w:rsid w:val="00293265"/>
    <w:rsid w:val="00294774"/>
    <w:rsid w:val="00294EF5"/>
    <w:rsid w:val="002958DE"/>
    <w:rsid w:val="00295C29"/>
    <w:rsid w:val="00295C5E"/>
    <w:rsid w:val="00295E4F"/>
    <w:rsid w:val="0029623B"/>
    <w:rsid w:val="00296AD0"/>
    <w:rsid w:val="00296D75"/>
    <w:rsid w:val="00297D9B"/>
    <w:rsid w:val="00297F36"/>
    <w:rsid w:val="002A103C"/>
    <w:rsid w:val="002A127B"/>
    <w:rsid w:val="002A1790"/>
    <w:rsid w:val="002A296D"/>
    <w:rsid w:val="002A2FB8"/>
    <w:rsid w:val="002A2FCD"/>
    <w:rsid w:val="002A38E6"/>
    <w:rsid w:val="002A41BA"/>
    <w:rsid w:val="002A48B8"/>
    <w:rsid w:val="002A4B30"/>
    <w:rsid w:val="002A4B87"/>
    <w:rsid w:val="002A5358"/>
    <w:rsid w:val="002A60C8"/>
    <w:rsid w:val="002A643C"/>
    <w:rsid w:val="002A6D6E"/>
    <w:rsid w:val="002A7696"/>
    <w:rsid w:val="002B0476"/>
    <w:rsid w:val="002B0560"/>
    <w:rsid w:val="002B0BC1"/>
    <w:rsid w:val="002B0E9D"/>
    <w:rsid w:val="002B12FD"/>
    <w:rsid w:val="002B17C6"/>
    <w:rsid w:val="002B1DE9"/>
    <w:rsid w:val="002B1EB9"/>
    <w:rsid w:val="002B221D"/>
    <w:rsid w:val="002B2523"/>
    <w:rsid w:val="002B2860"/>
    <w:rsid w:val="002B2929"/>
    <w:rsid w:val="002B2DD3"/>
    <w:rsid w:val="002B2F3C"/>
    <w:rsid w:val="002B380D"/>
    <w:rsid w:val="002B3E5A"/>
    <w:rsid w:val="002B4772"/>
    <w:rsid w:val="002B4D7A"/>
    <w:rsid w:val="002B55EE"/>
    <w:rsid w:val="002B576B"/>
    <w:rsid w:val="002B5B83"/>
    <w:rsid w:val="002B5DF6"/>
    <w:rsid w:val="002B72C6"/>
    <w:rsid w:val="002B7639"/>
    <w:rsid w:val="002B7AB1"/>
    <w:rsid w:val="002B7B3D"/>
    <w:rsid w:val="002B7DD7"/>
    <w:rsid w:val="002B7F8B"/>
    <w:rsid w:val="002B7FE1"/>
    <w:rsid w:val="002C10C8"/>
    <w:rsid w:val="002C1333"/>
    <w:rsid w:val="002C1572"/>
    <w:rsid w:val="002C16C6"/>
    <w:rsid w:val="002C1A48"/>
    <w:rsid w:val="002C1B0D"/>
    <w:rsid w:val="002C1B4B"/>
    <w:rsid w:val="002C1DFF"/>
    <w:rsid w:val="002C21C0"/>
    <w:rsid w:val="002C21FD"/>
    <w:rsid w:val="002C2A04"/>
    <w:rsid w:val="002C2B14"/>
    <w:rsid w:val="002C2EA1"/>
    <w:rsid w:val="002C3BAE"/>
    <w:rsid w:val="002C3DBA"/>
    <w:rsid w:val="002C3F8D"/>
    <w:rsid w:val="002C4C97"/>
    <w:rsid w:val="002C5553"/>
    <w:rsid w:val="002C5AE2"/>
    <w:rsid w:val="002C5B84"/>
    <w:rsid w:val="002C6203"/>
    <w:rsid w:val="002C6729"/>
    <w:rsid w:val="002C67E8"/>
    <w:rsid w:val="002C6BA4"/>
    <w:rsid w:val="002C6D72"/>
    <w:rsid w:val="002C73F7"/>
    <w:rsid w:val="002C7952"/>
    <w:rsid w:val="002C7B2E"/>
    <w:rsid w:val="002D0446"/>
    <w:rsid w:val="002D122E"/>
    <w:rsid w:val="002D1391"/>
    <w:rsid w:val="002D155D"/>
    <w:rsid w:val="002D17EE"/>
    <w:rsid w:val="002D1E23"/>
    <w:rsid w:val="002D1EBC"/>
    <w:rsid w:val="002D25F9"/>
    <w:rsid w:val="002D2651"/>
    <w:rsid w:val="002D269C"/>
    <w:rsid w:val="002D2CF1"/>
    <w:rsid w:val="002D326B"/>
    <w:rsid w:val="002D337E"/>
    <w:rsid w:val="002D3980"/>
    <w:rsid w:val="002D3A63"/>
    <w:rsid w:val="002D3E32"/>
    <w:rsid w:val="002D4798"/>
    <w:rsid w:val="002D50A6"/>
    <w:rsid w:val="002D54F3"/>
    <w:rsid w:val="002D5C1B"/>
    <w:rsid w:val="002D5E60"/>
    <w:rsid w:val="002D6A4B"/>
    <w:rsid w:val="002D6E8D"/>
    <w:rsid w:val="002D7060"/>
    <w:rsid w:val="002D72C6"/>
    <w:rsid w:val="002D75BF"/>
    <w:rsid w:val="002D7779"/>
    <w:rsid w:val="002D7ACF"/>
    <w:rsid w:val="002E0A90"/>
    <w:rsid w:val="002E1384"/>
    <w:rsid w:val="002E282E"/>
    <w:rsid w:val="002E349C"/>
    <w:rsid w:val="002E4179"/>
    <w:rsid w:val="002E44A6"/>
    <w:rsid w:val="002E4541"/>
    <w:rsid w:val="002E47F2"/>
    <w:rsid w:val="002E5448"/>
    <w:rsid w:val="002E5C5C"/>
    <w:rsid w:val="002E5E9C"/>
    <w:rsid w:val="002E6866"/>
    <w:rsid w:val="002E6F70"/>
    <w:rsid w:val="002E714D"/>
    <w:rsid w:val="002E77BC"/>
    <w:rsid w:val="002F13F8"/>
    <w:rsid w:val="002F1751"/>
    <w:rsid w:val="002F1E6F"/>
    <w:rsid w:val="002F1F29"/>
    <w:rsid w:val="002F22C7"/>
    <w:rsid w:val="002F2618"/>
    <w:rsid w:val="002F2ABB"/>
    <w:rsid w:val="002F2F6D"/>
    <w:rsid w:val="002F36C2"/>
    <w:rsid w:val="002F38C0"/>
    <w:rsid w:val="002F425F"/>
    <w:rsid w:val="002F4CED"/>
    <w:rsid w:val="002F5E20"/>
    <w:rsid w:val="002F668E"/>
    <w:rsid w:val="002F6C20"/>
    <w:rsid w:val="002F71C9"/>
    <w:rsid w:val="002F7CF0"/>
    <w:rsid w:val="0030016F"/>
    <w:rsid w:val="0030049B"/>
    <w:rsid w:val="003010B7"/>
    <w:rsid w:val="0030325F"/>
    <w:rsid w:val="003034A5"/>
    <w:rsid w:val="00303A11"/>
    <w:rsid w:val="00303B04"/>
    <w:rsid w:val="003040D2"/>
    <w:rsid w:val="00304326"/>
    <w:rsid w:val="0030432D"/>
    <w:rsid w:val="00304525"/>
    <w:rsid w:val="003048A7"/>
    <w:rsid w:val="0030496F"/>
    <w:rsid w:val="003053BB"/>
    <w:rsid w:val="00305857"/>
    <w:rsid w:val="00305DC8"/>
    <w:rsid w:val="00305FCA"/>
    <w:rsid w:val="0030631E"/>
    <w:rsid w:val="00306677"/>
    <w:rsid w:val="00306C0A"/>
    <w:rsid w:val="00306F1E"/>
    <w:rsid w:val="00307157"/>
    <w:rsid w:val="00307587"/>
    <w:rsid w:val="003078A9"/>
    <w:rsid w:val="003078F0"/>
    <w:rsid w:val="00310331"/>
    <w:rsid w:val="00310522"/>
    <w:rsid w:val="00310930"/>
    <w:rsid w:val="00310C64"/>
    <w:rsid w:val="0031161E"/>
    <w:rsid w:val="00311B33"/>
    <w:rsid w:val="00311F91"/>
    <w:rsid w:val="0031235A"/>
    <w:rsid w:val="0031237F"/>
    <w:rsid w:val="003126A5"/>
    <w:rsid w:val="00313222"/>
    <w:rsid w:val="003135DE"/>
    <w:rsid w:val="00313D69"/>
    <w:rsid w:val="003141C3"/>
    <w:rsid w:val="00314281"/>
    <w:rsid w:val="0031442C"/>
    <w:rsid w:val="00314BE9"/>
    <w:rsid w:val="00314C62"/>
    <w:rsid w:val="00315220"/>
    <w:rsid w:val="003152E5"/>
    <w:rsid w:val="00315CD7"/>
    <w:rsid w:val="00315EB5"/>
    <w:rsid w:val="0031639F"/>
    <w:rsid w:val="00316B30"/>
    <w:rsid w:val="003174EF"/>
    <w:rsid w:val="00317817"/>
    <w:rsid w:val="00317C7E"/>
    <w:rsid w:val="00320088"/>
    <w:rsid w:val="00320275"/>
    <w:rsid w:val="0032188A"/>
    <w:rsid w:val="00321C59"/>
    <w:rsid w:val="0032244B"/>
    <w:rsid w:val="00322759"/>
    <w:rsid w:val="00322809"/>
    <w:rsid w:val="00322C96"/>
    <w:rsid w:val="00322CBC"/>
    <w:rsid w:val="003234D0"/>
    <w:rsid w:val="00323762"/>
    <w:rsid w:val="00323B92"/>
    <w:rsid w:val="00323FC8"/>
    <w:rsid w:val="003246D2"/>
    <w:rsid w:val="003251D7"/>
    <w:rsid w:val="003253AB"/>
    <w:rsid w:val="003253B8"/>
    <w:rsid w:val="00325793"/>
    <w:rsid w:val="00325854"/>
    <w:rsid w:val="00325D15"/>
    <w:rsid w:val="003260F9"/>
    <w:rsid w:val="00326192"/>
    <w:rsid w:val="00326834"/>
    <w:rsid w:val="00326E47"/>
    <w:rsid w:val="003277DD"/>
    <w:rsid w:val="003279B4"/>
    <w:rsid w:val="00327A35"/>
    <w:rsid w:val="00327A3D"/>
    <w:rsid w:val="00327BAC"/>
    <w:rsid w:val="00327EC9"/>
    <w:rsid w:val="00327F01"/>
    <w:rsid w:val="00330236"/>
    <w:rsid w:val="003304EA"/>
    <w:rsid w:val="0033116B"/>
    <w:rsid w:val="0033152C"/>
    <w:rsid w:val="00331DCA"/>
    <w:rsid w:val="00331DF7"/>
    <w:rsid w:val="00331E62"/>
    <w:rsid w:val="003320E6"/>
    <w:rsid w:val="003326A9"/>
    <w:rsid w:val="00332A32"/>
    <w:rsid w:val="00333B22"/>
    <w:rsid w:val="00334AFB"/>
    <w:rsid w:val="00334F8E"/>
    <w:rsid w:val="0033512D"/>
    <w:rsid w:val="00335157"/>
    <w:rsid w:val="00335189"/>
    <w:rsid w:val="003353AF"/>
    <w:rsid w:val="00337049"/>
    <w:rsid w:val="00337775"/>
    <w:rsid w:val="003405BD"/>
    <w:rsid w:val="00340870"/>
    <w:rsid w:val="003409D7"/>
    <w:rsid w:val="00340F0F"/>
    <w:rsid w:val="0034148F"/>
    <w:rsid w:val="003416B4"/>
    <w:rsid w:val="003418D8"/>
    <w:rsid w:val="00341A93"/>
    <w:rsid w:val="00341AFF"/>
    <w:rsid w:val="00341B63"/>
    <w:rsid w:val="00341EF7"/>
    <w:rsid w:val="00342885"/>
    <w:rsid w:val="00342ABD"/>
    <w:rsid w:val="00343133"/>
    <w:rsid w:val="00343525"/>
    <w:rsid w:val="00344323"/>
    <w:rsid w:val="00344AD3"/>
    <w:rsid w:val="00344CB2"/>
    <w:rsid w:val="003453E9"/>
    <w:rsid w:val="0034668B"/>
    <w:rsid w:val="00346B37"/>
    <w:rsid w:val="003470C7"/>
    <w:rsid w:val="003472C1"/>
    <w:rsid w:val="003478FD"/>
    <w:rsid w:val="00347CF2"/>
    <w:rsid w:val="00347D50"/>
    <w:rsid w:val="00347E1F"/>
    <w:rsid w:val="003504D2"/>
    <w:rsid w:val="0035050E"/>
    <w:rsid w:val="00351394"/>
    <w:rsid w:val="003515E3"/>
    <w:rsid w:val="00352532"/>
    <w:rsid w:val="00352696"/>
    <w:rsid w:val="003526B6"/>
    <w:rsid w:val="003526D4"/>
    <w:rsid w:val="003528E6"/>
    <w:rsid w:val="00353B90"/>
    <w:rsid w:val="00354278"/>
    <w:rsid w:val="00354C48"/>
    <w:rsid w:val="00355660"/>
    <w:rsid w:val="003559D8"/>
    <w:rsid w:val="00355A0D"/>
    <w:rsid w:val="00355A88"/>
    <w:rsid w:val="00356429"/>
    <w:rsid w:val="00356A92"/>
    <w:rsid w:val="00356EAB"/>
    <w:rsid w:val="00356FC1"/>
    <w:rsid w:val="00357370"/>
    <w:rsid w:val="00357775"/>
    <w:rsid w:val="00357995"/>
    <w:rsid w:val="00357A29"/>
    <w:rsid w:val="00357C64"/>
    <w:rsid w:val="00360A04"/>
    <w:rsid w:val="00360A70"/>
    <w:rsid w:val="00360D56"/>
    <w:rsid w:val="00361C1C"/>
    <w:rsid w:val="00361FD3"/>
    <w:rsid w:val="003622C3"/>
    <w:rsid w:val="00362F96"/>
    <w:rsid w:val="0036345D"/>
    <w:rsid w:val="003634F3"/>
    <w:rsid w:val="00363C4D"/>
    <w:rsid w:val="0036434C"/>
    <w:rsid w:val="00364CB1"/>
    <w:rsid w:val="003652FF"/>
    <w:rsid w:val="003655C0"/>
    <w:rsid w:val="00365839"/>
    <w:rsid w:val="00366275"/>
    <w:rsid w:val="003662A2"/>
    <w:rsid w:val="00366ED9"/>
    <w:rsid w:val="00366F88"/>
    <w:rsid w:val="00367158"/>
    <w:rsid w:val="00367B56"/>
    <w:rsid w:val="00367B9D"/>
    <w:rsid w:val="00367C63"/>
    <w:rsid w:val="00367C6D"/>
    <w:rsid w:val="00370CD9"/>
    <w:rsid w:val="00370DF2"/>
    <w:rsid w:val="00371967"/>
    <w:rsid w:val="00371B08"/>
    <w:rsid w:val="00372591"/>
    <w:rsid w:val="00372B52"/>
    <w:rsid w:val="00373410"/>
    <w:rsid w:val="00374103"/>
    <w:rsid w:val="0037478F"/>
    <w:rsid w:val="0037485A"/>
    <w:rsid w:val="00374A5E"/>
    <w:rsid w:val="003750B5"/>
    <w:rsid w:val="003751F5"/>
    <w:rsid w:val="00375567"/>
    <w:rsid w:val="00375D0A"/>
    <w:rsid w:val="00376359"/>
    <w:rsid w:val="00376A0C"/>
    <w:rsid w:val="00376D18"/>
    <w:rsid w:val="0037710F"/>
    <w:rsid w:val="00377554"/>
    <w:rsid w:val="00377B07"/>
    <w:rsid w:val="00377B5E"/>
    <w:rsid w:val="00380009"/>
    <w:rsid w:val="0038001C"/>
    <w:rsid w:val="00380634"/>
    <w:rsid w:val="00380A83"/>
    <w:rsid w:val="00380BAE"/>
    <w:rsid w:val="00380C63"/>
    <w:rsid w:val="00380FC8"/>
    <w:rsid w:val="00381221"/>
    <w:rsid w:val="00381315"/>
    <w:rsid w:val="00381AEA"/>
    <w:rsid w:val="00382AA6"/>
    <w:rsid w:val="00382BF4"/>
    <w:rsid w:val="00383F87"/>
    <w:rsid w:val="00384820"/>
    <w:rsid w:val="00384BCB"/>
    <w:rsid w:val="00384E33"/>
    <w:rsid w:val="003855E9"/>
    <w:rsid w:val="00385E8D"/>
    <w:rsid w:val="00386378"/>
    <w:rsid w:val="003864CE"/>
    <w:rsid w:val="00387733"/>
    <w:rsid w:val="00387F2B"/>
    <w:rsid w:val="0039053A"/>
    <w:rsid w:val="003905A6"/>
    <w:rsid w:val="003906B0"/>
    <w:rsid w:val="00391359"/>
    <w:rsid w:val="0039160E"/>
    <w:rsid w:val="00391E0A"/>
    <w:rsid w:val="003929CF"/>
    <w:rsid w:val="00392A92"/>
    <w:rsid w:val="00393329"/>
    <w:rsid w:val="00393708"/>
    <w:rsid w:val="00393C1E"/>
    <w:rsid w:val="003949FF"/>
    <w:rsid w:val="003968FF"/>
    <w:rsid w:val="00396AEC"/>
    <w:rsid w:val="00396D05"/>
    <w:rsid w:val="00397820"/>
    <w:rsid w:val="00397B91"/>
    <w:rsid w:val="003A07E2"/>
    <w:rsid w:val="003A0BD7"/>
    <w:rsid w:val="003A0CA8"/>
    <w:rsid w:val="003A0DEF"/>
    <w:rsid w:val="003A1616"/>
    <w:rsid w:val="003A1F6A"/>
    <w:rsid w:val="003A2102"/>
    <w:rsid w:val="003A2557"/>
    <w:rsid w:val="003A2617"/>
    <w:rsid w:val="003A2F32"/>
    <w:rsid w:val="003A31F6"/>
    <w:rsid w:val="003A31FD"/>
    <w:rsid w:val="003A320F"/>
    <w:rsid w:val="003A4835"/>
    <w:rsid w:val="003A5613"/>
    <w:rsid w:val="003A5781"/>
    <w:rsid w:val="003A63D2"/>
    <w:rsid w:val="003A6730"/>
    <w:rsid w:val="003A691B"/>
    <w:rsid w:val="003A6D8E"/>
    <w:rsid w:val="003A6EAE"/>
    <w:rsid w:val="003A723B"/>
    <w:rsid w:val="003A7DCE"/>
    <w:rsid w:val="003B063B"/>
    <w:rsid w:val="003B121F"/>
    <w:rsid w:val="003B147E"/>
    <w:rsid w:val="003B17F2"/>
    <w:rsid w:val="003B1F3C"/>
    <w:rsid w:val="003B1FBC"/>
    <w:rsid w:val="003B2715"/>
    <w:rsid w:val="003B278E"/>
    <w:rsid w:val="003B2A44"/>
    <w:rsid w:val="003B2A6B"/>
    <w:rsid w:val="003B2A75"/>
    <w:rsid w:val="003B2C9B"/>
    <w:rsid w:val="003B2D40"/>
    <w:rsid w:val="003B39FB"/>
    <w:rsid w:val="003B3CA9"/>
    <w:rsid w:val="003B443B"/>
    <w:rsid w:val="003B446D"/>
    <w:rsid w:val="003B4ABD"/>
    <w:rsid w:val="003B4E3B"/>
    <w:rsid w:val="003B510F"/>
    <w:rsid w:val="003B51F2"/>
    <w:rsid w:val="003B67EC"/>
    <w:rsid w:val="003B687F"/>
    <w:rsid w:val="003B75DA"/>
    <w:rsid w:val="003B7CF5"/>
    <w:rsid w:val="003C03D4"/>
    <w:rsid w:val="003C051E"/>
    <w:rsid w:val="003C06B6"/>
    <w:rsid w:val="003C096D"/>
    <w:rsid w:val="003C103F"/>
    <w:rsid w:val="003C10F2"/>
    <w:rsid w:val="003C18B5"/>
    <w:rsid w:val="003C1A55"/>
    <w:rsid w:val="003C1B90"/>
    <w:rsid w:val="003C200B"/>
    <w:rsid w:val="003C2A69"/>
    <w:rsid w:val="003C3276"/>
    <w:rsid w:val="003C34F6"/>
    <w:rsid w:val="003C358F"/>
    <w:rsid w:val="003C3775"/>
    <w:rsid w:val="003C3DC2"/>
    <w:rsid w:val="003C4165"/>
    <w:rsid w:val="003C4583"/>
    <w:rsid w:val="003C47FA"/>
    <w:rsid w:val="003C4968"/>
    <w:rsid w:val="003C4A34"/>
    <w:rsid w:val="003C4AB1"/>
    <w:rsid w:val="003C4AB8"/>
    <w:rsid w:val="003C4ABE"/>
    <w:rsid w:val="003C51F1"/>
    <w:rsid w:val="003C5385"/>
    <w:rsid w:val="003C5E0B"/>
    <w:rsid w:val="003C5E0E"/>
    <w:rsid w:val="003C6419"/>
    <w:rsid w:val="003C6934"/>
    <w:rsid w:val="003C6BAE"/>
    <w:rsid w:val="003C7240"/>
    <w:rsid w:val="003C7A0D"/>
    <w:rsid w:val="003C7A2D"/>
    <w:rsid w:val="003D0927"/>
    <w:rsid w:val="003D101B"/>
    <w:rsid w:val="003D152E"/>
    <w:rsid w:val="003D2CA4"/>
    <w:rsid w:val="003D3AB8"/>
    <w:rsid w:val="003D3D59"/>
    <w:rsid w:val="003D422D"/>
    <w:rsid w:val="003D4C4A"/>
    <w:rsid w:val="003D4E8F"/>
    <w:rsid w:val="003D523F"/>
    <w:rsid w:val="003D5BF8"/>
    <w:rsid w:val="003D6099"/>
    <w:rsid w:val="003D6E87"/>
    <w:rsid w:val="003D7261"/>
    <w:rsid w:val="003D7586"/>
    <w:rsid w:val="003D7903"/>
    <w:rsid w:val="003D7CB7"/>
    <w:rsid w:val="003E0D48"/>
    <w:rsid w:val="003E13CB"/>
    <w:rsid w:val="003E1717"/>
    <w:rsid w:val="003E18B7"/>
    <w:rsid w:val="003E2587"/>
    <w:rsid w:val="003E2A7A"/>
    <w:rsid w:val="003E2E48"/>
    <w:rsid w:val="003E3064"/>
    <w:rsid w:val="003E313B"/>
    <w:rsid w:val="003E3470"/>
    <w:rsid w:val="003E378D"/>
    <w:rsid w:val="003E4D0F"/>
    <w:rsid w:val="003E4E54"/>
    <w:rsid w:val="003E5498"/>
    <w:rsid w:val="003E57F7"/>
    <w:rsid w:val="003E5BFD"/>
    <w:rsid w:val="003E6F72"/>
    <w:rsid w:val="003E7137"/>
    <w:rsid w:val="003E7740"/>
    <w:rsid w:val="003E7AC8"/>
    <w:rsid w:val="003E7C74"/>
    <w:rsid w:val="003E7FDE"/>
    <w:rsid w:val="003F027E"/>
    <w:rsid w:val="003F05A4"/>
    <w:rsid w:val="003F0852"/>
    <w:rsid w:val="003F0A45"/>
    <w:rsid w:val="003F0F08"/>
    <w:rsid w:val="003F15D6"/>
    <w:rsid w:val="003F17BB"/>
    <w:rsid w:val="003F1D43"/>
    <w:rsid w:val="003F257F"/>
    <w:rsid w:val="003F2B52"/>
    <w:rsid w:val="003F2E1E"/>
    <w:rsid w:val="003F339B"/>
    <w:rsid w:val="003F3A67"/>
    <w:rsid w:val="003F3F21"/>
    <w:rsid w:val="003F401F"/>
    <w:rsid w:val="003F442F"/>
    <w:rsid w:val="003F591F"/>
    <w:rsid w:val="003F6C17"/>
    <w:rsid w:val="003F6E8E"/>
    <w:rsid w:val="003F717A"/>
    <w:rsid w:val="003F73E3"/>
    <w:rsid w:val="003F7B99"/>
    <w:rsid w:val="003F7FB8"/>
    <w:rsid w:val="00400CC0"/>
    <w:rsid w:val="00400E2C"/>
    <w:rsid w:val="00401B66"/>
    <w:rsid w:val="00401D7D"/>
    <w:rsid w:val="00401EB3"/>
    <w:rsid w:val="004023C6"/>
    <w:rsid w:val="00403579"/>
    <w:rsid w:val="0040396C"/>
    <w:rsid w:val="00403CAD"/>
    <w:rsid w:val="00403CDA"/>
    <w:rsid w:val="00403F97"/>
    <w:rsid w:val="00404A9C"/>
    <w:rsid w:val="00404AAB"/>
    <w:rsid w:val="00404FCC"/>
    <w:rsid w:val="00405D8B"/>
    <w:rsid w:val="00406116"/>
    <w:rsid w:val="004061E4"/>
    <w:rsid w:val="00406257"/>
    <w:rsid w:val="004069BF"/>
    <w:rsid w:val="0040712A"/>
    <w:rsid w:val="00407226"/>
    <w:rsid w:val="004079BB"/>
    <w:rsid w:val="00407A13"/>
    <w:rsid w:val="00407D4D"/>
    <w:rsid w:val="00407DD1"/>
    <w:rsid w:val="00407EEB"/>
    <w:rsid w:val="00410444"/>
    <w:rsid w:val="004105DB"/>
    <w:rsid w:val="0041090C"/>
    <w:rsid w:val="00410BD4"/>
    <w:rsid w:val="00411235"/>
    <w:rsid w:val="00411511"/>
    <w:rsid w:val="004116DD"/>
    <w:rsid w:val="004118A0"/>
    <w:rsid w:val="00412CBA"/>
    <w:rsid w:val="00412DAE"/>
    <w:rsid w:val="0041353B"/>
    <w:rsid w:val="00413C66"/>
    <w:rsid w:val="004142AF"/>
    <w:rsid w:val="0041437F"/>
    <w:rsid w:val="004144A7"/>
    <w:rsid w:val="00415078"/>
    <w:rsid w:val="00415BC1"/>
    <w:rsid w:val="00415C9C"/>
    <w:rsid w:val="0041610C"/>
    <w:rsid w:val="004165E5"/>
    <w:rsid w:val="004174C5"/>
    <w:rsid w:val="0042064C"/>
    <w:rsid w:val="0042096D"/>
    <w:rsid w:val="00420F38"/>
    <w:rsid w:val="004210F3"/>
    <w:rsid w:val="00421331"/>
    <w:rsid w:val="004216AD"/>
    <w:rsid w:val="004219B3"/>
    <w:rsid w:val="00421D55"/>
    <w:rsid w:val="00422B51"/>
    <w:rsid w:val="00423004"/>
    <w:rsid w:val="004232BA"/>
    <w:rsid w:val="00424712"/>
    <w:rsid w:val="00424EB7"/>
    <w:rsid w:val="00424F70"/>
    <w:rsid w:val="00425260"/>
    <w:rsid w:val="0042528B"/>
    <w:rsid w:val="00425701"/>
    <w:rsid w:val="00425979"/>
    <w:rsid w:val="0042606F"/>
    <w:rsid w:val="00426900"/>
    <w:rsid w:val="00426C37"/>
    <w:rsid w:val="00426E83"/>
    <w:rsid w:val="00426EF9"/>
    <w:rsid w:val="004274CA"/>
    <w:rsid w:val="0042763B"/>
    <w:rsid w:val="0042790B"/>
    <w:rsid w:val="00427E36"/>
    <w:rsid w:val="00430BAE"/>
    <w:rsid w:val="00430D5C"/>
    <w:rsid w:val="00430F82"/>
    <w:rsid w:val="004310DE"/>
    <w:rsid w:val="00431394"/>
    <w:rsid w:val="004315C9"/>
    <w:rsid w:val="004320DA"/>
    <w:rsid w:val="00432109"/>
    <w:rsid w:val="0043225F"/>
    <w:rsid w:val="00432831"/>
    <w:rsid w:val="004331E1"/>
    <w:rsid w:val="004334EA"/>
    <w:rsid w:val="004336A3"/>
    <w:rsid w:val="0043393F"/>
    <w:rsid w:val="0043485F"/>
    <w:rsid w:val="004355AE"/>
    <w:rsid w:val="0043694B"/>
    <w:rsid w:val="00436B8B"/>
    <w:rsid w:val="0043799B"/>
    <w:rsid w:val="004405DF"/>
    <w:rsid w:val="00441467"/>
    <w:rsid w:val="0044194A"/>
    <w:rsid w:val="00441C7E"/>
    <w:rsid w:val="00441F5C"/>
    <w:rsid w:val="0044236A"/>
    <w:rsid w:val="00442A17"/>
    <w:rsid w:val="004430F1"/>
    <w:rsid w:val="00443BDB"/>
    <w:rsid w:val="00444045"/>
    <w:rsid w:val="004441F1"/>
    <w:rsid w:val="0044420D"/>
    <w:rsid w:val="00444A3D"/>
    <w:rsid w:val="00444C76"/>
    <w:rsid w:val="00444E35"/>
    <w:rsid w:val="00445D91"/>
    <w:rsid w:val="00446276"/>
    <w:rsid w:val="004463A5"/>
    <w:rsid w:val="00446658"/>
    <w:rsid w:val="00446D02"/>
    <w:rsid w:val="00447FFE"/>
    <w:rsid w:val="004501F9"/>
    <w:rsid w:val="0045186F"/>
    <w:rsid w:val="00451FBE"/>
    <w:rsid w:val="00453D5D"/>
    <w:rsid w:val="00453DAB"/>
    <w:rsid w:val="00454288"/>
    <w:rsid w:val="00454846"/>
    <w:rsid w:val="0045492C"/>
    <w:rsid w:val="00454BB6"/>
    <w:rsid w:val="00454C5F"/>
    <w:rsid w:val="004554CF"/>
    <w:rsid w:val="00455647"/>
    <w:rsid w:val="00456EE0"/>
    <w:rsid w:val="00457039"/>
    <w:rsid w:val="004571FA"/>
    <w:rsid w:val="00457319"/>
    <w:rsid w:val="004576D0"/>
    <w:rsid w:val="004579A7"/>
    <w:rsid w:val="0046041B"/>
    <w:rsid w:val="004604E6"/>
    <w:rsid w:val="00460B8D"/>
    <w:rsid w:val="00460EC7"/>
    <w:rsid w:val="00461142"/>
    <w:rsid w:val="00461455"/>
    <w:rsid w:val="004614FA"/>
    <w:rsid w:val="00461905"/>
    <w:rsid w:val="004619DB"/>
    <w:rsid w:val="00461E9D"/>
    <w:rsid w:val="00461F02"/>
    <w:rsid w:val="00461FE2"/>
    <w:rsid w:val="004626D9"/>
    <w:rsid w:val="00462717"/>
    <w:rsid w:val="00462AFF"/>
    <w:rsid w:val="00462CED"/>
    <w:rsid w:val="004635E3"/>
    <w:rsid w:val="004636E1"/>
    <w:rsid w:val="00463751"/>
    <w:rsid w:val="004637EC"/>
    <w:rsid w:val="00465A9A"/>
    <w:rsid w:val="00465B62"/>
    <w:rsid w:val="00465E22"/>
    <w:rsid w:val="00466175"/>
    <w:rsid w:val="00466A85"/>
    <w:rsid w:val="00466AA3"/>
    <w:rsid w:val="00466CF9"/>
    <w:rsid w:val="0046772B"/>
    <w:rsid w:val="00470B5F"/>
    <w:rsid w:val="004710C4"/>
    <w:rsid w:val="00471991"/>
    <w:rsid w:val="00471ADA"/>
    <w:rsid w:val="00471D0C"/>
    <w:rsid w:val="004725DE"/>
    <w:rsid w:val="00472FFB"/>
    <w:rsid w:val="0047345C"/>
    <w:rsid w:val="00473806"/>
    <w:rsid w:val="00473A23"/>
    <w:rsid w:val="00473AA3"/>
    <w:rsid w:val="00475345"/>
    <w:rsid w:val="00475CAB"/>
    <w:rsid w:val="00475D65"/>
    <w:rsid w:val="00475EF3"/>
    <w:rsid w:val="0047621C"/>
    <w:rsid w:val="0047639D"/>
    <w:rsid w:val="00476734"/>
    <w:rsid w:val="00476E8D"/>
    <w:rsid w:val="00477AA9"/>
    <w:rsid w:val="00480207"/>
    <w:rsid w:val="0048047D"/>
    <w:rsid w:val="00480C35"/>
    <w:rsid w:val="00480F2E"/>
    <w:rsid w:val="00482268"/>
    <w:rsid w:val="00482390"/>
    <w:rsid w:val="004825C9"/>
    <w:rsid w:val="00483390"/>
    <w:rsid w:val="0048351A"/>
    <w:rsid w:val="004837CF"/>
    <w:rsid w:val="00483B84"/>
    <w:rsid w:val="00484AAD"/>
    <w:rsid w:val="0048571A"/>
    <w:rsid w:val="004858CE"/>
    <w:rsid w:val="00486236"/>
    <w:rsid w:val="004863FB"/>
    <w:rsid w:val="00486B7D"/>
    <w:rsid w:val="0048743E"/>
    <w:rsid w:val="00487FB8"/>
    <w:rsid w:val="00487FD7"/>
    <w:rsid w:val="00490958"/>
    <w:rsid w:val="00491456"/>
    <w:rsid w:val="00491677"/>
    <w:rsid w:val="00491BFC"/>
    <w:rsid w:val="00492071"/>
    <w:rsid w:val="004920D8"/>
    <w:rsid w:val="00492341"/>
    <w:rsid w:val="00492583"/>
    <w:rsid w:val="00492957"/>
    <w:rsid w:val="00492BFC"/>
    <w:rsid w:val="004936E6"/>
    <w:rsid w:val="00493A01"/>
    <w:rsid w:val="004942A4"/>
    <w:rsid w:val="00494DE9"/>
    <w:rsid w:val="00494FA8"/>
    <w:rsid w:val="00495012"/>
    <w:rsid w:val="0049511A"/>
    <w:rsid w:val="00495D69"/>
    <w:rsid w:val="004966AB"/>
    <w:rsid w:val="00496AED"/>
    <w:rsid w:val="00496CFE"/>
    <w:rsid w:val="00497750"/>
    <w:rsid w:val="00497A43"/>
    <w:rsid w:val="004A0578"/>
    <w:rsid w:val="004A0882"/>
    <w:rsid w:val="004A0A04"/>
    <w:rsid w:val="004A0C23"/>
    <w:rsid w:val="004A1CFF"/>
    <w:rsid w:val="004A1D6B"/>
    <w:rsid w:val="004A24D7"/>
    <w:rsid w:val="004A27AA"/>
    <w:rsid w:val="004A2935"/>
    <w:rsid w:val="004A2D4F"/>
    <w:rsid w:val="004A3302"/>
    <w:rsid w:val="004A359A"/>
    <w:rsid w:val="004A3BDD"/>
    <w:rsid w:val="004A412D"/>
    <w:rsid w:val="004A4199"/>
    <w:rsid w:val="004A4651"/>
    <w:rsid w:val="004A4919"/>
    <w:rsid w:val="004A4A7E"/>
    <w:rsid w:val="004A4A9C"/>
    <w:rsid w:val="004A5497"/>
    <w:rsid w:val="004A5D74"/>
    <w:rsid w:val="004A5F50"/>
    <w:rsid w:val="004A61A7"/>
    <w:rsid w:val="004A68D3"/>
    <w:rsid w:val="004A71D3"/>
    <w:rsid w:val="004A74FF"/>
    <w:rsid w:val="004B0079"/>
    <w:rsid w:val="004B00F6"/>
    <w:rsid w:val="004B04E9"/>
    <w:rsid w:val="004B0507"/>
    <w:rsid w:val="004B06A7"/>
    <w:rsid w:val="004B10D3"/>
    <w:rsid w:val="004B1888"/>
    <w:rsid w:val="004B1C05"/>
    <w:rsid w:val="004B1C97"/>
    <w:rsid w:val="004B1DB2"/>
    <w:rsid w:val="004B1DC7"/>
    <w:rsid w:val="004B21B8"/>
    <w:rsid w:val="004B2240"/>
    <w:rsid w:val="004B2C71"/>
    <w:rsid w:val="004B2D07"/>
    <w:rsid w:val="004B2E42"/>
    <w:rsid w:val="004B30A0"/>
    <w:rsid w:val="004B3667"/>
    <w:rsid w:val="004B38B8"/>
    <w:rsid w:val="004B3B3E"/>
    <w:rsid w:val="004B3D71"/>
    <w:rsid w:val="004B45EC"/>
    <w:rsid w:val="004B47C3"/>
    <w:rsid w:val="004B555F"/>
    <w:rsid w:val="004B5E19"/>
    <w:rsid w:val="004B63A0"/>
    <w:rsid w:val="004B66F2"/>
    <w:rsid w:val="004B6C9D"/>
    <w:rsid w:val="004B7B33"/>
    <w:rsid w:val="004C00D3"/>
    <w:rsid w:val="004C0CBB"/>
    <w:rsid w:val="004C150B"/>
    <w:rsid w:val="004C1545"/>
    <w:rsid w:val="004C1B8F"/>
    <w:rsid w:val="004C2318"/>
    <w:rsid w:val="004C23C8"/>
    <w:rsid w:val="004C27A6"/>
    <w:rsid w:val="004C2DA7"/>
    <w:rsid w:val="004C31C2"/>
    <w:rsid w:val="004C3297"/>
    <w:rsid w:val="004C32B2"/>
    <w:rsid w:val="004C3D71"/>
    <w:rsid w:val="004C4772"/>
    <w:rsid w:val="004C4C49"/>
    <w:rsid w:val="004C4E30"/>
    <w:rsid w:val="004C4E50"/>
    <w:rsid w:val="004C5FAC"/>
    <w:rsid w:val="004D0BE8"/>
    <w:rsid w:val="004D12EE"/>
    <w:rsid w:val="004D22E3"/>
    <w:rsid w:val="004D259C"/>
    <w:rsid w:val="004D3932"/>
    <w:rsid w:val="004D3A6A"/>
    <w:rsid w:val="004D3C87"/>
    <w:rsid w:val="004D424C"/>
    <w:rsid w:val="004D4272"/>
    <w:rsid w:val="004D4307"/>
    <w:rsid w:val="004D4AD8"/>
    <w:rsid w:val="004D52B5"/>
    <w:rsid w:val="004D67CF"/>
    <w:rsid w:val="004D68DD"/>
    <w:rsid w:val="004D6C6D"/>
    <w:rsid w:val="004D6F50"/>
    <w:rsid w:val="004D6FC8"/>
    <w:rsid w:val="004D79B8"/>
    <w:rsid w:val="004D7FA4"/>
    <w:rsid w:val="004E0A69"/>
    <w:rsid w:val="004E19B7"/>
    <w:rsid w:val="004E1AE2"/>
    <w:rsid w:val="004E24B0"/>
    <w:rsid w:val="004E25FF"/>
    <w:rsid w:val="004E3360"/>
    <w:rsid w:val="004E352E"/>
    <w:rsid w:val="004E35A6"/>
    <w:rsid w:val="004E35C6"/>
    <w:rsid w:val="004E3923"/>
    <w:rsid w:val="004E3E84"/>
    <w:rsid w:val="004E4D47"/>
    <w:rsid w:val="004E4FD3"/>
    <w:rsid w:val="004E5387"/>
    <w:rsid w:val="004E5A68"/>
    <w:rsid w:val="004E632F"/>
    <w:rsid w:val="004E6D2A"/>
    <w:rsid w:val="004E6EB3"/>
    <w:rsid w:val="004E71D0"/>
    <w:rsid w:val="004E7DD6"/>
    <w:rsid w:val="004E7FA6"/>
    <w:rsid w:val="004F04C5"/>
    <w:rsid w:val="004F10B1"/>
    <w:rsid w:val="004F1659"/>
    <w:rsid w:val="004F1977"/>
    <w:rsid w:val="004F1C2C"/>
    <w:rsid w:val="004F2F70"/>
    <w:rsid w:val="004F2FA3"/>
    <w:rsid w:val="004F3B6E"/>
    <w:rsid w:val="004F3D63"/>
    <w:rsid w:val="004F4122"/>
    <w:rsid w:val="004F42C7"/>
    <w:rsid w:val="004F4D23"/>
    <w:rsid w:val="004F5185"/>
    <w:rsid w:val="004F522E"/>
    <w:rsid w:val="004F5236"/>
    <w:rsid w:val="004F546D"/>
    <w:rsid w:val="004F7074"/>
    <w:rsid w:val="004F70EF"/>
    <w:rsid w:val="004F7150"/>
    <w:rsid w:val="004F71DD"/>
    <w:rsid w:val="004F73C2"/>
    <w:rsid w:val="004F7DFF"/>
    <w:rsid w:val="00500299"/>
    <w:rsid w:val="00500488"/>
    <w:rsid w:val="005005E0"/>
    <w:rsid w:val="005009AD"/>
    <w:rsid w:val="00500C42"/>
    <w:rsid w:val="00500D0E"/>
    <w:rsid w:val="00500EA6"/>
    <w:rsid w:val="0050108A"/>
    <w:rsid w:val="00501AD8"/>
    <w:rsid w:val="005025E0"/>
    <w:rsid w:val="0050326A"/>
    <w:rsid w:val="0050399F"/>
    <w:rsid w:val="0050410D"/>
    <w:rsid w:val="005042B2"/>
    <w:rsid w:val="005042F9"/>
    <w:rsid w:val="00504685"/>
    <w:rsid w:val="00504F3E"/>
    <w:rsid w:val="00505000"/>
    <w:rsid w:val="00505885"/>
    <w:rsid w:val="00505AA9"/>
    <w:rsid w:val="0050622A"/>
    <w:rsid w:val="005063B4"/>
    <w:rsid w:val="00506414"/>
    <w:rsid w:val="005064CC"/>
    <w:rsid w:val="00507097"/>
    <w:rsid w:val="005071E4"/>
    <w:rsid w:val="00507D84"/>
    <w:rsid w:val="00510427"/>
    <w:rsid w:val="00510FE8"/>
    <w:rsid w:val="0051164B"/>
    <w:rsid w:val="00511EF8"/>
    <w:rsid w:val="00512059"/>
    <w:rsid w:val="0051218F"/>
    <w:rsid w:val="005121C4"/>
    <w:rsid w:val="0051260C"/>
    <w:rsid w:val="00512ABE"/>
    <w:rsid w:val="00512B74"/>
    <w:rsid w:val="00512BB9"/>
    <w:rsid w:val="00512FF1"/>
    <w:rsid w:val="0051300A"/>
    <w:rsid w:val="00513591"/>
    <w:rsid w:val="005136ED"/>
    <w:rsid w:val="00513DC2"/>
    <w:rsid w:val="00515430"/>
    <w:rsid w:val="0051568C"/>
    <w:rsid w:val="00515A1C"/>
    <w:rsid w:val="00515D69"/>
    <w:rsid w:val="0051603E"/>
    <w:rsid w:val="00516C3D"/>
    <w:rsid w:val="005172D3"/>
    <w:rsid w:val="005206A6"/>
    <w:rsid w:val="005207FF"/>
    <w:rsid w:val="00520B8E"/>
    <w:rsid w:val="00520F54"/>
    <w:rsid w:val="00521CE5"/>
    <w:rsid w:val="00521F63"/>
    <w:rsid w:val="00522347"/>
    <w:rsid w:val="0052312C"/>
    <w:rsid w:val="0052325A"/>
    <w:rsid w:val="0052373F"/>
    <w:rsid w:val="00523E6C"/>
    <w:rsid w:val="00524A48"/>
    <w:rsid w:val="00524E44"/>
    <w:rsid w:val="00525087"/>
    <w:rsid w:val="00525B41"/>
    <w:rsid w:val="00525BB2"/>
    <w:rsid w:val="00526620"/>
    <w:rsid w:val="00526684"/>
    <w:rsid w:val="005267F5"/>
    <w:rsid w:val="00527111"/>
    <w:rsid w:val="00527263"/>
    <w:rsid w:val="00527871"/>
    <w:rsid w:val="00527B86"/>
    <w:rsid w:val="00527E06"/>
    <w:rsid w:val="0053047B"/>
    <w:rsid w:val="00530EBD"/>
    <w:rsid w:val="0053206F"/>
    <w:rsid w:val="00532787"/>
    <w:rsid w:val="00532C6A"/>
    <w:rsid w:val="00533017"/>
    <w:rsid w:val="005332DF"/>
    <w:rsid w:val="00533823"/>
    <w:rsid w:val="00533C02"/>
    <w:rsid w:val="00533C06"/>
    <w:rsid w:val="00533FA6"/>
    <w:rsid w:val="00534127"/>
    <w:rsid w:val="0053421A"/>
    <w:rsid w:val="005342EE"/>
    <w:rsid w:val="00534817"/>
    <w:rsid w:val="00534F54"/>
    <w:rsid w:val="00535063"/>
    <w:rsid w:val="00535E07"/>
    <w:rsid w:val="00535FDC"/>
    <w:rsid w:val="00536710"/>
    <w:rsid w:val="0053712F"/>
    <w:rsid w:val="00537F66"/>
    <w:rsid w:val="0054072C"/>
    <w:rsid w:val="00540D24"/>
    <w:rsid w:val="00540E1B"/>
    <w:rsid w:val="00540F68"/>
    <w:rsid w:val="0054108C"/>
    <w:rsid w:val="00541191"/>
    <w:rsid w:val="00541523"/>
    <w:rsid w:val="00542191"/>
    <w:rsid w:val="00542618"/>
    <w:rsid w:val="005426D2"/>
    <w:rsid w:val="00542DFE"/>
    <w:rsid w:val="005431B9"/>
    <w:rsid w:val="00543A40"/>
    <w:rsid w:val="005440D0"/>
    <w:rsid w:val="005443CC"/>
    <w:rsid w:val="00544C83"/>
    <w:rsid w:val="00544E5C"/>
    <w:rsid w:val="00545979"/>
    <w:rsid w:val="00545A52"/>
    <w:rsid w:val="00546208"/>
    <w:rsid w:val="00546856"/>
    <w:rsid w:val="00546F45"/>
    <w:rsid w:val="00546F52"/>
    <w:rsid w:val="00547A8D"/>
    <w:rsid w:val="005504D7"/>
    <w:rsid w:val="00550E2B"/>
    <w:rsid w:val="00550E39"/>
    <w:rsid w:val="00551578"/>
    <w:rsid w:val="0055179C"/>
    <w:rsid w:val="0055211C"/>
    <w:rsid w:val="00553952"/>
    <w:rsid w:val="00553D19"/>
    <w:rsid w:val="00553F34"/>
    <w:rsid w:val="005545AA"/>
    <w:rsid w:val="005559AC"/>
    <w:rsid w:val="005559EF"/>
    <w:rsid w:val="00555A49"/>
    <w:rsid w:val="005563CE"/>
    <w:rsid w:val="00556A7F"/>
    <w:rsid w:val="00557388"/>
    <w:rsid w:val="005579A8"/>
    <w:rsid w:val="00557E94"/>
    <w:rsid w:val="00561661"/>
    <w:rsid w:val="0056170D"/>
    <w:rsid w:val="00561763"/>
    <w:rsid w:val="00561CCA"/>
    <w:rsid w:val="00561E7E"/>
    <w:rsid w:val="00562057"/>
    <w:rsid w:val="005628C4"/>
    <w:rsid w:val="00563123"/>
    <w:rsid w:val="00563606"/>
    <w:rsid w:val="00563CFE"/>
    <w:rsid w:val="00563E74"/>
    <w:rsid w:val="00563F44"/>
    <w:rsid w:val="0056430D"/>
    <w:rsid w:val="00564727"/>
    <w:rsid w:val="00564D98"/>
    <w:rsid w:val="005651F9"/>
    <w:rsid w:val="00565D9C"/>
    <w:rsid w:val="005671B5"/>
    <w:rsid w:val="00567245"/>
    <w:rsid w:val="005672CB"/>
    <w:rsid w:val="0056785D"/>
    <w:rsid w:val="00567B70"/>
    <w:rsid w:val="00567CBD"/>
    <w:rsid w:val="00567F79"/>
    <w:rsid w:val="00570451"/>
    <w:rsid w:val="005715E7"/>
    <w:rsid w:val="00571741"/>
    <w:rsid w:val="0057195C"/>
    <w:rsid w:val="0057198F"/>
    <w:rsid w:val="00572693"/>
    <w:rsid w:val="005729DE"/>
    <w:rsid w:val="0057332E"/>
    <w:rsid w:val="0057355A"/>
    <w:rsid w:val="00573667"/>
    <w:rsid w:val="005736FB"/>
    <w:rsid w:val="005738CD"/>
    <w:rsid w:val="00573DE0"/>
    <w:rsid w:val="00573EF6"/>
    <w:rsid w:val="00574D0A"/>
    <w:rsid w:val="00574D6F"/>
    <w:rsid w:val="005753D2"/>
    <w:rsid w:val="00575859"/>
    <w:rsid w:val="00575AC1"/>
    <w:rsid w:val="00575C15"/>
    <w:rsid w:val="00575CFA"/>
    <w:rsid w:val="0057639D"/>
    <w:rsid w:val="005764C4"/>
    <w:rsid w:val="0057686B"/>
    <w:rsid w:val="0057724A"/>
    <w:rsid w:val="0057760F"/>
    <w:rsid w:val="005807B2"/>
    <w:rsid w:val="00580E11"/>
    <w:rsid w:val="00580E39"/>
    <w:rsid w:val="00580E49"/>
    <w:rsid w:val="005818BD"/>
    <w:rsid w:val="00582C45"/>
    <w:rsid w:val="00583161"/>
    <w:rsid w:val="00584C8C"/>
    <w:rsid w:val="00584E22"/>
    <w:rsid w:val="00585939"/>
    <w:rsid w:val="00585C76"/>
    <w:rsid w:val="005867B5"/>
    <w:rsid w:val="00586BD7"/>
    <w:rsid w:val="005875F7"/>
    <w:rsid w:val="005879F6"/>
    <w:rsid w:val="005903A3"/>
    <w:rsid w:val="00590855"/>
    <w:rsid w:val="00590945"/>
    <w:rsid w:val="00590A21"/>
    <w:rsid w:val="00590C4E"/>
    <w:rsid w:val="00590E1D"/>
    <w:rsid w:val="0059104B"/>
    <w:rsid w:val="00591ECB"/>
    <w:rsid w:val="0059207E"/>
    <w:rsid w:val="005920F0"/>
    <w:rsid w:val="00593672"/>
    <w:rsid w:val="00594527"/>
    <w:rsid w:val="00594648"/>
    <w:rsid w:val="0059479E"/>
    <w:rsid w:val="00594E80"/>
    <w:rsid w:val="00594EA7"/>
    <w:rsid w:val="00594FB4"/>
    <w:rsid w:val="0059515D"/>
    <w:rsid w:val="0059558E"/>
    <w:rsid w:val="00595CD4"/>
    <w:rsid w:val="00595F4B"/>
    <w:rsid w:val="005963AB"/>
    <w:rsid w:val="0059753A"/>
    <w:rsid w:val="00597DB3"/>
    <w:rsid w:val="005A01B1"/>
    <w:rsid w:val="005A0394"/>
    <w:rsid w:val="005A0A52"/>
    <w:rsid w:val="005A0A74"/>
    <w:rsid w:val="005A0D43"/>
    <w:rsid w:val="005A109A"/>
    <w:rsid w:val="005A1261"/>
    <w:rsid w:val="005A1CB1"/>
    <w:rsid w:val="005A1F5A"/>
    <w:rsid w:val="005A27BE"/>
    <w:rsid w:val="005A3405"/>
    <w:rsid w:val="005A3640"/>
    <w:rsid w:val="005A4175"/>
    <w:rsid w:val="005A43D8"/>
    <w:rsid w:val="005A475E"/>
    <w:rsid w:val="005A4A2A"/>
    <w:rsid w:val="005A60E7"/>
    <w:rsid w:val="005A67AE"/>
    <w:rsid w:val="005A77CF"/>
    <w:rsid w:val="005A7FFE"/>
    <w:rsid w:val="005B0CE1"/>
    <w:rsid w:val="005B1899"/>
    <w:rsid w:val="005B21C1"/>
    <w:rsid w:val="005B220F"/>
    <w:rsid w:val="005B2570"/>
    <w:rsid w:val="005B2797"/>
    <w:rsid w:val="005B3115"/>
    <w:rsid w:val="005B32C9"/>
    <w:rsid w:val="005B369E"/>
    <w:rsid w:val="005B421D"/>
    <w:rsid w:val="005B4593"/>
    <w:rsid w:val="005B502E"/>
    <w:rsid w:val="005B5E97"/>
    <w:rsid w:val="005B5EA7"/>
    <w:rsid w:val="005B6360"/>
    <w:rsid w:val="005B656C"/>
    <w:rsid w:val="005B7761"/>
    <w:rsid w:val="005C04E6"/>
    <w:rsid w:val="005C053F"/>
    <w:rsid w:val="005C12B1"/>
    <w:rsid w:val="005C13CF"/>
    <w:rsid w:val="005C1FBE"/>
    <w:rsid w:val="005C230B"/>
    <w:rsid w:val="005C2637"/>
    <w:rsid w:val="005C2EBA"/>
    <w:rsid w:val="005C316A"/>
    <w:rsid w:val="005C39E8"/>
    <w:rsid w:val="005C3E34"/>
    <w:rsid w:val="005C3E40"/>
    <w:rsid w:val="005C48EC"/>
    <w:rsid w:val="005C4EA4"/>
    <w:rsid w:val="005C5DC3"/>
    <w:rsid w:val="005C5E16"/>
    <w:rsid w:val="005C6147"/>
    <w:rsid w:val="005C638B"/>
    <w:rsid w:val="005C63E6"/>
    <w:rsid w:val="005C684D"/>
    <w:rsid w:val="005C6F9A"/>
    <w:rsid w:val="005C7013"/>
    <w:rsid w:val="005C7273"/>
    <w:rsid w:val="005C73B0"/>
    <w:rsid w:val="005C7409"/>
    <w:rsid w:val="005C7C90"/>
    <w:rsid w:val="005D08F5"/>
    <w:rsid w:val="005D13CF"/>
    <w:rsid w:val="005D2667"/>
    <w:rsid w:val="005D3214"/>
    <w:rsid w:val="005D43A2"/>
    <w:rsid w:val="005D4CE1"/>
    <w:rsid w:val="005D51DC"/>
    <w:rsid w:val="005D59CC"/>
    <w:rsid w:val="005D6103"/>
    <w:rsid w:val="005D726E"/>
    <w:rsid w:val="005D797B"/>
    <w:rsid w:val="005D7FD4"/>
    <w:rsid w:val="005E02E6"/>
    <w:rsid w:val="005E047B"/>
    <w:rsid w:val="005E0AD1"/>
    <w:rsid w:val="005E0C5E"/>
    <w:rsid w:val="005E1CF8"/>
    <w:rsid w:val="005E1D1B"/>
    <w:rsid w:val="005E1E80"/>
    <w:rsid w:val="005E1F95"/>
    <w:rsid w:val="005E212E"/>
    <w:rsid w:val="005E2840"/>
    <w:rsid w:val="005E2C94"/>
    <w:rsid w:val="005E2EBA"/>
    <w:rsid w:val="005E36F2"/>
    <w:rsid w:val="005E3C46"/>
    <w:rsid w:val="005E3EBF"/>
    <w:rsid w:val="005E4002"/>
    <w:rsid w:val="005E44DF"/>
    <w:rsid w:val="005E46C6"/>
    <w:rsid w:val="005E47E2"/>
    <w:rsid w:val="005E4CBB"/>
    <w:rsid w:val="005E4E29"/>
    <w:rsid w:val="005E5D27"/>
    <w:rsid w:val="005E60D3"/>
    <w:rsid w:val="005E6EC7"/>
    <w:rsid w:val="005E6F27"/>
    <w:rsid w:val="005E7000"/>
    <w:rsid w:val="005E774C"/>
    <w:rsid w:val="005F05D0"/>
    <w:rsid w:val="005F07F3"/>
    <w:rsid w:val="005F1241"/>
    <w:rsid w:val="005F1913"/>
    <w:rsid w:val="005F205D"/>
    <w:rsid w:val="005F2DFD"/>
    <w:rsid w:val="005F317F"/>
    <w:rsid w:val="005F3BFC"/>
    <w:rsid w:val="005F4446"/>
    <w:rsid w:val="005F4667"/>
    <w:rsid w:val="005F4801"/>
    <w:rsid w:val="005F4B8F"/>
    <w:rsid w:val="005F4C70"/>
    <w:rsid w:val="005F53BE"/>
    <w:rsid w:val="005F592D"/>
    <w:rsid w:val="005F59C3"/>
    <w:rsid w:val="005F5A23"/>
    <w:rsid w:val="005F5B2D"/>
    <w:rsid w:val="005F5EE0"/>
    <w:rsid w:val="005F60C8"/>
    <w:rsid w:val="005F61EF"/>
    <w:rsid w:val="005F621C"/>
    <w:rsid w:val="005F6FC2"/>
    <w:rsid w:val="005F7363"/>
    <w:rsid w:val="005F7B7F"/>
    <w:rsid w:val="0060048C"/>
    <w:rsid w:val="00600867"/>
    <w:rsid w:val="00600E2E"/>
    <w:rsid w:val="0060131F"/>
    <w:rsid w:val="00602FFB"/>
    <w:rsid w:val="00603691"/>
    <w:rsid w:val="00604024"/>
    <w:rsid w:val="00604624"/>
    <w:rsid w:val="006047E7"/>
    <w:rsid w:val="006050B4"/>
    <w:rsid w:val="00605497"/>
    <w:rsid w:val="00605A68"/>
    <w:rsid w:val="00605B2C"/>
    <w:rsid w:val="00606245"/>
    <w:rsid w:val="00606A23"/>
    <w:rsid w:val="00607DEF"/>
    <w:rsid w:val="00610CD4"/>
    <w:rsid w:val="00611277"/>
    <w:rsid w:val="006113A6"/>
    <w:rsid w:val="006118E9"/>
    <w:rsid w:val="00612244"/>
    <w:rsid w:val="00612406"/>
    <w:rsid w:val="006124FB"/>
    <w:rsid w:val="00612739"/>
    <w:rsid w:val="006128D9"/>
    <w:rsid w:val="00612BD8"/>
    <w:rsid w:val="00612CAF"/>
    <w:rsid w:val="0061306B"/>
    <w:rsid w:val="00613833"/>
    <w:rsid w:val="00613EC6"/>
    <w:rsid w:val="006141DE"/>
    <w:rsid w:val="00614412"/>
    <w:rsid w:val="00614843"/>
    <w:rsid w:val="00614A8F"/>
    <w:rsid w:val="00614AA9"/>
    <w:rsid w:val="00614CE2"/>
    <w:rsid w:val="00615143"/>
    <w:rsid w:val="0061555A"/>
    <w:rsid w:val="0061622E"/>
    <w:rsid w:val="006168CA"/>
    <w:rsid w:val="00616B32"/>
    <w:rsid w:val="0061774B"/>
    <w:rsid w:val="006178C4"/>
    <w:rsid w:val="006200B8"/>
    <w:rsid w:val="006203DA"/>
    <w:rsid w:val="00621084"/>
    <w:rsid w:val="00621361"/>
    <w:rsid w:val="00621870"/>
    <w:rsid w:val="00621A2A"/>
    <w:rsid w:val="006224DA"/>
    <w:rsid w:val="00622590"/>
    <w:rsid w:val="00623031"/>
    <w:rsid w:val="00623626"/>
    <w:rsid w:val="00623738"/>
    <w:rsid w:val="006239AE"/>
    <w:rsid w:val="00623B5B"/>
    <w:rsid w:val="00623B99"/>
    <w:rsid w:val="00623DCE"/>
    <w:rsid w:val="006241F1"/>
    <w:rsid w:val="006241F9"/>
    <w:rsid w:val="00624477"/>
    <w:rsid w:val="00624764"/>
    <w:rsid w:val="00624831"/>
    <w:rsid w:val="006273EF"/>
    <w:rsid w:val="00627DED"/>
    <w:rsid w:val="0063028F"/>
    <w:rsid w:val="006302D4"/>
    <w:rsid w:val="006304EF"/>
    <w:rsid w:val="00630600"/>
    <w:rsid w:val="006306FB"/>
    <w:rsid w:val="0063138F"/>
    <w:rsid w:val="00631523"/>
    <w:rsid w:val="00631762"/>
    <w:rsid w:val="00631E19"/>
    <w:rsid w:val="00631F10"/>
    <w:rsid w:val="00632320"/>
    <w:rsid w:val="00632571"/>
    <w:rsid w:val="006328A8"/>
    <w:rsid w:val="00632A20"/>
    <w:rsid w:val="00632A4D"/>
    <w:rsid w:val="00633B05"/>
    <w:rsid w:val="00633B89"/>
    <w:rsid w:val="00634585"/>
    <w:rsid w:val="00635134"/>
    <w:rsid w:val="00635758"/>
    <w:rsid w:val="006358B7"/>
    <w:rsid w:val="006363C6"/>
    <w:rsid w:val="006364A3"/>
    <w:rsid w:val="00637052"/>
    <w:rsid w:val="00637137"/>
    <w:rsid w:val="00641033"/>
    <w:rsid w:val="0064105A"/>
    <w:rsid w:val="0064197D"/>
    <w:rsid w:val="00641D01"/>
    <w:rsid w:val="0064219A"/>
    <w:rsid w:val="00642523"/>
    <w:rsid w:val="00642743"/>
    <w:rsid w:val="0064299C"/>
    <w:rsid w:val="00643288"/>
    <w:rsid w:val="00643AD8"/>
    <w:rsid w:val="00643E4A"/>
    <w:rsid w:val="0064421F"/>
    <w:rsid w:val="00644739"/>
    <w:rsid w:val="00644EBC"/>
    <w:rsid w:val="0064524F"/>
    <w:rsid w:val="0064530E"/>
    <w:rsid w:val="0064536E"/>
    <w:rsid w:val="0064580D"/>
    <w:rsid w:val="00646C6B"/>
    <w:rsid w:val="00646D42"/>
    <w:rsid w:val="00646ED7"/>
    <w:rsid w:val="00647346"/>
    <w:rsid w:val="00647646"/>
    <w:rsid w:val="0064784D"/>
    <w:rsid w:val="00647DC1"/>
    <w:rsid w:val="00647E4B"/>
    <w:rsid w:val="00650C47"/>
    <w:rsid w:val="00651A37"/>
    <w:rsid w:val="00652033"/>
    <w:rsid w:val="0065256F"/>
    <w:rsid w:val="00652637"/>
    <w:rsid w:val="00652742"/>
    <w:rsid w:val="0065358C"/>
    <w:rsid w:val="00653C64"/>
    <w:rsid w:val="00653EB0"/>
    <w:rsid w:val="00653EE3"/>
    <w:rsid w:val="00654251"/>
    <w:rsid w:val="0065504E"/>
    <w:rsid w:val="00655C0A"/>
    <w:rsid w:val="00655F22"/>
    <w:rsid w:val="00656742"/>
    <w:rsid w:val="00656F58"/>
    <w:rsid w:val="00657196"/>
    <w:rsid w:val="00657FF7"/>
    <w:rsid w:val="00660195"/>
    <w:rsid w:val="006601A1"/>
    <w:rsid w:val="006601C4"/>
    <w:rsid w:val="00661740"/>
    <w:rsid w:val="00661B55"/>
    <w:rsid w:val="006626A5"/>
    <w:rsid w:val="006626F9"/>
    <w:rsid w:val="00662FD8"/>
    <w:rsid w:val="006631DF"/>
    <w:rsid w:val="00663CDC"/>
    <w:rsid w:val="0066403B"/>
    <w:rsid w:val="006641B2"/>
    <w:rsid w:val="0066434A"/>
    <w:rsid w:val="00664446"/>
    <w:rsid w:val="00664864"/>
    <w:rsid w:val="00664F06"/>
    <w:rsid w:val="0066533E"/>
    <w:rsid w:val="00665ECC"/>
    <w:rsid w:val="006663A5"/>
    <w:rsid w:val="006664FF"/>
    <w:rsid w:val="00666C21"/>
    <w:rsid w:val="00667241"/>
    <w:rsid w:val="00667D77"/>
    <w:rsid w:val="006705B0"/>
    <w:rsid w:val="00670C05"/>
    <w:rsid w:val="00670CFC"/>
    <w:rsid w:val="00670EBB"/>
    <w:rsid w:val="0067133D"/>
    <w:rsid w:val="00671574"/>
    <w:rsid w:val="00671880"/>
    <w:rsid w:val="00671AD8"/>
    <w:rsid w:val="00672165"/>
    <w:rsid w:val="00672FF3"/>
    <w:rsid w:val="006731C9"/>
    <w:rsid w:val="00673534"/>
    <w:rsid w:val="00673D3D"/>
    <w:rsid w:val="00674211"/>
    <w:rsid w:val="0067447B"/>
    <w:rsid w:val="00675416"/>
    <w:rsid w:val="00675BF5"/>
    <w:rsid w:val="00675CBC"/>
    <w:rsid w:val="00675CF4"/>
    <w:rsid w:val="00675E6B"/>
    <w:rsid w:val="00676C5E"/>
    <w:rsid w:val="00676CFE"/>
    <w:rsid w:val="00676D44"/>
    <w:rsid w:val="00676F83"/>
    <w:rsid w:val="0067782B"/>
    <w:rsid w:val="00677F13"/>
    <w:rsid w:val="00680E09"/>
    <w:rsid w:val="006810DE"/>
    <w:rsid w:val="00681377"/>
    <w:rsid w:val="006816DE"/>
    <w:rsid w:val="006821E2"/>
    <w:rsid w:val="00682E37"/>
    <w:rsid w:val="0068317C"/>
    <w:rsid w:val="0068319B"/>
    <w:rsid w:val="0068359F"/>
    <w:rsid w:val="00683E0D"/>
    <w:rsid w:val="00683FAE"/>
    <w:rsid w:val="00684302"/>
    <w:rsid w:val="00684395"/>
    <w:rsid w:val="00684977"/>
    <w:rsid w:val="00684C76"/>
    <w:rsid w:val="00684D5A"/>
    <w:rsid w:val="00685000"/>
    <w:rsid w:val="00685058"/>
    <w:rsid w:val="00685DB3"/>
    <w:rsid w:val="006862E9"/>
    <w:rsid w:val="00686A5F"/>
    <w:rsid w:val="006871FA"/>
    <w:rsid w:val="006874CD"/>
    <w:rsid w:val="00687771"/>
    <w:rsid w:val="0069013C"/>
    <w:rsid w:val="0069083E"/>
    <w:rsid w:val="0069087D"/>
    <w:rsid w:val="0069094D"/>
    <w:rsid w:val="00690C34"/>
    <w:rsid w:val="00691C92"/>
    <w:rsid w:val="00691DE7"/>
    <w:rsid w:val="006932CB"/>
    <w:rsid w:val="00693D3A"/>
    <w:rsid w:val="00693F23"/>
    <w:rsid w:val="006941F0"/>
    <w:rsid w:val="006944BB"/>
    <w:rsid w:val="00694B81"/>
    <w:rsid w:val="006951A7"/>
    <w:rsid w:val="00695320"/>
    <w:rsid w:val="00695423"/>
    <w:rsid w:val="0069577B"/>
    <w:rsid w:val="00695A81"/>
    <w:rsid w:val="00695D17"/>
    <w:rsid w:val="00695EC7"/>
    <w:rsid w:val="0069602F"/>
    <w:rsid w:val="0069614B"/>
    <w:rsid w:val="00696376"/>
    <w:rsid w:val="0069687A"/>
    <w:rsid w:val="00696A6D"/>
    <w:rsid w:val="00696E0C"/>
    <w:rsid w:val="006971CC"/>
    <w:rsid w:val="006975EC"/>
    <w:rsid w:val="0069773A"/>
    <w:rsid w:val="00697CAF"/>
    <w:rsid w:val="00697F6C"/>
    <w:rsid w:val="006A0652"/>
    <w:rsid w:val="006A07AA"/>
    <w:rsid w:val="006A08A5"/>
    <w:rsid w:val="006A0F3A"/>
    <w:rsid w:val="006A1171"/>
    <w:rsid w:val="006A1406"/>
    <w:rsid w:val="006A1617"/>
    <w:rsid w:val="006A175A"/>
    <w:rsid w:val="006A2612"/>
    <w:rsid w:val="006A2799"/>
    <w:rsid w:val="006A287D"/>
    <w:rsid w:val="006A2BFC"/>
    <w:rsid w:val="006A2C97"/>
    <w:rsid w:val="006A2F18"/>
    <w:rsid w:val="006A2FC3"/>
    <w:rsid w:val="006A3F7B"/>
    <w:rsid w:val="006A4196"/>
    <w:rsid w:val="006A458B"/>
    <w:rsid w:val="006A4AA5"/>
    <w:rsid w:val="006A5F1C"/>
    <w:rsid w:val="006A68C1"/>
    <w:rsid w:val="006A73DC"/>
    <w:rsid w:val="006B0A1E"/>
    <w:rsid w:val="006B0B68"/>
    <w:rsid w:val="006B0F3E"/>
    <w:rsid w:val="006B123C"/>
    <w:rsid w:val="006B1478"/>
    <w:rsid w:val="006B184C"/>
    <w:rsid w:val="006B1BD2"/>
    <w:rsid w:val="006B1F0E"/>
    <w:rsid w:val="006B206C"/>
    <w:rsid w:val="006B230A"/>
    <w:rsid w:val="006B3149"/>
    <w:rsid w:val="006B38AF"/>
    <w:rsid w:val="006B3917"/>
    <w:rsid w:val="006B3F9B"/>
    <w:rsid w:val="006B4120"/>
    <w:rsid w:val="006B46A5"/>
    <w:rsid w:val="006B48E8"/>
    <w:rsid w:val="006B4C48"/>
    <w:rsid w:val="006B4ECD"/>
    <w:rsid w:val="006B5942"/>
    <w:rsid w:val="006B59AF"/>
    <w:rsid w:val="006B5CCC"/>
    <w:rsid w:val="006B5F10"/>
    <w:rsid w:val="006B694F"/>
    <w:rsid w:val="006B6ADF"/>
    <w:rsid w:val="006B7602"/>
    <w:rsid w:val="006B76EC"/>
    <w:rsid w:val="006C004D"/>
    <w:rsid w:val="006C06AF"/>
    <w:rsid w:val="006C0896"/>
    <w:rsid w:val="006C0996"/>
    <w:rsid w:val="006C14C0"/>
    <w:rsid w:val="006C1B6E"/>
    <w:rsid w:val="006C2565"/>
    <w:rsid w:val="006C2760"/>
    <w:rsid w:val="006C2C23"/>
    <w:rsid w:val="006C3A49"/>
    <w:rsid w:val="006C40E6"/>
    <w:rsid w:val="006C41A3"/>
    <w:rsid w:val="006C43B6"/>
    <w:rsid w:val="006C47AE"/>
    <w:rsid w:val="006C4C9E"/>
    <w:rsid w:val="006C4F72"/>
    <w:rsid w:val="006C532F"/>
    <w:rsid w:val="006C586C"/>
    <w:rsid w:val="006C5A05"/>
    <w:rsid w:val="006C5BDE"/>
    <w:rsid w:val="006C5BFA"/>
    <w:rsid w:val="006C5E20"/>
    <w:rsid w:val="006C5E83"/>
    <w:rsid w:val="006C6A19"/>
    <w:rsid w:val="006C6E8A"/>
    <w:rsid w:val="006C71F2"/>
    <w:rsid w:val="006C77D9"/>
    <w:rsid w:val="006C7D04"/>
    <w:rsid w:val="006D026D"/>
    <w:rsid w:val="006D0BE8"/>
    <w:rsid w:val="006D0C19"/>
    <w:rsid w:val="006D0FB0"/>
    <w:rsid w:val="006D0FDC"/>
    <w:rsid w:val="006D11E4"/>
    <w:rsid w:val="006D14C5"/>
    <w:rsid w:val="006D15F7"/>
    <w:rsid w:val="006D1DFF"/>
    <w:rsid w:val="006D203A"/>
    <w:rsid w:val="006D2080"/>
    <w:rsid w:val="006D2EA2"/>
    <w:rsid w:val="006D36B6"/>
    <w:rsid w:val="006D38E3"/>
    <w:rsid w:val="006D3AC8"/>
    <w:rsid w:val="006D3E87"/>
    <w:rsid w:val="006D3EEB"/>
    <w:rsid w:val="006D47F2"/>
    <w:rsid w:val="006D4C94"/>
    <w:rsid w:val="006D4EC2"/>
    <w:rsid w:val="006D500E"/>
    <w:rsid w:val="006D5230"/>
    <w:rsid w:val="006D5CFD"/>
    <w:rsid w:val="006D6123"/>
    <w:rsid w:val="006D65A7"/>
    <w:rsid w:val="006D68E9"/>
    <w:rsid w:val="006D739F"/>
    <w:rsid w:val="006D75CC"/>
    <w:rsid w:val="006E0DB5"/>
    <w:rsid w:val="006E1069"/>
    <w:rsid w:val="006E11DD"/>
    <w:rsid w:val="006E1620"/>
    <w:rsid w:val="006E168F"/>
    <w:rsid w:val="006E1734"/>
    <w:rsid w:val="006E2E10"/>
    <w:rsid w:val="006E2F46"/>
    <w:rsid w:val="006E3011"/>
    <w:rsid w:val="006E3067"/>
    <w:rsid w:val="006E3127"/>
    <w:rsid w:val="006E3F33"/>
    <w:rsid w:val="006E450A"/>
    <w:rsid w:val="006E65D6"/>
    <w:rsid w:val="006E66A7"/>
    <w:rsid w:val="006E6D85"/>
    <w:rsid w:val="006E7E53"/>
    <w:rsid w:val="006E7E5B"/>
    <w:rsid w:val="006F0053"/>
    <w:rsid w:val="006F034E"/>
    <w:rsid w:val="006F0639"/>
    <w:rsid w:val="006F065C"/>
    <w:rsid w:val="006F0C0C"/>
    <w:rsid w:val="006F1F15"/>
    <w:rsid w:val="006F2128"/>
    <w:rsid w:val="006F27C8"/>
    <w:rsid w:val="006F2A8B"/>
    <w:rsid w:val="006F2B82"/>
    <w:rsid w:val="006F2C52"/>
    <w:rsid w:val="006F307F"/>
    <w:rsid w:val="006F30E6"/>
    <w:rsid w:val="006F30FF"/>
    <w:rsid w:val="006F3144"/>
    <w:rsid w:val="006F356C"/>
    <w:rsid w:val="006F46C9"/>
    <w:rsid w:val="006F4823"/>
    <w:rsid w:val="006F4AF8"/>
    <w:rsid w:val="006F4F86"/>
    <w:rsid w:val="006F54B2"/>
    <w:rsid w:val="006F5C63"/>
    <w:rsid w:val="006F5DA6"/>
    <w:rsid w:val="006F62BE"/>
    <w:rsid w:val="006F6408"/>
    <w:rsid w:val="006F64E4"/>
    <w:rsid w:val="006F6F43"/>
    <w:rsid w:val="006F7187"/>
    <w:rsid w:val="006F7433"/>
    <w:rsid w:val="007003E1"/>
    <w:rsid w:val="0070056B"/>
    <w:rsid w:val="00700ADC"/>
    <w:rsid w:val="00700E51"/>
    <w:rsid w:val="007011D7"/>
    <w:rsid w:val="00701646"/>
    <w:rsid w:val="007016EA"/>
    <w:rsid w:val="00701A9B"/>
    <w:rsid w:val="00701AAD"/>
    <w:rsid w:val="00701B7F"/>
    <w:rsid w:val="00701C8C"/>
    <w:rsid w:val="00701F19"/>
    <w:rsid w:val="007021FB"/>
    <w:rsid w:val="007026E5"/>
    <w:rsid w:val="00702E22"/>
    <w:rsid w:val="00702FEC"/>
    <w:rsid w:val="007031CE"/>
    <w:rsid w:val="0070405B"/>
    <w:rsid w:val="007044FB"/>
    <w:rsid w:val="007046AE"/>
    <w:rsid w:val="00704AF4"/>
    <w:rsid w:val="007055C8"/>
    <w:rsid w:val="00705731"/>
    <w:rsid w:val="007064B2"/>
    <w:rsid w:val="00706FF5"/>
    <w:rsid w:val="007074AD"/>
    <w:rsid w:val="00707D92"/>
    <w:rsid w:val="00707FBE"/>
    <w:rsid w:val="00710303"/>
    <w:rsid w:val="0071035D"/>
    <w:rsid w:val="007107AB"/>
    <w:rsid w:val="00710AD3"/>
    <w:rsid w:val="0071195A"/>
    <w:rsid w:val="007121AB"/>
    <w:rsid w:val="0071275D"/>
    <w:rsid w:val="00712C1F"/>
    <w:rsid w:val="00713044"/>
    <w:rsid w:val="00713E34"/>
    <w:rsid w:val="00714984"/>
    <w:rsid w:val="00714BE6"/>
    <w:rsid w:val="00715032"/>
    <w:rsid w:val="007156F6"/>
    <w:rsid w:val="0071635E"/>
    <w:rsid w:val="007165C4"/>
    <w:rsid w:val="00716770"/>
    <w:rsid w:val="0071691D"/>
    <w:rsid w:val="00716A3C"/>
    <w:rsid w:val="00717313"/>
    <w:rsid w:val="0072027F"/>
    <w:rsid w:val="00720492"/>
    <w:rsid w:val="007205B4"/>
    <w:rsid w:val="0072074A"/>
    <w:rsid w:val="00722AFC"/>
    <w:rsid w:val="00722EDA"/>
    <w:rsid w:val="00722F87"/>
    <w:rsid w:val="00723B71"/>
    <w:rsid w:val="00724040"/>
    <w:rsid w:val="00724270"/>
    <w:rsid w:val="0072443C"/>
    <w:rsid w:val="0072450D"/>
    <w:rsid w:val="00724560"/>
    <w:rsid w:val="007246AA"/>
    <w:rsid w:val="00724930"/>
    <w:rsid w:val="007253DC"/>
    <w:rsid w:val="007266D3"/>
    <w:rsid w:val="00726935"/>
    <w:rsid w:val="00727152"/>
    <w:rsid w:val="007277B6"/>
    <w:rsid w:val="00727B19"/>
    <w:rsid w:val="00730047"/>
    <w:rsid w:val="00730063"/>
    <w:rsid w:val="00730C91"/>
    <w:rsid w:val="00730EBC"/>
    <w:rsid w:val="0073193C"/>
    <w:rsid w:val="00732301"/>
    <w:rsid w:val="007329BA"/>
    <w:rsid w:val="00733653"/>
    <w:rsid w:val="0073368D"/>
    <w:rsid w:val="007338A1"/>
    <w:rsid w:val="00733F55"/>
    <w:rsid w:val="00734669"/>
    <w:rsid w:val="00735640"/>
    <w:rsid w:val="00735786"/>
    <w:rsid w:val="007359D9"/>
    <w:rsid w:val="00735AD1"/>
    <w:rsid w:val="007361F7"/>
    <w:rsid w:val="007365D6"/>
    <w:rsid w:val="00736A39"/>
    <w:rsid w:val="007370AF"/>
    <w:rsid w:val="00737424"/>
    <w:rsid w:val="00737CD3"/>
    <w:rsid w:val="007401AC"/>
    <w:rsid w:val="00742E9D"/>
    <w:rsid w:val="00743607"/>
    <w:rsid w:val="00744021"/>
    <w:rsid w:val="007443B4"/>
    <w:rsid w:val="007444C7"/>
    <w:rsid w:val="007448AA"/>
    <w:rsid w:val="007455ED"/>
    <w:rsid w:val="007457D5"/>
    <w:rsid w:val="00745BFC"/>
    <w:rsid w:val="00746E6B"/>
    <w:rsid w:val="00747AE7"/>
    <w:rsid w:val="00747EAE"/>
    <w:rsid w:val="007504CF"/>
    <w:rsid w:val="00750A7D"/>
    <w:rsid w:val="00750FAA"/>
    <w:rsid w:val="007516D1"/>
    <w:rsid w:val="0075268A"/>
    <w:rsid w:val="00752CDE"/>
    <w:rsid w:val="0075372A"/>
    <w:rsid w:val="00754509"/>
    <w:rsid w:val="00754CC6"/>
    <w:rsid w:val="00754ED7"/>
    <w:rsid w:val="00756B36"/>
    <w:rsid w:val="00757829"/>
    <w:rsid w:val="00757AF5"/>
    <w:rsid w:val="0076035B"/>
    <w:rsid w:val="007603D3"/>
    <w:rsid w:val="00760F4C"/>
    <w:rsid w:val="00762117"/>
    <w:rsid w:val="0076245F"/>
    <w:rsid w:val="00762E23"/>
    <w:rsid w:val="007632BC"/>
    <w:rsid w:val="007653C1"/>
    <w:rsid w:val="0076561E"/>
    <w:rsid w:val="00765862"/>
    <w:rsid w:val="00765B8C"/>
    <w:rsid w:val="00765F58"/>
    <w:rsid w:val="00765F7E"/>
    <w:rsid w:val="00767CE9"/>
    <w:rsid w:val="00770031"/>
    <w:rsid w:val="0077140A"/>
    <w:rsid w:val="007714E5"/>
    <w:rsid w:val="007715E7"/>
    <w:rsid w:val="007716A5"/>
    <w:rsid w:val="00772C65"/>
    <w:rsid w:val="00773BC0"/>
    <w:rsid w:val="00773F8F"/>
    <w:rsid w:val="0077420F"/>
    <w:rsid w:val="0077469E"/>
    <w:rsid w:val="00774882"/>
    <w:rsid w:val="00774DD9"/>
    <w:rsid w:val="00775177"/>
    <w:rsid w:val="00775923"/>
    <w:rsid w:val="00775B2E"/>
    <w:rsid w:val="00775CD1"/>
    <w:rsid w:val="00776267"/>
    <w:rsid w:val="0077628D"/>
    <w:rsid w:val="007767C8"/>
    <w:rsid w:val="00776A70"/>
    <w:rsid w:val="00776E45"/>
    <w:rsid w:val="007775F3"/>
    <w:rsid w:val="00777890"/>
    <w:rsid w:val="007802D2"/>
    <w:rsid w:val="00780741"/>
    <w:rsid w:val="00780F99"/>
    <w:rsid w:val="0078178B"/>
    <w:rsid w:val="007818EE"/>
    <w:rsid w:val="00781D73"/>
    <w:rsid w:val="00781EE4"/>
    <w:rsid w:val="00781F9D"/>
    <w:rsid w:val="00782575"/>
    <w:rsid w:val="00782C81"/>
    <w:rsid w:val="00782F9E"/>
    <w:rsid w:val="00783BA0"/>
    <w:rsid w:val="00784C3B"/>
    <w:rsid w:val="00785538"/>
    <w:rsid w:val="007857E2"/>
    <w:rsid w:val="0078590E"/>
    <w:rsid w:val="00786DCA"/>
    <w:rsid w:val="00786F35"/>
    <w:rsid w:val="007870A3"/>
    <w:rsid w:val="0078728A"/>
    <w:rsid w:val="00787700"/>
    <w:rsid w:val="007878A4"/>
    <w:rsid w:val="007878D0"/>
    <w:rsid w:val="00787967"/>
    <w:rsid w:val="00787983"/>
    <w:rsid w:val="00787A2D"/>
    <w:rsid w:val="00787CB1"/>
    <w:rsid w:val="00787D15"/>
    <w:rsid w:val="007905EB"/>
    <w:rsid w:val="00790607"/>
    <w:rsid w:val="0079067C"/>
    <w:rsid w:val="00790AE6"/>
    <w:rsid w:val="00790FA2"/>
    <w:rsid w:val="00791125"/>
    <w:rsid w:val="007915A9"/>
    <w:rsid w:val="0079206B"/>
    <w:rsid w:val="00792692"/>
    <w:rsid w:val="00792E51"/>
    <w:rsid w:val="00793484"/>
    <w:rsid w:val="00793626"/>
    <w:rsid w:val="00793E7F"/>
    <w:rsid w:val="00793FB5"/>
    <w:rsid w:val="00794090"/>
    <w:rsid w:val="007943C5"/>
    <w:rsid w:val="0079456A"/>
    <w:rsid w:val="00794615"/>
    <w:rsid w:val="007949CF"/>
    <w:rsid w:val="007949F1"/>
    <w:rsid w:val="00794B35"/>
    <w:rsid w:val="00794FDB"/>
    <w:rsid w:val="007954DD"/>
    <w:rsid w:val="00795EFE"/>
    <w:rsid w:val="00796386"/>
    <w:rsid w:val="0079663F"/>
    <w:rsid w:val="007967C3"/>
    <w:rsid w:val="00796C15"/>
    <w:rsid w:val="00796FF9"/>
    <w:rsid w:val="007970B9"/>
    <w:rsid w:val="00797588"/>
    <w:rsid w:val="007976C2"/>
    <w:rsid w:val="00797F14"/>
    <w:rsid w:val="007A0B39"/>
    <w:rsid w:val="007A1382"/>
    <w:rsid w:val="007A1566"/>
    <w:rsid w:val="007A1E33"/>
    <w:rsid w:val="007A1F08"/>
    <w:rsid w:val="007A219C"/>
    <w:rsid w:val="007A21C6"/>
    <w:rsid w:val="007A22AF"/>
    <w:rsid w:val="007A23A6"/>
    <w:rsid w:val="007A2AE7"/>
    <w:rsid w:val="007A2CCE"/>
    <w:rsid w:val="007A317E"/>
    <w:rsid w:val="007A338A"/>
    <w:rsid w:val="007A33DE"/>
    <w:rsid w:val="007A37F9"/>
    <w:rsid w:val="007A390D"/>
    <w:rsid w:val="007A3A93"/>
    <w:rsid w:val="007A416C"/>
    <w:rsid w:val="007A41BD"/>
    <w:rsid w:val="007A43E7"/>
    <w:rsid w:val="007A4889"/>
    <w:rsid w:val="007A4928"/>
    <w:rsid w:val="007A51D9"/>
    <w:rsid w:val="007A51FE"/>
    <w:rsid w:val="007A5273"/>
    <w:rsid w:val="007A52B9"/>
    <w:rsid w:val="007A533C"/>
    <w:rsid w:val="007A53E4"/>
    <w:rsid w:val="007A5933"/>
    <w:rsid w:val="007A603B"/>
    <w:rsid w:val="007A60D0"/>
    <w:rsid w:val="007A6CBD"/>
    <w:rsid w:val="007A76CA"/>
    <w:rsid w:val="007B063F"/>
    <w:rsid w:val="007B0C1D"/>
    <w:rsid w:val="007B115B"/>
    <w:rsid w:val="007B15FD"/>
    <w:rsid w:val="007B18EC"/>
    <w:rsid w:val="007B1957"/>
    <w:rsid w:val="007B1AA0"/>
    <w:rsid w:val="007B1B15"/>
    <w:rsid w:val="007B2E00"/>
    <w:rsid w:val="007B3ABE"/>
    <w:rsid w:val="007B3E3A"/>
    <w:rsid w:val="007B3F19"/>
    <w:rsid w:val="007B458D"/>
    <w:rsid w:val="007B5272"/>
    <w:rsid w:val="007B5586"/>
    <w:rsid w:val="007B581D"/>
    <w:rsid w:val="007B6159"/>
    <w:rsid w:val="007B72C3"/>
    <w:rsid w:val="007C005E"/>
    <w:rsid w:val="007C0423"/>
    <w:rsid w:val="007C06C7"/>
    <w:rsid w:val="007C0A94"/>
    <w:rsid w:val="007C11F8"/>
    <w:rsid w:val="007C14A3"/>
    <w:rsid w:val="007C1C35"/>
    <w:rsid w:val="007C1DFC"/>
    <w:rsid w:val="007C1E00"/>
    <w:rsid w:val="007C21C7"/>
    <w:rsid w:val="007C2D9D"/>
    <w:rsid w:val="007C41AF"/>
    <w:rsid w:val="007C47DB"/>
    <w:rsid w:val="007C4AE5"/>
    <w:rsid w:val="007C4F23"/>
    <w:rsid w:val="007C505C"/>
    <w:rsid w:val="007C515F"/>
    <w:rsid w:val="007C5451"/>
    <w:rsid w:val="007C56D6"/>
    <w:rsid w:val="007C5768"/>
    <w:rsid w:val="007C59F3"/>
    <w:rsid w:val="007C624C"/>
    <w:rsid w:val="007C761B"/>
    <w:rsid w:val="007C7A80"/>
    <w:rsid w:val="007D0D18"/>
    <w:rsid w:val="007D121E"/>
    <w:rsid w:val="007D2331"/>
    <w:rsid w:val="007D2617"/>
    <w:rsid w:val="007D2674"/>
    <w:rsid w:val="007D33BA"/>
    <w:rsid w:val="007D34A7"/>
    <w:rsid w:val="007D37BE"/>
    <w:rsid w:val="007D3842"/>
    <w:rsid w:val="007D3AF0"/>
    <w:rsid w:val="007D42D3"/>
    <w:rsid w:val="007D46C4"/>
    <w:rsid w:val="007D476E"/>
    <w:rsid w:val="007D488A"/>
    <w:rsid w:val="007D4E0A"/>
    <w:rsid w:val="007D4F50"/>
    <w:rsid w:val="007D5B06"/>
    <w:rsid w:val="007D6B4A"/>
    <w:rsid w:val="007D6C77"/>
    <w:rsid w:val="007D7337"/>
    <w:rsid w:val="007D74F1"/>
    <w:rsid w:val="007D7A5B"/>
    <w:rsid w:val="007D7B55"/>
    <w:rsid w:val="007D7FA6"/>
    <w:rsid w:val="007E0200"/>
    <w:rsid w:val="007E02D5"/>
    <w:rsid w:val="007E0E48"/>
    <w:rsid w:val="007E1ADA"/>
    <w:rsid w:val="007E1D8C"/>
    <w:rsid w:val="007E1FC4"/>
    <w:rsid w:val="007E2277"/>
    <w:rsid w:val="007E29F8"/>
    <w:rsid w:val="007E2E26"/>
    <w:rsid w:val="007E2ECE"/>
    <w:rsid w:val="007E31B9"/>
    <w:rsid w:val="007E3308"/>
    <w:rsid w:val="007E3615"/>
    <w:rsid w:val="007E39BA"/>
    <w:rsid w:val="007E39CC"/>
    <w:rsid w:val="007E3EA5"/>
    <w:rsid w:val="007E3F2B"/>
    <w:rsid w:val="007E47B6"/>
    <w:rsid w:val="007E4A6C"/>
    <w:rsid w:val="007E4E28"/>
    <w:rsid w:val="007E5ACF"/>
    <w:rsid w:val="007E6424"/>
    <w:rsid w:val="007E65F5"/>
    <w:rsid w:val="007E72CA"/>
    <w:rsid w:val="007F0ABA"/>
    <w:rsid w:val="007F1060"/>
    <w:rsid w:val="007F1427"/>
    <w:rsid w:val="007F2438"/>
    <w:rsid w:val="007F2561"/>
    <w:rsid w:val="007F313C"/>
    <w:rsid w:val="007F3F77"/>
    <w:rsid w:val="007F4107"/>
    <w:rsid w:val="007F4294"/>
    <w:rsid w:val="007F4304"/>
    <w:rsid w:val="007F48B8"/>
    <w:rsid w:val="007F4C74"/>
    <w:rsid w:val="007F4CFF"/>
    <w:rsid w:val="007F5C8D"/>
    <w:rsid w:val="007F5E6B"/>
    <w:rsid w:val="007F7773"/>
    <w:rsid w:val="007F7AE2"/>
    <w:rsid w:val="007F7D1C"/>
    <w:rsid w:val="0080017C"/>
    <w:rsid w:val="008002E1"/>
    <w:rsid w:val="00800E8D"/>
    <w:rsid w:val="00800FAB"/>
    <w:rsid w:val="00800FBE"/>
    <w:rsid w:val="00801032"/>
    <w:rsid w:val="0080197C"/>
    <w:rsid w:val="008028F2"/>
    <w:rsid w:val="00802B99"/>
    <w:rsid w:val="00803C3C"/>
    <w:rsid w:val="008042BF"/>
    <w:rsid w:val="008044A9"/>
    <w:rsid w:val="00804598"/>
    <w:rsid w:val="008045CC"/>
    <w:rsid w:val="00804BAE"/>
    <w:rsid w:val="00805980"/>
    <w:rsid w:val="00805EB2"/>
    <w:rsid w:val="008068F3"/>
    <w:rsid w:val="00806C5D"/>
    <w:rsid w:val="0080713E"/>
    <w:rsid w:val="008100EF"/>
    <w:rsid w:val="00810101"/>
    <w:rsid w:val="00810356"/>
    <w:rsid w:val="0081062D"/>
    <w:rsid w:val="00810992"/>
    <w:rsid w:val="00810D7E"/>
    <w:rsid w:val="00811BDC"/>
    <w:rsid w:val="0081214A"/>
    <w:rsid w:val="008121A8"/>
    <w:rsid w:val="00812B84"/>
    <w:rsid w:val="00812C7C"/>
    <w:rsid w:val="00813188"/>
    <w:rsid w:val="0081386C"/>
    <w:rsid w:val="00813EE6"/>
    <w:rsid w:val="0081411B"/>
    <w:rsid w:val="008143B9"/>
    <w:rsid w:val="008143C5"/>
    <w:rsid w:val="00814612"/>
    <w:rsid w:val="00814AA3"/>
    <w:rsid w:val="00814E60"/>
    <w:rsid w:val="008150DC"/>
    <w:rsid w:val="0081516E"/>
    <w:rsid w:val="0081525F"/>
    <w:rsid w:val="00815296"/>
    <w:rsid w:val="008154AC"/>
    <w:rsid w:val="0081563B"/>
    <w:rsid w:val="00815827"/>
    <w:rsid w:val="00815AD5"/>
    <w:rsid w:val="00816A41"/>
    <w:rsid w:val="00816BB9"/>
    <w:rsid w:val="00817364"/>
    <w:rsid w:val="0081771A"/>
    <w:rsid w:val="008200ED"/>
    <w:rsid w:val="008202DE"/>
    <w:rsid w:val="00820A09"/>
    <w:rsid w:val="00820CA3"/>
    <w:rsid w:val="00821432"/>
    <w:rsid w:val="00821B6C"/>
    <w:rsid w:val="00821C48"/>
    <w:rsid w:val="00821E6F"/>
    <w:rsid w:val="008227E6"/>
    <w:rsid w:val="00822D4A"/>
    <w:rsid w:val="008238D0"/>
    <w:rsid w:val="008239B1"/>
    <w:rsid w:val="00823C52"/>
    <w:rsid w:val="008249F7"/>
    <w:rsid w:val="00825DAA"/>
    <w:rsid w:val="00825E69"/>
    <w:rsid w:val="00826A28"/>
    <w:rsid w:val="00827062"/>
    <w:rsid w:val="00827521"/>
    <w:rsid w:val="0082796B"/>
    <w:rsid w:val="00827CD7"/>
    <w:rsid w:val="00827D33"/>
    <w:rsid w:val="00827D41"/>
    <w:rsid w:val="008301EF"/>
    <w:rsid w:val="00830386"/>
    <w:rsid w:val="008310DD"/>
    <w:rsid w:val="008313DB"/>
    <w:rsid w:val="00832427"/>
    <w:rsid w:val="008325CB"/>
    <w:rsid w:val="008328BB"/>
    <w:rsid w:val="008331BE"/>
    <w:rsid w:val="0083335B"/>
    <w:rsid w:val="00833792"/>
    <w:rsid w:val="00833DB8"/>
    <w:rsid w:val="008354E9"/>
    <w:rsid w:val="00835886"/>
    <w:rsid w:val="00835A8A"/>
    <w:rsid w:val="00835E03"/>
    <w:rsid w:val="008373B7"/>
    <w:rsid w:val="00840053"/>
    <w:rsid w:val="00840B16"/>
    <w:rsid w:val="00840DA8"/>
    <w:rsid w:val="008411DB"/>
    <w:rsid w:val="00841490"/>
    <w:rsid w:val="00841D0E"/>
    <w:rsid w:val="008423F0"/>
    <w:rsid w:val="00843410"/>
    <w:rsid w:val="00844480"/>
    <w:rsid w:val="0084456D"/>
    <w:rsid w:val="00844894"/>
    <w:rsid w:val="00844AEC"/>
    <w:rsid w:val="00844B41"/>
    <w:rsid w:val="00844CEA"/>
    <w:rsid w:val="00844FA9"/>
    <w:rsid w:val="0084542D"/>
    <w:rsid w:val="00846012"/>
    <w:rsid w:val="008463C0"/>
    <w:rsid w:val="008466A1"/>
    <w:rsid w:val="008466C6"/>
    <w:rsid w:val="00846734"/>
    <w:rsid w:val="008476FB"/>
    <w:rsid w:val="008500D1"/>
    <w:rsid w:val="00850465"/>
    <w:rsid w:val="00851426"/>
    <w:rsid w:val="00851576"/>
    <w:rsid w:val="008519D3"/>
    <w:rsid w:val="00852C2F"/>
    <w:rsid w:val="00853519"/>
    <w:rsid w:val="00853636"/>
    <w:rsid w:val="00854561"/>
    <w:rsid w:val="008545C4"/>
    <w:rsid w:val="00854776"/>
    <w:rsid w:val="0085479B"/>
    <w:rsid w:val="00854BF7"/>
    <w:rsid w:val="00855255"/>
    <w:rsid w:val="008554E5"/>
    <w:rsid w:val="0085565F"/>
    <w:rsid w:val="0085605B"/>
    <w:rsid w:val="008560DF"/>
    <w:rsid w:val="008561C1"/>
    <w:rsid w:val="0085620D"/>
    <w:rsid w:val="0085689A"/>
    <w:rsid w:val="00856ACB"/>
    <w:rsid w:val="00856D51"/>
    <w:rsid w:val="00857704"/>
    <w:rsid w:val="008577A0"/>
    <w:rsid w:val="00857EE7"/>
    <w:rsid w:val="00860564"/>
    <w:rsid w:val="00860ED9"/>
    <w:rsid w:val="008610B9"/>
    <w:rsid w:val="00861FD8"/>
    <w:rsid w:val="008626A7"/>
    <w:rsid w:val="00862B7E"/>
    <w:rsid w:val="00863730"/>
    <w:rsid w:val="00863D75"/>
    <w:rsid w:val="00863E4E"/>
    <w:rsid w:val="00863F47"/>
    <w:rsid w:val="008646B0"/>
    <w:rsid w:val="0086473E"/>
    <w:rsid w:val="00864A65"/>
    <w:rsid w:val="00864D67"/>
    <w:rsid w:val="00864EC6"/>
    <w:rsid w:val="00865475"/>
    <w:rsid w:val="00865492"/>
    <w:rsid w:val="008661BA"/>
    <w:rsid w:val="008667DA"/>
    <w:rsid w:val="008669E1"/>
    <w:rsid w:val="00866F86"/>
    <w:rsid w:val="008675B0"/>
    <w:rsid w:val="00867961"/>
    <w:rsid w:val="00870069"/>
    <w:rsid w:val="00870A4C"/>
    <w:rsid w:val="00871546"/>
    <w:rsid w:val="00871A7C"/>
    <w:rsid w:val="00871EC4"/>
    <w:rsid w:val="008723DE"/>
    <w:rsid w:val="00872847"/>
    <w:rsid w:val="008729C2"/>
    <w:rsid w:val="00872E80"/>
    <w:rsid w:val="00872FA1"/>
    <w:rsid w:val="00873871"/>
    <w:rsid w:val="008746E7"/>
    <w:rsid w:val="0087475D"/>
    <w:rsid w:val="00875982"/>
    <w:rsid w:val="00875C57"/>
    <w:rsid w:val="0087643A"/>
    <w:rsid w:val="00876B5A"/>
    <w:rsid w:val="00876BB4"/>
    <w:rsid w:val="00876DB3"/>
    <w:rsid w:val="00876F53"/>
    <w:rsid w:val="00877FBD"/>
    <w:rsid w:val="008805BA"/>
    <w:rsid w:val="008806BA"/>
    <w:rsid w:val="00880752"/>
    <w:rsid w:val="00880C1B"/>
    <w:rsid w:val="0088261F"/>
    <w:rsid w:val="008835B8"/>
    <w:rsid w:val="008839F0"/>
    <w:rsid w:val="00884B02"/>
    <w:rsid w:val="00885073"/>
    <w:rsid w:val="008854CF"/>
    <w:rsid w:val="00886662"/>
    <w:rsid w:val="00886856"/>
    <w:rsid w:val="00886C15"/>
    <w:rsid w:val="00886EDD"/>
    <w:rsid w:val="008870A3"/>
    <w:rsid w:val="00887233"/>
    <w:rsid w:val="00887353"/>
    <w:rsid w:val="00887652"/>
    <w:rsid w:val="008908FF"/>
    <w:rsid w:val="00890964"/>
    <w:rsid w:val="00890C2C"/>
    <w:rsid w:val="0089156B"/>
    <w:rsid w:val="00891A16"/>
    <w:rsid w:val="00891AAD"/>
    <w:rsid w:val="00891F3F"/>
    <w:rsid w:val="00892196"/>
    <w:rsid w:val="00892685"/>
    <w:rsid w:val="0089297F"/>
    <w:rsid w:val="00892B64"/>
    <w:rsid w:val="00892C1B"/>
    <w:rsid w:val="0089439D"/>
    <w:rsid w:val="008945E1"/>
    <w:rsid w:val="008947E9"/>
    <w:rsid w:val="00894BCA"/>
    <w:rsid w:val="00895396"/>
    <w:rsid w:val="0089551A"/>
    <w:rsid w:val="00895B7C"/>
    <w:rsid w:val="00895CE0"/>
    <w:rsid w:val="00896485"/>
    <w:rsid w:val="00896E4B"/>
    <w:rsid w:val="00896F5A"/>
    <w:rsid w:val="008973D0"/>
    <w:rsid w:val="00897FE4"/>
    <w:rsid w:val="008A0B1E"/>
    <w:rsid w:val="008A12CF"/>
    <w:rsid w:val="008A156A"/>
    <w:rsid w:val="008A1AE0"/>
    <w:rsid w:val="008A1C47"/>
    <w:rsid w:val="008A1E29"/>
    <w:rsid w:val="008A2782"/>
    <w:rsid w:val="008A2A2F"/>
    <w:rsid w:val="008A2A4D"/>
    <w:rsid w:val="008A31D9"/>
    <w:rsid w:val="008A42B0"/>
    <w:rsid w:val="008A4C33"/>
    <w:rsid w:val="008A4F40"/>
    <w:rsid w:val="008A533E"/>
    <w:rsid w:val="008A5D32"/>
    <w:rsid w:val="008A6799"/>
    <w:rsid w:val="008A6C02"/>
    <w:rsid w:val="008A6E46"/>
    <w:rsid w:val="008A7171"/>
    <w:rsid w:val="008A7345"/>
    <w:rsid w:val="008A7416"/>
    <w:rsid w:val="008A7485"/>
    <w:rsid w:val="008A7521"/>
    <w:rsid w:val="008A79B7"/>
    <w:rsid w:val="008A7A7B"/>
    <w:rsid w:val="008A7AF7"/>
    <w:rsid w:val="008A7B35"/>
    <w:rsid w:val="008B0061"/>
    <w:rsid w:val="008B01F6"/>
    <w:rsid w:val="008B0D3A"/>
    <w:rsid w:val="008B11E8"/>
    <w:rsid w:val="008B14C0"/>
    <w:rsid w:val="008B1BF3"/>
    <w:rsid w:val="008B1DD3"/>
    <w:rsid w:val="008B2110"/>
    <w:rsid w:val="008B2472"/>
    <w:rsid w:val="008B26ED"/>
    <w:rsid w:val="008B27AF"/>
    <w:rsid w:val="008B3029"/>
    <w:rsid w:val="008B3622"/>
    <w:rsid w:val="008B45D4"/>
    <w:rsid w:val="008B600E"/>
    <w:rsid w:val="008B6203"/>
    <w:rsid w:val="008B6237"/>
    <w:rsid w:val="008B62C7"/>
    <w:rsid w:val="008B664A"/>
    <w:rsid w:val="008B6C93"/>
    <w:rsid w:val="008B6DB5"/>
    <w:rsid w:val="008B6E39"/>
    <w:rsid w:val="008B6FEB"/>
    <w:rsid w:val="008B7840"/>
    <w:rsid w:val="008B7C26"/>
    <w:rsid w:val="008B7CEA"/>
    <w:rsid w:val="008C1140"/>
    <w:rsid w:val="008C1289"/>
    <w:rsid w:val="008C139A"/>
    <w:rsid w:val="008C24A6"/>
    <w:rsid w:val="008C2774"/>
    <w:rsid w:val="008C3A9B"/>
    <w:rsid w:val="008C3CD3"/>
    <w:rsid w:val="008C47E7"/>
    <w:rsid w:val="008C4AF3"/>
    <w:rsid w:val="008C4D6C"/>
    <w:rsid w:val="008C5425"/>
    <w:rsid w:val="008C57CE"/>
    <w:rsid w:val="008C5E9C"/>
    <w:rsid w:val="008C5EDB"/>
    <w:rsid w:val="008C5FAD"/>
    <w:rsid w:val="008C6712"/>
    <w:rsid w:val="008C672F"/>
    <w:rsid w:val="008C6796"/>
    <w:rsid w:val="008C6D68"/>
    <w:rsid w:val="008C73F1"/>
    <w:rsid w:val="008C7665"/>
    <w:rsid w:val="008C7CA8"/>
    <w:rsid w:val="008D0260"/>
    <w:rsid w:val="008D10F8"/>
    <w:rsid w:val="008D1732"/>
    <w:rsid w:val="008D181C"/>
    <w:rsid w:val="008D19F3"/>
    <w:rsid w:val="008D1D93"/>
    <w:rsid w:val="008D2296"/>
    <w:rsid w:val="008D22EA"/>
    <w:rsid w:val="008D2C99"/>
    <w:rsid w:val="008D2DAC"/>
    <w:rsid w:val="008D3052"/>
    <w:rsid w:val="008D3124"/>
    <w:rsid w:val="008D320B"/>
    <w:rsid w:val="008D32A2"/>
    <w:rsid w:val="008D3920"/>
    <w:rsid w:val="008D44D8"/>
    <w:rsid w:val="008D4929"/>
    <w:rsid w:val="008D4F0C"/>
    <w:rsid w:val="008D51C0"/>
    <w:rsid w:val="008D5A0E"/>
    <w:rsid w:val="008D5ABC"/>
    <w:rsid w:val="008D5C76"/>
    <w:rsid w:val="008D5DC4"/>
    <w:rsid w:val="008D7585"/>
    <w:rsid w:val="008E0174"/>
    <w:rsid w:val="008E027C"/>
    <w:rsid w:val="008E0AA0"/>
    <w:rsid w:val="008E0F21"/>
    <w:rsid w:val="008E11A0"/>
    <w:rsid w:val="008E1295"/>
    <w:rsid w:val="008E12EC"/>
    <w:rsid w:val="008E1483"/>
    <w:rsid w:val="008E1A82"/>
    <w:rsid w:val="008E22CD"/>
    <w:rsid w:val="008E23BA"/>
    <w:rsid w:val="008E269E"/>
    <w:rsid w:val="008E26AD"/>
    <w:rsid w:val="008E2AC9"/>
    <w:rsid w:val="008E2BFB"/>
    <w:rsid w:val="008E2C30"/>
    <w:rsid w:val="008E3DCC"/>
    <w:rsid w:val="008E4055"/>
    <w:rsid w:val="008E40C6"/>
    <w:rsid w:val="008E40CB"/>
    <w:rsid w:val="008E489E"/>
    <w:rsid w:val="008E4B25"/>
    <w:rsid w:val="008E50E7"/>
    <w:rsid w:val="008E50EF"/>
    <w:rsid w:val="008E527A"/>
    <w:rsid w:val="008E532D"/>
    <w:rsid w:val="008E553B"/>
    <w:rsid w:val="008E58D2"/>
    <w:rsid w:val="008E5A2A"/>
    <w:rsid w:val="008E5E91"/>
    <w:rsid w:val="008E6030"/>
    <w:rsid w:val="008E6EDC"/>
    <w:rsid w:val="008E7166"/>
    <w:rsid w:val="008E7653"/>
    <w:rsid w:val="008E768F"/>
    <w:rsid w:val="008E7AA1"/>
    <w:rsid w:val="008F09C1"/>
    <w:rsid w:val="008F12BB"/>
    <w:rsid w:val="008F176C"/>
    <w:rsid w:val="008F2270"/>
    <w:rsid w:val="008F2313"/>
    <w:rsid w:val="008F282E"/>
    <w:rsid w:val="008F28BA"/>
    <w:rsid w:val="008F2A51"/>
    <w:rsid w:val="008F35AF"/>
    <w:rsid w:val="008F3E10"/>
    <w:rsid w:val="008F4361"/>
    <w:rsid w:val="008F4982"/>
    <w:rsid w:val="008F5E6B"/>
    <w:rsid w:val="008F62DE"/>
    <w:rsid w:val="008F6454"/>
    <w:rsid w:val="008F6727"/>
    <w:rsid w:val="008F70B3"/>
    <w:rsid w:val="008F7359"/>
    <w:rsid w:val="008F75FF"/>
    <w:rsid w:val="008F760A"/>
    <w:rsid w:val="0090021A"/>
    <w:rsid w:val="00900BF7"/>
    <w:rsid w:val="0090106C"/>
    <w:rsid w:val="00901261"/>
    <w:rsid w:val="00901435"/>
    <w:rsid w:val="00901462"/>
    <w:rsid w:val="0090209B"/>
    <w:rsid w:val="00902BDE"/>
    <w:rsid w:val="00902F10"/>
    <w:rsid w:val="0090382F"/>
    <w:rsid w:val="009038B1"/>
    <w:rsid w:val="00903F36"/>
    <w:rsid w:val="00904B2C"/>
    <w:rsid w:val="00904CB0"/>
    <w:rsid w:val="00905A07"/>
    <w:rsid w:val="00905D65"/>
    <w:rsid w:val="00905F5D"/>
    <w:rsid w:val="00906326"/>
    <w:rsid w:val="00906615"/>
    <w:rsid w:val="0090676B"/>
    <w:rsid w:val="00906F7C"/>
    <w:rsid w:val="0090764D"/>
    <w:rsid w:val="0090774F"/>
    <w:rsid w:val="00907839"/>
    <w:rsid w:val="0090785E"/>
    <w:rsid w:val="009078A2"/>
    <w:rsid w:val="009109EB"/>
    <w:rsid w:val="00910C03"/>
    <w:rsid w:val="00910FAC"/>
    <w:rsid w:val="009117D4"/>
    <w:rsid w:val="00911931"/>
    <w:rsid w:val="00911C36"/>
    <w:rsid w:val="00911D77"/>
    <w:rsid w:val="00912F30"/>
    <w:rsid w:val="0091397A"/>
    <w:rsid w:val="00914283"/>
    <w:rsid w:val="009155A5"/>
    <w:rsid w:val="009162F0"/>
    <w:rsid w:val="0091648D"/>
    <w:rsid w:val="009168BD"/>
    <w:rsid w:val="00916C47"/>
    <w:rsid w:val="009177A5"/>
    <w:rsid w:val="0091797F"/>
    <w:rsid w:val="00920FB9"/>
    <w:rsid w:val="009215C5"/>
    <w:rsid w:val="009219A3"/>
    <w:rsid w:val="00921D00"/>
    <w:rsid w:val="0092228C"/>
    <w:rsid w:val="009225CA"/>
    <w:rsid w:val="0092301B"/>
    <w:rsid w:val="009231D6"/>
    <w:rsid w:val="00923945"/>
    <w:rsid w:val="00923DB6"/>
    <w:rsid w:val="00923FCE"/>
    <w:rsid w:val="009242DD"/>
    <w:rsid w:val="009247F5"/>
    <w:rsid w:val="00924A8A"/>
    <w:rsid w:val="00924AE8"/>
    <w:rsid w:val="00924D66"/>
    <w:rsid w:val="00924DB2"/>
    <w:rsid w:val="00924DCC"/>
    <w:rsid w:val="009256A2"/>
    <w:rsid w:val="00926126"/>
    <w:rsid w:val="00926735"/>
    <w:rsid w:val="0092687D"/>
    <w:rsid w:val="0092708D"/>
    <w:rsid w:val="00927269"/>
    <w:rsid w:val="009272A7"/>
    <w:rsid w:val="009273EF"/>
    <w:rsid w:val="0092756D"/>
    <w:rsid w:val="009275E6"/>
    <w:rsid w:val="00930113"/>
    <w:rsid w:val="00930FAC"/>
    <w:rsid w:val="0093127F"/>
    <w:rsid w:val="00931698"/>
    <w:rsid w:val="00931A71"/>
    <w:rsid w:val="00931ECB"/>
    <w:rsid w:val="0093217B"/>
    <w:rsid w:val="00932BF9"/>
    <w:rsid w:val="00932CCA"/>
    <w:rsid w:val="009330DB"/>
    <w:rsid w:val="00933770"/>
    <w:rsid w:val="00933850"/>
    <w:rsid w:val="00933F5F"/>
    <w:rsid w:val="00934FB1"/>
    <w:rsid w:val="009357A2"/>
    <w:rsid w:val="009358DC"/>
    <w:rsid w:val="00935DBC"/>
    <w:rsid w:val="0093608E"/>
    <w:rsid w:val="0093647C"/>
    <w:rsid w:val="00936748"/>
    <w:rsid w:val="00936EDA"/>
    <w:rsid w:val="009371D3"/>
    <w:rsid w:val="0093782C"/>
    <w:rsid w:val="00937A8B"/>
    <w:rsid w:val="00937F93"/>
    <w:rsid w:val="00940EE7"/>
    <w:rsid w:val="00941FFA"/>
    <w:rsid w:val="009423C3"/>
    <w:rsid w:val="00942484"/>
    <w:rsid w:val="009426F3"/>
    <w:rsid w:val="00942FA2"/>
    <w:rsid w:val="00943BFF"/>
    <w:rsid w:val="00943D81"/>
    <w:rsid w:val="00943E1A"/>
    <w:rsid w:val="00943EDB"/>
    <w:rsid w:val="00943F2F"/>
    <w:rsid w:val="0094423D"/>
    <w:rsid w:val="00944787"/>
    <w:rsid w:val="00944826"/>
    <w:rsid w:val="009448A7"/>
    <w:rsid w:val="00944E81"/>
    <w:rsid w:val="0094532F"/>
    <w:rsid w:val="00945D6F"/>
    <w:rsid w:val="00945EAE"/>
    <w:rsid w:val="00946755"/>
    <w:rsid w:val="0094677D"/>
    <w:rsid w:val="00946A3F"/>
    <w:rsid w:val="00947CA6"/>
    <w:rsid w:val="00947CEF"/>
    <w:rsid w:val="009504B1"/>
    <w:rsid w:val="0095149B"/>
    <w:rsid w:val="009517D8"/>
    <w:rsid w:val="0095248A"/>
    <w:rsid w:val="0095263F"/>
    <w:rsid w:val="00952913"/>
    <w:rsid w:val="00952D88"/>
    <w:rsid w:val="00952FBD"/>
    <w:rsid w:val="009534CF"/>
    <w:rsid w:val="00953616"/>
    <w:rsid w:val="009545E2"/>
    <w:rsid w:val="00954C42"/>
    <w:rsid w:val="009553E4"/>
    <w:rsid w:val="009557B9"/>
    <w:rsid w:val="00955831"/>
    <w:rsid w:val="00955C53"/>
    <w:rsid w:val="00955D33"/>
    <w:rsid w:val="009564FD"/>
    <w:rsid w:val="00956B3B"/>
    <w:rsid w:val="00957733"/>
    <w:rsid w:val="00957DF3"/>
    <w:rsid w:val="00957FF7"/>
    <w:rsid w:val="0096019A"/>
    <w:rsid w:val="0096029D"/>
    <w:rsid w:val="009606AE"/>
    <w:rsid w:val="00961859"/>
    <w:rsid w:val="00961AFC"/>
    <w:rsid w:val="00962FFB"/>
    <w:rsid w:val="00963715"/>
    <w:rsid w:val="00963832"/>
    <w:rsid w:val="00963ACF"/>
    <w:rsid w:val="009640A1"/>
    <w:rsid w:val="00964A2E"/>
    <w:rsid w:val="00964A93"/>
    <w:rsid w:val="00964B1D"/>
    <w:rsid w:val="009651D3"/>
    <w:rsid w:val="00965B7A"/>
    <w:rsid w:val="009666C5"/>
    <w:rsid w:val="00966974"/>
    <w:rsid w:val="00966F97"/>
    <w:rsid w:val="00967CCD"/>
    <w:rsid w:val="009700B7"/>
    <w:rsid w:val="0097033C"/>
    <w:rsid w:val="0097094E"/>
    <w:rsid w:val="009710D8"/>
    <w:rsid w:val="009713E4"/>
    <w:rsid w:val="009716D1"/>
    <w:rsid w:val="00971B06"/>
    <w:rsid w:val="00972134"/>
    <w:rsid w:val="009726AB"/>
    <w:rsid w:val="00973065"/>
    <w:rsid w:val="00973099"/>
    <w:rsid w:val="0097322F"/>
    <w:rsid w:val="009732E6"/>
    <w:rsid w:val="00973462"/>
    <w:rsid w:val="009734D6"/>
    <w:rsid w:val="009735B5"/>
    <w:rsid w:val="0097390C"/>
    <w:rsid w:val="00973DC8"/>
    <w:rsid w:val="00974018"/>
    <w:rsid w:val="009753AA"/>
    <w:rsid w:val="009758D4"/>
    <w:rsid w:val="00975AD4"/>
    <w:rsid w:val="00976237"/>
    <w:rsid w:val="00976E67"/>
    <w:rsid w:val="009774D4"/>
    <w:rsid w:val="00977723"/>
    <w:rsid w:val="00977E3F"/>
    <w:rsid w:val="00977FF8"/>
    <w:rsid w:val="009803D9"/>
    <w:rsid w:val="0098093F"/>
    <w:rsid w:val="00980BEB"/>
    <w:rsid w:val="009814B8"/>
    <w:rsid w:val="009817CE"/>
    <w:rsid w:val="00981A2F"/>
    <w:rsid w:val="009823EE"/>
    <w:rsid w:val="00982415"/>
    <w:rsid w:val="009825A3"/>
    <w:rsid w:val="00982AD0"/>
    <w:rsid w:val="00982BC9"/>
    <w:rsid w:val="0098303D"/>
    <w:rsid w:val="00983B05"/>
    <w:rsid w:val="00984547"/>
    <w:rsid w:val="009848AA"/>
    <w:rsid w:val="009848C6"/>
    <w:rsid w:val="00984A1D"/>
    <w:rsid w:val="00985088"/>
    <w:rsid w:val="009850F7"/>
    <w:rsid w:val="00985907"/>
    <w:rsid w:val="009869D6"/>
    <w:rsid w:val="00987096"/>
    <w:rsid w:val="0098719D"/>
    <w:rsid w:val="009875C0"/>
    <w:rsid w:val="009877F2"/>
    <w:rsid w:val="00987935"/>
    <w:rsid w:val="00987F24"/>
    <w:rsid w:val="0099087B"/>
    <w:rsid w:val="00990EEB"/>
    <w:rsid w:val="00991D6C"/>
    <w:rsid w:val="00991E90"/>
    <w:rsid w:val="00991F3C"/>
    <w:rsid w:val="009920D7"/>
    <w:rsid w:val="009928BE"/>
    <w:rsid w:val="00992C5C"/>
    <w:rsid w:val="00992E02"/>
    <w:rsid w:val="00993299"/>
    <w:rsid w:val="009932D3"/>
    <w:rsid w:val="00993766"/>
    <w:rsid w:val="00993ECB"/>
    <w:rsid w:val="009941D0"/>
    <w:rsid w:val="0099461F"/>
    <w:rsid w:val="009949E7"/>
    <w:rsid w:val="00995156"/>
    <w:rsid w:val="0099534C"/>
    <w:rsid w:val="0099565E"/>
    <w:rsid w:val="00995AB7"/>
    <w:rsid w:val="00996541"/>
    <w:rsid w:val="00996AF8"/>
    <w:rsid w:val="00996DF8"/>
    <w:rsid w:val="00996F0C"/>
    <w:rsid w:val="0099789E"/>
    <w:rsid w:val="00997AE3"/>
    <w:rsid w:val="009A0865"/>
    <w:rsid w:val="009A09A9"/>
    <w:rsid w:val="009A1208"/>
    <w:rsid w:val="009A14E3"/>
    <w:rsid w:val="009A1DA5"/>
    <w:rsid w:val="009A2328"/>
    <w:rsid w:val="009A2AD9"/>
    <w:rsid w:val="009A2B20"/>
    <w:rsid w:val="009A2E79"/>
    <w:rsid w:val="009A30D1"/>
    <w:rsid w:val="009A3159"/>
    <w:rsid w:val="009A32A9"/>
    <w:rsid w:val="009A340A"/>
    <w:rsid w:val="009A3CF0"/>
    <w:rsid w:val="009A3E1F"/>
    <w:rsid w:val="009A3F65"/>
    <w:rsid w:val="009A4195"/>
    <w:rsid w:val="009A494D"/>
    <w:rsid w:val="009A4B50"/>
    <w:rsid w:val="009A5217"/>
    <w:rsid w:val="009A5F90"/>
    <w:rsid w:val="009A6110"/>
    <w:rsid w:val="009A6B0D"/>
    <w:rsid w:val="009A6D2D"/>
    <w:rsid w:val="009A73DB"/>
    <w:rsid w:val="009A78A8"/>
    <w:rsid w:val="009B0510"/>
    <w:rsid w:val="009B0603"/>
    <w:rsid w:val="009B0951"/>
    <w:rsid w:val="009B0A62"/>
    <w:rsid w:val="009B0CE6"/>
    <w:rsid w:val="009B0DE0"/>
    <w:rsid w:val="009B0E54"/>
    <w:rsid w:val="009B1E8F"/>
    <w:rsid w:val="009B1FA4"/>
    <w:rsid w:val="009B2585"/>
    <w:rsid w:val="009B2D66"/>
    <w:rsid w:val="009B3842"/>
    <w:rsid w:val="009B3B49"/>
    <w:rsid w:val="009B3DBA"/>
    <w:rsid w:val="009B432E"/>
    <w:rsid w:val="009B450E"/>
    <w:rsid w:val="009B4846"/>
    <w:rsid w:val="009B4EBE"/>
    <w:rsid w:val="009B4FD6"/>
    <w:rsid w:val="009B5ED8"/>
    <w:rsid w:val="009B6591"/>
    <w:rsid w:val="009B7F11"/>
    <w:rsid w:val="009C05A0"/>
    <w:rsid w:val="009C06BB"/>
    <w:rsid w:val="009C0EF6"/>
    <w:rsid w:val="009C1070"/>
    <w:rsid w:val="009C1487"/>
    <w:rsid w:val="009C1EA6"/>
    <w:rsid w:val="009C3804"/>
    <w:rsid w:val="009C49BB"/>
    <w:rsid w:val="009C4B12"/>
    <w:rsid w:val="009C547E"/>
    <w:rsid w:val="009C5587"/>
    <w:rsid w:val="009C5A88"/>
    <w:rsid w:val="009C60BA"/>
    <w:rsid w:val="009C68B4"/>
    <w:rsid w:val="009C7276"/>
    <w:rsid w:val="009C73F3"/>
    <w:rsid w:val="009C778D"/>
    <w:rsid w:val="009D025F"/>
    <w:rsid w:val="009D0D67"/>
    <w:rsid w:val="009D1D76"/>
    <w:rsid w:val="009D1FF4"/>
    <w:rsid w:val="009D2597"/>
    <w:rsid w:val="009D288C"/>
    <w:rsid w:val="009D2DEE"/>
    <w:rsid w:val="009D2E03"/>
    <w:rsid w:val="009D3691"/>
    <w:rsid w:val="009D3E7E"/>
    <w:rsid w:val="009D401F"/>
    <w:rsid w:val="009D4499"/>
    <w:rsid w:val="009D4566"/>
    <w:rsid w:val="009D4C96"/>
    <w:rsid w:val="009D4EB8"/>
    <w:rsid w:val="009D534F"/>
    <w:rsid w:val="009D5A16"/>
    <w:rsid w:val="009D6310"/>
    <w:rsid w:val="009D700F"/>
    <w:rsid w:val="009D7908"/>
    <w:rsid w:val="009E0E41"/>
    <w:rsid w:val="009E0EB6"/>
    <w:rsid w:val="009E129C"/>
    <w:rsid w:val="009E17F7"/>
    <w:rsid w:val="009E1BF8"/>
    <w:rsid w:val="009E21A6"/>
    <w:rsid w:val="009E3999"/>
    <w:rsid w:val="009E3D35"/>
    <w:rsid w:val="009E407D"/>
    <w:rsid w:val="009E4564"/>
    <w:rsid w:val="009E4846"/>
    <w:rsid w:val="009E4AE7"/>
    <w:rsid w:val="009E4C38"/>
    <w:rsid w:val="009E54FB"/>
    <w:rsid w:val="009E58C1"/>
    <w:rsid w:val="009E5C45"/>
    <w:rsid w:val="009E6949"/>
    <w:rsid w:val="009E7008"/>
    <w:rsid w:val="009E7654"/>
    <w:rsid w:val="009F038D"/>
    <w:rsid w:val="009F0575"/>
    <w:rsid w:val="009F0EB6"/>
    <w:rsid w:val="009F0F41"/>
    <w:rsid w:val="009F11B4"/>
    <w:rsid w:val="009F1CB8"/>
    <w:rsid w:val="009F20A7"/>
    <w:rsid w:val="009F22A3"/>
    <w:rsid w:val="009F3410"/>
    <w:rsid w:val="009F3935"/>
    <w:rsid w:val="009F3B03"/>
    <w:rsid w:val="009F408D"/>
    <w:rsid w:val="009F40FB"/>
    <w:rsid w:val="009F502C"/>
    <w:rsid w:val="009F5C3F"/>
    <w:rsid w:val="009F65CF"/>
    <w:rsid w:val="009F68D0"/>
    <w:rsid w:val="009F69BA"/>
    <w:rsid w:val="009F7081"/>
    <w:rsid w:val="009F7750"/>
    <w:rsid w:val="009F7768"/>
    <w:rsid w:val="009F7F30"/>
    <w:rsid w:val="00A00013"/>
    <w:rsid w:val="00A0076B"/>
    <w:rsid w:val="00A00DAC"/>
    <w:rsid w:val="00A01D41"/>
    <w:rsid w:val="00A02F34"/>
    <w:rsid w:val="00A03148"/>
    <w:rsid w:val="00A03B67"/>
    <w:rsid w:val="00A0462B"/>
    <w:rsid w:val="00A05DCF"/>
    <w:rsid w:val="00A060C4"/>
    <w:rsid w:val="00A067D0"/>
    <w:rsid w:val="00A067F8"/>
    <w:rsid w:val="00A069F9"/>
    <w:rsid w:val="00A06DC2"/>
    <w:rsid w:val="00A0753E"/>
    <w:rsid w:val="00A1078F"/>
    <w:rsid w:val="00A113F9"/>
    <w:rsid w:val="00A119C3"/>
    <w:rsid w:val="00A11E64"/>
    <w:rsid w:val="00A124B5"/>
    <w:rsid w:val="00A127F7"/>
    <w:rsid w:val="00A130D9"/>
    <w:rsid w:val="00A134FE"/>
    <w:rsid w:val="00A13861"/>
    <w:rsid w:val="00A13D60"/>
    <w:rsid w:val="00A13F36"/>
    <w:rsid w:val="00A147F3"/>
    <w:rsid w:val="00A14BD7"/>
    <w:rsid w:val="00A154B4"/>
    <w:rsid w:val="00A155A2"/>
    <w:rsid w:val="00A15D70"/>
    <w:rsid w:val="00A161B5"/>
    <w:rsid w:val="00A16893"/>
    <w:rsid w:val="00A16BEE"/>
    <w:rsid w:val="00A16DC7"/>
    <w:rsid w:val="00A16EBE"/>
    <w:rsid w:val="00A175C6"/>
    <w:rsid w:val="00A17694"/>
    <w:rsid w:val="00A17C70"/>
    <w:rsid w:val="00A20327"/>
    <w:rsid w:val="00A20657"/>
    <w:rsid w:val="00A20FF7"/>
    <w:rsid w:val="00A211D1"/>
    <w:rsid w:val="00A2128C"/>
    <w:rsid w:val="00A21460"/>
    <w:rsid w:val="00A2148B"/>
    <w:rsid w:val="00A21BF3"/>
    <w:rsid w:val="00A226C4"/>
    <w:rsid w:val="00A22C5D"/>
    <w:rsid w:val="00A22F19"/>
    <w:rsid w:val="00A23091"/>
    <w:rsid w:val="00A231C0"/>
    <w:rsid w:val="00A232CE"/>
    <w:rsid w:val="00A23479"/>
    <w:rsid w:val="00A2348B"/>
    <w:rsid w:val="00A234F5"/>
    <w:rsid w:val="00A2357B"/>
    <w:rsid w:val="00A237EA"/>
    <w:rsid w:val="00A23926"/>
    <w:rsid w:val="00A23DC1"/>
    <w:rsid w:val="00A2443B"/>
    <w:rsid w:val="00A2444E"/>
    <w:rsid w:val="00A2455E"/>
    <w:rsid w:val="00A24762"/>
    <w:rsid w:val="00A2497F"/>
    <w:rsid w:val="00A24C28"/>
    <w:rsid w:val="00A25B20"/>
    <w:rsid w:val="00A25B28"/>
    <w:rsid w:val="00A25DD9"/>
    <w:rsid w:val="00A25E35"/>
    <w:rsid w:val="00A260FE"/>
    <w:rsid w:val="00A2665F"/>
    <w:rsid w:val="00A26A3E"/>
    <w:rsid w:val="00A26CA4"/>
    <w:rsid w:val="00A26E81"/>
    <w:rsid w:val="00A270CB"/>
    <w:rsid w:val="00A27526"/>
    <w:rsid w:val="00A275BE"/>
    <w:rsid w:val="00A275C0"/>
    <w:rsid w:val="00A279D2"/>
    <w:rsid w:val="00A27B08"/>
    <w:rsid w:val="00A27C33"/>
    <w:rsid w:val="00A30016"/>
    <w:rsid w:val="00A307FF"/>
    <w:rsid w:val="00A309A6"/>
    <w:rsid w:val="00A30B37"/>
    <w:rsid w:val="00A30E44"/>
    <w:rsid w:val="00A31306"/>
    <w:rsid w:val="00A314F1"/>
    <w:rsid w:val="00A3214E"/>
    <w:rsid w:val="00A32547"/>
    <w:rsid w:val="00A328B6"/>
    <w:rsid w:val="00A328F5"/>
    <w:rsid w:val="00A3303A"/>
    <w:rsid w:val="00A33722"/>
    <w:rsid w:val="00A34207"/>
    <w:rsid w:val="00A342DB"/>
    <w:rsid w:val="00A35EE8"/>
    <w:rsid w:val="00A3623B"/>
    <w:rsid w:val="00A368B2"/>
    <w:rsid w:val="00A368D8"/>
    <w:rsid w:val="00A36AD7"/>
    <w:rsid w:val="00A372B1"/>
    <w:rsid w:val="00A37437"/>
    <w:rsid w:val="00A3745C"/>
    <w:rsid w:val="00A375C0"/>
    <w:rsid w:val="00A37643"/>
    <w:rsid w:val="00A37ADB"/>
    <w:rsid w:val="00A37D13"/>
    <w:rsid w:val="00A401CA"/>
    <w:rsid w:val="00A4096B"/>
    <w:rsid w:val="00A40997"/>
    <w:rsid w:val="00A41010"/>
    <w:rsid w:val="00A428BC"/>
    <w:rsid w:val="00A42EC2"/>
    <w:rsid w:val="00A432A6"/>
    <w:rsid w:val="00A438A1"/>
    <w:rsid w:val="00A449D3"/>
    <w:rsid w:val="00A44C01"/>
    <w:rsid w:val="00A44DD2"/>
    <w:rsid w:val="00A45519"/>
    <w:rsid w:val="00A458E5"/>
    <w:rsid w:val="00A4625A"/>
    <w:rsid w:val="00A467A1"/>
    <w:rsid w:val="00A46CCD"/>
    <w:rsid w:val="00A46E98"/>
    <w:rsid w:val="00A47048"/>
    <w:rsid w:val="00A4716B"/>
    <w:rsid w:val="00A47831"/>
    <w:rsid w:val="00A50731"/>
    <w:rsid w:val="00A51151"/>
    <w:rsid w:val="00A5117A"/>
    <w:rsid w:val="00A5121D"/>
    <w:rsid w:val="00A51238"/>
    <w:rsid w:val="00A5162A"/>
    <w:rsid w:val="00A51F2B"/>
    <w:rsid w:val="00A52100"/>
    <w:rsid w:val="00A52587"/>
    <w:rsid w:val="00A52D9F"/>
    <w:rsid w:val="00A531AA"/>
    <w:rsid w:val="00A543A4"/>
    <w:rsid w:val="00A54428"/>
    <w:rsid w:val="00A54D92"/>
    <w:rsid w:val="00A55374"/>
    <w:rsid w:val="00A55D72"/>
    <w:rsid w:val="00A565AA"/>
    <w:rsid w:val="00A5687C"/>
    <w:rsid w:val="00A56C48"/>
    <w:rsid w:val="00A56D6E"/>
    <w:rsid w:val="00A56F3C"/>
    <w:rsid w:val="00A571A8"/>
    <w:rsid w:val="00A57901"/>
    <w:rsid w:val="00A57D19"/>
    <w:rsid w:val="00A6030B"/>
    <w:rsid w:val="00A6049C"/>
    <w:rsid w:val="00A60646"/>
    <w:rsid w:val="00A60A30"/>
    <w:rsid w:val="00A60B9D"/>
    <w:rsid w:val="00A6126E"/>
    <w:rsid w:val="00A61403"/>
    <w:rsid w:val="00A622E7"/>
    <w:rsid w:val="00A625E3"/>
    <w:rsid w:val="00A62789"/>
    <w:rsid w:val="00A6281C"/>
    <w:rsid w:val="00A62E1C"/>
    <w:rsid w:val="00A64317"/>
    <w:rsid w:val="00A646A7"/>
    <w:rsid w:val="00A64710"/>
    <w:rsid w:val="00A64DAC"/>
    <w:rsid w:val="00A65AE2"/>
    <w:rsid w:val="00A65B92"/>
    <w:rsid w:val="00A65C79"/>
    <w:rsid w:val="00A6615C"/>
    <w:rsid w:val="00A6630A"/>
    <w:rsid w:val="00A66488"/>
    <w:rsid w:val="00A67551"/>
    <w:rsid w:val="00A675A6"/>
    <w:rsid w:val="00A67A7A"/>
    <w:rsid w:val="00A67AEC"/>
    <w:rsid w:val="00A7025A"/>
    <w:rsid w:val="00A723BB"/>
    <w:rsid w:val="00A723F5"/>
    <w:rsid w:val="00A73192"/>
    <w:rsid w:val="00A734DB"/>
    <w:rsid w:val="00A73A50"/>
    <w:rsid w:val="00A73C0B"/>
    <w:rsid w:val="00A73F70"/>
    <w:rsid w:val="00A743F1"/>
    <w:rsid w:val="00A746B8"/>
    <w:rsid w:val="00A7486E"/>
    <w:rsid w:val="00A74FA3"/>
    <w:rsid w:val="00A75293"/>
    <w:rsid w:val="00A758FD"/>
    <w:rsid w:val="00A759F4"/>
    <w:rsid w:val="00A75E7D"/>
    <w:rsid w:val="00A76259"/>
    <w:rsid w:val="00A762DF"/>
    <w:rsid w:val="00A763B5"/>
    <w:rsid w:val="00A769F7"/>
    <w:rsid w:val="00A76A43"/>
    <w:rsid w:val="00A770EC"/>
    <w:rsid w:val="00A77423"/>
    <w:rsid w:val="00A77483"/>
    <w:rsid w:val="00A776B3"/>
    <w:rsid w:val="00A77F8B"/>
    <w:rsid w:val="00A80796"/>
    <w:rsid w:val="00A80B1F"/>
    <w:rsid w:val="00A80C67"/>
    <w:rsid w:val="00A810BD"/>
    <w:rsid w:val="00A815B0"/>
    <w:rsid w:val="00A81617"/>
    <w:rsid w:val="00A81BFE"/>
    <w:rsid w:val="00A81F20"/>
    <w:rsid w:val="00A81F8B"/>
    <w:rsid w:val="00A82173"/>
    <w:rsid w:val="00A8263C"/>
    <w:rsid w:val="00A82C13"/>
    <w:rsid w:val="00A82F41"/>
    <w:rsid w:val="00A8300B"/>
    <w:rsid w:val="00A83922"/>
    <w:rsid w:val="00A83BB7"/>
    <w:rsid w:val="00A83FEB"/>
    <w:rsid w:val="00A847DD"/>
    <w:rsid w:val="00A84B59"/>
    <w:rsid w:val="00A84F5F"/>
    <w:rsid w:val="00A85628"/>
    <w:rsid w:val="00A85974"/>
    <w:rsid w:val="00A85998"/>
    <w:rsid w:val="00A85AF6"/>
    <w:rsid w:val="00A85CD1"/>
    <w:rsid w:val="00A85E2C"/>
    <w:rsid w:val="00A85FFB"/>
    <w:rsid w:val="00A86003"/>
    <w:rsid w:val="00A8602B"/>
    <w:rsid w:val="00A866F5"/>
    <w:rsid w:val="00A86F51"/>
    <w:rsid w:val="00A87C69"/>
    <w:rsid w:val="00A87D34"/>
    <w:rsid w:val="00A87FEA"/>
    <w:rsid w:val="00A90609"/>
    <w:rsid w:val="00A9081A"/>
    <w:rsid w:val="00A90B29"/>
    <w:rsid w:val="00A90BAE"/>
    <w:rsid w:val="00A91528"/>
    <w:rsid w:val="00A91B99"/>
    <w:rsid w:val="00A91C49"/>
    <w:rsid w:val="00A91C74"/>
    <w:rsid w:val="00A91FE6"/>
    <w:rsid w:val="00A9251E"/>
    <w:rsid w:val="00A928F5"/>
    <w:rsid w:val="00A92C21"/>
    <w:rsid w:val="00A9302C"/>
    <w:rsid w:val="00A935AF"/>
    <w:rsid w:val="00A93735"/>
    <w:rsid w:val="00A939DB"/>
    <w:rsid w:val="00A93CF0"/>
    <w:rsid w:val="00A93FD7"/>
    <w:rsid w:val="00A940F8"/>
    <w:rsid w:val="00A94B9F"/>
    <w:rsid w:val="00A9559A"/>
    <w:rsid w:val="00A95F0E"/>
    <w:rsid w:val="00A96478"/>
    <w:rsid w:val="00A96493"/>
    <w:rsid w:val="00A96AF0"/>
    <w:rsid w:val="00A9717A"/>
    <w:rsid w:val="00A97643"/>
    <w:rsid w:val="00A97E09"/>
    <w:rsid w:val="00AA0B4C"/>
    <w:rsid w:val="00AA0C06"/>
    <w:rsid w:val="00AA0C21"/>
    <w:rsid w:val="00AA1542"/>
    <w:rsid w:val="00AA157F"/>
    <w:rsid w:val="00AA1722"/>
    <w:rsid w:val="00AA18F6"/>
    <w:rsid w:val="00AA1F29"/>
    <w:rsid w:val="00AA2C31"/>
    <w:rsid w:val="00AA2F4C"/>
    <w:rsid w:val="00AA32A7"/>
    <w:rsid w:val="00AA365F"/>
    <w:rsid w:val="00AA3FFC"/>
    <w:rsid w:val="00AA471E"/>
    <w:rsid w:val="00AA5D9E"/>
    <w:rsid w:val="00AA6278"/>
    <w:rsid w:val="00AA62CC"/>
    <w:rsid w:val="00AA6351"/>
    <w:rsid w:val="00AA64A1"/>
    <w:rsid w:val="00AA6648"/>
    <w:rsid w:val="00AA754C"/>
    <w:rsid w:val="00AB0736"/>
    <w:rsid w:val="00AB07A2"/>
    <w:rsid w:val="00AB0B74"/>
    <w:rsid w:val="00AB1202"/>
    <w:rsid w:val="00AB1B97"/>
    <w:rsid w:val="00AB1F33"/>
    <w:rsid w:val="00AB2044"/>
    <w:rsid w:val="00AB2C81"/>
    <w:rsid w:val="00AB2CD0"/>
    <w:rsid w:val="00AB2DDD"/>
    <w:rsid w:val="00AB2EBA"/>
    <w:rsid w:val="00AB3504"/>
    <w:rsid w:val="00AB3ECC"/>
    <w:rsid w:val="00AB3FFA"/>
    <w:rsid w:val="00AB4717"/>
    <w:rsid w:val="00AB4BC0"/>
    <w:rsid w:val="00AB4F12"/>
    <w:rsid w:val="00AB536B"/>
    <w:rsid w:val="00AB5608"/>
    <w:rsid w:val="00AB5695"/>
    <w:rsid w:val="00AB5C1E"/>
    <w:rsid w:val="00AB5D37"/>
    <w:rsid w:val="00AB639D"/>
    <w:rsid w:val="00AB6401"/>
    <w:rsid w:val="00AB69A0"/>
    <w:rsid w:val="00AB69E8"/>
    <w:rsid w:val="00AB6A04"/>
    <w:rsid w:val="00AB6B68"/>
    <w:rsid w:val="00AB6CC2"/>
    <w:rsid w:val="00AB75C6"/>
    <w:rsid w:val="00AB7CAE"/>
    <w:rsid w:val="00AC0637"/>
    <w:rsid w:val="00AC08E3"/>
    <w:rsid w:val="00AC0E0C"/>
    <w:rsid w:val="00AC0E8B"/>
    <w:rsid w:val="00AC1193"/>
    <w:rsid w:val="00AC255B"/>
    <w:rsid w:val="00AC2C72"/>
    <w:rsid w:val="00AC30B9"/>
    <w:rsid w:val="00AC3161"/>
    <w:rsid w:val="00AC3BFA"/>
    <w:rsid w:val="00AC3CE5"/>
    <w:rsid w:val="00AC3F70"/>
    <w:rsid w:val="00AC3FD8"/>
    <w:rsid w:val="00AC42C1"/>
    <w:rsid w:val="00AC43ED"/>
    <w:rsid w:val="00AC44EA"/>
    <w:rsid w:val="00AC45B9"/>
    <w:rsid w:val="00AC51AF"/>
    <w:rsid w:val="00AC51B3"/>
    <w:rsid w:val="00AC572E"/>
    <w:rsid w:val="00AC6177"/>
    <w:rsid w:val="00AC6888"/>
    <w:rsid w:val="00AC6A06"/>
    <w:rsid w:val="00AC7271"/>
    <w:rsid w:val="00AC72C9"/>
    <w:rsid w:val="00AC7C97"/>
    <w:rsid w:val="00AC7D0F"/>
    <w:rsid w:val="00AD0856"/>
    <w:rsid w:val="00AD088E"/>
    <w:rsid w:val="00AD159A"/>
    <w:rsid w:val="00AD1FDE"/>
    <w:rsid w:val="00AD2108"/>
    <w:rsid w:val="00AD247F"/>
    <w:rsid w:val="00AD253C"/>
    <w:rsid w:val="00AD2958"/>
    <w:rsid w:val="00AD295F"/>
    <w:rsid w:val="00AD2D61"/>
    <w:rsid w:val="00AD2D93"/>
    <w:rsid w:val="00AD32A8"/>
    <w:rsid w:val="00AD336B"/>
    <w:rsid w:val="00AD363D"/>
    <w:rsid w:val="00AD39E3"/>
    <w:rsid w:val="00AD3D6E"/>
    <w:rsid w:val="00AD428E"/>
    <w:rsid w:val="00AD53F5"/>
    <w:rsid w:val="00AD59AA"/>
    <w:rsid w:val="00AD5B5F"/>
    <w:rsid w:val="00AD6500"/>
    <w:rsid w:val="00AD65FF"/>
    <w:rsid w:val="00AD6858"/>
    <w:rsid w:val="00AD6A23"/>
    <w:rsid w:val="00AD6AEF"/>
    <w:rsid w:val="00AD6C99"/>
    <w:rsid w:val="00AD6DD7"/>
    <w:rsid w:val="00AD6F66"/>
    <w:rsid w:val="00AD6F8A"/>
    <w:rsid w:val="00AD721F"/>
    <w:rsid w:val="00AD7AD5"/>
    <w:rsid w:val="00AE00C1"/>
    <w:rsid w:val="00AE07D0"/>
    <w:rsid w:val="00AE0AC1"/>
    <w:rsid w:val="00AE0B46"/>
    <w:rsid w:val="00AE2540"/>
    <w:rsid w:val="00AE2BAB"/>
    <w:rsid w:val="00AE2F79"/>
    <w:rsid w:val="00AE400B"/>
    <w:rsid w:val="00AE4B93"/>
    <w:rsid w:val="00AE4E45"/>
    <w:rsid w:val="00AE59F7"/>
    <w:rsid w:val="00AE5B6A"/>
    <w:rsid w:val="00AE5E78"/>
    <w:rsid w:val="00AE5F7A"/>
    <w:rsid w:val="00AE78A4"/>
    <w:rsid w:val="00AE7E09"/>
    <w:rsid w:val="00AF00CC"/>
    <w:rsid w:val="00AF0A6A"/>
    <w:rsid w:val="00AF0D64"/>
    <w:rsid w:val="00AF0F43"/>
    <w:rsid w:val="00AF152C"/>
    <w:rsid w:val="00AF1966"/>
    <w:rsid w:val="00AF2212"/>
    <w:rsid w:val="00AF41AE"/>
    <w:rsid w:val="00AF4843"/>
    <w:rsid w:val="00AF4E3C"/>
    <w:rsid w:val="00AF570F"/>
    <w:rsid w:val="00AF59AE"/>
    <w:rsid w:val="00AF5BFB"/>
    <w:rsid w:val="00AF5F4A"/>
    <w:rsid w:val="00AF6621"/>
    <w:rsid w:val="00AF674B"/>
    <w:rsid w:val="00AF6ACC"/>
    <w:rsid w:val="00AF7AD2"/>
    <w:rsid w:val="00B00065"/>
    <w:rsid w:val="00B00105"/>
    <w:rsid w:val="00B00D1D"/>
    <w:rsid w:val="00B00D98"/>
    <w:rsid w:val="00B010CD"/>
    <w:rsid w:val="00B012E7"/>
    <w:rsid w:val="00B01424"/>
    <w:rsid w:val="00B01654"/>
    <w:rsid w:val="00B0172B"/>
    <w:rsid w:val="00B01794"/>
    <w:rsid w:val="00B01AC0"/>
    <w:rsid w:val="00B01EE2"/>
    <w:rsid w:val="00B0202B"/>
    <w:rsid w:val="00B021F9"/>
    <w:rsid w:val="00B02FA9"/>
    <w:rsid w:val="00B03358"/>
    <w:rsid w:val="00B03607"/>
    <w:rsid w:val="00B03724"/>
    <w:rsid w:val="00B03994"/>
    <w:rsid w:val="00B049FC"/>
    <w:rsid w:val="00B04C8D"/>
    <w:rsid w:val="00B0527A"/>
    <w:rsid w:val="00B0586B"/>
    <w:rsid w:val="00B05FA1"/>
    <w:rsid w:val="00B0657D"/>
    <w:rsid w:val="00B068A9"/>
    <w:rsid w:val="00B06B61"/>
    <w:rsid w:val="00B06C14"/>
    <w:rsid w:val="00B0707E"/>
    <w:rsid w:val="00B07A9D"/>
    <w:rsid w:val="00B07C86"/>
    <w:rsid w:val="00B07EDE"/>
    <w:rsid w:val="00B10364"/>
    <w:rsid w:val="00B10380"/>
    <w:rsid w:val="00B10407"/>
    <w:rsid w:val="00B104FF"/>
    <w:rsid w:val="00B11262"/>
    <w:rsid w:val="00B11373"/>
    <w:rsid w:val="00B11636"/>
    <w:rsid w:val="00B1171D"/>
    <w:rsid w:val="00B124A3"/>
    <w:rsid w:val="00B12DBB"/>
    <w:rsid w:val="00B12F6D"/>
    <w:rsid w:val="00B1342E"/>
    <w:rsid w:val="00B13666"/>
    <w:rsid w:val="00B136DA"/>
    <w:rsid w:val="00B13905"/>
    <w:rsid w:val="00B13CD2"/>
    <w:rsid w:val="00B143C3"/>
    <w:rsid w:val="00B14957"/>
    <w:rsid w:val="00B14B3C"/>
    <w:rsid w:val="00B14FC9"/>
    <w:rsid w:val="00B1518F"/>
    <w:rsid w:val="00B1557B"/>
    <w:rsid w:val="00B1583F"/>
    <w:rsid w:val="00B15B20"/>
    <w:rsid w:val="00B15C8C"/>
    <w:rsid w:val="00B161E2"/>
    <w:rsid w:val="00B16247"/>
    <w:rsid w:val="00B16780"/>
    <w:rsid w:val="00B16B23"/>
    <w:rsid w:val="00B16DD0"/>
    <w:rsid w:val="00B177D3"/>
    <w:rsid w:val="00B178E9"/>
    <w:rsid w:val="00B17D75"/>
    <w:rsid w:val="00B17EE6"/>
    <w:rsid w:val="00B2015A"/>
    <w:rsid w:val="00B20DB0"/>
    <w:rsid w:val="00B20EBF"/>
    <w:rsid w:val="00B20F46"/>
    <w:rsid w:val="00B212E2"/>
    <w:rsid w:val="00B2296F"/>
    <w:rsid w:val="00B232C7"/>
    <w:rsid w:val="00B233EA"/>
    <w:rsid w:val="00B238F3"/>
    <w:rsid w:val="00B23DCC"/>
    <w:rsid w:val="00B240E8"/>
    <w:rsid w:val="00B25123"/>
    <w:rsid w:val="00B2596A"/>
    <w:rsid w:val="00B25B84"/>
    <w:rsid w:val="00B25D22"/>
    <w:rsid w:val="00B262A0"/>
    <w:rsid w:val="00B26AC4"/>
    <w:rsid w:val="00B26AD7"/>
    <w:rsid w:val="00B271AC"/>
    <w:rsid w:val="00B27B28"/>
    <w:rsid w:val="00B27BA9"/>
    <w:rsid w:val="00B3091E"/>
    <w:rsid w:val="00B31126"/>
    <w:rsid w:val="00B31377"/>
    <w:rsid w:val="00B32177"/>
    <w:rsid w:val="00B321C2"/>
    <w:rsid w:val="00B32504"/>
    <w:rsid w:val="00B3270D"/>
    <w:rsid w:val="00B32B27"/>
    <w:rsid w:val="00B32B6B"/>
    <w:rsid w:val="00B32F21"/>
    <w:rsid w:val="00B338CA"/>
    <w:rsid w:val="00B33A94"/>
    <w:rsid w:val="00B33AF5"/>
    <w:rsid w:val="00B33C6C"/>
    <w:rsid w:val="00B340E8"/>
    <w:rsid w:val="00B34326"/>
    <w:rsid w:val="00B35ACB"/>
    <w:rsid w:val="00B35C15"/>
    <w:rsid w:val="00B35D8A"/>
    <w:rsid w:val="00B3661C"/>
    <w:rsid w:val="00B36908"/>
    <w:rsid w:val="00B36A72"/>
    <w:rsid w:val="00B36E10"/>
    <w:rsid w:val="00B37090"/>
    <w:rsid w:val="00B3752E"/>
    <w:rsid w:val="00B377F0"/>
    <w:rsid w:val="00B37C22"/>
    <w:rsid w:val="00B37D63"/>
    <w:rsid w:val="00B402B5"/>
    <w:rsid w:val="00B404F9"/>
    <w:rsid w:val="00B40DED"/>
    <w:rsid w:val="00B41D24"/>
    <w:rsid w:val="00B41F47"/>
    <w:rsid w:val="00B421DA"/>
    <w:rsid w:val="00B42FDB"/>
    <w:rsid w:val="00B432A2"/>
    <w:rsid w:val="00B43526"/>
    <w:rsid w:val="00B43565"/>
    <w:rsid w:val="00B436A0"/>
    <w:rsid w:val="00B43780"/>
    <w:rsid w:val="00B4381B"/>
    <w:rsid w:val="00B43F53"/>
    <w:rsid w:val="00B441A0"/>
    <w:rsid w:val="00B44676"/>
    <w:rsid w:val="00B446F3"/>
    <w:rsid w:val="00B44737"/>
    <w:rsid w:val="00B4495E"/>
    <w:rsid w:val="00B45338"/>
    <w:rsid w:val="00B45C25"/>
    <w:rsid w:val="00B45D18"/>
    <w:rsid w:val="00B46051"/>
    <w:rsid w:val="00B4649C"/>
    <w:rsid w:val="00B46F5D"/>
    <w:rsid w:val="00B473BE"/>
    <w:rsid w:val="00B47E15"/>
    <w:rsid w:val="00B50EBC"/>
    <w:rsid w:val="00B50F25"/>
    <w:rsid w:val="00B51438"/>
    <w:rsid w:val="00B51714"/>
    <w:rsid w:val="00B517E3"/>
    <w:rsid w:val="00B5197B"/>
    <w:rsid w:val="00B51994"/>
    <w:rsid w:val="00B526A9"/>
    <w:rsid w:val="00B53268"/>
    <w:rsid w:val="00B53D17"/>
    <w:rsid w:val="00B54304"/>
    <w:rsid w:val="00B54632"/>
    <w:rsid w:val="00B54E57"/>
    <w:rsid w:val="00B55028"/>
    <w:rsid w:val="00B559F3"/>
    <w:rsid w:val="00B57234"/>
    <w:rsid w:val="00B572BE"/>
    <w:rsid w:val="00B57420"/>
    <w:rsid w:val="00B57C00"/>
    <w:rsid w:val="00B57DDB"/>
    <w:rsid w:val="00B60289"/>
    <w:rsid w:val="00B60458"/>
    <w:rsid w:val="00B605E4"/>
    <w:rsid w:val="00B60CE1"/>
    <w:rsid w:val="00B6153C"/>
    <w:rsid w:val="00B61F04"/>
    <w:rsid w:val="00B6218B"/>
    <w:rsid w:val="00B6274B"/>
    <w:rsid w:val="00B62DD7"/>
    <w:rsid w:val="00B63702"/>
    <w:rsid w:val="00B6395A"/>
    <w:rsid w:val="00B64D15"/>
    <w:rsid w:val="00B65609"/>
    <w:rsid w:val="00B656DB"/>
    <w:rsid w:val="00B66053"/>
    <w:rsid w:val="00B66453"/>
    <w:rsid w:val="00B66544"/>
    <w:rsid w:val="00B66A6B"/>
    <w:rsid w:val="00B66AAE"/>
    <w:rsid w:val="00B67081"/>
    <w:rsid w:val="00B67296"/>
    <w:rsid w:val="00B673F8"/>
    <w:rsid w:val="00B677A6"/>
    <w:rsid w:val="00B67A6D"/>
    <w:rsid w:val="00B70083"/>
    <w:rsid w:val="00B7062C"/>
    <w:rsid w:val="00B70745"/>
    <w:rsid w:val="00B70B10"/>
    <w:rsid w:val="00B70B21"/>
    <w:rsid w:val="00B711E5"/>
    <w:rsid w:val="00B7120F"/>
    <w:rsid w:val="00B71BBC"/>
    <w:rsid w:val="00B7204D"/>
    <w:rsid w:val="00B7226A"/>
    <w:rsid w:val="00B724C9"/>
    <w:rsid w:val="00B72AC6"/>
    <w:rsid w:val="00B730FD"/>
    <w:rsid w:val="00B7324B"/>
    <w:rsid w:val="00B733DA"/>
    <w:rsid w:val="00B73813"/>
    <w:rsid w:val="00B73AD0"/>
    <w:rsid w:val="00B73E60"/>
    <w:rsid w:val="00B74613"/>
    <w:rsid w:val="00B7467F"/>
    <w:rsid w:val="00B74B4A"/>
    <w:rsid w:val="00B74EC0"/>
    <w:rsid w:val="00B75322"/>
    <w:rsid w:val="00B75514"/>
    <w:rsid w:val="00B757A8"/>
    <w:rsid w:val="00B75A6F"/>
    <w:rsid w:val="00B75BBD"/>
    <w:rsid w:val="00B75C9A"/>
    <w:rsid w:val="00B77908"/>
    <w:rsid w:val="00B8088D"/>
    <w:rsid w:val="00B80E5A"/>
    <w:rsid w:val="00B81137"/>
    <w:rsid w:val="00B81649"/>
    <w:rsid w:val="00B82420"/>
    <w:rsid w:val="00B826A8"/>
    <w:rsid w:val="00B82B1B"/>
    <w:rsid w:val="00B83198"/>
    <w:rsid w:val="00B83337"/>
    <w:rsid w:val="00B83D41"/>
    <w:rsid w:val="00B864CA"/>
    <w:rsid w:val="00B871E1"/>
    <w:rsid w:val="00B87543"/>
    <w:rsid w:val="00B87AC9"/>
    <w:rsid w:val="00B87BEB"/>
    <w:rsid w:val="00B901A5"/>
    <w:rsid w:val="00B90A4B"/>
    <w:rsid w:val="00B9117F"/>
    <w:rsid w:val="00B91274"/>
    <w:rsid w:val="00B9157F"/>
    <w:rsid w:val="00B919A0"/>
    <w:rsid w:val="00B920B3"/>
    <w:rsid w:val="00B92178"/>
    <w:rsid w:val="00B922DF"/>
    <w:rsid w:val="00B92300"/>
    <w:rsid w:val="00B9304C"/>
    <w:rsid w:val="00B93058"/>
    <w:rsid w:val="00B930F8"/>
    <w:rsid w:val="00B934B3"/>
    <w:rsid w:val="00B93999"/>
    <w:rsid w:val="00B93BB8"/>
    <w:rsid w:val="00B9472F"/>
    <w:rsid w:val="00B94DB4"/>
    <w:rsid w:val="00B9509D"/>
    <w:rsid w:val="00B96440"/>
    <w:rsid w:val="00B96DC1"/>
    <w:rsid w:val="00B971B2"/>
    <w:rsid w:val="00B9764D"/>
    <w:rsid w:val="00B976EE"/>
    <w:rsid w:val="00B97E6E"/>
    <w:rsid w:val="00BA0396"/>
    <w:rsid w:val="00BA080B"/>
    <w:rsid w:val="00BA0A96"/>
    <w:rsid w:val="00BA0DC8"/>
    <w:rsid w:val="00BA1136"/>
    <w:rsid w:val="00BA11B3"/>
    <w:rsid w:val="00BA2763"/>
    <w:rsid w:val="00BA2B87"/>
    <w:rsid w:val="00BA31D0"/>
    <w:rsid w:val="00BA31EF"/>
    <w:rsid w:val="00BA3346"/>
    <w:rsid w:val="00BA434D"/>
    <w:rsid w:val="00BA43EF"/>
    <w:rsid w:val="00BA466B"/>
    <w:rsid w:val="00BA47A4"/>
    <w:rsid w:val="00BA4EE5"/>
    <w:rsid w:val="00BA51A7"/>
    <w:rsid w:val="00BA5828"/>
    <w:rsid w:val="00BA59EC"/>
    <w:rsid w:val="00BA5B77"/>
    <w:rsid w:val="00BA5CFA"/>
    <w:rsid w:val="00BA6038"/>
    <w:rsid w:val="00BA6BF2"/>
    <w:rsid w:val="00BA6F3D"/>
    <w:rsid w:val="00BA7687"/>
    <w:rsid w:val="00BB0804"/>
    <w:rsid w:val="00BB0D16"/>
    <w:rsid w:val="00BB123F"/>
    <w:rsid w:val="00BB16C2"/>
    <w:rsid w:val="00BB1B1B"/>
    <w:rsid w:val="00BB1C23"/>
    <w:rsid w:val="00BB1E31"/>
    <w:rsid w:val="00BB2296"/>
    <w:rsid w:val="00BB245B"/>
    <w:rsid w:val="00BB3112"/>
    <w:rsid w:val="00BB3A24"/>
    <w:rsid w:val="00BB3E27"/>
    <w:rsid w:val="00BB42F2"/>
    <w:rsid w:val="00BB4403"/>
    <w:rsid w:val="00BB4852"/>
    <w:rsid w:val="00BB4A6A"/>
    <w:rsid w:val="00BB4EF2"/>
    <w:rsid w:val="00BB52EA"/>
    <w:rsid w:val="00BB55EC"/>
    <w:rsid w:val="00BB565E"/>
    <w:rsid w:val="00BB609A"/>
    <w:rsid w:val="00BB6D41"/>
    <w:rsid w:val="00BB6DFE"/>
    <w:rsid w:val="00BB6E82"/>
    <w:rsid w:val="00BB6F95"/>
    <w:rsid w:val="00BB73C8"/>
    <w:rsid w:val="00BB7C2B"/>
    <w:rsid w:val="00BB7DBC"/>
    <w:rsid w:val="00BB7F33"/>
    <w:rsid w:val="00BC076C"/>
    <w:rsid w:val="00BC0AB4"/>
    <w:rsid w:val="00BC0AF5"/>
    <w:rsid w:val="00BC0E7A"/>
    <w:rsid w:val="00BC0EBB"/>
    <w:rsid w:val="00BC11DC"/>
    <w:rsid w:val="00BC13C5"/>
    <w:rsid w:val="00BC14F0"/>
    <w:rsid w:val="00BC1581"/>
    <w:rsid w:val="00BC1602"/>
    <w:rsid w:val="00BC1641"/>
    <w:rsid w:val="00BC1BD8"/>
    <w:rsid w:val="00BC1C54"/>
    <w:rsid w:val="00BC1E4E"/>
    <w:rsid w:val="00BC1EE0"/>
    <w:rsid w:val="00BC20C8"/>
    <w:rsid w:val="00BC216C"/>
    <w:rsid w:val="00BC255B"/>
    <w:rsid w:val="00BC310A"/>
    <w:rsid w:val="00BC3A78"/>
    <w:rsid w:val="00BC44AD"/>
    <w:rsid w:val="00BC44B0"/>
    <w:rsid w:val="00BC4C7D"/>
    <w:rsid w:val="00BC4E0B"/>
    <w:rsid w:val="00BC4E8A"/>
    <w:rsid w:val="00BC505A"/>
    <w:rsid w:val="00BC568F"/>
    <w:rsid w:val="00BC5A0D"/>
    <w:rsid w:val="00BC5B1C"/>
    <w:rsid w:val="00BC6192"/>
    <w:rsid w:val="00BC629B"/>
    <w:rsid w:val="00BC635C"/>
    <w:rsid w:val="00BC6430"/>
    <w:rsid w:val="00BC6785"/>
    <w:rsid w:val="00BC679D"/>
    <w:rsid w:val="00BC7F6C"/>
    <w:rsid w:val="00BC7F76"/>
    <w:rsid w:val="00BD05E4"/>
    <w:rsid w:val="00BD0E8D"/>
    <w:rsid w:val="00BD1F44"/>
    <w:rsid w:val="00BD2006"/>
    <w:rsid w:val="00BD2082"/>
    <w:rsid w:val="00BD2139"/>
    <w:rsid w:val="00BD27D2"/>
    <w:rsid w:val="00BD2CF6"/>
    <w:rsid w:val="00BD3084"/>
    <w:rsid w:val="00BD3588"/>
    <w:rsid w:val="00BD36A5"/>
    <w:rsid w:val="00BD4440"/>
    <w:rsid w:val="00BD45EB"/>
    <w:rsid w:val="00BD4E94"/>
    <w:rsid w:val="00BD513E"/>
    <w:rsid w:val="00BD550A"/>
    <w:rsid w:val="00BD5A18"/>
    <w:rsid w:val="00BD5C89"/>
    <w:rsid w:val="00BD616E"/>
    <w:rsid w:val="00BD66C4"/>
    <w:rsid w:val="00BD6BC4"/>
    <w:rsid w:val="00BD6FA5"/>
    <w:rsid w:val="00BD7048"/>
    <w:rsid w:val="00BD780B"/>
    <w:rsid w:val="00BE00F1"/>
    <w:rsid w:val="00BE0866"/>
    <w:rsid w:val="00BE08F1"/>
    <w:rsid w:val="00BE0D03"/>
    <w:rsid w:val="00BE13FA"/>
    <w:rsid w:val="00BE28FA"/>
    <w:rsid w:val="00BE2D85"/>
    <w:rsid w:val="00BE318D"/>
    <w:rsid w:val="00BE3191"/>
    <w:rsid w:val="00BE368C"/>
    <w:rsid w:val="00BE3BD1"/>
    <w:rsid w:val="00BE3C70"/>
    <w:rsid w:val="00BE4854"/>
    <w:rsid w:val="00BE4B4F"/>
    <w:rsid w:val="00BE4FEE"/>
    <w:rsid w:val="00BE57D3"/>
    <w:rsid w:val="00BE5951"/>
    <w:rsid w:val="00BE5C4F"/>
    <w:rsid w:val="00BE65EC"/>
    <w:rsid w:val="00BE6A2F"/>
    <w:rsid w:val="00BE6ADA"/>
    <w:rsid w:val="00BE6D63"/>
    <w:rsid w:val="00BE6DF6"/>
    <w:rsid w:val="00BE70F4"/>
    <w:rsid w:val="00BE71CE"/>
    <w:rsid w:val="00BF0089"/>
    <w:rsid w:val="00BF0ADA"/>
    <w:rsid w:val="00BF0C53"/>
    <w:rsid w:val="00BF0D4A"/>
    <w:rsid w:val="00BF10C4"/>
    <w:rsid w:val="00BF1904"/>
    <w:rsid w:val="00BF1A54"/>
    <w:rsid w:val="00BF2314"/>
    <w:rsid w:val="00BF2416"/>
    <w:rsid w:val="00BF3532"/>
    <w:rsid w:val="00BF42F1"/>
    <w:rsid w:val="00BF46DD"/>
    <w:rsid w:val="00BF4A66"/>
    <w:rsid w:val="00BF4FEA"/>
    <w:rsid w:val="00BF50BE"/>
    <w:rsid w:val="00BF5146"/>
    <w:rsid w:val="00BF5642"/>
    <w:rsid w:val="00BF5CAE"/>
    <w:rsid w:val="00BF6D62"/>
    <w:rsid w:val="00BF7DB9"/>
    <w:rsid w:val="00C005E7"/>
    <w:rsid w:val="00C00E77"/>
    <w:rsid w:val="00C00ED0"/>
    <w:rsid w:val="00C017BB"/>
    <w:rsid w:val="00C0251A"/>
    <w:rsid w:val="00C026C4"/>
    <w:rsid w:val="00C02E30"/>
    <w:rsid w:val="00C0380B"/>
    <w:rsid w:val="00C04464"/>
    <w:rsid w:val="00C0447E"/>
    <w:rsid w:val="00C04780"/>
    <w:rsid w:val="00C047AE"/>
    <w:rsid w:val="00C047C1"/>
    <w:rsid w:val="00C04D9A"/>
    <w:rsid w:val="00C05370"/>
    <w:rsid w:val="00C0581D"/>
    <w:rsid w:val="00C05891"/>
    <w:rsid w:val="00C05E20"/>
    <w:rsid w:val="00C05F8A"/>
    <w:rsid w:val="00C063DA"/>
    <w:rsid w:val="00C06B69"/>
    <w:rsid w:val="00C06CE5"/>
    <w:rsid w:val="00C06D88"/>
    <w:rsid w:val="00C07071"/>
    <w:rsid w:val="00C07963"/>
    <w:rsid w:val="00C07A09"/>
    <w:rsid w:val="00C10FA3"/>
    <w:rsid w:val="00C1101E"/>
    <w:rsid w:val="00C11681"/>
    <w:rsid w:val="00C117F0"/>
    <w:rsid w:val="00C1190D"/>
    <w:rsid w:val="00C11B77"/>
    <w:rsid w:val="00C11D2A"/>
    <w:rsid w:val="00C12127"/>
    <w:rsid w:val="00C13AAD"/>
    <w:rsid w:val="00C14140"/>
    <w:rsid w:val="00C14430"/>
    <w:rsid w:val="00C14984"/>
    <w:rsid w:val="00C14BFC"/>
    <w:rsid w:val="00C14DF1"/>
    <w:rsid w:val="00C15472"/>
    <w:rsid w:val="00C15887"/>
    <w:rsid w:val="00C169B7"/>
    <w:rsid w:val="00C16A16"/>
    <w:rsid w:val="00C171C0"/>
    <w:rsid w:val="00C172BF"/>
    <w:rsid w:val="00C17888"/>
    <w:rsid w:val="00C17C57"/>
    <w:rsid w:val="00C2059C"/>
    <w:rsid w:val="00C20DA2"/>
    <w:rsid w:val="00C20EB3"/>
    <w:rsid w:val="00C213E9"/>
    <w:rsid w:val="00C21743"/>
    <w:rsid w:val="00C21C90"/>
    <w:rsid w:val="00C2286C"/>
    <w:rsid w:val="00C22AEF"/>
    <w:rsid w:val="00C22D76"/>
    <w:rsid w:val="00C238A9"/>
    <w:rsid w:val="00C23962"/>
    <w:rsid w:val="00C24A32"/>
    <w:rsid w:val="00C2512A"/>
    <w:rsid w:val="00C254D9"/>
    <w:rsid w:val="00C258F7"/>
    <w:rsid w:val="00C2590A"/>
    <w:rsid w:val="00C261F6"/>
    <w:rsid w:val="00C274E8"/>
    <w:rsid w:val="00C277F8"/>
    <w:rsid w:val="00C27D47"/>
    <w:rsid w:val="00C27DB7"/>
    <w:rsid w:val="00C3026C"/>
    <w:rsid w:val="00C3027D"/>
    <w:rsid w:val="00C30392"/>
    <w:rsid w:val="00C306FF"/>
    <w:rsid w:val="00C3091B"/>
    <w:rsid w:val="00C30927"/>
    <w:rsid w:val="00C30B90"/>
    <w:rsid w:val="00C3166F"/>
    <w:rsid w:val="00C3199A"/>
    <w:rsid w:val="00C3238E"/>
    <w:rsid w:val="00C32716"/>
    <w:rsid w:val="00C32A63"/>
    <w:rsid w:val="00C32EA6"/>
    <w:rsid w:val="00C32F73"/>
    <w:rsid w:val="00C33723"/>
    <w:rsid w:val="00C338F2"/>
    <w:rsid w:val="00C343A4"/>
    <w:rsid w:val="00C34543"/>
    <w:rsid w:val="00C35EE1"/>
    <w:rsid w:val="00C364E0"/>
    <w:rsid w:val="00C36A54"/>
    <w:rsid w:val="00C36C27"/>
    <w:rsid w:val="00C36E59"/>
    <w:rsid w:val="00C3733C"/>
    <w:rsid w:val="00C3735B"/>
    <w:rsid w:val="00C37880"/>
    <w:rsid w:val="00C37909"/>
    <w:rsid w:val="00C37BCD"/>
    <w:rsid w:val="00C37CF8"/>
    <w:rsid w:val="00C4021D"/>
    <w:rsid w:val="00C40C7B"/>
    <w:rsid w:val="00C40D6A"/>
    <w:rsid w:val="00C413ED"/>
    <w:rsid w:val="00C4143B"/>
    <w:rsid w:val="00C41866"/>
    <w:rsid w:val="00C41FB9"/>
    <w:rsid w:val="00C42A47"/>
    <w:rsid w:val="00C42E4C"/>
    <w:rsid w:val="00C43181"/>
    <w:rsid w:val="00C434F0"/>
    <w:rsid w:val="00C43691"/>
    <w:rsid w:val="00C436A7"/>
    <w:rsid w:val="00C43A77"/>
    <w:rsid w:val="00C43CA7"/>
    <w:rsid w:val="00C43F26"/>
    <w:rsid w:val="00C43FE1"/>
    <w:rsid w:val="00C4417C"/>
    <w:rsid w:val="00C44BCB"/>
    <w:rsid w:val="00C44D69"/>
    <w:rsid w:val="00C4603E"/>
    <w:rsid w:val="00C462EE"/>
    <w:rsid w:val="00C46724"/>
    <w:rsid w:val="00C47DD6"/>
    <w:rsid w:val="00C50B9D"/>
    <w:rsid w:val="00C50CC9"/>
    <w:rsid w:val="00C51062"/>
    <w:rsid w:val="00C512F8"/>
    <w:rsid w:val="00C5190F"/>
    <w:rsid w:val="00C519DE"/>
    <w:rsid w:val="00C5213F"/>
    <w:rsid w:val="00C522AC"/>
    <w:rsid w:val="00C52571"/>
    <w:rsid w:val="00C5278C"/>
    <w:rsid w:val="00C528DF"/>
    <w:rsid w:val="00C5302E"/>
    <w:rsid w:val="00C5348D"/>
    <w:rsid w:val="00C542CB"/>
    <w:rsid w:val="00C55435"/>
    <w:rsid w:val="00C5548B"/>
    <w:rsid w:val="00C55F26"/>
    <w:rsid w:val="00C5655A"/>
    <w:rsid w:val="00C57915"/>
    <w:rsid w:val="00C57C61"/>
    <w:rsid w:val="00C57C85"/>
    <w:rsid w:val="00C606A8"/>
    <w:rsid w:val="00C6078F"/>
    <w:rsid w:val="00C6188F"/>
    <w:rsid w:val="00C619AB"/>
    <w:rsid w:val="00C61BCF"/>
    <w:rsid w:val="00C61CA8"/>
    <w:rsid w:val="00C61E8B"/>
    <w:rsid w:val="00C620EE"/>
    <w:rsid w:val="00C62772"/>
    <w:rsid w:val="00C62B54"/>
    <w:rsid w:val="00C6439C"/>
    <w:rsid w:val="00C6487F"/>
    <w:rsid w:val="00C648E8"/>
    <w:rsid w:val="00C64A51"/>
    <w:rsid w:val="00C6549E"/>
    <w:rsid w:val="00C6584C"/>
    <w:rsid w:val="00C6608E"/>
    <w:rsid w:val="00C661F0"/>
    <w:rsid w:val="00C67E6A"/>
    <w:rsid w:val="00C702C4"/>
    <w:rsid w:val="00C70F3B"/>
    <w:rsid w:val="00C71C2D"/>
    <w:rsid w:val="00C71D80"/>
    <w:rsid w:val="00C72090"/>
    <w:rsid w:val="00C723F8"/>
    <w:rsid w:val="00C73197"/>
    <w:rsid w:val="00C73C99"/>
    <w:rsid w:val="00C7402B"/>
    <w:rsid w:val="00C74450"/>
    <w:rsid w:val="00C7524D"/>
    <w:rsid w:val="00C75B3A"/>
    <w:rsid w:val="00C75BD2"/>
    <w:rsid w:val="00C76655"/>
    <w:rsid w:val="00C767BD"/>
    <w:rsid w:val="00C769D1"/>
    <w:rsid w:val="00C76E2B"/>
    <w:rsid w:val="00C772E0"/>
    <w:rsid w:val="00C7743E"/>
    <w:rsid w:val="00C7766C"/>
    <w:rsid w:val="00C80504"/>
    <w:rsid w:val="00C80926"/>
    <w:rsid w:val="00C80F62"/>
    <w:rsid w:val="00C8108B"/>
    <w:rsid w:val="00C81442"/>
    <w:rsid w:val="00C81774"/>
    <w:rsid w:val="00C81C79"/>
    <w:rsid w:val="00C81CA3"/>
    <w:rsid w:val="00C8272C"/>
    <w:rsid w:val="00C8283F"/>
    <w:rsid w:val="00C82C71"/>
    <w:rsid w:val="00C82D70"/>
    <w:rsid w:val="00C83314"/>
    <w:rsid w:val="00C83BA7"/>
    <w:rsid w:val="00C8498A"/>
    <w:rsid w:val="00C84E3A"/>
    <w:rsid w:val="00C84F6A"/>
    <w:rsid w:val="00C8531D"/>
    <w:rsid w:val="00C85459"/>
    <w:rsid w:val="00C85782"/>
    <w:rsid w:val="00C85BB9"/>
    <w:rsid w:val="00C85D17"/>
    <w:rsid w:val="00C85DB6"/>
    <w:rsid w:val="00C862D5"/>
    <w:rsid w:val="00C86689"/>
    <w:rsid w:val="00C8783A"/>
    <w:rsid w:val="00C87A27"/>
    <w:rsid w:val="00C87C85"/>
    <w:rsid w:val="00C87E5E"/>
    <w:rsid w:val="00C900B8"/>
    <w:rsid w:val="00C90114"/>
    <w:rsid w:val="00C90A77"/>
    <w:rsid w:val="00C90BE9"/>
    <w:rsid w:val="00C91989"/>
    <w:rsid w:val="00C9252F"/>
    <w:rsid w:val="00C929AA"/>
    <w:rsid w:val="00C92CBD"/>
    <w:rsid w:val="00C92CD8"/>
    <w:rsid w:val="00C92DCD"/>
    <w:rsid w:val="00C932FA"/>
    <w:rsid w:val="00C93657"/>
    <w:rsid w:val="00C93B76"/>
    <w:rsid w:val="00C93F2D"/>
    <w:rsid w:val="00C93F8A"/>
    <w:rsid w:val="00C93FD6"/>
    <w:rsid w:val="00C940E5"/>
    <w:rsid w:val="00C944A4"/>
    <w:rsid w:val="00C9457A"/>
    <w:rsid w:val="00C94A86"/>
    <w:rsid w:val="00C94BB3"/>
    <w:rsid w:val="00C94F90"/>
    <w:rsid w:val="00C950BA"/>
    <w:rsid w:val="00C95160"/>
    <w:rsid w:val="00C956C4"/>
    <w:rsid w:val="00C96E16"/>
    <w:rsid w:val="00C971C7"/>
    <w:rsid w:val="00C97623"/>
    <w:rsid w:val="00C976B6"/>
    <w:rsid w:val="00C97DBA"/>
    <w:rsid w:val="00CA03A8"/>
    <w:rsid w:val="00CA049B"/>
    <w:rsid w:val="00CA11C1"/>
    <w:rsid w:val="00CA1F1A"/>
    <w:rsid w:val="00CA25AB"/>
    <w:rsid w:val="00CA3A4B"/>
    <w:rsid w:val="00CA4832"/>
    <w:rsid w:val="00CA496D"/>
    <w:rsid w:val="00CA4A3F"/>
    <w:rsid w:val="00CA4A67"/>
    <w:rsid w:val="00CA5489"/>
    <w:rsid w:val="00CA59F1"/>
    <w:rsid w:val="00CA5AF9"/>
    <w:rsid w:val="00CA6034"/>
    <w:rsid w:val="00CA6306"/>
    <w:rsid w:val="00CA6404"/>
    <w:rsid w:val="00CA73EC"/>
    <w:rsid w:val="00CA76DF"/>
    <w:rsid w:val="00CA78AD"/>
    <w:rsid w:val="00CA7AD1"/>
    <w:rsid w:val="00CA7E17"/>
    <w:rsid w:val="00CA7E87"/>
    <w:rsid w:val="00CA7FD8"/>
    <w:rsid w:val="00CB0A71"/>
    <w:rsid w:val="00CB0C18"/>
    <w:rsid w:val="00CB2303"/>
    <w:rsid w:val="00CB255D"/>
    <w:rsid w:val="00CB2AEC"/>
    <w:rsid w:val="00CB300F"/>
    <w:rsid w:val="00CB33C6"/>
    <w:rsid w:val="00CB3929"/>
    <w:rsid w:val="00CB3C3B"/>
    <w:rsid w:val="00CB3D2C"/>
    <w:rsid w:val="00CB3ED5"/>
    <w:rsid w:val="00CB408E"/>
    <w:rsid w:val="00CB40C5"/>
    <w:rsid w:val="00CB4785"/>
    <w:rsid w:val="00CB4DC2"/>
    <w:rsid w:val="00CB4F78"/>
    <w:rsid w:val="00CB4F95"/>
    <w:rsid w:val="00CB502C"/>
    <w:rsid w:val="00CB58A0"/>
    <w:rsid w:val="00CB5D1E"/>
    <w:rsid w:val="00CB6A4E"/>
    <w:rsid w:val="00CB6D5B"/>
    <w:rsid w:val="00CB6DF4"/>
    <w:rsid w:val="00CB74D9"/>
    <w:rsid w:val="00CB7F85"/>
    <w:rsid w:val="00CC12DB"/>
    <w:rsid w:val="00CC1E84"/>
    <w:rsid w:val="00CC1EA0"/>
    <w:rsid w:val="00CC1EA3"/>
    <w:rsid w:val="00CC2299"/>
    <w:rsid w:val="00CC26EF"/>
    <w:rsid w:val="00CC279C"/>
    <w:rsid w:val="00CC28CE"/>
    <w:rsid w:val="00CC2D76"/>
    <w:rsid w:val="00CC2DD7"/>
    <w:rsid w:val="00CC2FB2"/>
    <w:rsid w:val="00CC36F0"/>
    <w:rsid w:val="00CC444D"/>
    <w:rsid w:val="00CC49A5"/>
    <w:rsid w:val="00CC57F5"/>
    <w:rsid w:val="00CC5DC8"/>
    <w:rsid w:val="00CC62D6"/>
    <w:rsid w:val="00CC6367"/>
    <w:rsid w:val="00CC654B"/>
    <w:rsid w:val="00CC6A5C"/>
    <w:rsid w:val="00CC7346"/>
    <w:rsid w:val="00CC7823"/>
    <w:rsid w:val="00CC7E44"/>
    <w:rsid w:val="00CD0126"/>
    <w:rsid w:val="00CD0422"/>
    <w:rsid w:val="00CD1AA4"/>
    <w:rsid w:val="00CD1CA2"/>
    <w:rsid w:val="00CD22D1"/>
    <w:rsid w:val="00CD27E5"/>
    <w:rsid w:val="00CD395D"/>
    <w:rsid w:val="00CD3E25"/>
    <w:rsid w:val="00CD3F16"/>
    <w:rsid w:val="00CD4C5D"/>
    <w:rsid w:val="00CD4EB0"/>
    <w:rsid w:val="00CD50AA"/>
    <w:rsid w:val="00CD51E6"/>
    <w:rsid w:val="00CD5532"/>
    <w:rsid w:val="00CD5761"/>
    <w:rsid w:val="00CD5946"/>
    <w:rsid w:val="00CD5C4E"/>
    <w:rsid w:val="00CD5C6E"/>
    <w:rsid w:val="00CD5FB0"/>
    <w:rsid w:val="00CD61E7"/>
    <w:rsid w:val="00CD66D0"/>
    <w:rsid w:val="00CD74D9"/>
    <w:rsid w:val="00CD7C25"/>
    <w:rsid w:val="00CD7D22"/>
    <w:rsid w:val="00CE00E5"/>
    <w:rsid w:val="00CE08D8"/>
    <w:rsid w:val="00CE0F98"/>
    <w:rsid w:val="00CE131D"/>
    <w:rsid w:val="00CE1B37"/>
    <w:rsid w:val="00CE269A"/>
    <w:rsid w:val="00CE28BE"/>
    <w:rsid w:val="00CE2BF0"/>
    <w:rsid w:val="00CE308E"/>
    <w:rsid w:val="00CE32A7"/>
    <w:rsid w:val="00CE3F38"/>
    <w:rsid w:val="00CE4BB4"/>
    <w:rsid w:val="00CE501C"/>
    <w:rsid w:val="00CE5232"/>
    <w:rsid w:val="00CE585E"/>
    <w:rsid w:val="00CE5863"/>
    <w:rsid w:val="00CE587F"/>
    <w:rsid w:val="00CE593E"/>
    <w:rsid w:val="00CE5A4E"/>
    <w:rsid w:val="00CE64D3"/>
    <w:rsid w:val="00CE67E5"/>
    <w:rsid w:val="00CE68DA"/>
    <w:rsid w:val="00CE6E41"/>
    <w:rsid w:val="00CE718E"/>
    <w:rsid w:val="00CE7390"/>
    <w:rsid w:val="00CE779B"/>
    <w:rsid w:val="00CE79F2"/>
    <w:rsid w:val="00CE7A12"/>
    <w:rsid w:val="00CF0327"/>
    <w:rsid w:val="00CF0840"/>
    <w:rsid w:val="00CF11CB"/>
    <w:rsid w:val="00CF1922"/>
    <w:rsid w:val="00CF2175"/>
    <w:rsid w:val="00CF299F"/>
    <w:rsid w:val="00CF2A8C"/>
    <w:rsid w:val="00CF32C3"/>
    <w:rsid w:val="00CF379C"/>
    <w:rsid w:val="00CF3A4C"/>
    <w:rsid w:val="00CF408C"/>
    <w:rsid w:val="00CF4227"/>
    <w:rsid w:val="00CF48F3"/>
    <w:rsid w:val="00CF5093"/>
    <w:rsid w:val="00CF5631"/>
    <w:rsid w:val="00CF5725"/>
    <w:rsid w:val="00CF59C3"/>
    <w:rsid w:val="00CF5A83"/>
    <w:rsid w:val="00CF5D86"/>
    <w:rsid w:val="00CF704D"/>
    <w:rsid w:val="00CF7BAA"/>
    <w:rsid w:val="00D0003F"/>
    <w:rsid w:val="00D00F75"/>
    <w:rsid w:val="00D014EF"/>
    <w:rsid w:val="00D01651"/>
    <w:rsid w:val="00D01713"/>
    <w:rsid w:val="00D017E1"/>
    <w:rsid w:val="00D0223A"/>
    <w:rsid w:val="00D023BF"/>
    <w:rsid w:val="00D024A9"/>
    <w:rsid w:val="00D025CB"/>
    <w:rsid w:val="00D0283D"/>
    <w:rsid w:val="00D02B1F"/>
    <w:rsid w:val="00D02BE8"/>
    <w:rsid w:val="00D02DE9"/>
    <w:rsid w:val="00D034D9"/>
    <w:rsid w:val="00D03BA0"/>
    <w:rsid w:val="00D04A54"/>
    <w:rsid w:val="00D04D73"/>
    <w:rsid w:val="00D052D3"/>
    <w:rsid w:val="00D05856"/>
    <w:rsid w:val="00D066F4"/>
    <w:rsid w:val="00D070E6"/>
    <w:rsid w:val="00D073CB"/>
    <w:rsid w:val="00D074E4"/>
    <w:rsid w:val="00D075DA"/>
    <w:rsid w:val="00D07EED"/>
    <w:rsid w:val="00D103FD"/>
    <w:rsid w:val="00D104EC"/>
    <w:rsid w:val="00D10CAA"/>
    <w:rsid w:val="00D10F8D"/>
    <w:rsid w:val="00D10F91"/>
    <w:rsid w:val="00D11E47"/>
    <w:rsid w:val="00D11EDC"/>
    <w:rsid w:val="00D1213A"/>
    <w:rsid w:val="00D125AB"/>
    <w:rsid w:val="00D1273F"/>
    <w:rsid w:val="00D128DF"/>
    <w:rsid w:val="00D12B5D"/>
    <w:rsid w:val="00D13593"/>
    <w:rsid w:val="00D13885"/>
    <w:rsid w:val="00D13945"/>
    <w:rsid w:val="00D13B2E"/>
    <w:rsid w:val="00D16374"/>
    <w:rsid w:val="00D16BA3"/>
    <w:rsid w:val="00D17CAB"/>
    <w:rsid w:val="00D17D50"/>
    <w:rsid w:val="00D17DC1"/>
    <w:rsid w:val="00D20721"/>
    <w:rsid w:val="00D20CF4"/>
    <w:rsid w:val="00D20E03"/>
    <w:rsid w:val="00D21912"/>
    <w:rsid w:val="00D2240A"/>
    <w:rsid w:val="00D228BA"/>
    <w:rsid w:val="00D22B20"/>
    <w:rsid w:val="00D22C68"/>
    <w:rsid w:val="00D22CFB"/>
    <w:rsid w:val="00D23E45"/>
    <w:rsid w:val="00D24778"/>
    <w:rsid w:val="00D24CE6"/>
    <w:rsid w:val="00D24CE9"/>
    <w:rsid w:val="00D24FE4"/>
    <w:rsid w:val="00D2538B"/>
    <w:rsid w:val="00D253F6"/>
    <w:rsid w:val="00D260A5"/>
    <w:rsid w:val="00D260D6"/>
    <w:rsid w:val="00D26935"/>
    <w:rsid w:val="00D26D9E"/>
    <w:rsid w:val="00D277DF"/>
    <w:rsid w:val="00D277E6"/>
    <w:rsid w:val="00D27DCF"/>
    <w:rsid w:val="00D3042C"/>
    <w:rsid w:val="00D3071E"/>
    <w:rsid w:val="00D30AAB"/>
    <w:rsid w:val="00D311DC"/>
    <w:rsid w:val="00D31383"/>
    <w:rsid w:val="00D3192C"/>
    <w:rsid w:val="00D31B3B"/>
    <w:rsid w:val="00D320A1"/>
    <w:rsid w:val="00D3231B"/>
    <w:rsid w:val="00D333C6"/>
    <w:rsid w:val="00D33B3F"/>
    <w:rsid w:val="00D33EA8"/>
    <w:rsid w:val="00D34394"/>
    <w:rsid w:val="00D34CA8"/>
    <w:rsid w:val="00D35809"/>
    <w:rsid w:val="00D35819"/>
    <w:rsid w:val="00D35ED1"/>
    <w:rsid w:val="00D36E90"/>
    <w:rsid w:val="00D372D0"/>
    <w:rsid w:val="00D37360"/>
    <w:rsid w:val="00D375DE"/>
    <w:rsid w:val="00D400C9"/>
    <w:rsid w:val="00D4028C"/>
    <w:rsid w:val="00D40755"/>
    <w:rsid w:val="00D416C8"/>
    <w:rsid w:val="00D42B8E"/>
    <w:rsid w:val="00D43C54"/>
    <w:rsid w:val="00D44182"/>
    <w:rsid w:val="00D446FF"/>
    <w:rsid w:val="00D448E8"/>
    <w:rsid w:val="00D44E64"/>
    <w:rsid w:val="00D45D67"/>
    <w:rsid w:val="00D45DC3"/>
    <w:rsid w:val="00D46149"/>
    <w:rsid w:val="00D463F0"/>
    <w:rsid w:val="00D46FBB"/>
    <w:rsid w:val="00D47851"/>
    <w:rsid w:val="00D478BF"/>
    <w:rsid w:val="00D50458"/>
    <w:rsid w:val="00D5079A"/>
    <w:rsid w:val="00D50AF7"/>
    <w:rsid w:val="00D5118E"/>
    <w:rsid w:val="00D51586"/>
    <w:rsid w:val="00D516B2"/>
    <w:rsid w:val="00D51DDB"/>
    <w:rsid w:val="00D522A1"/>
    <w:rsid w:val="00D5240F"/>
    <w:rsid w:val="00D5431E"/>
    <w:rsid w:val="00D5437E"/>
    <w:rsid w:val="00D54478"/>
    <w:rsid w:val="00D5489D"/>
    <w:rsid w:val="00D548B8"/>
    <w:rsid w:val="00D54ABC"/>
    <w:rsid w:val="00D54B2D"/>
    <w:rsid w:val="00D54FA1"/>
    <w:rsid w:val="00D55308"/>
    <w:rsid w:val="00D555B9"/>
    <w:rsid w:val="00D55941"/>
    <w:rsid w:val="00D55A41"/>
    <w:rsid w:val="00D55BB0"/>
    <w:rsid w:val="00D55BC3"/>
    <w:rsid w:val="00D56AC0"/>
    <w:rsid w:val="00D573A0"/>
    <w:rsid w:val="00D573C2"/>
    <w:rsid w:val="00D57558"/>
    <w:rsid w:val="00D577ED"/>
    <w:rsid w:val="00D579A2"/>
    <w:rsid w:val="00D57DFC"/>
    <w:rsid w:val="00D60665"/>
    <w:rsid w:val="00D610F5"/>
    <w:rsid w:val="00D6147A"/>
    <w:rsid w:val="00D61582"/>
    <w:rsid w:val="00D626E1"/>
    <w:rsid w:val="00D62752"/>
    <w:rsid w:val="00D629DC"/>
    <w:rsid w:val="00D62CE5"/>
    <w:rsid w:val="00D643CD"/>
    <w:rsid w:val="00D64430"/>
    <w:rsid w:val="00D6444E"/>
    <w:rsid w:val="00D645EB"/>
    <w:rsid w:val="00D64600"/>
    <w:rsid w:val="00D64664"/>
    <w:rsid w:val="00D6471A"/>
    <w:rsid w:val="00D6473D"/>
    <w:rsid w:val="00D649ED"/>
    <w:rsid w:val="00D64CDB"/>
    <w:rsid w:val="00D64F5D"/>
    <w:rsid w:val="00D65FB4"/>
    <w:rsid w:val="00D660A4"/>
    <w:rsid w:val="00D661B6"/>
    <w:rsid w:val="00D66614"/>
    <w:rsid w:val="00D66B80"/>
    <w:rsid w:val="00D675AA"/>
    <w:rsid w:val="00D6762A"/>
    <w:rsid w:val="00D67679"/>
    <w:rsid w:val="00D6795A"/>
    <w:rsid w:val="00D70061"/>
    <w:rsid w:val="00D703B9"/>
    <w:rsid w:val="00D705D2"/>
    <w:rsid w:val="00D7137E"/>
    <w:rsid w:val="00D713B6"/>
    <w:rsid w:val="00D7237E"/>
    <w:rsid w:val="00D723F9"/>
    <w:rsid w:val="00D733FE"/>
    <w:rsid w:val="00D7364B"/>
    <w:rsid w:val="00D736F5"/>
    <w:rsid w:val="00D737CE"/>
    <w:rsid w:val="00D73E07"/>
    <w:rsid w:val="00D73E9B"/>
    <w:rsid w:val="00D751DF"/>
    <w:rsid w:val="00D76116"/>
    <w:rsid w:val="00D76150"/>
    <w:rsid w:val="00D76C57"/>
    <w:rsid w:val="00D77460"/>
    <w:rsid w:val="00D7755D"/>
    <w:rsid w:val="00D77D07"/>
    <w:rsid w:val="00D80263"/>
    <w:rsid w:val="00D80427"/>
    <w:rsid w:val="00D80607"/>
    <w:rsid w:val="00D8086E"/>
    <w:rsid w:val="00D808EA"/>
    <w:rsid w:val="00D80936"/>
    <w:rsid w:val="00D812EC"/>
    <w:rsid w:val="00D8164E"/>
    <w:rsid w:val="00D8173F"/>
    <w:rsid w:val="00D8209B"/>
    <w:rsid w:val="00D826FD"/>
    <w:rsid w:val="00D82962"/>
    <w:rsid w:val="00D82CDD"/>
    <w:rsid w:val="00D83081"/>
    <w:rsid w:val="00D8326F"/>
    <w:rsid w:val="00D833FD"/>
    <w:rsid w:val="00D8371B"/>
    <w:rsid w:val="00D83A89"/>
    <w:rsid w:val="00D8415B"/>
    <w:rsid w:val="00D841CD"/>
    <w:rsid w:val="00D8441A"/>
    <w:rsid w:val="00D8460C"/>
    <w:rsid w:val="00D84C63"/>
    <w:rsid w:val="00D85788"/>
    <w:rsid w:val="00D86115"/>
    <w:rsid w:val="00D86944"/>
    <w:rsid w:val="00D875C2"/>
    <w:rsid w:val="00D87CA6"/>
    <w:rsid w:val="00D87F4B"/>
    <w:rsid w:val="00D9120D"/>
    <w:rsid w:val="00D913E8"/>
    <w:rsid w:val="00D91456"/>
    <w:rsid w:val="00D91AE1"/>
    <w:rsid w:val="00D91BED"/>
    <w:rsid w:val="00D91D4F"/>
    <w:rsid w:val="00D92323"/>
    <w:rsid w:val="00D92374"/>
    <w:rsid w:val="00D92A6F"/>
    <w:rsid w:val="00D92DA7"/>
    <w:rsid w:val="00D937E1"/>
    <w:rsid w:val="00D93BB6"/>
    <w:rsid w:val="00D944AA"/>
    <w:rsid w:val="00D94971"/>
    <w:rsid w:val="00D94EE7"/>
    <w:rsid w:val="00D94EF0"/>
    <w:rsid w:val="00D9500C"/>
    <w:rsid w:val="00D95251"/>
    <w:rsid w:val="00D95386"/>
    <w:rsid w:val="00D96923"/>
    <w:rsid w:val="00D973F4"/>
    <w:rsid w:val="00D97530"/>
    <w:rsid w:val="00D97F58"/>
    <w:rsid w:val="00DA0164"/>
    <w:rsid w:val="00DA0325"/>
    <w:rsid w:val="00DA0375"/>
    <w:rsid w:val="00DA0582"/>
    <w:rsid w:val="00DA070B"/>
    <w:rsid w:val="00DA0B37"/>
    <w:rsid w:val="00DA0D16"/>
    <w:rsid w:val="00DA1032"/>
    <w:rsid w:val="00DA1432"/>
    <w:rsid w:val="00DA15C8"/>
    <w:rsid w:val="00DA162C"/>
    <w:rsid w:val="00DA1AC1"/>
    <w:rsid w:val="00DA3095"/>
    <w:rsid w:val="00DA37C9"/>
    <w:rsid w:val="00DA39A1"/>
    <w:rsid w:val="00DA3A84"/>
    <w:rsid w:val="00DA4F90"/>
    <w:rsid w:val="00DA5139"/>
    <w:rsid w:val="00DA57DE"/>
    <w:rsid w:val="00DA5F84"/>
    <w:rsid w:val="00DA69B9"/>
    <w:rsid w:val="00DA6B11"/>
    <w:rsid w:val="00DA6BBE"/>
    <w:rsid w:val="00DA6C81"/>
    <w:rsid w:val="00DA7BFF"/>
    <w:rsid w:val="00DA7D93"/>
    <w:rsid w:val="00DA7E2D"/>
    <w:rsid w:val="00DA7F8C"/>
    <w:rsid w:val="00DB01ED"/>
    <w:rsid w:val="00DB1CE0"/>
    <w:rsid w:val="00DB1F27"/>
    <w:rsid w:val="00DB23E5"/>
    <w:rsid w:val="00DB2967"/>
    <w:rsid w:val="00DB2CCA"/>
    <w:rsid w:val="00DB2E21"/>
    <w:rsid w:val="00DB2E98"/>
    <w:rsid w:val="00DB30F2"/>
    <w:rsid w:val="00DB3334"/>
    <w:rsid w:val="00DB35E7"/>
    <w:rsid w:val="00DB38A5"/>
    <w:rsid w:val="00DB3C96"/>
    <w:rsid w:val="00DB3E33"/>
    <w:rsid w:val="00DB449E"/>
    <w:rsid w:val="00DB53B9"/>
    <w:rsid w:val="00DB5BC7"/>
    <w:rsid w:val="00DB5EDA"/>
    <w:rsid w:val="00DB6160"/>
    <w:rsid w:val="00DB6595"/>
    <w:rsid w:val="00DB66C3"/>
    <w:rsid w:val="00DB6847"/>
    <w:rsid w:val="00DB6D9D"/>
    <w:rsid w:val="00DB70BD"/>
    <w:rsid w:val="00DB78C4"/>
    <w:rsid w:val="00DC0859"/>
    <w:rsid w:val="00DC0967"/>
    <w:rsid w:val="00DC0AA7"/>
    <w:rsid w:val="00DC1D46"/>
    <w:rsid w:val="00DC1D5A"/>
    <w:rsid w:val="00DC2729"/>
    <w:rsid w:val="00DC2BAE"/>
    <w:rsid w:val="00DC320C"/>
    <w:rsid w:val="00DC3684"/>
    <w:rsid w:val="00DC3808"/>
    <w:rsid w:val="00DC3A58"/>
    <w:rsid w:val="00DC3E20"/>
    <w:rsid w:val="00DC3E3D"/>
    <w:rsid w:val="00DC41C7"/>
    <w:rsid w:val="00DC43B7"/>
    <w:rsid w:val="00DC459B"/>
    <w:rsid w:val="00DC49A9"/>
    <w:rsid w:val="00DC5626"/>
    <w:rsid w:val="00DC5864"/>
    <w:rsid w:val="00DC6997"/>
    <w:rsid w:val="00DC6B63"/>
    <w:rsid w:val="00DC6C6A"/>
    <w:rsid w:val="00DC6CF6"/>
    <w:rsid w:val="00DC7C11"/>
    <w:rsid w:val="00DC7C54"/>
    <w:rsid w:val="00DC7D55"/>
    <w:rsid w:val="00DD0149"/>
    <w:rsid w:val="00DD042D"/>
    <w:rsid w:val="00DD0B33"/>
    <w:rsid w:val="00DD0DE6"/>
    <w:rsid w:val="00DD0F3B"/>
    <w:rsid w:val="00DD162C"/>
    <w:rsid w:val="00DD1689"/>
    <w:rsid w:val="00DD2A08"/>
    <w:rsid w:val="00DD3362"/>
    <w:rsid w:val="00DD388E"/>
    <w:rsid w:val="00DD42B8"/>
    <w:rsid w:val="00DD4320"/>
    <w:rsid w:val="00DD4517"/>
    <w:rsid w:val="00DD455B"/>
    <w:rsid w:val="00DD459E"/>
    <w:rsid w:val="00DD4C91"/>
    <w:rsid w:val="00DD5134"/>
    <w:rsid w:val="00DD5498"/>
    <w:rsid w:val="00DD5512"/>
    <w:rsid w:val="00DD56FE"/>
    <w:rsid w:val="00DD5834"/>
    <w:rsid w:val="00DD5B80"/>
    <w:rsid w:val="00DD5E1F"/>
    <w:rsid w:val="00DD634D"/>
    <w:rsid w:val="00DD7031"/>
    <w:rsid w:val="00DD7D56"/>
    <w:rsid w:val="00DE0473"/>
    <w:rsid w:val="00DE07DF"/>
    <w:rsid w:val="00DE0F7B"/>
    <w:rsid w:val="00DE114A"/>
    <w:rsid w:val="00DE1F86"/>
    <w:rsid w:val="00DE26EB"/>
    <w:rsid w:val="00DE28B2"/>
    <w:rsid w:val="00DE2962"/>
    <w:rsid w:val="00DE2D2E"/>
    <w:rsid w:val="00DE2DA3"/>
    <w:rsid w:val="00DE303A"/>
    <w:rsid w:val="00DE30D5"/>
    <w:rsid w:val="00DE3753"/>
    <w:rsid w:val="00DE4B4A"/>
    <w:rsid w:val="00DE5051"/>
    <w:rsid w:val="00DE5301"/>
    <w:rsid w:val="00DE5850"/>
    <w:rsid w:val="00DE58EF"/>
    <w:rsid w:val="00DE6AA7"/>
    <w:rsid w:val="00DE7090"/>
    <w:rsid w:val="00DE70D4"/>
    <w:rsid w:val="00DE7359"/>
    <w:rsid w:val="00DF0036"/>
    <w:rsid w:val="00DF0071"/>
    <w:rsid w:val="00DF038F"/>
    <w:rsid w:val="00DF0C53"/>
    <w:rsid w:val="00DF0CBD"/>
    <w:rsid w:val="00DF0F51"/>
    <w:rsid w:val="00DF189A"/>
    <w:rsid w:val="00DF1BF0"/>
    <w:rsid w:val="00DF2225"/>
    <w:rsid w:val="00DF2411"/>
    <w:rsid w:val="00DF266C"/>
    <w:rsid w:val="00DF2A59"/>
    <w:rsid w:val="00DF2CFC"/>
    <w:rsid w:val="00DF316B"/>
    <w:rsid w:val="00DF3205"/>
    <w:rsid w:val="00DF35CB"/>
    <w:rsid w:val="00DF390B"/>
    <w:rsid w:val="00DF395A"/>
    <w:rsid w:val="00DF3CF5"/>
    <w:rsid w:val="00DF47E4"/>
    <w:rsid w:val="00DF4C40"/>
    <w:rsid w:val="00DF4D9E"/>
    <w:rsid w:val="00DF506E"/>
    <w:rsid w:val="00DF6031"/>
    <w:rsid w:val="00DF65CE"/>
    <w:rsid w:val="00DF6D44"/>
    <w:rsid w:val="00DF6DE8"/>
    <w:rsid w:val="00DF720E"/>
    <w:rsid w:val="00DF75C3"/>
    <w:rsid w:val="00DF7930"/>
    <w:rsid w:val="00E0079C"/>
    <w:rsid w:val="00E0089B"/>
    <w:rsid w:val="00E00C4A"/>
    <w:rsid w:val="00E00D17"/>
    <w:rsid w:val="00E00EFD"/>
    <w:rsid w:val="00E00F06"/>
    <w:rsid w:val="00E0131C"/>
    <w:rsid w:val="00E0143D"/>
    <w:rsid w:val="00E023F4"/>
    <w:rsid w:val="00E027EC"/>
    <w:rsid w:val="00E02949"/>
    <w:rsid w:val="00E02A3D"/>
    <w:rsid w:val="00E03585"/>
    <w:rsid w:val="00E0383B"/>
    <w:rsid w:val="00E03999"/>
    <w:rsid w:val="00E04E5A"/>
    <w:rsid w:val="00E05250"/>
    <w:rsid w:val="00E055AF"/>
    <w:rsid w:val="00E0637C"/>
    <w:rsid w:val="00E06762"/>
    <w:rsid w:val="00E071F7"/>
    <w:rsid w:val="00E07421"/>
    <w:rsid w:val="00E07B65"/>
    <w:rsid w:val="00E07CC6"/>
    <w:rsid w:val="00E10080"/>
    <w:rsid w:val="00E10248"/>
    <w:rsid w:val="00E11127"/>
    <w:rsid w:val="00E11266"/>
    <w:rsid w:val="00E11C92"/>
    <w:rsid w:val="00E11D22"/>
    <w:rsid w:val="00E11D46"/>
    <w:rsid w:val="00E12163"/>
    <w:rsid w:val="00E124BA"/>
    <w:rsid w:val="00E12C14"/>
    <w:rsid w:val="00E13075"/>
    <w:rsid w:val="00E134F6"/>
    <w:rsid w:val="00E13675"/>
    <w:rsid w:val="00E13715"/>
    <w:rsid w:val="00E14D8C"/>
    <w:rsid w:val="00E14DF2"/>
    <w:rsid w:val="00E14EE6"/>
    <w:rsid w:val="00E1504C"/>
    <w:rsid w:val="00E1513C"/>
    <w:rsid w:val="00E15453"/>
    <w:rsid w:val="00E15BA4"/>
    <w:rsid w:val="00E15F84"/>
    <w:rsid w:val="00E160DF"/>
    <w:rsid w:val="00E162B7"/>
    <w:rsid w:val="00E163A6"/>
    <w:rsid w:val="00E166B1"/>
    <w:rsid w:val="00E1698B"/>
    <w:rsid w:val="00E16E29"/>
    <w:rsid w:val="00E17062"/>
    <w:rsid w:val="00E20120"/>
    <w:rsid w:val="00E203F0"/>
    <w:rsid w:val="00E209B6"/>
    <w:rsid w:val="00E20E18"/>
    <w:rsid w:val="00E21190"/>
    <w:rsid w:val="00E21241"/>
    <w:rsid w:val="00E212F2"/>
    <w:rsid w:val="00E214C0"/>
    <w:rsid w:val="00E21E6C"/>
    <w:rsid w:val="00E228C4"/>
    <w:rsid w:val="00E23436"/>
    <w:rsid w:val="00E23BC2"/>
    <w:rsid w:val="00E245D8"/>
    <w:rsid w:val="00E24CFB"/>
    <w:rsid w:val="00E24E79"/>
    <w:rsid w:val="00E250FC"/>
    <w:rsid w:val="00E25123"/>
    <w:rsid w:val="00E251F6"/>
    <w:rsid w:val="00E25AEA"/>
    <w:rsid w:val="00E25CCD"/>
    <w:rsid w:val="00E25E4C"/>
    <w:rsid w:val="00E2621B"/>
    <w:rsid w:val="00E26548"/>
    <w:rsid w:val="00E268B5"/>
    <w:rsid w:val="00E26BB8"/>
    <w:rsid w:val="00E26E82"/>
    <w:rsid w:val="00E27795"/>
    <w:rsid w:val="00E305AF"/>
    <w:rsid w:val="00E3095F"/>
    <w:rsid w:val="00E315EA"/>
    <w:rsid w:val="00E316DB"/>
    <w:rsid w:val="00E31D01"/>
    <w:rsid w:val="00E32632"/>
    <w:rsid w:val="00E32A7B"/>
    <w:rsid w:val="00E32FF2"/>
    <w:rsid w:val="00E33745"/>
    <w:rsid w:val="00E3384D"/>
    <w:rsid w:val="00E33A1C"/>
    <w:rsid w:val="00E33EBB"/>
    <w:rsid w:val="00E344B1"/>
    <w:rsid w:val="00E34B03"/>
    <w:rsid w:val="00E35167"/>
    <w:rsid w:val="00E35BB9"/>
    <w:rsid w:val="00E35C51"/>
    <w:rsid w:val="00E36A30"/>
    <w:rsid w:val="00E36FA6"/>
    <w:rsid w:val="00E374A6"/>
    <w:rsid w:val="00E37655"/>
    <w:rsid w:val="00E377B0"/>
    <w:rsid w:val="00E40460"/>
    <w:rsid w:val="00E410FD"/>
    <w:rsid w:val="00E414C1"/>
    <w:rsid w:val="00E41AB7"/>
    <w:rsid w:val="00E41B7C"/>
    <w:rsid w:val="00E41E58"/>
    <w:rsid w:val="00E41FC2"/>
    <w:rsid w:val="00E4200D"/>
    <w:rsid w:val="00E4216C"/>
    <w:rsid w:val="00E42CB6"/>
    <w:rsid w:val="00E43043"/>
    <w:rsid w:val="00E439FD"/>
    <w:rsid w:val="00E43F5A"/>
    <w:rsid w:val="00E441BA"/>
    <w:rsid w:val="00E442B2"/>
    <w:rsid w:val="00E446F7"/>
    <w:rsid w:val="00E452C0"/>
    <w:rsid w:val="00E464E4"/>
    <w:rsid w:val="00E468F3"/>
    <w:rsid w:val="00E46BA8"/>
    <w:rsid w:val="00E46CC9"/>
    <w:rsid w:val="00E46EAE"/>
    <w:rsid w:val="00E46F4F"/>
    <w:rsid w:val="00E471B7"/>
    <w:rsid w:val="00E5055D"/>
    <w:rsid w:val="00E5083D"/>
    <w:rsid w:val="00E50C53"/>
    <w:rsid w:val="00E50F52"/>
    <w:rsid w:val="00E512D5"/>
    <w:rsid w:val="00E51928"/>
    <w:rsid w:val="00E519DB"/>
    <w:rsid w:val="00E51F4B"/>
    <w:rsid w:val="00E521A3"/>
    <w:rsid w:val="00E523C9"/>
    <w:rsid w:val="00E526FA"/>
    <w:rsid w:val="00E52CC0"/>
    <w:rsid w:val="00E52D22"/>
    <w:rsid w:val="00E539D8"/>
    <w:rsid w:val="00E5446A"/>
    <w:rsid w:val="00E544D1"/>
    <w:rsid w:val="00E5456B"/>
    <w:rsid w:val="00E54626"/>
    <w:rsid w:val="00E54655"/>
    <w:rsid w:val="00E54A3E"/>
    <w:rsid w:val="00E54DF2"/>
    <w:rsid w:val="00E54F92"/>
    <w:rsid w:val="00E55196"/>
    <w:rsid w:val="00E55427"/>
    <w:rsid w:val="00E555A5"/>
    <w:rsid w:val="00E5577D"/>
    <w:rsid w:val="00E557DE"/>
    <w:rsid w:val="00E5599D"/>
    <w:rsid w:val="00E55D3A"/>
    <w:rsid w:val="00E56975"/>
    <w:rsid w:val="00E56CB0"/>
    <w:rsid w:val="00E57A6C"/>
    <w:rsid w:val="00E57E13"/>
    <w:rsid w:val="00E57F6E"/>
    <w:rsid w:val="00E6117D"/>
    <w:rsid w:val="00E61559"/>
    <w:rsid w:val="00E61628"/>
    <w:rsid w:val="00E61782"/>
    <w:rsid w:val="00E61BC5"/>
    <w:rsid w:val="00E61CED"/>
    <w:rsid w:val="00E62344"/>
    <w:rsid w:val="00E624C0"/>
    <w:rsid w:val="00E62CB4"/>
    <w:rsid w:val="00E630FD"/>
    <w:rsid w:val="00E63307"/>
    <w:rsid w:val="00E63441"/>
    <w:rsid w:val="00E63A5D"/>
    <w:rsid w:val="00E64241"/>
    <w:rsid w:val="00E64246"/>
    <w:rsid w:val="00E64429"/>
    <w:rsid w:val="00E649CE"/>
    <w:rsid w:val="00E64A32"/>
    <w:rsid w:val="00E64D01"/>
    <w:rsid w:val="00E655D2"/>
    <w:rsid w:val="00E6619A"/>
    <w:rsid w:val="00E6687E"/>
    <w:rsid w:val="00E66BF0"/>
    <w:rsid w:val="00E66EE1"/>
    <w:rsid w:val="00E67070"/>
    <w:rsid w:val="00E67332"/>
    <w:rsid w:val="00E6736B"/>
    <w:rsid w:val="00E67A37"/>
    <w:rsid w:val="00E709C6"/>
    <w:rsid w:val="00E70E12"/>
    <w:rsid w:val="00E7121E"/>
    <w:rsid w:val="00E71B0A"/>
    <w:rsid w:val="00E71DBA"/>
    <w:rsid w:val="00E73030"/>
    <w:rsid w:val="00E73171"/>
    <w:rsid w:val="00E731A4"/>
    <w:rsid w:val="00E735EA"/>
    <w:rsid w:val="00E73876"/>
    <w:rsid w:val="00E73C11"/>
    <w:rsid w:val="00E74C20"/>
    <w:rsid w:val="00E75416"/>
    <w:rsid w:val="00E75607"/>
    <w:rsid w:val="00E758EE"/>
    <w:rsid w:val="00E7688D"/>
    <w:rsid w:val="00E769C7"/>
    <w:rsid w:val="00E769CB"/>
    <w:rsid w:val="00E76BC4"/>
    <w:rsid w:val="00E76ED6"/>
    <w:rsid w:val="00E76F99"/>
    <w:rsid w:val="00E7775D"/>
    <w:rsid w:val="00E8013A"/>
    <w:rsid w:val="00E8016F"/>
    <w:rsid w:val="00E80706"/>
    <w:rsid w:val="00E80F79"/>
    <w:rsid w:val="00E81277"/>
    <w:rsid w:val="00E8143C"/>
    <w:rsid w:val="00E81E56"/>
    <w:rsid w:val="00E82281"/>
    <w:rsid w:val="00E8241F"/>
    <w:rsid w:val="00E825C3"/>
    <w:rsid w:val="00E82C34"/>
    <w:rsid w:val="00E8325A"/>
    <w:rsid w:val="00E83497"/>
    <w:rsid w:val="00E8366A"/>
    <w:rsid w:val="00E83980"/>
    <w:rsid w:val="00E84015"/>
    <w:rsid w:val="00E84246"/>
    <w:rsid w:val="00E84C9A"/>
    <w:rsid w:val="00E84F61"/>
    <w:rsid w:val="00E85365"/>
    <w:rsid w:val="00E853AA"/>
    <w:rsid w:val="00E85E31"/>
    <w:rsid w:val="00E86A75"/>
    <w:rsid w:val="00E86C7A"/>
    <w:rsid w:val="00E877DB"/>
    <w:rsid w:val="00E87A30"/>
    <w:rsid w:val="00E903BB"/>
    <w:rsid w:val="00E92156"/>
    <w:rsid w:val="00E92E06"/>
    <w:rsid w:val="00E9359C"/>
    <w:rsid w:val="00E9392A"/>
    <w:rsid w:val="00E94129"/>
    <w:rsid w:val="00E94F77"/>
    <w:rsid w:val="00E95253"/>
    <w:rsid w:val="00E95703"/>
    <w:rsid w:val="00E960E4"/>
    <w:rsid w:val="00E96196"/>
    <w:rsid w:val="00E971F8"/>
    <w:rsid w:val="00E972D9"/>
    <w:rsid w:val="00E976FE"/>
    <w:rsid w:val="00E97750"/>
    <w:rsid w:val="00E979F6"/>
    <w:rsid w:val="00EA02B9"/>
    <w:rsid w:val="00EA089E"/>
    <w:rsid w:val="00EA0D77"/>
    <w:rsid w:val="00EA15F2"/>
    <w:rsid w:val="00EA1779"/>
    <w:rsid w:val="00EA1D36"/>
    <w:rsid w:val="00EA22BF"/>
    <w:rsid w:val="00EA252B"/>
    <w:rsid w:val="00EA299A"/>
    <w:rsid w:val="00EA307B"/>
    <w:rsid w:val="00EA3305"/>
    <w:rsid w:val="00EA3369"/>
    <w:rsid w:val="00EA33F1"/>
    <w:rsid w:val="00EA3504"/>
    <w:rsid w:val="00EA3772"/>
    <w:rsid w:val="00EA3CF3"/>
    <w:rsid w:val="00EA3DF9"/>
    <w:rsid w:val="00EA42D0"/>
    <w:rsid w:val="00EA4530"/>
    <w:rsid w:val="00EA45DB"/>
    <w:rsid w:val="00EA4C98"/>
    <w:rsid w:val="00EA5512"/>
    <w:rsid w:val="00EA5596"/>
    <w:rsid w:val="00EA5C68"/>
    <w:rsid w:val="00EA5EAB"/>
    <w:rsid w:val="00EA5FCD"/>
    <w:rsid w:val="00EA60E9"/>
    <w:rsid w:val="00EA6128"/>
    <w:rsid w:val="00EA6BD2"/>
    <w:rsid w:val="00EA6C77"/>
    <w:rsid w:val="00EA707F"/>
    <w:rsid w:val="00EA744E"/>
    <w:rsid w:val="00EA7C18"/>
    <w:rsid w:val="00EA7CDB"/>
    <w:rsid w:val="00EA7FFB"/>
    <w:rsid w:val="00EB1206"/>
    <w:rsid w:val="00EB196F"/>
    <w:rsid w:val="00EB1DF3"/>
    <w:rsid w:val="00EB2051"/>
    <w:rsid w:val="00EB2EB7"/>
    <w:rsid w:val="00EB5046"/>
    <w:rsid w:val="00EB5368"/>
    <w:rsid w:val="00EB5EA4"/>
    <w:rsid w:val="00EB6557"/>
    <w:rsid w:val="00EB6712"/>
    <w:rsid w:val="00EB7E61"/>
    <w:rsid w:val="00EB7F81"/>
    <w:rsid w:val="00EC049B"/>
    <w:rsid w:val="00EC0B6A"/>
    <w:rsid w:val="00EC0C1E"/>
    <w:rsid w:val="00EC18AE"/>
    <w:rsid w:val="00EC2BED"/>
    <w:rsid w:val="00EC40C2"/>
    <w:rsid w:val="00EC4D10"/>
    <w:rsid w:val="00EC52BD"/>
    <w:rsid w:val="00EC56FC"/>
    <w:rsid w:val="00EC5A4B"/>
    <w:rsid w:val="00EC5CB4"/>
    <w:rsid w:val="00EC5D9F"/>
    <w:rsid w:val="00EC6438"/>
    <w:rsid w:val="00EC6859"/>
    <w:rsid w:val="00EC69D1"/>
    <w:rsid w:val="00EC78AD"/>
    <w:rsid w:val="00EC7BD1"/>
    <w:rsid w:val="00ED07E2"/>
    <w:rsid w:val="00ED0889"/>
    <w:rsid w:val="00ED1798"/>
    <w:rsid w:val="00ED1BA4"/>
    <w:rsid w:val="00ED1FAC"/>
    <w:rsid w:val="00ED2196"/>
    <w:rsid w:val="00ED21CB"/>
    <w:rsid w:val="00ED2BFA"/>
    <w:rsid w:val="00ED2E4A"/>
    <w:rsid w:val="00ED3588"/>
    <w:rsid w:val="00ED3A6F"/>
    <w:rsid w:val="00ED59B2"/>
    <w:rsid w:val="00ED5A86"/>
    <w:rsid w:val="00ED6738"/>
    <w:rsid w:val="00ED6FB4"/>
    <w:rsid w:val="00ED708A"/>
    <w:rsid w:val="00ED771A"/>
    <w:rsid w:val="00ED7780"/>
    <w:rsid w:val="00EE01E0"/>
    <w:rsid w:val="00EE0309"/>
    <w:rsid w:val="00EE0D54"/>
    <w:rsid w:val="00EE2161"/>
    <w:rsid w:val="00EE2C0B"/>
    <w:rsid w:val="00EE3377"/>
    <w:rsid w:val="00EE3C4E"/>
    <w:rsid w:val="00EE4522"/>
    <w:rsid w:val="00EE4AF8"/>
    <w:rsid w:val="00EE4D4E"/>
    <w:rsid w:val="00EE51F6"/>
    <w:rsid w:val="00EE5AD2"/>
    <w:rsid w:val="00EF0195"/>
    <w:rsid w:val="00EF0468"/>
    <w:rsid w:val="00EF0CB6"/>
    <w:rsid w:val="00EF1004"/>
    <w:rsid w:val="00EF1272"/>
    <w:rsid w:val="00EF162E"/>
    <w:rsid w:val="00EF1977"/>
    <w:rsid w:val="00EF1B6A"/>
    <w:rsid w:val="00EF25AF"/>
    <w:rsid w:val="00EF2614"/>
    <w:rsid w:val="00EF2A20"/>
    <w:rsid w:val="00EF333D"/>
    <w:rsid w:val="00EF3632"/>
    <w:rsid w:val="00EF3EEB"/>
    <w:rsid w:val="00EF4B28"/>
    <w:rsid w:val="00EF4C77"/>
    <w:rsid w:val="00EF53B9"/>
    <w:rsid w:val="00EF55F2"/>
    <w:rsid w:val="00EF58F9"/>
    <w:rsid w:val="00EF59AA"/>
    <w:rsid w:val="00EF617C"/>
    <w:rsid w:val="00EF6199"/>
    <w:rsid w:val="00EF6E3B"/>
    <w:rsid w:val="00EF70E7"/>
    <w:rsid w:val="00EF716B"/>
    <w:rsid w:val="00EF71FA"/>
    <w:rsid w:val="00EF7310"/>
    <w:rsid w:val="00EF7658"/>
    <w:rsid w:val="00EF7D01"/>
    <w:rsid w:val="00F00018"/>
    <w:rsid w:val="00F003A0"/>
    <w:rsid w:val="00F004C7"/>
    <w:rsid w:val="00F005A8"/>
    <w:rsid w:val="00F005FB"/>
    <w:rsid w:val="00F00BBC"/>
    <w:rsid w:val="00F019D8"/>
    <w:rsid w:val="00F01C50"/>
    <w:rsid w:val="00F01EFA"/>
    <w:rsid w:val="00F022B5"/>
    <w:rsid w:val="00F0317B"/>
    <w:rsid w:val="00F043C7"/>
    <w:rsid w:val="00F04E75"/>
    <w:rsid w:val="00F04F8D"/>
    <w:rsid w:val="00F05111"/>
    <w:rsid w:val="00F05737"/>
    <w:rsid w:val="00F059DD"/>
    <w:rsid w:val="00F05B9E"/>
    <w:rsid w:val="00F0682F"/>
    <w:rsid w:val="00F06A8E"/>
    <w:rsid w:val="00F06C35"/>
    <w:rsid w:val="00F0792E"/>
    <w:rsid w:val="00F07C0C"/>
    <w:rsid w:val="00F07EDC"/>
    <w:rsid w:val="00F1039E"/>
    <w:rsid w:val="00F1065D"/>
    <w:rsid w:val="00F10C0D"/>
    <w:rsid w:val="00F10C59"/>
    <w:rsid w:val="00F11723"/>
    <w:rsid w:val="00F11AC6"/>
    <w:rsid w:val="00F124BE"/>
    <w:rsid w:val="00F124D0"/>
    <w:rsid w:val="00F1269E"/>
    <w:rsid w:val="00F1306D"/>
    <w:rsid w:val="00F1333F"/>
    <w:rsid w:val="00F143BE"/>
    <w:rsid w:val="00F145DB"/>
    <w:rsid w:val="00F14629"/>
    <w:rsid w:val="00F1542B"/>
    <w:rsid w:val="00F154F9"/>
    <w:rsid w:val="00F15F76"/>
    <w:rsid w:val="00F1660C"/>
    <w:rsid w:val="00F17538"/>
    <w:rsid w:val="00F1753E"/>
    <w:rsid w:val="00F1756A"/>
    <w:rsid w:val="00F1763F"/>
    <w:rsid w:val="00F20075"/>
    <w:rsid w:val="00F202F2"/>
    <w:rsid w:val="00F203F3"/>
    <w:rsid w:val="00F20E57"/>
    <w:rsid w:val="00F217CE"/>
    <w:rsid w:val="00F21D18"/>
    <w:rsid w:val="00F2260D"/>
    <w:rsid w:val="00F226EC"/>
    <w:rsid w:val="00F23687"/>
    <w:rsid w:val="00F240C0"/>
    <w:rsid w:val="00F2447C"/>
    <w:rsid w:val="00F24614"/>
    <w:rsid w:val="00F24DA9"/>
    <w:rsid w:val="00F253D7"/>
    <w:rsid w:val="00F256C2"/>
    <w:rsid w:val="00F25F46"/>
    <w:rsid w:val="00F26511"/>
    <w:rsid w:val="00F274C3"/>
    <w:rsid w:val="00F274F5"/>
    <w:rsid w:val="00F277DA"/>
    <w:rsid w:val="00F27E10"/>
    <w:rsid w:val="00F30764"/>
    <w:rsid w:val="00F30875"/>
    <w:rsid w:val="00F30E1E"/>
    <w:rsid w:val="00F30EFA"/>
    <w:rsid w:val="00F3171D"/>
    <w:rsid w:val="00F31CBF"/>
    <w:rsid w:val="00F32700"/>
    <w:rsid w:val="00F328FF"/>
    <w:rsid w:val="00F32B64"/>
    <w:rsid w:val="00F32BD2"/>
    <w:rsid w:val="00F336B0"/>
    <w:rsid w:val="00F33856"/>
    <w:rsid w:val="00F33EA7"/>
    <w:rsid w:val="00F340CE"/>
    <w:rsid w:val="00F35C9B"/>
    <w:rsid w:val="00F369CF"/>
    <w:rsid w:val="00F36A74"/>
    <w:rsid w:val="00F40622"/>
    <w:rsid w:val="00F40631"/>
    <w:rsid w:val="00F414D8"/>
    <w:rsid w:val="00F4199B"/>
    <w:rsid w:val="00F41A68"/>
    <w:rsid w:val="00F42A9D"/>
    <w:rsid w:val="00F42C61"/>
    <w:rsid w:val="00F434E5"/>
    <w:rsid w:val="00F44903"/>
    <w:rsid w:val="00F44C4C"/>
    <w:rsid w:val="00F452B2"/>
    <w:rsid w:val="00F45BC4"/>
    <w:rsid w:val="00F463F1"/>
    <w:rsid w:val="00F4649E"/>
    <w:rsid w:val="00F46A71"/>
    <w:rsid w:val="00F46CC3"/>
    <w:rsid w:val="00F46E2C"/>
    <w:rsid w:val="00F46FB1"/>
    <w:rsid w:val="00F47CB8"/>
    <w:rsid w:val="00F47EBC"/>
    <w:rsid w:val="00F505E2"/>
    <w:rsid w:val="00F5089D"/>
    <w:rsid w:val="00F508B7"/>
    <w:rsid w:val="00F50954"/>
    <w:rsid w:val="00F50BF3"/>
    <w:rsid w:val="00F510A1"/>
    <w:rsid w:val="00F5245B"/>
    <w:rsid w:val="00F52637"/>
    <w:rsid w:val="00F52C7B"/>
    <w:rsid w:val="00F52EA8"/>
    <w:rsid w:val="00F53001"/>
    <w:rsid w:val="00F533B2"/>
    <w:rsid w:val="00F53CD9"/>
    <w:rsid w:val="00F54065"/>
    <w:rsid w:val="00F5537D"/>
    <w:rsid w:val="00F5576B"/>
    <w:rsid w:val="00F55B75"/>
    <w:rsid w:val="00F564E8"/>
    <w:rsid w:val="00F571F9"/>
    <w:rsid w:val="00F574D5"/>
    <w:rsid w:val="00F57EA8"/>
    <w:rsid w:val="00F60604"/>
    <w:rsid w:val="00F606E7"/>
    <w:rsid w:val="00F60A53"/>
    <w:rsid w:val="00F60C25"/>
    <w:rsid w:val="00F61125"/>
    <w:rsid w:val="00F613A5"/>
    <w:rsid w:val="00F62256"/>
    <w:rsid w:val="00F62B99"/>
    <w:rsid w:val="00F62E0C"/>
    <w:rsid w:val="00F63365"/>
    <w:rsid w:val="00F634B6"/>
    <w:rsid w:val="00F6351A"/>
    <w:rsid w:val="00F6365E"/>
    <w:rsid w:val="00F63831"/>
    <w:rsid w:val="00F63832"/>
    <w:rsid w:val="00F6392E"/>
    <w:rsid w:val="00F63D17"/>
    <w:rsid w:val="00F64095"/>
    <w:rsid w:val="00F64533"/>
    <w:rsid w:val="00F648E5"/>
    <w:rsid w:val="00F64F34"/>
    <w:rsid w:val="00F64F73"/>
    <w:rsid w:val="00F65A71"/>
    <w:rsid w:val="00F65FB0"/>
    <w:rsid w:val="00F66F02"/>
    <w:rsid w:val="00F678D7"/>
    <w:rsid w:val="00F67988"/>
    <w:rsid w:val="00F70BB9"/>
    <w:rsid w:val="00F70E5B"/>
    <w:rsid w:val="00F712A8"/>
    <w:rsid w:val="00F7143F"/>
    <w:rsid w:val="00F717B3"/>
    <w:rsid w:val="00F7220C"/>
    <w:rsid w:val="00F72E11"/>
    <w:rsid w:val="00F72E86"/>
    <w:rsid w:val="00F73CD3"/>
    <w:rsid w:val="00F74362"/>
    <w:rsid w:val="00F74634"/>
    <w:rsid w:val="00F746A9"/>
    <w:rsid w:val="00F74C78"/>
    <w:rsid w:val="00F753D9"/>
    <w:rsid w:val="00F75BC6"/>
    <w:rsid w:val="00F75DEE"/>
    <w:rsid w:val="00F764AB"/>
    <w:rsid w:val="00F76A70"/>
    <w:rsid w:val="00F76CEB"/>
    <w:rsid w:val="00F77079"/>
    <w:rsid w:val="00F808F0"/>
    <w:rsid w:val="00F81593"/>
    <w:rsid w:val="00F81733"/>
    <w:rsid w:val="00F81D7E"/>
    <w:rsid w:val="00F82BFB"/>
    <w:rsid w:val="00F82D49"/>
    <w:rsid w:val="00F82ECF"/>
    <w:rsid w:val="00F8304B"/>
    <w:rsid w:val="00F8304D"/>
    <w:rsid w:val="00F83612"/>
    <w:rsid w:val="00F83806"/>
    <w:rsid w:val="00F83F5D"/>
    <w:rsid w:val="00F84845"/>
    <w:rsid w:val="00F84E33"/>
    <w:rsid w:val="00F85097"/>
    <w:rsid w:val="00F867E6"/>
    <w:rsid w:val="00F87162"/>
    <w:rsid w:val="00F9120F"/>
    <w:rsid w:val="00F91AD8"/>
    <w:rsid w:val="00F91D02"/>
    <w:rsid w:val="00F9218A"/>
    <w:rsid w:val="00F9219B"/>
    <w:rsid w:val="00F92AD7"/>
    <w:rsid w:val="00F9309D"/>
    <w:rsid w:val="00F932A3"/>
    <w:rsid w:val="00F93B32"/>
    <w:rsid w:val="00F9497C"/>
    <w:rsid w:val="00F94B90"/>
    <w:rsid w:val="00F95065"/>
    <w:rsid w:val="00F958F6"/>
    <w:rsid w:val="00F95A46"/>
    <w:rsid w:val="00F95DB2"/>
    <w:rsid w:val="00F96109"/>
    <w:rsid w:val="00F96C2D"/>
    <w:rsid w:val="00F96D00"/>
    <w:rsid w:val="00F97F20"/>
    <w:rsid w:val="00FA072C"/>
    <w:rsid w:val="00FA07DE"/>
    <w:rsid w:val="00FA0A27"/>
    <w:rsid w:val="00FA12DD"/>
    <w:rsid w:val="00FA17D1"/>
    <w:rsid w:val="00FA1A9D"/>
    <w:rsid w:val="00FA1F66"/>
    <w:rsid w:val="00FA2070"/>
    <w:rsid w:val="00FA26BC"/>
    <w:rsid w:val="00FA2D09"/>
    <w:rsid w:val="00FA3089"/>
    <w:rsid w:val="00FA3204"/>
    <w:rsid w:val="00FA36E3"/>
    <w:rsid w:val="00FA3996"/>
    <w:rsid w:val="00FA3C16"/>
    <w:rsid w:val="00FA4125"/>
    <w:rsid w:val="00FA4A4D"/>
    <w:rsid w:val="00FA52D9"/>
    <w:rsid w:val="00FA5306"/>
    <w:rsid w:val="00FA531F"/>
    <w:rsid w:val="00FA5A92"/>
    <w:rsid w:val="00FA5B86"/>
    <w:rsid w:val="00FA5BA8"/>
    <w:rsid w:val="00FA6149"/>
    <w:rsid w:val="00FA6A7F"/>
    <w:rsid w:val="00FA6E1B"/>
    <w:rsid w:val="00FA6FEE"/>
    <w:rsid w:val="00FA744C"/>
    <w:rsid w:val="00FA7BFD"/>
    <w:rsid w:val="00FA7DCC"/>
    <w:rsid w:val="00FA7E3C"/>
    <w:rsid w:val="00FB0015"/>
    <w:rsid w:val="00FB1316"/>
    <w:rsid w:val="00FB18E8"/>
    <w:rsid w:val="00FB2A6D"/>
    <w:rsid w:val="00FB3650"/>
    <w:rsid w:val="00FB3654"/>
    <w:rsid w:val="00FB41A8"/>
    <w:rsid w:val="00FB4EFD"/>
    <w:rsid w:val="00FB560A"/>
    <w:rsid w:val="00FB638F"/>
    <w:rsid w:val="00FB640A"/>
    <w:rsid w:val="00FB6672"/>
    <w:rsid w:val="00FB6F5D"/>
    <w:rsid w:val="00FB71BF"/>
    <w:rsid w:val="00FB799D"/>
    <w:rsid w:val="00FC01FC"/>
    <w:rsid w:val="00FC1237"/>
    <w:rsid w:val="00FC13BF"/>
    <w:rsid w:val="00FC1730"/>
    <w:rsid w:val="00FC2600"/>
    <w:rsid w:val="00FC267C"/>
    <w:rsid w:val="00FC302F"/>
    <w:rsid w:val="00FC34F8"/>
    <w:rsid w:val="00FC3888"/>
    <w:rsid w:val="00FC4690"/>
    <w:rsid w:val="00FC48F0"/>
    <w:rsid w:val="00FC55A8"/>
    <w:rsid w:val="00FC6515"/>
    <w:rsid w:val="00FC7B02"/>
    <w:rsid w:val="00FC7B37"/>
    <w:rsid w:val="00FD0A41"/>
    <w:rsid w:val="00FD0A7B"/>
    <w:rsid w:val="00FD20E0"/>
    <w:rsid w:val="00FD2551"/>
    <w:rsid w:val="00FD2E54"/>
    <w:rsid w:val="00FD2FD8"/>
    <w:rsid w:val="00FD33C6"/>
    <w:rsid w:val="00FD37FB"/>
    <w:rsid w:val="00FD3843"/>
    <w:rsid w:val="00FD3DA1"/>
    <w:rsid w:val="00FD406F"/>
    <w:rsid w:val="00FD407C"/>
    <w:rsid w:val="00FD4EEE"/>
    <w:rsid w:val="00FD51CD"/>
    <w:rsid w:val="00FD52D1"/>
    <w:rsid w:val="00FD5785"/>
    <w:rsid w:val="00FD6B0A"/>
    <w:rsid w:val="00FD6D88"/>
    <w:rsid w:val="00FD6EED"/>
    <w:rsid w:val="00FD74B4"/>
    <w:rsid w:val="00FD77C5"/>
    <w:rsid w:val="00FD7926"/>
    <w:rsid w:val="00FD7D2C"/>
    <w:rsid w:val="00FD7DD9"/>
    <w:rsid w:val="00FE0EF4"/>
    <w:rsid w:val="00FE1C16"/>
    <w:rsid w:val="00FE1F17"/>
    <w:rsid w:val="00FE1FA8"/>
    <w:rsid w:val="00FE2279"/>
    <w:rsid w:val="00FE23DE"/>
    <w:rsid w:val="00FE275E"/>
    <w:rsid w:val="00FE27E6"/>
    <w:rsid w:val="00FE2D21"/>
    <w:rsid w:val="00FE2ECB"/>
    <w:rsid w:val="00FE3730"/>
    <w:rsid w:val="00FE3E36"/>
    <w:rsid w:val="00FE40B9"/>
    <w:rsid w:val="00FE4630"/>
    <w:rsid w:val="00FE4B0D"/>
    <w:rsid w:val="00FE5126"/>
    <w:rsid w:val="00FE563D"/>
    <w:rsid w:val="00FE5C30"/>
    <w:rsid w:val="00FE5D41"/>
    <w:rsid w:val="00FE648A"/>
    <w:rsid w:val="00FE64C8"/>
    <w:rsid w:val="00FE6FC7"/>
    <w:rsid w:val="00FE6FFC"/>
    <w:rsid w:val="00FE727D"/>
    <w:rsid w:val="00FF00D6"/>
    <w:rsid w:val="00FF0238"/>
    <w:rsid w:val="00FF0651"/>
    <w:rsid w:val="00FF0C17"/>
    <w:rsid w:val="00FF0EA5"/>
    <w:rsid w:val="00FF1127"/>
    <w:rsid w:val="00FF27E1"/>
    <w:rsid w:val="00FF30D3"/>
    <w:rsid w:val="00FF30DE"/>
    <w:rsid w:val="00FF3597"/>
    <w:rsid w:val="00FF3C27"/>
    <w:rsid w:val="00FF3C54"/>
    <w:rsid w:val="00FF442D"/>
    <w:rsid w:val="00FF4544"/>
    <w:rsid w:val="00FF6191"/>
    <w:rsid w:val="00FF65F0"/>
    <w:rsid w:val="00FF6BA4"/>
    <w:rsid w:val="0105793B"/>
    <w:rsid w:val="010653CD"/>
    <w:rsid w:val="010832A0"/>
    <w:rsid w:val="010E055B"/>
    <w:rsid w:val="0112397A"/>
    <w:rsid w:val="01131210"/>
    <w:rsid w:val="01172BEC"/>
    <w:rsid w:val="01214453"/>
    <w:rsid w:val="012162FB"/>
    <w:rsid w:val="01257F67"/>
    <w:rsid w:val="012737CF"/>
    <w:rsid w:val="012949F3"/>
    <w:rsid w:val="01317B7E"/>
    <w:rsid w:val="013635A1"/>
    <w:rsid w:val="013B2642"/>
    <w:rsid w:val="013D7AD1"/>
    <w:rsid w:val="014225AE"/>
    <w:rsid w:val="014310C6"/>
    <w:rsid w:val="015347B1"/>
    <w:rsid w:val="015A7C33"/>
    <w:rsid w:val="016429B4"/>
    <w:rsid w:val="01661EB3"/>
    <w:rsid w:val="016F2EE1"/>
    <w:rsid w:val="01750BF2"/>
    <w:rsid w:val="01790BDC"/>
    <w:rsid w:val="017A0A95"/>
    <w:rsid w:val="017E78AB"/>
    <w:rsid w:val="0181113A"/>
    <w:rsid w:val="018D640E"/>
    <w:rsid w:val="019B2A5D"/>
    <w:rsid w:val="01A7079D"/>
    <w:rsid w:val="01B166E8"/>
    <w:rsid w:val="01B44AB3"/>
    <w:rsid w:val="01BA1C0D"/>
    <w:rsid w:val="01BC5EAE"/>
    <w:rsid w:val="01BD1D23"/>
    <w:rsid w:val="01BD3CBC"/>
    <w:rsid w:val="01C73EDC"/>
    <w:rsid w:val="01C973E1"/>
    <w:rsid w:val="01D53047"/>
    <w:rsid w:val="01DF45AE"/>
    <w:rsid w:val="01E64357"/>
    <w:rsid w:val="01E82409"/>
    <w:rsid w:val="01EC3F79"/>
    <w:rsid w:val="01F11CDB"/>
    <w:rsid w:val="01FB3721"/>
    <w:rsid w:val="01FD0736"/>
    <w:rsid w:val="02054FDD"/>
    <w:rsid w:val="020D0A26"/>
    <w:rsid w:val="021B3B9A"/>
    <w:rsid w:val="021E471A"/>
    <w:rsid w:val="022460A7"/>
    <w:rsid w:val="0226404D"/>
    <w:rsid w:val="02316C67"/>
    <w:rsid w:val="02396DD7"/>
    <w:rsid w:val="023B0207"/>
    <w:rsid w:val="024E327D"/>
    <w:rsid w:val="025254C7"/>
    <w:rsid w:val="026256BA"/>
    <w:rsid w:val="02664EE1"/>
    <w:rsid w:val="026956BB"/>
    <w:rsid w:val="027201B9"/>
    <w:rsid w:val="02724090"/>
    <w:rsid w:val="027B3E58"/>
    <w:rsid w:val="02937251"/>
    <w:rsid w:val="02A132E2"/>
    <w:rsid w:val="02A1631A"/>
    <w:rsid w:val="02A81AED"/>
    <w:rsid w:val="02B240EF"/>
    <w:rsid w:val="02B402E3"/>
    <w:rsid w:val="02C26F76"/>
    <w:rsid w:val="02CF582A"/>
    <w:rsid w:val="02D11803"/>
    <w:rsid w:val="02D23469"/>
    <w:rsid w:val="02D40B7B"/>
    <w:rsid w:val="02DF2481"/>
    <w:rsid w:val="02E5012E"/>
    <w:rsid w:val="02EA61EA"/>
    <w:rsid w:val="02EB58AA"/>
    <w:rsid w:val="02EC5581"/>
    <w:rsid w:val="02F45F2C"/>
    <w:rsid w:val="02F64DA0"/>
    <w:rsid w:val="02F76930"/>
    <w:rsid w:val="02F93C88"/>
    <w:rsid w:val="030A2CCE"/>
    <w:rsid w:val="030D43D3"/>
    <w:rsid w:val="030F4DA1"/>
    <w:rsid w:val="03116238"/>
    <w:rsid w:val="03264EFC"/>
    <w:rsid w:val="032864A0"/>
    <w:rsid w:val="0332550A"/>
    <w:rsid w:val="033C1981"/>
    <w:rsid w:val="03414841"/>
    <w:rsid w:val="034370B6"/>
    <w:rsid w:val="03457F79"/>
    <w:rsid w:val="03480222"/>
    <w:rsid w:val="034A1B6A"/>
    <w:rsid w:val="035352CC"/>
    <w:rsid w:val="0360434B"/>
    <w:rsid w:val="03626A91"/>
    <w:rsid w:val="0368511F"/>
    <w:rsid w:val="036F1210"/>
    <w:rsid w:val="03742BD7"/>
    <w:rsid w:val="037530D9"/>
    <w:rsid w:val="03786D7D"/>
    <w:rsid w:val="037C1BA6"/>
    <w:rsid w:val="037D50C7"/>
    <w:rsid w:val="037F12CE"/>
    <w:rsid w:val="03820AE9"/>
    <w:rsid w:val="038E0F8C"/>
    <w:rsid w:val="03922C8F"/>
    <w:rsid w:val="03983463"/>
    <w:rsid w:val="039A1A20"/>
    <w:rsid w:val="03A458C2"/>
    <w:rsid w:val="03A5557C"/>
    <w:rsid w:val="03AF0689"/>
    <w:rsid w:val="03B72B78"/>
    <w:rsid w:val="03B842AD"/>
    <w:rsid w:val="03B911D3"/>
    <w:rsid w:val="03BE21F1"/>
    <w:rsid w:val="03C2387C"/>
    <w:rsid w:val="03C761E7"/>
    <w:rsid w:val="03CD5584"/>
    <w:rsid w:val="03CD57F5"/>
    <w:rsid w:val="03D91777"/>
    <w:rsid w:val="03D958E4"/>
    <w:rsid w:val="03DB75CB"/>
    <w:rsid w:val="03DC2A7C"/>
    <w:rsid w:val="03DC5B3A"/>
    <w:rsid w:val="03DD635D"/>
    <w:rsid w:val="03DF445F"/>
    <w:rsid w:val="03E23A5B"/>
    <w:rsid w:val="03E35963"/>
    <w:rsid w:val="03EC78FF"/>
    <w:rsid w:val="03EF05D2"/>
    <w:rsid w:val="03EF48BA"/>
    <w:rsid w:val="03F17989"/>
    <w:rsid w:val="03F53FCE"/>
    <w:rsid w:val="03FC2580"/>
    <w:rsid w:val="03FE5B7F"/>
    <w:rsid w:val="04041834"/>
    <w:rsid w:val="04041F57"/>
    <w:rsid w:val="040862AC"/>
    <w:rsid w:val="040A4F38"/>
    <w:rsid w:val="04115862"/>
    <w:rsid w:val="041326F8"/>
    <w:rsid w:val="04162436"/>
    <w:rsid w:val="04246D7B"/>
    <w:rsid w:val="042E2924"/>
    <w:rsid w:val="043422B3"/>
    <w:rsid w:val="04354DA0"/>
    <w:rsid w:val="04371CFA"/>
    <w:rsid w:val="04372230"/>
    <w:rsid w:val="043C62CB"/>
    <w:rsid w:val="043F0B61"/>
    <w:rsid w:val="04500ACC"/>
    <w:rsid w:val="045571A0"/>
    <w:rsid w:val="04573EEA"/>
    <w:rsid w:val="046007F9"/>
    <w:rsid w:val="0469701B"/>
    <w:rsid w:val="047130CD"/>
    <w:rsid w:val="04756F17"/>
    <w:rsid w:val="04791BE7"/>
    <w:rsid w:val="047E0369"/>
    <w:rsid w:val="04812767"/>
    <w:rsid w:val="0481797D"/>
    <w:rsid w:val="04841194"/>
    <w:rsid w:val="0487789D"/>
    <w:rsid w:val="04896B99"/>
    <w:rsid w:val="048A53FB"/>
    <w:rsid w:val="048B3BB9"/>
    <w:rsid w:val="048E1D4C"/>
    <w:rsid w:val="04957B1C"/>
    <w:rsid w:val="049D28C0"/>
    <w:rsid w:val="049E46F4"/>
    <w:rsid w:val="049F583B"/>
    <w:rsid w:val="04A63AAB"/>
    <w:rsid w:val="04AA4B3E"/>
    <w:rsid w:val="04AD5240"/>
    <w:rsid w:val="04B17483"/>
    <w:rsid w:val="04B50DD0"/>
    <w:rsid w:val="04BD3C02"/>
    <w:rsid w:val="04C87607"/>
    <w:rsid w:val="04C90C7E"/>
    <w:rsid w:val="04C948AC"/>
    <w:rsid w:val="04E67EFA"/>
    <w:rsid w:val="04F60F28"/>
    <w:rsid w:val="04FD0256"/>
    <w:rsid w:val="04FD7EB2"/>
    <w:rsid w:val="04FF6571"/>
    <w:rsid w:val="05000718"/>
    <w:rsid w:val="050E7E48"/>
    <w:rsid w:val="052128AA"/>
    <w:rsid w:val="052672BF"/>
    <w:rsid w:val="052D6F1C"/>
    <w:rsid w:val="05325C99"/>
    <w:rsid w:val="05330B10"/>
    <w:rsid w:val="05343214"/>
    <w:rsid w:val="053713F9"/>
    <w:rsid w:val="0541430C"/>
    <w:rsid w:val="0541796A"/>
    <w:rsid w:val="054331AA"/>
    <w:rsid w:val="054C36EF"/>
    <w:rsid w:val="05526DC1"/>
    <w:rsid w:val="055928C9"/>
    <w:rsid w:val="055C2865"/>
    <w:rsid w:val="05641DFD"/>
    <w:rsid w:val="0567663A"/>
    <w:rsid w:val="056774AA"/>
    <w:rsid w:val="05695483"/>
    <w:rsid w:val="056C3E13"/>
    <w:rsid w:val="056F5F60"/>
    <w:rsid w:val="05965C4E"/>
    <w:rsid w:val="05B2226C"/>
    <w:rsid w:val="05BB6A25"/>
    <w:rsid w:val="05C06D14"/>
    <w:rsid w:val="05C54014"/>
    <w:rsid w:val="05C6547F"/>
    <w:rsid w:val="05DC62D8"/>
    <w:rsid w:val="05DD3574"/>
    <w:rsid w:val="05EA1571"/>
    <w:rsid w:val="05F976E8"/>
    <w:rsid w:val="060164B0"/>
    <w:rsid w:val="06063406"/>
    <w:rsid w:val="06142C4B"/>
    <w:rsid w:val="06164B51"/>
    <w:rsid w:val="06194153"/>
    <w:rsid w:val="06195100"/>
    <w:rsid w:val="06222F59"/>
    <w:rsid w:val="06265D70"/>
    <w:rsid w:val="06357A88"/>
    <w:rsid w:val="063C6BF8"/>
    <w:rsid w:val="064C1848"/>
    <w:rsid w:val="06531F98"/>
    <w:rsid w:val="06650D7C"/>
    <w:rsid w:val="066910A8"/>
    <w:rsid w:val="066B0E6B"/>
    <w:rsid w:val="06767C5C"/>
    <w:rsid w:val="067B0AA0"/>
    <w:rsid w:val="067C4BE7"/>
    <w:rsid w:val="067C7462"/>
    <w:rsid w:val="0683736D"/>
    <w:rsid w:val="06A40172"/>
    <w:rsid w:val="06AB2F85"/>
    <w:rsid w:val="06B11454"/>
    <w:rsid w:val="06B54621"/>
    <w:rsid w:val="06B67F3D"/>
    <w:rsid w:val="06B902BF"/>
    <w:rsid w:val="06BE028C"/>
    <w:rsid w:val="06BF52F8"/>
    <w:rsid w:val="06CD4A8A"/>
    <w:rsid w:val="06D45F01"/>
    <w:rsid w:val="06DA6112"/>
    <w:rsid w:val="06F552FE"/>
    <w:rsid w:val="06FE6B07"/>
    <w:rsid w:val="06FF5981"/>
    <w:rsid w:val="07064406"/>
    <w:rsid w:val="070904FE"/>
    <w:rsid w:val="071227C0"/>
    <w:rsid w:val="07146B9E"/>
    <w:rsid w:val="071575F0"/>
    <w:rsid w:val="07166A66"/>
    <w:rsid w:val="071813E8"/>
    <w:rsid w:val="071B57D7"/>
    <w:rsid w:val="071C786F"/>
    <w:rsid w:val="072430A3"/>
    <w:rsid w:val="072735D4"/>
    <w:rsid w:val="072B1748"/>
    <w:rsid w:val="072B75DD"/>
    <w:rsid w:val="072F5975"/>
    <w:rsid w:val="072F614F"/>
    <w:rsid w:val="07316C12"/>
    <w:rsid w:val="07350B9A"/>
    <w:rsid w:val="07356EBC"/>
    <w:rsid w:val="073C46F4"/>
    <w:rsid w:val="074D20F6"/>
    <w:rsid w:val="07514E6F"/>
    <w:rsid w:val="0755789E"/>
    <w:rsid w:val="0759525D"/>
    <w:rsid w:val="075A15D5"/>
    <w:rsid w:val="075F62A9"/>
    <w:rsid w:val="07607930"/>
    <w:rsid w:val="07623B91"/>
    <w:rsid w:val="076C7441"/>
    <w:rsid w:val="078F1846"/>
    <w:rsid w:val="07964B53"/>
    <w:rsid w:val="07987B55"/>
    <w:rsid w:val="07A06228"/>
    <w:rsid w:val="07AE12F0"/>
    <w:rsid w:val="07B651AD"/>
    <w:rsid w:val="07BD7C4B"/>
    <w:rsid w:val="07C14E47"/>
    <w:rsid w:val="07C33EC5"/>
    <w:rsid w:val="07CB238A"/>
    <w:rsid w:val="07CE7881"/>
    <w:rsid w:val="07CF3864"/>
    <w:rsid w:val="07E43E4B"/>
    <w:rsid w:val="07E975E7"/>
    <w:rsid w:val="07E97D66"/>
    <w:rsid w:val="07EC33B0"/>
    <w:rsid w:val="07EF42EE"/>
    <w:rsid w:val="07EF5300"/>
    <w:rsid w:val="07F0238D"/>
    <w:rsid w:val="07F30DD7"/>
    <w:rsid w:val="07F31D5E"/>
    <w:rsid w:val="07F721BF"/>
    <w:rsid w:val="07FD3581"/>
    <w:rsid w:val="080025E3"/>
    <w:rsid w:val="08012880"/>
    <w:rsid w:val="08081413"/>
    <w:rsid w:val="080929BF"/>
    <w:rsid w:val="080D29CF"/>
    <w:rsid w:val="080E790D"/>
    <w:rsid w:val="08130188"/>
    <w:rsid w:val="08136170"/>
    <w:rsid w:val="08157EE4"/>
    <w:rsid w:val="081B741F"/>
    <w:rsid w:val="082978CB"/>
    <w:rsid w:val="082D57B8"/>
    <w:rsid w:val="082E04F6"/>
    <w:rsid w:val="08315D20"/>
    <w:rsid w:val="08317978"/>
    <w:rsid w:val="083A5E87"/>
    <w:rsid w:val="083B6FD1"/>
    <w:rsid w:val="0843467D"/>
    <w:rsid w:val="08447A76"/>
    <w:rsid w:val="084C19FC"/>
    <w:rsid w:val="086B5EF1"/>
    <w:rsid w:val="086E3E0C"/>
    <w:rsid w:val="087078A3"/>
    <w:rsid w:val="08720363"/>
    <w:rsid w:val="0874013A"/>
    <w:rsid w:val="087B0F48"/>
    <w:rsid w:val="088D6219"/>
    <w:rsid w:val="08977F70"/>
    <w:rsid w:val="0899495E"/>
    <w:rsid w:val="08A7566C"/>
    <w:rsid w:val="08AD16F8"/>
    <w:rsid w:val="08AD1932"/>
    <w:rsid w:val="08B0638C"/>
    <w:rsid w:val="08C12C43"/>
    <w:rsid w:val="08C40397"/>
    <w:rsid w:val="08C80A6F"/>
    <w:rsid w:val="08CA656B"/>
    <w:rsid w:val="08D25B45"/>
    <w:rsid w:val="08D53939"/>
    <w:rsid w:val="08D63DBF"/>
    <w:rsid w:val="08D90273"/>
    <w:rsid w:val="08DA19E2"/>
    <w:rsid w:val="08DC2040"/>
    <w:rsid w:val="08E21C9D"/>
    <w:rsid w:val="08E92A78"/>
    <w:rsid w:val="08F17A91"/>
    <w:rsid w:val="08F4075D"/>
    <w:rsid w:val="08F951AD"/>
    <w:rsid w:val="08FA3238"/>
    <w:rsid w:val="08FE6477"/>
    <w:rsid w:val="09043CB3"/>
    <w:rsid w:val="0904759F"/>
    <w:rsid w:val="090D144B"/>
    <w:rsid w:val="090E7AE8"/>
    <w:rsid w:val="091D047C"/>
    <w:rsid w:val="091E0735"/>
    <w:rsid w:val="092C7454"/>
    <w:rsid w:val="09303139"/>
    <w:rsid w:val="09353B9A"/>
    <w:rsid w:val="093B1A6E"/>
    <w:rsid w:val="093F678E"/>
    <w:rsid w:val="09432C6C"/>
    <w:rsid w:val="094A1560"/>
    <w:rsid w:val="094B40EA"/>
    <w:rsid w:val="094D4501"/>
    <w:rsid w:val="095705FE"/>
    <w:rsid w:val="095752B9"/>
    <w:rsid w:val="095878C5"/>
    <w:rsid w:val="095C0C5F"/>
    <w:rsid w:val="096302A1"/>
    <w:rsid w:val="096B198E"/>
    <w:rsid w:val="09747386"/>
    <w:rsid w:val="09760447"/>
    <w:rsid w:val="09783271"/>
    <w:rsid w:val="0979657C"/>
    <w:rsid w:val="097A5466"/>
    <w:rsid w:val="097C71A5"/>
    <w:rsid w:val="098A18DE"/>
    <w:rsid w:val="098D44E3"/>
    <w:rsid w:val="0994465C"/>
    <w:rsid w:val="099549DA"/>
    <w:rsid w:val="099741FC"/>
    <w:rsid w:val="099D507C"/>
    <w:rsid w:val="099F7609"/>
    <w:rsid w:val="09A419FF"/>
    <w:rsid w:val="09A83271"/>
    <w:rsid w:val="09A844E9"/>
    <w:rsid w:val="09AC66C2"/>
    <w:rsid w:val="09B6308C"/>
    <w:rsid w:val="09BA6BCB"/>
    <w:rsid w:val="09BC3814"/>
    <w:rsid w:val="09BD17B5"/>
    <w:rsid w:val="09CA57E8"/>
    <w:rsid w:val="09CE64A8"/>
    <w:rsid w:val="09E44738"/>
    <w:rsid w:val="09FB6AEC"/>
    <w:rsid w:val="0A003BEF"/>
    <w:rsid w:val="0A112687"/>
    <w:rsid w:val="0A181B9C"/>
    <w:rsid w:val="0A1E17BC"/>
    <w:rsid w:val="0A2844A5"/>
    <w:rsid w:val="0A2C5CE2"/>
    <w:rsid w:val="0A2F1136"/>
    <w:rsid w:val="0A302709"/>
    <w:rsid w:val="0A3A6625"/>
    <w:rsid w:val="0A3E2A28"/>
    <w:rsid w:val="0A4515A2"/>
    <w:rsid w:val="0A480A83"/>
    <w:rsid w:val="0A494DD0"/>
    <w:rsid w:val="0A4B44AE"/>
    <w:rsid w:val="0A4D2AB3"/>
    <w:rsid w:val="0A4F401A"/>
    <w:rsid w:val="0A55518C"/>
    <w:rsid w:val="0A55634B"/>
    <w:rsid w:val="0A566C2A"/>
    <w:rsid w:val="0A5D1361"/>
    <w:rsid w:val="0A643B7B"/>
    <w:rsid w:val="0A772E93"/>
    <w:rsid w:val="0A805852"/>
    <w:rsid w:val="0A852F7E"/>
    <w:rsid w:val="0A87785C"/>
    <w:rsid w:val="0A880E75"/>
    <w:rsid w:val="0A8D7F43"/>
    <w:rsid w:val="0A8F704E"/>
    <w:rsid w:val="0A920DEC"/>
    <w:rsid w:val="0AA64462"/>
    <w:rsid w:val="0AAD0F47"/>
    <w:rsid w:val="0AB67339"/>
    <w:rsid w:val="0ABB50AB"/>
    <w:rsid w:val="0ABE0070"/>
    <w:rsid w:val="0AC30BB6"/>
    <w:rsid w:val="0AC66C27"/>
    <w:rsid w:val="0AC81523"/>
    <w:rsid w:val="0ACD17A3"/>
    <w:rsid w:val="0ADC31DF"/>
    <w:rsid w:val="0AE051D1"/>
    <w:rsid w:val="0AE122A9"/>
    <w:rsid w:val="0AE333B2"/>
    <w:rsid w:val="0AE7031A"/>
    <w:rsid w:val="0AE8337F"/>
    <w:rsid w:val="0AF8394C"/>
    <w:rsid w:val="0B01502A"/>
    <w:rsid w:val="0B066FBD"/>
    <w:rsid w:val="0B10068A"/>
    <w:rsid w:val="0B114F89"/>
    <w:rsid w:val="0B166771"/>
    <w:rsid w:val="0B1A371F"/>
    <w:rsid w:val="0B224202"/>
    <w:rsid w:val="0B2407EB"/>
    <w:rsid w:val="0B27233E"/>
    <w:rsid w:val="0B2C355E"/>
    <w:rsid w:val="0B326380"/>
    <w:rsid w:val="0B347AC0"/>
    <w:rsid w:val="0B35162E"/>
    <w:rsid w:val="0B3D3683"/>
    <w:rsid w:val="0B471EAE"/>
    <w:rsid w:val="0B4E1143"/>
    <w:rsid w:val="0B532173"/>
    <w:rsid w:val="0B56029D"/>
    <w:rsid w:val="0B594E3C"/>
    <w:rsid w:val="0B5C0EE8"/>
    <w:rsid w:val="0B5C15B0"/>
    <w:rsid w:val="0B5D53ED"/>
    <w:rsid w:val="0B680512"/>
    <w:rsid w:val="0B6F0CFA"/>
    <w:rsid w:val="0B76204C"/>
    <w:rsid w:val="0B782F44"/>
    <w:rsid w:val="0B81391B"/>
    <w:rsid w:val="0B8170DC"/>
    <w:rsid w:val="0B851100"/>
    <w:rsid w:val="0B85222F"/>
    <w:rsid w:val="0B8654DD"/>
    <w:rsid w:val="0B924DF5"/>
    <w:rsid w:val="0B9604C0"/>
    <w:rsid w:val="0B997093"/>
    <w:rsid w:val="0BA3060F"/>
    <w:rsid w:val="0BA92698"/>
    <w:rsid w:val="0BAA34A0"/>
    <w:rsid w:val="0BB524B3"/>
    <w:rsid w:val="0BB6149B"/>
    <w:rsid w:val="0BC63404"/>
    <w:rsid w:val="0BD95AC2"/>
    <w:rsid w:val="0BDC776A"/>
    <w:rsid w:val="0BDE26DC"/>
    <w:rsid w:val="0BE410EC"/>
    <w:rsid w:val="0BE6471D"/>
    <w:rsid w:val="0BE817E4"/>
    <w:rsid w:val="0BF8765B"/>
    <w:rsid w:val="0BFE67D6"/>
    <w:rsid w:val="0C043D09"/>
    <w:rsid w:val="0C067F84"/>
    <w:rsid w:val="0C0B0596"/>
    <w:rsid w:val="0C0B0622"/>
    <w:rsid w:val="0C0C61CE"/>
    <w:rsid w:val="0C1062A7"/>
    <w:rsid w:val="0C123143"/>
    <w:rsid w:val="0C151E54"/>
    <w:rsid w:val="0C165A61"/>
    <w:rsid w:val="0C1A070A"/>
    <w:rsid w:val="0C230CF8"/>
    <w:rsid w:val="0C2C4A42"/>
    <w:rsid w:val="0C2C5C9F"/>
    <w:rsid w:val="0C306963"/>
    <w:rsid w:val="0C306DFF"/>
    <w:rsid w:val="0C35672F"/>
    <w:rsid w:val="0C42338A"/>
    <w:rsid w:val="0C695EA8"/>
    <w:rsid w:val="0C6D1C1F"/>
    <w:rsid w:val="0C792DF5"/>
    <w:rsid w:val="0C7C6B74"/>
    <w:rsid w:val="0C817D10"/>
    <w:rsid w:val="0C9468C3"/>
    <w:rsid w:val="0C9B41CA"/>
    <w:rsid w:val="0C9D42AB"/>
    <w:rsid w:val="0C9E0BBB"/>
    <w:rsid w:val="0C9F18D6"/>
    <w:rsid w:val="0C9F31B0"/>
    <w:rsid w:val="0CA17232"/>
    <w:rsid w:val="0CA552A7"/>
    <w:rsid w:val="0CAD72EA"/>
    <w:rsid w:val="0CBD5B75"/>
    <w:rsid w:val="0CC25417"/>
    <w:rsid w:val="0CC769B8"/>
    <w:rsid w:val="0CC9063F"/>
    <w:rsid w:val="0CCA0D1F"/>
    <w:rsid w:val="0CD92875"/>
    <w:rsid w:val="0CE44363"/>
    <w:rsid w:val="0CE55E20"/>
    <w:rsid w:val="0CE80799"/>
    <w:rsid w:val="0CEB1D0F"/>
    <w:rsid w:val="0CEC1DF8"/>
    <w:rsid w:val="0CEE3346"/>
    <w:rsid w:val="0CF33884"/>
    <w:rsid w:val="0CF65D91"/>
    <w:rsid w:val="0CF76623"/>
    <w:rsid w:val="0CFB1F2A"/>
    <w:rsid w:val="0CFF78EC"/>
    <w:rsid w:val="0D024062"/>
    <w:rsid w:val="0D075E04"/>
    <w:rsid w:val="0D1D0FC1"/>
    <w:rsid w:val="0D1E1605"/>
    <w:rsid w:val="0D3320E2"/>
    <w:rsid w:val="0D367309"/>
    <w:rsid w:val="0D413DFD"/>
    <w:rsid w:val="0D414A0E"/>
    <w:rsid w:val="0D423747"/>
    <w:rsid w:val="0D4352D7"/>
    <w:rsid w:val="0D49165B"/>
    <w:rsid w:val="0D4E0C5E"/>
    <w:rsid w:val="0D4F5E6B"/>
    <w:rsid w:val="0D55087D"/>
    <w:rsid w:val="0D640A93"/>
    <w:rsid w:val="0D686300"/>
    <w:rsid w:val="0D691963"/>
    <w:rsid w:val="0D6A6E14"/>
    <w:rsid w:val="0D774BF5"/>
    <w:rsid w:val="0D7B1D3A"/>
    <w:rsid w:val="0D863A39"/>
    <w:rsid w:val="0D896BA3"/>
    <w:rsid w:val="0D8C6E9A"/>
    <w:rsid w:val="0D9220ED"/>
    <w:rsid w:val="0DA43BC8"/>
    <w:rsid w:val="0DB10032"/>
    <w:rsid w:val="0DB20CC4"/>
    <w:rsid w:val="0DB4477F"/>
    <w:rsid w:val="0DB73966"/>
    <w:rsid w:val="0DB748FD"/>
    <w:rsid w:val="0DBC153D"/>
    <w:rsid w:val="0DBC6C3C"/>
    <w:rsid w:val="0DD43D87"/>
    <w:rsid w:val="0DD71C6F"/>
    <w:rsid w:val="0DD727B7"/>
    <w:rsid w:val="0DDD14A1"/>
    <w:rsid w:val="0DE8139D"/>
    <w:rsid w:val="0DEB3D4C"/>
    <w:rsid w:val="0DEC660F"/>
    <w:rsid w:val="0DEE174C"/>
    <w:rsid w:val="0DF369C3"/>
    <w:rsid w:val="0DF84A26"/>
    <w:rsid w:val="0DFE213B"/>
    <w:rsid w:val="0E0037F5"/>
    <w:rsid w:val="0E014939"/>
    <w:rsid w:val="0E0178E9"/>
    <w:rsid w:val="0E072962"/>
    <w:rsid w:val="0E0A7266"/>
    <w:rsid w:val="0E107BA6"/>
    <w:rsid w:val="0E11130A"/>
    <w:rsid w:val="0E126F13"/>
    <w:rsid w:val="0E161D6B"/>
    <w:rsid w:val="0E173FCF"/>
    <w:rsid w:val="0E1A69A0"/>
    <w:rsid w:val="0E1C7AAE"/>
    <w:rsid w:val="0E1E3D28"/>
    <w:rsid w:val="0E232B03"/>
    <w:rsid w:val="0E253685"/>
    <w:rsid w:val="0E275B50"/>
    <w:rsid w:val="0E2E32D3"/>
    <w:rsid w:val="0E2F3986"/>
    <w:rsid w:val="0E353489"/>
    <w:rsid w:val="0E3E42E4"/>
    <w:rsid w:val="0E3F103D"/>
    <w:rsid w:val="0E485363"/>
    <w:rsid w:val="0E49521E"/>
    <w:rsid w:val="0E503EF6"/>
    <w:rsid w:val="0E543880"/>
    <w:rsid w:val="0E5A1C60"/>
    <w:rsid w:val="0E5A3C09"/>
    <w:rsid w:val="0E673561"/>
    <w:rsid w:val="0E6A6337"/>
    <w:rsid w:val="0E703CC4"/>
    <w:rsid w:val="0E731FC3"/>
    <w:rsid w:val="0E764FAF"/>
    <w:rsid w:val="0E817079"/>
    <w:rsid w:val="0E867AD8"/>
    <w:rsid w:val="0E8704BF"/>
    <w:rsid w:val="0E8C63C4"/>
    <w:rsid w:val="0E8D1C14"/>
    <w:rsid w:val="0E8D4B5F"/>
    <w:rsid w:val="0E925992"/>
    <w:rsid w:val="0E9E3C5F"/>
    <w:rsid w:val="0EA01315"/>
    <w:rsid w:val="0EA2577A"/>
    <w:rsid w:val="0EA3137B"/>
    <w:rsid w:val="0EA94631"/>
    <w:rsid w:val="0EAB3BEF"/>
    <w:rsid w:val="0EB53512"/>
    <w:rsid w:val="0EB6128C"/>
    <w:rsid w:val="0EBE00FB"/>
    <w:rsid w:val="0EC05060"/>
    <w:rsid w:val="0EC304F1"/>
    <w:rsid w:val="0EC541F1"/>
    <w:rsid w:val="0ECC00F7"/>
    <w:rsid w:val="0EDB1BC8"/>
    <w:rsid w:val="0EE731CA"/>
    <w:rsid w:val="0EEF04AF"/>
    <w:rsid w:val="0EF03273"/>
    <w:rsid w:val="0EF344E6"/>
    <w:rsid w:val="0EFC1D0A"/>
    <w:rsid w:val="0F034AAC"/>
    <w:rsid w:val="0F055D29"/>
    <w:rsid w:val="0F064DA4"/>
    <w:rsid w:val="0F084BD0"/>
    <w:rsid w:val="0F0A788C"/>
    <w:rsid w:val="0F0B6396"/>
    <w:rsid w:val="0F0E772F"/>
    <w:rsid w:val="0F103B2E"/>
    <w:rsid w:val="0F105328"/>
    <w:rsid w:val="0F146469"/>
    <w:rsid w:val="0F1A6CBA"/>
    <w:rsid w:val="0F2D4C0B"/>
    <w:rsid w:val="0F321185"/>
    <w:rsid w:val="0F3C1142"/>
    <w:rsid w:val="0F3C4A81"/>
    <w:rsid w:val="0F3C71DD"/>
    <w:rsid w:val="0F493B20"/>
    <w:rsid w:val="0F5602FF"/>
    <w:rsid w:val="0F566568"/>
    <w:rsid w:val="0F5769A3"/>
    <w:rsid w:val="0F603CB4"/>
    <w:rsid w:val="0F701728"/>
    <w:rsid w:val="0F736B5F"/>
    <w:rsid w:val="0F7B6D0F"/>
    <w:rsid w:val="0F7F372B"/>
    <w:rsid w:val="0F8960E6"/>
    <w:rsid w:val="0F9210B5"/>
    <w:rsid w:val="0F956EBB"/>
    <w:rsid w:val="0F962B77"/>
    <w:rsid w:val="0FAD1C06"/>
    <w:rsid w:val="0FAF581E"/>
    <w:rsid w:val="0FB04C34"/>
    <w:rsid w:val="0FC01B88"/>
    <w:rsid w:val="0FC22E52"/>
    <w:rsid w:val="0FC5591C"/>
    <w:rsid w:val="0FCD16C0"/>
    <w:rsid w:val="0FCF36A1"/>
    <w:rsid w:val="0FD00E15"/>
    <w:rsid w:val="0FDE348B"/>
    <w:rsid w:val="0FDE761C"/>
    <w:rsid w:val="0FE023A2"/>
    <w:rsid w:val="0FE25153"/>
    <w:rsid w:val="0FE74990"/>
    <w:rsid w:val="0FED4B59"/>
    <w:rsid w:val="0FEE3BBD"/>
    <w:rsid w:val="0FF14D9C"/>
    <w:rsid w:val="0FF43610"/>
    <w:rsid w:val="0FF52A45"/>
    <w:rsid w:val="100035AC"/>
    <w:rsid w:val="100331D2"/>
    <w:rsid w:val="100A3B95"/>
    <w:rsid w:val="100B0F6B"/>
    <w:rsid w:val="10141B23"/>
    <w:rsid w:val="101D5F52"/>
    <w:rsid w:val="102D04E4"/>
    <w:rsid w:val="10354315"/>
    <w:rsid w:val="103760F2"/>
    <w:rsid w:val="10393357"/>
    <w:rsid w:val="103B45C2"/>
    <w:rsid w:val="10566976"/>
    <w:rsid w:val="1068539D"/>
    <w:rsid w:val="106C3C46"/>
    <w:rsid w:val="106D60A4"/>
    <w:rsid w:val="10770D2F"/>
    <w:rsid w:val="10773655"/>
    <w:rsid w:val="107B430F"/>
    <w:rsid w:val="107F0D1E"/>
    <w:rsid w:val="107F79D6"/>
    <w:rsid w:val="10923361"/>
    <w:rsid w:val="10936760"/>
    <w:rsid w:val="1097383C"/>
    <w:rsid w:val="10A41024"/>
    <w:rsid w:val="10AA5C3B"/>
    <w:rsid w:val="10B019FA"/>
    <w:rsid w:val="10B23F82"/>
    <w:rsid w:val="10B40BBA"/>
    <w:rsid w:val="10B45548"/>
    <w:rsid w:val="10BF692C"/>
    <w:rsid w:val="10C0270B"/>
    <w:rsid w:val="10C445E8"/>
    <w:rsid w:val="10CA7957"/>
    <w:rsid w:val="10CF0B30"/>
    <w:rsid w:val="10E0027E"/>
    <w:rsid w:val="10E1105C"/>
    <w:rsid w:val="10E60787"/>
    <w:rsid w:val="10F86051"/>
    <w:rsid w:val="10F94C5A"/>
    <w:rsid w:val="10FA2C48"/>
    <w:rsid w:val="110310FA"/>
    <w:rsid w:val="11041E62"/>
    <w:rsid w:val="110E13E9"/>
    <w:rsid w:val="110F1045"/>
    <w:rsid w:val="111433D0"/>
    <w:rsid w:val="11155115"/>
    <w:rsid w:val="111C4F3D"/>
    <w:rsid w:val="111E1782"/>
    <w:rsid w:val="111F3513"/>
    <w:rsid w:val="112020A2"/>
    <w:rsid w:val="112107D2"/>
    <w:rsid w:val="11212A4B"/>
    <w:rsid w:val="112C042A"/>
    <w:rsid w:val="11323784"/>
    <w:rsid w:val="11401CAB"/>
    <w:rsid w:val="11403CD5"/>
    <w:rsid w:val="114924F8"/>
    <w:rsid w:val="114B63C5"/>
    <w:rsid w:val="11544A09"/>
    <w:rsid w:val="1155552F"/>
    <w:rsid w:val="115915B1"/>
    <w:rsid w:val="115C5911"/>
    <w:rsid w:val="115D2AAA"/>
    <w:rsid w:val="11620158"/>
    <w:rsid w:val="116370F0"/>
    <w:rsid w:val="1168526A"/>
    <w:rsid w:val="116E7962"/>
    <w:rsid w:val="11730AFB"/>
    <w:rsid w:val="11744212"/>
    <w:rsid w:val="117A1775"/>
    <w:rsid w:val="117D054B"/>
    <w:rsid w:val="117D2807"/>
    <w:rsid w:val="117E0D0A"/>
    <w:rsid w:val="11815428"/>
    <w:rsid w:val="1183584B"/>
    <w:rsid w:val="11836E72"/>
    <w:rsid w:val="118A29BC"/>
    <w:rsid w:val="118B1E70"/>
    <w:rsid w:val="11931E20"/>
    <w:rsid w:val="1193420F"/>
    <w:rsid w:val="119E1196"/>
    <w:rsid w:val="11A22D8B"/>
    <w:rsid w:val="11A705AE"/>
    <w:rsid w:val="11A76054"/>
    <w:rsid w:val="11AC349C"/>
    <w:rsid w:val="11AC7D61"/>
    <w:rsid w:val="11B22057"/>
    <w:rsid w:val="11B454BA"/>
    <w:rsid w:val="11BA6688"/>
    <w:rsid w:val="11BB71DE"/>
    <w:rsid w:val="11BF5269"/>
    <w:rsid w:val="11CC5FE2"/>
    <w:rsid w:val="11CD6376"/>
    <w:rsid w:val="11CF680A"/>
    <w:rsid w:val="11CF68B0"/>
    <w:rsid w:val="11D32120"/>
    <w:rsid w:val="11D329A2"/>
    <w:rsid w:val="11D8515C"/>
    <w:rsid w:val="11DA0160"/>
    <w:rsid w:val="11DA53B7"/>
    <w:rsid w:val="11DB075B"/>
    <w:rsid w:val="11DD49CD"/>
    <w:rsid w:val="11DF35CD"/>
    <w:rsid w:val="11E310F9"/>
    <w:rsid w:val="11EA0FA9"/>
    <w:rsid w:val="11F71F9C"/>
    <w:rsid w:val="11FD637F"/>
    <w:rsid w:val="120A682B"/>
    <w:rsid w:val="12101584"/>
    <w:rsid w:val="121453ED"/>
    <w:rsid w:val="121531F3"/>
    <w:rsid w:val="12157E25"/>
    <w:rsid w:val="12167FE8"/>
    <w:rsid w:val="121A7A1E"/>
    <w:rsid w:val="12232C23"/>
    <w:rsid w:val="122F4D79"/>
    <w:rsid w:val="123701F7"/>
    <w:rsid w:val="1237557D"/>
    <w:rsid w:val="1246307A"/>
    <w:rsid w:val="124807F2"/>
    <w:rsid w:val="124D64C7"/>
    <w:rsid w:val="12505CD6"/>
    <w:rsid w:val="12543ABF"/>
    <w:rsid w:val="125B1D95"/>
    <w:rsid w:val="125D4C19"/>
    <w:rsid w:val="12720AC8"/>
    <w:rsid w:val="127908EA"/>
    <w:rsid w:val="127E7C9C"/>
    <w:rsid w:val="12801ECD"/>
    <w:rsid w:val="12833AAB"/>
    <w:rsid w:val="12847825"/>
    <w:rsid w:val="12864244"/>
    <w:rsid w:val="128C23BA"/>
    <w:rsid w:val="128E542E"/>
    <w:rsid w:val="12934C64"/>
    <w:rsid w:val="12983AA0"/>
    <w:rsid w:val="129D2BA5"/>
    <w:rsid w:val="12A32696"/>
    <w:rsid w:val="12AA261A"/>
    <w:rsid w:val="12AE5091"/>
    <w:rsid w:val="12B1493E"/>
    <w:rsid w:val="12B63335"/>
    <w:rsid w:val="12C76019"/>
    <w:rsid w:val="12D56C7E"/>
    <w:rsid w:val="12DC064E"/>
    <w:rsid w:val="12DD6A83"/>
    <w:rsid w:val="12DD7A45"/>
    <w:rsid w:val="12DF2A38"/>
    <w:rsid w:val="12E02114"/>
    <w:rsid w:val="12E736EF"/>
    <w:rsid w:val="12E957D4"/>
    <w:rsid w:val="12F12819"/>
    <w:rsid w:val="12F30C4E"/>
    <w:rsid w:val="13052BCD"/>
    <w:rsid w:val="130869FC"/>
    <w:rsid w:val="1309683F"/>
    <w:rsid w:val="130E307F"/>
    <w:rsid w:val="131441DF"/>
    <w:rsid w:val="131F35F1"/>
    <w:rsid w:val="132E1E08"/>
    <w:rsid w:val="133006E9"/>
    <w:rsid w:val="13311187"/>
    <w:rsid w:val="13314C7F"/>
    <w:rsid w:val="133174C4"/>
    <w:rsid w:val="13330FBF"/>
    <w:rsid w:val="133431B0"/>
    <w:rsid w:val="133A543F"/>
    <w:rsid w:val="135328E5"/>
    <w:rsid w:val="13541247"/>
    <w:rsid w:val="13573F02"/>
    <w:rsid w:val="136815C3"/>
    <w:rsid w:val="1368356F"/>
    <w:rsid w:val="137318BA"/>
    <w:rsid w:val="1375293A"/>
    <w:rsid w:val="137E5F14"/>
    <w:rsid w:val="13815CDB"/>
    <w:rsid w:val="1386058E"/>
    <w:rsid w:val="138A7D51"/>
    <w:rsid w:val="138B48F7"/>
    <w:rsid w:val="138C1C5B"/>
    <w:rsid w:val="138E05E8"/>
    <w:rsid w:val="138E1EEC"/>
    <w:rsid w:val="1393447B"/>
    <w:rsid w:val="13965F33"/>
    <w:rsid w:val="13A5204C"/>
    <w:rsid w:val="13A901EB"/>
    <w:rsid w:val="13A93387"/>
    <w:rsid w:val="13AD5252"/>
    <w:rsid w:val="13AF2611"/>
    <w:rsid w:val="13B854A4"/>
    <w:rsid w:val="13C07BCA"/>
    <w:rsid w:val="13C3301F"/>
    <w:rsid w:val="13C52D0D"/>
    <w:rsid w:val="13D0379B"/>
    <w:rsid w:val="13D24B1C"/>
    <w:rsid w:val="13D8188E"/>
    <w:rsid w:val="13DA0F79"/>
    <w:rsid w:val="13DA527E"/>
    <w:rsid w:val="13DF5D17"/>
    <w:rsid w:val="13ED6CB0"/>
    <w:rsid w:val="13F00E28"/>
    <w:rsid w:val="13FA7E05"/>
    <w:rsid w:val="13FF02A5"/>
    <w:rsid w:val="14061AC1"/>
    <w:rsid w:val="140B32C3"/>
    <w:rsid w:val="14107156"/>
    <w:rsid w:val="14115BE9"/>
    <w:rsid w:val="14136B6A"/>
    <w:rsid w:val="142B7444"/>
    <w:rsid w:val="142F5152"/>
    <w:rsid w:val="143941EB"/>
    <w:rsid w:val="14400342"/>
    <w:rsid w:val="14461AB9"/>
    <w:rsid w:val="144B7EE2"/>
    <w:rsid w:val="145A12C4"/>
    <w:rsid w:val="146322EA"/>
    <w:rsid w:val="146A1A1D"/>
    <w:rsid w:val="146F5B7E"/>
    <w:rsid w:val="14726643"/>
    <w:rsid w:val="147735A9"/>
    <w:rsid w:val="147839CD"/>
    <w:rsid w:val="147F7FF9"/>
    <w:rsid w:val="1488436A"/>
    <w:rsid w:val="148A7CA3"/>
    <w:rsid w:val="148D4FD6"/>
    <w:rsid w:val="14923555"/>
    <w:rsid w:val="149E6B73"/>
    <w:rsid w:val="14A019DC"/>
    <w:rsid w:val="14A65A6E"/>
    <w:rsid w:val="14A74CDF"/>
    <w:rsid w:val="14AF08CE"/>
    <w:rsid w:val="14B118C8"/>
    <w:rsid w:val="14B660AF"/>
    <w:rsid w:val="14B72BBB"/>
    <w:rsid w:val="14B834D8"/>
    <w:rsid w:val="14B90FDD"/>
    <w:rsid w:val="14C74286"/>
    <w:rsid w:val="14CF3CF9"/>
    <w:rsid w:val="14D3640B"/>
    <w:rsid w:val="14D44C8A"/>
    <w:rsid w:val="14DF2C69"/>
    <w:rsid w:val="14E31E08"/>
    <w:rsid w:val="14F24071"/>
    <w:rsid w:val="14FD5715"/>
    <w:rsid w:val="14FF27A1"/>
    <w:rsid w:val="1509772B"/>
    <w:rsid w:val="150B5137"/>
    <w:rsid w:val="150C5759"/>
    <w:rsid w:val="150C65D5"/>
    <w:rsid w:val="150D63F0"/>
    <w:rsid w:val="150E6D01"/>
    <w:rsid w:val="151702F2"/>
    <w:rsid w:val="151D1F33"/>
    <w:rsid w:val="15235CEF"/>
    <w:rsid w:val="15310194"/>
    <w:rsid w:val="153723D6"/>
    <w:rsid w:val="15410E89"/>
    <w:rsid w:val="154143D4"/>
    <w:rsid w:val="154148FD"/>
    <w:rsid w:val="154149CA"/>
    <w:rsid w:val="15474D27"/>
    <w:rsid w:val="154F3E0A"/>
    <w:rsid w:val="15504F28"/>
    <w:rsid w:val="15542A8A"/>
    <w:rsid w:val="15574852"/>
    <w:rsid w:val="15575C3C"/>
    <w:rsid w:val="155F695D"/>
    <w:rsid w:val="1568162F"/>
    <w:rsid w:val="15691C8A"/>
    <w:rsid w:val="15731192"/>
    <w:rsid w:val="157669D0"/>
    <w:rsid w:val="15840BAD"/>
    <w:rsid w:val="158450E4"/>
    <w:rsid w:val="158473AB"/>
    <w:rsid w:val="158845F4"/>
    <w:rsid w:val="15993633"/>
    <w:rsid w:val="15A57247"/>
    <w:rsid w:val="15B26E8B"/>
    <w:rsid w:val="15BE3C8C"/>
    <w:rsid w:val="15C73BE1"/>
    <w:rsid w:val="15CE667B"/>
    <w:rsid w:val="15D26FFB"/>
    <w:rsid w:val="15D37D32"/>
    <w:rsid w:val="15D72AE5"/>
    <w:rsid w:val="15DA4B31"/>
    <w:rsid w:val="15DC284C"/>
    <w:rsid w:val="15E12785"/>
    <w:rsid w:val="15F01600"/>
    <w:rsid w:val="15F9237E"/>
    <w:rsid w:val="15FD46A0"/>
    <w:rsid w:val="15FF71C7"/>
    <w:rsid w:val="160103D5"/>
    <w:rsid w:val="16094EE2"/>
    <w:rsid w:val="160B3B0C"/>
    <w:rsid w:val="160F23B8"/>
    <w:rsid w:val="160F63E0"/>
    <w:rsid w:val="161823B5"/>
    <w:rsid w:val="161D1F0C"/>
    <w:rsid w:val="161F1758"/>
    <w:rsid w:val="16212661"/>
    <w:rsid w:val="162147D6"/>
    <w:rsid w:val="16224D42"/>
    <w:rsid w:val="16226CFA"/>
    <w:rsid w:val="16242974"/>
    <w:rsid w:val="163B50D5"/>
    <w:rsid w:val="1654407C"/>
    <w:rsid w:val="165C5DEC"/>
    <w:rsid w:val="168208D8"/>
    <w:rsid w:val="168F6496"/>
    <w:rsid w:val="169269E4"/>
    <w:rsid w:val="169462B3"/>
    <w:rsid w:val="1698205C"/>
    <w:rsid w:val="169E6575"/>
    <w:rsid w:val="16A00D08"/>
    <w:rsid w:val="16A4645E"/>
    <w:rsid w:val="16A919D8"/>
    <w:rsid w:val="16A940B9"/>
    <w:rsid w:val="16AA70FE"/>
    <w:rsid w:val="16AB7991"/>
    <w:rsid w:val="16AF6B0A"/>
    <w:rsid w:val="16B105A4"/>
    <w:rsid w:val="16BD2A7B"/>
    <w:rsid w:val="16BF6E05"/>
    <w:rsid w:val="16CE06D5"/>
    <w:rsid w:val="16CF1FFE"/>
    <w:rsid w:val="16D24FB0"/>
    <w:rsid w:val="16D32992"/>
    <w:rsid w:val="16D81026"/>
    <w:rsid w:val="16DC247F"/>
    <w:rsid w:val="16E25C2B"/>
    <w:rsid w:val="16E766F1"/>
    <w:rsid w:val="16EA25B2"/>
    <w:rsid w:val="16EB2CF3"/>
    <w:rsid w:val="16EC2E29"/>
    <w:rsid w:val="16F15E79"/>
    <w:rsid w:val="170D3C9D"/>
    <w:rsid w:val="170E15E3"/>
    <w:rsid w:val="17114CDA"/>
    <w:rsid w:val="17120DAF"/>
    <w:rsid w:val="17195254"/>
    <w:rsid w:val="171B0873"/>
    <w:rsid w:val="171D1C97"/>
    <w:rsid w:val="171E5AB9"/>
    <w:rsid w:val="172317C5"/>
    <w:rsid w:val="172F3BC7"/>
    <w:rsid w:val="173175AF"/>
    <w:rsid w:val="17345CC4"/>
    <w:rsid w:val="173D7811"/>
    <w:rsid w:val="17485DCD"/>
    <w:rsid w:val="174B0534"/>
    <w:rsid w:val="17500CAE"/>
    <w:rsid w:val="17594486"/>
    <w:rsid w:val="176B7328"/>
    <w:rsid w:val="17837D43"/>
    <w:rsid w:val="1787400B"/>
    <w:rsid w:val="178A6137"/>
    <w:rsid w:val="178B7FFB"/>
    <w:rsid w:val="179658F8"/>
    <w:rsid w:val="179E2C66"/>
    <w:rsid w:val="179E550D"/>
    <w:rsid w:val="17A162D8"/>
    <w:rsid w:val="17A64BC2"/>
    <w:rsid w:val="17A843ED"/>
    <w:rsid w:val="17AF749F"/>
    <w:rsid w:val="17B02152"/>
    <w:rsid w:val="17B0229A"/>
    <w:rsid w:val="17B203EC"/>
    <w:rsid w:val="17B21D45"/>
    <w:rsid w:val="17B52F6B"/>
    <w:rsid w:val="17B6223E"/>
    <w:rsid w:val="17C12F47"/>
    <w:rsid w:val="17C46ECD"/>
    <w:rsid w:val="17C80BB2"/>
    <w:rsid w:val="17D06B10"/>
    <w:rsid w:val="17D21452"/>
    <w:rsid w:val="17D4076F"/>
    <w:rsid w:val="17D717AC"/>
    <w:rsid w:val="17D80457"/>
    <w:rsid w:val="17DA4BC0"/>
    <w:rsid w:val="17DB6278"/>
    <w:rsid w:val="17E22481"/>
    <w:rsid w:val="17E25C7D"/>
    <w:rsid w:val="17E83D6C"/>
    <w:rsid w:val="17ED66FC"/>
    <w:rsid w:val="17F5737D"/>
    <w:rsid w:val="17F846C9"/>
    <w:rsid w:val="17FB3FCC"/>
    <w:rsid w:val="180321DD"/>
    <w:rsid w:val="180760D8"/>
    <w:rsid w:val="18081169"/>
    <w:rsid w:val="1818495A"/>
    <w:rsid w:val="18272B42"/>
    <w:rsid w:val="182A2267"/>
    <w:rsid w:val="182A68D9"/>
    <w:rsid w:val="182B77D9"/>
    <w:rsid w:val="182C2ECD"/>
    <w:rsid w:val="18327BB4"/>
    <w:rsid w:val="183A78DA"/>
    <w:rsid w:val="183C2B86"/>
    <w:rsid w:val="183E70D9"/>
    <w:rsid w:val="184848A2"/>
    <w:rsid w:val="184947FC"/>
    <w:rsid w:val="18494A07"/>
    <w:rsid w:val="184E4564"/>
    <w:rsid w:val="184E476B"/>
    <w:rsid w:val="185128C7"/>
    <w:rsid w:val="18516FA8"/>
    <w:rsid w:val="185305FC"/>
    <w:rsid w:val="185B1E99"/>
    <w:rsid w:val="18641C1E"/>
    <w:rsid w:val="18651586"/>
    <w:rsid w:val="18661B11"/>
    <w:rsid w:val="18672DC7"/>
    <w:rsid w:val="18692B82"/>
    <w:rsid w:val="186C0360"/>
    <w:rsid w:val="186C5231"/>
    <w:rsid w:val="186E4051"/>
    <w:rsid w:val="1870396C"/>
    <w:rsid w:val="187412BC"/>
    <w:rsid w:val="18802368"/>
    <w:rsid w:val="18891C00"/>
    <w:rsid w:val="189B4C4A"/>
    <w:rsid w:val="18AA31A0"/>
    <w:rsid w:val="18B43473"/>
    <w:rsid w:val="18BB159B"/>
    <w:rsid w:val="18BC7A48"/>
    <w:rsid w:val="18BE2D92"/>
    <w:rsid w:val="18C766B0"/>
    <w:rsid w:val="18D14E64"/>
    <w:rsid w:val="18D51863"/>
    <w:rsid w:val="18D65F4C"/>
    <w:rsid w:val="18D66E10"/>
    <w:rsid w:val="18DA2281"/>
    <w:rsid w:val="18DB623B"/>
    <w:rsid w:val="18DE2748"/>
    <w:rsid w:val="18E35D83"/>
    <w:rsid w:val="18E64B8F"/>
    <w:rsid w:val="18E75DC6"/>
    <w:rsid w:val="18ED342C"/>
    <w:rsid w:val="18F37E90"/>
    <w:rsid w:val="18F40FDA"/>
    <w:rsid w:val="18F75CA9"/>
    <w:rsid w:val="18FC1E29"/>
    <w:rsid w:val="19025156"/>
    <w:rsid w:val="190755FC"/>
    <w:rsid w:val="190B1470"/>
    <w:rsid w:val="19152702"/>
    <w:rsid w:val="191561A2"/>
    <w:rsid w:val="19161F46"/>
    <w:rsid w:val="19220271"/>
    <w:rsid w:val="192F3D63"/>
    <w:rsid w:val="19306AC9"/>
    <w:rsid w:val="19317E9A"/>
    <w:rsid w:val="19322C90"/>
    <w:rsid w:val="193651BA"/>
    <w:rsid w:val="1941648B"/>
    <w:rsid w:val="19426777"/>
    <w:rsid w:val="194F2F55"/>
    <w:rsid w:val="19505FF7"/>
    <w:rsid w:val="1952757F"/>
    <w:rsid w:val="195A5601"/>
    <w:rsid w:val="195B0EE9"/>
    <w:rsid w:val="195E6D67"/>
    <w:rsid w:val="1968384E"/>
    <w:rsid w:val="196B16A4"/>
    <w:rsid w:val="19710C86"/>
    <w:rsid w:val="197B3F94"/>
    <w:rsid w:val="197C753A"/>
    <w:rsid w:val="19846937"/>
    <w:rsid w:val="198807B4"/>
    <w:rsid w:val="1988169E"/>
    <w:rsid w:val="198C309D"/>
    <w:rsid w:val="199256FE"/>
    <w:rsid w:val="19925D22"/>
    <w:rsid w:val="19954E27"/>
    <w:rsid w:val="19957B05"/>
    <w:rsid w:val="199863EF"/>
    <w:rsid w:val="199F5FE1"/>
    <w:rsid w:val="19AC4BB5"/>
    <w:rsid w:val="19C27CF4"/>
    <w:rsid w:val="19C61372"/>
    <w:rsid w:val="19CC17C4"/>
    <w:rsid w:val="19CD1E7E"/>
    <w:rsid w:val="19CE4CE2"/>
    <w:rsid w:val="19CF196B"/>
    <w:rsid w:val="19DE3E68"/>
    <w:rsid w:val="19E06F39"/>
    <w:rsid w:val="19E9102B"/>
    <w:rsid w:val="19F2097C"/>
    <w:rsid w:val="19F32606"/>
    <w:rsid w:val="19F812CC"/>
    <w:rsid w:val="1A0675D6"/>
    <w:rsid w:val="1A100ECA"/>
    <w:rsid w:val="1A125C0D"/>
    <w:rsid w:val="1A1F0466"/>
    <w:rsid w:val="1A23018E"/>
    <w:rsid w:val="1A231C5D"/>
    <w:rsid w:val="1A2949A8"/>
    <w:rsid w:val="1A2A6360"/>
    <w:rsid w:val="1A2E21E3"/>
    <w:rsid w:val="1A347B37"/>
    <w:rsid w:val="1A3F16E3"/>
    <w:rsid w:val="1A4B1581"/>
    <w:rsid w:val="1A6840B3"/>
    <w:rsid w:val="1A692F5F"/>
    <w:rsid w:val="1A6B6A70"/>
    <w:rsid w:val="1A6E342D"/>
    <w:rsid w:val="1A7046A3"/>
    <w:rsid w:val="1A7162B1"/>
    <w:rsid w:val="1A7162FC"/>
    <w:rsid w:val="1A720362"/>
    <w:rsid w:val="1A784212"/>
    <w:rsid w:val="1A7A5496"/>
    <w:rsid w:val="1A8319DD"/>
    <w:rsid w:val="1A9471F3"/>
    <w:rsid w:val="1A9D0F78"/>
    <w:rsid w:val="1AA24804"/>
    <w:rsid w:val="1AA36AC3"/>
    <w:rsid w:val="1AAC4865"/>
    <w:rsid w:val="1AB1106D"/>
    <w:rsid w:val="1AB33544"/>
    <w:rsid w:val="1AB401A9"/>
    <w:rsid w:val="1AB54D1C"/>
    <w:rsid w:val="1AB941EF"/>
    <w:rsid w:val="1AB959A4"/>
    <w:rsid w:val="1ABB16E6"/>
    <w:rsid w:val="1AC63091"/>
    <w:rsid w:val="1AC75577"/>
    <w:rsid w:val="1AC86DED"/>
    <w:rsid w:val="1ACA0281"/>
    <w:rsid w:val="1AD6359E"/>
    <w:rsid w:val="1ADB4A5C"/>
    <w:rsid w:val="1ADD0462"/>
    <w:rsid w:val="1AED1B40"/>
    <w:rsid w:val="1AF221ED"/>
    <w:rsid w:val="1AF307FC"/>
    <w:rsid w:val="1AF354E1"/>
    <w:rsid w:val="1AFB0159"/>
    <w:rsid w:val="1AFD6C87"/>
    <w:rsid w:val="1B003CA6"/>
    <w:rsid w:val="1B01047E"/>
    <w:rsid w:val="1B035899"/>
    <w:rsid w:val="1B0717F7"/>
    <w:rsid w:val="1B082413"/>
    <w:rsid w:val="1B0C0FE4"/>
    <w:rsid w:val="1B0E348E"/>
    <w:rsid w:val="1B1160C8"/>
    <w:rsid w:val="1B130753"/>
    <w:rsid w:val="1B137D82"/>
    <w:rsid w:val="1B17558D"/>
    <w:rsid w:val="1B186706"/>
    <w:rsid w:val="1B1B381E"/>
    <w:rsid w:val="1B1C3B6E"/>
    <w:rsid w:val="1B28256B"/>
    <w:rsid w:val="1B2F0677"/>
    <w:rsid w:val="1B394A62"/>
    <w:rsid w:val="1B3B5CF6"/>
    <w:rsid w:val="1B424F6B"/>
    <w:rsid w:val="1B4A7A11"/>
    <w:rsid w:val="1B517E47"/>
    <w:rsid w:val="1B5223B5"/>
    <w:rsid w:val="1B5A09A3"/>
    <w:rsid w:val="1B63398A"/>
    <w:rsid w:val="1B6621F9"/>
    <w:rsid w:val="1B6622BD"/>
    <w:rsid w:val="1B676C45"/>
    <w:rsid w:val="1B6C79DC"/>
    <w:rsid w:val="1B6E7845"/>
    <w:rsid w:val="1B710A93"/>
    <w:rsid w:val="1B710AB2"/>
    <w:rsid w:val="1B711BAD"/>
    <w:rsid w:val="1B716CCF"/>
    <w:rsid w:val="1B743A9D"/>
    <w:rsid w:val="1B794512"/>
    <w:rsid w:val="1B7B5BD4"/>
    <w:rsid w:val="1B830F9B"/>
    <w:rsid w:val="1B8C02DC"/>
    <w:rsid w:val="1B963188"/>
    <w:rsid w:val="1B9B5EF0"/>
    <w:rsid w:val="1B9F1954"/>
    <w:rsid w:val="1BA03394"/>
    <w:rsid w:val="1BA5465C"/>
    <w:rsid w:val="1BA72C9E"/>
    <w:rsid w:val="1BA8081F"/>
    <w:rsid w:val="1BA83C5A"/>
    <w:rsid w:val="1BBB3060"/>
    <w:rsid w:val="1BEC55BF"/>
    <w:rsid w:val="1BEF0D71"/>
    <w:rsid w:val="1BF0061D"/>
    <w:rsid w:val="1BF07F2B"/>
    <w:rsid w:val="1BF14316"/>
    <w:rsid w:val="1BF170C0"/>
    <w:rsid w:val="1BF8544E"/>
    <w:rsid w:val="1BFE2EB1"/>
    <w:rsid w:val="1C0139E3"/>
    <w:rsid w:val="1C05072B"/>
    <w:rsid w:val="1C08569C"/>
    <w:rsid w:val="1C0938C0"/>
    <w:rsid w:val="1C0F0D05"/>
    <w:rsid w:val="1C1661FB"/>
    <w:rsid w:val="1C1C0455"/>
    <w:rsid w:val="1C2C60CF"/>
    <w:rsid w:val="1C2E0F26"/>
    <w:rsid w:val="1C303F46"/>
    <w:rsid w:val="1C351BDF"/>
    <w:rsid w:val="1C364FBB"/>
    <w:rsid w:val="1C37056C"/>
    <w:rsid w:val="1C372DC2"/>
    <w:rsid w:val="1C3C304F"/>
    <w:rsid w:val="1C3C4CBB"/>
    <w:rsid w:val="1C3F4340"/>
    <w:rsid w:val="1C3F4BAC"/>
    <w:rsid w:val="1C410252"/>
    <w:rsid w:val="1C420561"/>
    <w:rsid w:val="1C4D75E3"/>
    <w:rsid w:val="1C4E54BB"/>
    <w:rsid w:val="1C6E60AC"/>
    <w:rsid w:val="1C712C34"/>
    <w:rsid w:val="1C737C31"/>
    <w:rsid w:val="1C755EC6"/>
    <w:rsid w:val="1C7D5430"/>
    <w:rsid w:val="1C7E6DD6"/>
    <w:rsid w:val="1C82775E"/>
    <w:rsid w:val="1C886DA6"/>
    <w:rsid w:val="1C8C0CD9"/>
    <w:rsid w:val="1C924A69"/>
    <w:rsid w:val="1C956424"/>
    <w:rsid w:val="1C9B006B"/>
    <w:rsid w:val="1CA41C0C"/>
    <w:rsid w:val="1CA72F53"/>
    <w:rsid w:val="1CA93472"/>
    <w:rsid w:val="1CAB7A12"/>
    <w:rsid w:val="1CAF660F"/>
    <w:rsid w:val="1CC0637E"/>
    <w:rsid w:val="1CD14ADE"/>
    <w:rsid w:val="1CD304DF"/>
    <w:rsid w:val="1CD31C14"/>
    <w:rsid w:val="1CD437DB"/>
    <w:rsid w:val="1CD501CA"/>
    <w:rsid w:val="1CD61697"/>
    <w:rsid w:val="1CDD4DD0"/>
    <w:rsid w:val="1CE5336F"/>
    <w:rsid w:val="1CF00D07"/>
    <w:rsid w:val="1CF15DA8"/>
    <w:rsid w:val="1CF67D1E"/>
    <w:rsid w:val="1CFA135A"/>
    <w:rsid w:val="1CFE0660"/>
    <w:rsid w:val="1D086112"/>
    <w:rsid w:val="1D0F6056"/>
    <w:rsid w:val="1D122202"/>
    <w:rsid w:val="1D133DED"/>
    <w:rsid w:val="1D161BD9"/>
    <w:rsid w:val="1D166C39"/>
    <w:rsid w:val="1D1C1E0E"/>
    <w:rsid w:val="1D1C64DA"/>
    <w:rsid w:val="1D1E7F42"/>
    <w:rsid w:val="1D2058EF"/>
    <w:rsid w:val="1D2F7F93"/>
    <w:rsid w:val="1D3E422D"/>
    <w:rsid w:val="1D416CCB"/>
    <w:rsid w:val="1D441757"/>
    <w:rsid w:val="1D4D60A6"/>
    <w:rsid w:val="1D5435EB"/>
    <w:rsid w:val="1D5748FD"/>
    <w:rsid w:val="1D5A04C2"/>
    <w:rsid w:val="1D625D36"/>
    <w:rsid w:val="1D66685F"/>
    <w:rsid w:val="1D6A1E03"/>
    <w:rsid w:val="1D6E5E99"/>
    <w:rsid w:val="1D6F4C1D"/>
    <w:rsid w:val="1D726DF4"/>
    <w:rsid w:val="1D727414"/>
    <w:rsid w:val="1D7A28E9"/>
    <w:rsid w:val="1D857E69"/>
    <w:rsid w:val="1D881AA6"/>
    <w:rsid w:val="1D8870B2"/>
    <w:rsid w:val="1D8C13DF"/>
    <w:rsid w:val="1D924DF5"/>
    <w:rsid w:val="1D947B95"/>
    <w:rsid w:val="1D977D05"/>
    <w:rsid w:val="1D99717F"/>
    <w:rsid w:val="1DA1152A"/>
    <w:rsid w:val="1DA17729"/>
    <w:rsid w:val="1DA46D2F"/>
    <w:rsid w:val="1DAB1324"/>
    <w:rsid w:val="1DB33D94"/>
    <w:rsid w:val="1DB71B0C"/>
    <w:rsid w:val="1DB87322"/>
    <w:rsid w:val="1DBB12F5"/>
    <w:rsid w:val="1DBE312E"/>
    <w:rsid w:val="1DC568E8"/>
    <w:rsid w:val="1DC905B9"/>
    <w:rsid w:val="1DCC1AE1"/>
    <w:rsid w:val="1DCF3D10"/>
    <w:rsid w:val="1DD52C95"/>
    <w:rsid w:val="1DDF0A22"/>
    <w:rsid w:val="1DE251F8"/>
    <w:rsid w:val="1DE56C4D"/>
    <w:rsid w:val="1DE66F8A"/>
    <w:rsid w:val="1DEF4EFA"/>
    <w:rsid w:val="1DF03F79"/>
    <w:rsid w:val="1DF90AD0"/>
    <w:rsid w:val="1DFC1029"/>
    <w:rsid w:val="1E0010E5"/>
    <w:rsid w:val="1E02488D"/>
    <w:rsid w:val="1E026822"/>
    <w:rsid w:val="1E0946B1"/>
    <w:rsid w:val="1E0D654D"/>
    <w:rsid w:val="1E15429F"/>
    <w:rsid w:val="1E1936E2"/>
    <w:rsid w:val="1E2F4831"/>
    <w:rsid w:val="1E2F7E6A"/>
    <w:rsid w:val="1E316F3B"/>
    <w:rsid w:val="1E35253E"/>
    <w:rsid w:val="1E362983"/>
    <w:rsid w:val="1E3664AC"/>
    <w:rsid w:val="1E3B3756"/>
    <w:rsid w:val="1E3B68CF"/>
    <w:rsid w:val="1E42295E"/>
    <w:rsid w:val="1E513378"/>
    <w:rsid w:val="1E555226"/>
    <w:rsid w:val="1E55755B"/>
    <w:rsid w:val="1E574D5F"/>
    <w:rsid w:val="1E580F13"/>
    <w:rsid w:val="1E667CA7"/>
    <w:rsid w:val="1E691745"/>
    <w:rsid w:val="1E6A4BC5"/>
    <w:rsid w:val="1E717B3F"/>
    <w:rsid w:val="1E7C0376"/>
    <w:rsid w:val="1E807336"/>
    <w:rsid w:val="1E834B27"/>
    <w:rsid w:val="1E861FC1"/>
    <w:rsid w:val="1E8A30AB"/>
    <w:rsid w:val="1E8B77CA"/>
    <w:rsid w:val="1E915413"/>
    <w:rsid w:val="1E9D5DD2"/>
    <w:rsid w:val="1EA57DDD"/>
    <w:rsid w:val="1EA76FAD"/>
    <w:rsid w:val="1EA93CB7"/>
    <w:rsid w:val="1EAC46E1"/>
    <w:rsid w:val="1EBF7C85"/>
    <w:rsid w:val="1EBF7DB4"/>
    <w:rsid w:val="1EC51BE3"/>
    <w:rsid w:val="1ED14379"/>
    <w:rsid w:val="1ED633CB"/>
    <w:rsid w:val="1ED74825"/>
    <w:rsid w:val="1ED81999"/>
    <w:rsid w:val="1EDE4465"/>
    <w:rsid w:val="1EEC1494"/>
    <w:rsid w:val="1EFC2746"/>
    <w:rsid w:val="1EFF6F74"/>
    <w:rsid w:val="1F0E1899"/>
    <w:rsid w:val="1F1009BC"/>
    <w:rsid w:val="1F1345B8"/>
    <w:rsid w:val="1F1F220E"/>
    <w:rsid w:val="1F29752C"/>
    <w:rsid w:val="1F303D33"/>
    <w:rsid w:val="1F311DDD"/>
    <w:rsid w:val="1F3B03F9"/>
    <w:rsid w:val="1F3D3F55"/>
    <w:rsid w:val="1F3D5FA0"/>
    <w:rsid w:val="1F471EDC"/>
    <w:rsid w:val="1F4B71A9"/>
    <w:rsid w:val="1F5641D9"/>
    <w:rsid w:val="1F5836B2"/>
    <w:rsid w:val="1F5D2DEC"/>
    <w:rsid w:val="1F5F70AB"/>
    <w:rsid w:val="1F6257F5"/>
    <w:rsid w:val="1F657094"/>
    <w:rsid w:val="1F682A24"/>
    <w:rsid w:val="1F691EAA"/>
    <w:rsid w:val="1F701539"/>
    <w:rsid w:val="1F7372F5"/>
    <w:rsid w:val="1F823A46"/>
    <w:rsid w:val="1F864D10"/>
    <w:rsid w:val="1F8D28F4"/>
    <w:rsid w:val="1F9815C2"/>
    <w:rsid w:val="1F9A02F9"/>
    <w:rsid w:val="1F9D1CC5"/>
    <w:rsid w:val="1F9E1901"/>
    <w:rsid w:val="1FAC4375"/>
    <w:rsid w:val="1FB077F8"/>
    <w:rsid w:val="1FBA7AF9"/>
    <w:rsid w:val="1FCA3429"/>
    <w:rsid w:val="1FD35026"/>
    <w:rsid w:val="1FD75336"/>
    <w:rsid w:val="1FDC25DF"/>
    <w:rsid w:val="1FDD415B"/>
    <w:rsid w:val="1FE37825"/>
    <w:rsid w:val="1FE7501A"/>
    <w:rsid w:val="1FEB3598"/>
    <w:rsid w:val="1FF021A6"/>
    <w:rsid w:val="1FF46CC3"/>
    <w:rsid w:val="1FFA7C50"/>
    <w:rsid w:val="1FFE0E9B"/>
    <w:rsid w:val="2001644B"/>
    <w:rsid w:val="201233DB"/>
    <w:rsid w:val="201D39E5"/>
    <w:rsid w:val="20202AE3"/>
    <w:rsid w:val="2027247F"/>
    <w:rsid w:val="2027689A"/>
    <w:rsid w:val="202D50B5"/>
    <w:rsid w:val="202D5CC0"/>
    <w:rsid w:val="203931DD"/>
    <w:rsid w:val="203F5A50"/>
    <w:rsid w:val="20405024"/>
    <w:rsid w:val="2044422D"/>
    <w:rsid w:val="2047545C"/>
    <w:rsid w:val="204F44CC"/>
    <w:rsid w:val="20544B33"/>
    <w:rsid w:val="20610677"/>
    <w:rsid w:val="20660311"/>
    <w:rsid w:val="206D5C7B"/>
    <w:rsid w:val="20707D32"/>
    <w:rsid w:val="20784A30"/>
    <w:rsid w:val="2078731A"/>
    <w:rsid w:val="207D543B"/>
    <w:rsid w:val="2084639F"/>
    <w:rsid w:val="208C1451"/>
    <w:rsid w:val="208F26D5"/>
    <w:rsid w:val="208F3B88"/>
    <w:rsid w:val="20951A61"/>
    <w:rsid w:val="2095467F"/>
    <w:rsid w:val="20A53297"/>
    <w:rsid w:val="20A65CC1"/>
    <w:rsid w:val="20A75E90"/>
    <w:rsid w:val="20A80E66"/>
    <w:rsid w:val="20A9102E"/>
    <w:rsid w:val="20AB1315"/>
    <w:rsid w:val="20AE7A7B"/>
    <w:rsid w:val="20B227EB"/>
    <w:rsid w:val="20B2570D"/>
    <w:rsid w:val="20B63056"/>
    <w:rsid w:val="20BA0338"/>
    <w:rsid w:val="20BB3F3A"/>
    <w:rsid w:val="20BE7FB9"/>
    <w:rsid w:val="20C7436A"/>
    <w:rsid w:val="20CA3A9B"/>
    <w:rsid w:val="20CC42F8"/>
    <w:rsid w:val="20CF706D"/>
    <w:rsid w:val="20D40796"/>
    <w:rsid w:val="20D53C5B"/>
    <w:rsid w:val="20DC74D8"/>
    <w:rsid w:val="20E025E2"/>
    <w:rsid w:val="20E54358"/>
    <w:rsid w:val="20F01DD4"/>
    <w:rsid w:val="20F21F44"/>
    <w:rsid w:val="20F36CEF"/>
    <w:rsid w:val="20F74A29"/>
    <w:rsid w:val="21022B73"/>
    <w:rsid w:val="21082488"/>
    <w:rsid w:val="211420C2"/>
    <w:rsid w:val="21143DF3"/>
    <w:rsid w:val="21175AFA"/>
    <w:rsid w:val="21203BF3"/>
    <w:rsid w:val="212541AC"/>
    <w:rsid w:val="2126640A"/>
    <w:rsid w:val="212B7B80"/>
    <w:rsid w:val="213373FD"/>
    <w:rsid w:val="21386170"/>
    <w:rsid w:val="21496E23"/>
    <w:rsid w:val="21545F76"/>
    <w:rsid w:val="21566BC4"/>
    <w:rsid w:val="215847B4"/>
    <w:rsid w:val="21631882"/>
    <w:rsid w:val="2164279F"/>
    <w:rsid w:val="216F666F"/>
    <w:rsid w:val="21736E63"/>
    <w:rsid w:val="21797198"/>
    <w:rsid w:val="217D7134"/>
    <w:rsid w:val="218113D9"/>
    <w:rsid w:val="21830D76"/>
    <w:rsid w:val="21833214"/>
    <w:rsid w:val="21863E67"/>
    <w:rsid w:val="219670A9"/>
    <w:rsid w:val="219A7F2A"/>
    <w:rsid w:val="219E6618"/>
    <w:rsid w:val="21AC21C4"/>
    <w:rsid w:val="21B92030"/>
    <w:rsid w:val="21BE6D8D"/>
    <w:rsid w:val="21C20498"/>
    <w:rsid w:val="21C53C4C"/>
    <w:rsid w:val="21C62EB9"/>
    <w:rsid w:val="21CE2A6A"/>
    <w:rsid w:val="21D77034"/>
    <w:rsid w:val="21E31EBF"/>
    <w:rsid w:val="21F5489F"/>
    <w:rsid w:val="21F65FB7"/>
    <w:rsid w:val="21FC462C"/>
    <w:rsid w:val="22026D81"/>
    <w:rsid w:val="22065813"/>
    <w:rsid w:val="220E7481"/>
    <w:rsid w:val="22141638"/>
    <w:rsid w:val="22143621"/>
    <w:rsid w:val="221D48A9"/>
    <w:rsid w:val="221D6928"/>
    <w:rsid w:val="22217958"/>
    <w:rsid w:val="22236952"/>
    <w:rsid w:val="222414AC"/>
    <w:rsid w:val="2226374C"/>
    <w:rsid w:val="2226546D"/>
    <w:rsid w:val="2227046A"/>
    <w:rsid w:val="222837AA"/>
    <w:rsid w:val="222C2B2A"/>
    <w:rsid w:val="223C5E93"/>
    <w:rsid w:val="223C73DB"/>
    <w:rsid w:val="2244600B"/>
    <w:rsid w:val="224B2834"/>
    <w:rsid w:val="224F5EE6"/>
    <w:rsid w:val="2250234F"/>
    <w:rsid w:val="22524EE8"/>
    <w:rsid w:val="22636F69"/>
    <w:rsid w:val="22657035"/>
    <w:rsid w:val="226B2183"/>
    <w:rsid w:val="226B24B6"/>
    <w:rsid w:val="22744EE3"/>
    <w:rsid w:val="227B1C7E"/>
    <w:rsid w:val="227C10C8"/>
    <w:rsid w:val="22896D8F"/>
    <w:rsid w:val="228D2198"/>
    <w:rsid w:val="228D628A"/>
    <w:rsid w:val="22912101"/>
    <w:rsid w:val="22956267"/>
    <w:rsid w:val="22996155"/>
    <w:rsid w:val="229B6D05"/>
    <w:rsid w:val="229E2206"/>
    <w:rsid w:val="22AA29F7"/>
    <w:rsid w:val="22AC7CA6"/>
    <w:rsid w:val="22AD0176"/>
    <w:rsid w:val="22AF7A2F"/>
    <w:rsid w:val="22C44175"/>
    <w:rsid w:val="22C92BFF"/>
    <w:rsid w:val="22CB431B"/>
    <w:rsid w:val="22CC3DD9"/>
    <w:rsid w:val="22D56605"/>
    <w:rsid w:val="22DA13D4"/>
    <w:rsid w:val="22DB145B"/>
    <w:rsid w:val="22E42FC5"/>
    <w:rsid w:val="22E973FE"/>
    <w:rsid w:val="22EA25CD"/>
    <w:rsid w:val="22EC47C4"/>
    <w:rsid w:val="23004630"/>
    <w:rsid w:val="23012AA3"/>
    <w:rsid w:val="23017A99"/>
    <w:rsid w:val="23075447"/>
    <w:rsid w:val="230B25DC"/>
    <w:rsid w:val="230C0A0D"/>
    <w:rsid w:val="231A24F3"/>
    <w:rsid w:val="231C12DA"/>
    <w:rsid w:val="231E3588"/>
    <w:rsid w:val="23246149"/>
    <w:rsid w:val="232879FD"/>
    <w:rsid w:val="233879A2"/>
    <w:rsid w:val="233B0BE1"/>
    <w:rsid w:val="233B4D29"/>
    <w:rsid w:val="23450EB6"/>
    <w:rsid w:val="234F223A"/>
    <w:rsid w:val="23551DF4"/>
    <w:rsid w:val="235736AF"/>
    <w:rsid w:val="235B6BAA"/>
    <w:rsid w:val="235E1BF2"/>
    <w:rsid w:val="236325E9"/>
    <w:rsid w:val="23646CDE"/>
    <w:rsid w:val="236544B8"/>
    <w:rsid w:val="236756C2"/>
    <w:rsid w:val="236B1EBA"/>
    <w:rsid w:val="236D6B58"/>
    <w:rsid w:val="237016C5"/>
    <w:rsid w:val="237227E4"/>
    <w:rsid w:val="2375329B"/>
    <w:rsid w:val="23826061"/>
    <w:rsid w:val="23844B35"/>
    <w:rsid w:val="238D0E0F"/>
    <w:rsid w:val="23952D16"/>
    <w:rsid w:val="2399732F"/>
    <w:rsid w:val="23A34A3E"/>
    <w:rsid w:val="23A35104"/>
    <w:rsid w:val="23AA01D1"/>
    <w:rsid w:val="23AD65FA"/>
    <w:rsid w:val="23AD6DAE"/>
    <w:rsid w:val="23BE73BC"/>
    <w:rsid w:val="23C04638"/>
    <w:rsid w:val="23C06064"/>
    <w:rsid w:val="23C16FF2"/>
    <w:rsid w:val="23C94901"/>
    <w:rsid w:val="23D149C0"/>
    <w:rsid w:val="23D95E44"/>
    <w:rsid w:val="23D97362"/>
    <w:rsid w:val="23DD4C82"/>
    <w:rsid w:val="23E67D01"/>
    <w:rsid w:val="23F131EA"/>
    <w:rsid w:val="23F2005C"/>
    <w:rsid w:val="23F90719"/>
    <w:rsid w:val="24061DD1"/>
    <w:rsid w:val="24143C29"/>
    <w:rsid w:val="24177BB5"/>
    <w:rsid w:val="24196BF0"/>
    <w:rsid w:val="241C1242"/>
    <w:rsid w:val="242F5A1B"/>
    <w:rsid w:val="243D3065"/>
    <w:rsid w:val="243E16FE"/>
    <w:rsid w:val="244C40A6"/>
    <w:rsid w:val="2451338A"/>
    <w:rsid w:val="245240CE"/>
    <w:rsid w:val="2455336C"/>
    <w:rsid w:val="245575F8"/>
    <w:rsid w:val="24562FD4"/>
    <w:rsid w:val="24633CCB"/>
    <w:rsid w:val="246935A0"/>
    <w:rsid w:val="24693FAC"/>
    <w:rsid w:val="246E0486"/>
    <w:rsid w:val="247121F3"/>
    <w:rsid w:val="24787D6B"/>
    <w:rsid w:val="247A2A5F"/>
    <w:rsid w:val="247A7CAD"/>
    <w:rsid w:val="247C1A2B"/>
    <w:rsid w:val="248161FF"/>
    <w:rsid w:val="248802F6"/>
    <w:rsid w:val="24947808"/>
    <w:rsid w:val="2497786D"/>
    <w:rsid w:val="249A61C7"/>
    <w:rsid w:val="24AA55D4"/>
    <w:rsid w:val="24AA62B2"/>
    <w:rsid w:val="24BD7C97"/>
    <w:rsid w:val="24C6743F"/>
    <w:rsid w:val="24C75CE5"/>
    <w:rsid w:val="24D1244A"/>
    <w:rsid w:val="24D34B3A"/>
    <w:rsid w:val="24D74B21"/>
    <w:rsid w:val="24DC170C"/>
    <w:rsid w:val="24E21920"/>
    <w:rsid w:val="24E35D60"/>
    <w:rsid w:val="24E460A0"/>
    <w:rsid w:val="24E510F2"/>
    <w:rsid w:val="24E915BD"/>
    <w:rsid w:val="24ED7B4E"/>
    <w:rsid w:val="24F4656F"/>
    <w:rsid w:val="24F568DC"/>
    <w:rsid w:val="250C2E4B"/>
    <w:rsid w:val="250E1A92"/>
    <w:rsid w:val="251A3060"/>
    <w:rsid w:val="2526439D"/>
    <w:rsid w:val="25283AE4"/>
    <w:rsid w:val="25284889"/>
    <w:rsid w:val="252A1C0B"/>
    <w:rsid w:val="252C551E"/>
    <w:rsid w:val="25406377"/>
    <w:rsid w:val="25415062"/>
    <w:rsid w:val="25415860"/>
    <w:rsid w:val="254701A8"/>
    <w:rsid w:val="254D6899"/>
    <w:rsid w:val="2552201A"/>
    <w:rsid w:val="255259C2"/>
    <w:rsid w:val="256574DB"/>
    <w:rsid w:val="256637A3"/>
    <w:rsid w:val="256900A1"/>
    <w:rsid w:val="256E7617"/>
    <w:rsid w:val="256F7E7B"/>
    <w:rsid w:val="25732C46"/>
    <w:rsid w:val="2576425C"/>
    <w:rsid w:val="257F2946"/>
    <w:rsid w:val="257F3630"/>
    <w:rsid w:val="25802646"/>
    <w:rsid w:val="25881D92"/>
    <w:rsid w:val="2589131A"/>
    <w:rsid w:val="25892DA8"/>
    <w:rsid w:val="259213C0"/>
    <w:rsid w:val="259A3745"/>
    <w:rsid w:val="259D1A4B"/>
    <w:rsid w:val="25AD39BF"/>
    <w:rsid w:val="25B2408B"/>
    <w:rsid w:val="25B343FC"/>
    <w:rsid w:val="25B57786"/>
    <w:rsid w:val="25B8086F"/>
    <w:rsid w:val="25BA44BB"/>
    <w:rsid w:val="25BC283A"/>
    <w:rsid w:val="25DB7943"/>
    <w:rsid w:val="25DC312F"/>
    <w:rsid w:val="25DC7B2E"/>
    <w:rsid w:val="25DE4041"/>
    <w:rsid w:val="25ED6C1C"/>
    <w:rsid w:val="25FA2F81"/>
    <w:rsid w:val="26051FB4"/>
    <w:rsid w:val="261D4D67"/>
    <w:rsid w:val="261D757C"/>
    <w:rsid w:val="2629712E"/>
    <w:rsid w:val="26352513"/>
    <w:rsid w:val="26370332"/>
    <w:rsid w:val="263E2DBD"/>
    <w:rsid w:val="26465013"/>
    <w:rsid w:val="264F7682"/>
    <w:rsid w:val="26510C56"/>
    <w:rsid w:val="2651755A"/>
    <w:rsid w:val="26544D6D"/>
    <w:rsid w:val="26612986"/>
    <w:rsid w:val="26617586"/>
    <w:rsid w:val="26631865"/>
    <w:rsid w:val="26651951"/>
    <w:rsid w:val="2666016E"/>
    <w:rsid w:val="267034CD"/>
    <w:rsid w:val="26763EDF"/>
    <w:rsid w:val="268003DF"/>
    <w:rsid w:val="26842B0F"/>
    <w:rsid w:val="268C2E35"/>
    <w:rsid w:val="2691191E"/>
    <w:rsid w:val="2693540A"/>
    <w:rsid w:val="26970580"/>
    <w:rsid w:val="269B3DA5"/>
    <w:rsid w:val="26A016A9"/>
    <w:rsid w:val="26A434B5"/>
    <w:rsid w:val="26B61F00"/>
    <w:rsid w:val="26B620AE"/>
    <w:rsid w:val="26BD0F8E"/>
    <w:rsid w:val="26C069A2"/>
    <w:rsid w:val="26C311A3"/>
    <w:rsid w:val="26C34923"/>
    <w:rsid w:val="26C804EE"/>
    <w:rsid w:val="26C91071"/>
    <w:rsid w:val="26CC27FB"/>
    <w:rsid w:val="26DF31B1"/>
    <w:rsid w:val="26EF4F0D"/>
    <w:rsid w:val="26F135E9"/>
    <w:rsid w:val="27013A64"/>
    <w:rsid w:val="27105FD9"/>
    <w:rsid w:val="2711234F"/>
    <w:rsid w:val="2721429C"/>
    <w:rsid w:val="272624ED"/>
    <w:rsid w:val="27281466"/>
    <w:rsid w:val="272B20CF"/>
    <w:rsid w:val="272D420F"/>
    <w:rsid w:val="272E6E53"/>
    <w:rsid w:val="27370316"/>
    <w:rsid w:val="273E4B1E"/>
    <w:rsid w:val="27420744"/>
    <w:rsid w:val="274F4ACE"/>
    <w:rsid w:val="2751317D"/>
    <w:rsid w:val="2753624C"/>
    <w:rsid w:val="27591818"/>
    <w:rsid w:val="2760200C"/>
    <w:rsid w:val="27606615"/>
    <w:rsid w:val="27612D04"/>
    <w:rsid w:val="27620D0E"/>
    <w:rsid w:val="276357B1"/>
    <w:rsid w:val="27645560"/>
    <w:rsid w:val="276F4BF4"/>
    <w:rsid w:val="277143F3"/>
    <w:rsid w:val="277C2819"/>
    <w:rsid w:val="278D779B"/>
    <w:rsid w:val="279E64DD"/>
    <w:rsid w:val="27A01CCE"/>
    <w:rsid w:val="27A322B0"/>
    <w:rsid w:val="27B74BB2"/>
    <w:rsid w:val="27B82822"/>
    <w:rsid w:val="27B91AA8"/>
    <w:rsid w:val="27BA2529"/>
    <w:rsid w:val="27BA3B33"/>
    <w:rsid w:val="27BB00D3"/>
    <w:rsid w:val="27C06E30"/>
    <w:rsid w:val="27C12B9F"/>
    <w:rsid w:val="27C35FA8"/>
    <w:rsid w:val="27C603EB"/>
    <w:rsid w:val="27C75AA7"/>
    <w:rsid w:val="27D37B46"/>
    <w:rsid w:val="27D418C5"/>
    <w:rsid w:val="27E01AB7"/>
    <w:rsid w:val="27E15B37"/>
    <w:rsid w:val="27E71F9B"/>
    <w:rsid w:val="27E7258E"/>
    <w:rsid w:val="27EC02D6"/>
    <w:rsid w:val="27F64808"/>
    <w:rsid w:val="27FA0D7E"/>
    <w:rsid w:val="27FD58E0"/>
    <w:rsid w:val="27FE3D1F"/>
    <w:rsid w:val="280044BD"/>
    <w:rsid w:val="280827A5"/>
    <w:rsid w:val="280E42EC"/>
    <w:rsid w:val="280F5EA6"/>
    <w:rsid w:val="28120E19"/>
    <w:rsid w:val="281C7F1F"/>
    <w:rsid w:val="282A29B9"/>
    <w:rsid w:val="282C6AD4"/>
    <w:rsid w:val="28305591"/>
    <w:rsid w:val="283C0860"/>
    <w:rsid w:val="28491D33"/>
    <w:rsid w:val="284A2997"/>
    <w:rsid w:val="285064D0"/>
    <w:rsid w:val="28514316"/>
    <w:rsid w:val="28591DA6"/>
    <w:rsid w:val="28634ABE"/>
    <w:rsid w:val="28665852"/>
    <w:rsid w:val="287617B5"/>
    <w:rsid w:val="28762002"/>
    <w:rsid w:val="287C6C8D"/>
    <w:rsid w:val="287F2631"/>
    <w:rsid w:val="288B4A00"/>
    <w:rsid w:val="288E0B97"/>
    <w:rsid w:val="289D6564"/>
    <w:rsid w:val="289E0FF2"/>
    <w:rsid w:val="289E4998"/>
    <w:rsid w:val="289F607B"/>
    <w:rsid w:val="28A17C43"/>
    <w:rsid w:val="28A53CBF"/>
    <w:rsid w:val="28A87A23"/>
    <w:rsid w:val="28AA32C5"/>
    <w:rsid w:val="28B25B27"/>
    <w:rsid w:val="28B4577E"/>
    <w:rsid w:val="28BC094E"/>
    <w:rsid w:val="28BE2CCF"/>
    <w:rsid w:val="28BE54CA"/>
    <w:rsid w:val="28C55A80"/>
    <w:rsid w:val="28C6452E"/>
    <w:rsid w:val="28CF66D1"/>
    <w:rsid w:val="28D23074"/>
    <w:rsid w:val="28D96F16"/>
    <w:rsid w:val="28DB12B8"/>
    <w:rsid w:val="28DD3F76"/>
    <w:rsid w:val="28E710AD"/>
    <w:rsid w:val="28EF2F46"/>
    <w:rsid w:val="28F17600"/>
    <w:rsid w:val="28F24B68"/>
    <w:rsid w:val="29023D0C"/>
    <w:rsid w:val="290D3176"/>
    <w:rsid w:val="290E7729"/>
    <w:rsid w:val="29113D59"/>
    <w:rsid w:val="291561C6"/>
    <w:rsid w:val="291B52C6"/>
    <w:rsid w:val="291E7CEC"/>
    <w:rsid w:val="291F59F3"/>
    <w:rsid w:val="292118FA"/>
    <w:rsid w:val="2930296C"/>
    <w:rsid w:val="2932566B"/>
    <w:rsid w:val="29337217"/>
    <w:rsid w:val="293B46C3"/>
    <w:rsid w:val="29405C38"/>
    <w:rsid w:val="2941700D"/>
    <w:rsid w:val="29447FD2"/>
    <w:rsid w:val="29475FFB"/>
    <w:rsid w:val="294A1B6C"/>
    <w:rsid w:val="295150CB"/>
    <w:rsid w:val="29536AC3"/>
    <w:rsid w:val="29545CEA"/>
    <w:rsid w:val="295518F8"/>
    <w:rsid w:val="29585B6D"/>
    <w:rsid w:val="29620633"/>
    <w:rsid w:val="29686DA3"/>
    <w:rsid w:val="296E31C7"/>
    <w:rsid w:val="29723BB2"/>
    <w:rsid w:val="297D70D8"/>
    <w:rsid w:val="297F49CB"/>
    <w:rsid w:val="298305E8"/>
    <w:rsid w:val="29837AD1"/>
    <w:rsid w:val="298B7DEA"/>
    <w:rsid w:val="298C04F4"/>
    <w:rsid w:val="29935BEF"/>
    <w:rsid w:val="2994730E"/>
    <w:rsid w:val="299D4E0A"/>
    <w:rsid w:val="29A011B8"/>
    <w:rsid w:val="29A472DF"/>
    <w:rsid w:val="29A512BA"/>
    <w:rsid w:val="29AD7637"/>
    <w:rsid w:val="29B37F3A"/>
    <w:rsid w:val="29B41003"/>
    <w:rsid w:val="29BF655D"/>
    <w:rsid w:val="29C440E7"/>
    <w:rsid w:val="29C73A4F"/>
    <w:rsid w:val="29CB0800"/>
    <w:rsid w:val="29CE33FE"/>
    <w:rsid w:val="29D12EBE"/>
    <w:rsid w:val="29DD289D"/>
    <w:rsid w:val="29EC1890"/>
    <w:rsid w:val="29F656A9"/>
    <w:rsid w:val="2A026EA6"/>
    <w:rsid w:val="2A041F6C"/>
    <w:rsid w:val="2A0F0983"/>
    <w:rsid w:val="2A0F138E"/>
    <w:rsid w:val="2A0F1AD7"/>
    <w:rsid w:val="2A172A7D"/>
    <w:rsid w:val="2A196CED"/>
    <w:rsid w:val="2A1A71D7"/>
    <w:rsid w:val="2A1B5DEE"/>
    <w:rsid w:val="2A202F52"/>
    <w:rsid w:val="2A331F48"/>
    <w:rsid w:val="2A3E6A5C"/>
    <w:rsid w:val="2A4457C0"/>
    <w:rsid w:val="2A593B83"/>
    <w:rsid w:val="2A5B2035"/>
    <w:rsid w:val="2A6116EB"/>
    <w:rsid w:val="2A714C03"/>
    <w:rsid w:val="2A750758"/>
    <w:rsid w:val="2A77331D"/>
    <w:rsid w:val="2A7826C7"/>
    <w:rsid w:val="2A7E1637"/>
    <w:rsid w:val="2A7E1EDE"/>
    <w:rsid w:val="2A870166"/>
    <w:rsid w:val="2A897B67"/>
    <w:rsid w:val="2A971D4B"/>
    <w:rsid w:val="2A9C0706"/>
    <w:rsid w:val="2A9F5F7F"/>
    <w:rsid w:val="2AA01BBE"/>
    <w:rsid w:val="2AAA5EA1"/>
    <w:rsid w:val="2AB16030"/>
    <w:rsid w:val="2ABB5819"/>
    <w:rsid w:val="2AC61EDD"/>
    <w:rsid w:val="2AD30AA1"/>
    <w:rsid w:val="2AD35D28"/>
    <w:rsid w:val="2AD70B18"/>
    <w:rsid w:val="2ADA5270"/>
    <w:rsid w:val="2ADD06BB"/>
    <w:rsid w:val="2ADD2FC0"/>
    <w:rsid w:val="2ADF69B0"/>
    <w:rsid w:val="2AE83046"/>
    <w:rsid w:val="2AEA17F8"/>
    <w:rsid w:val="2AEB03E1"/>
    <w:rsid w:val="2AEC2FB3"/>
    <w:rsid w:val="2AEC5583"/>
    <w:rsid w:val="2AF072F7"/>
    <w:rsid w:val="2AF67376"/>
    <w:rsid w:val="2AFC6DA6"/>
    <w:rsid w:val="2AFE2402"/>
    <w:rsid w:val="2B041C0C"/>
    <w:rsid w:val="2B0801E4"/>
    <w:rsid w:val="2B105183"/>
    <w:rsid w:val="2B1133A7"/>
    <w:rsid w:val="2B1875E1"/>
    <w:rsid w:val="2B1A5FCC"/>
    <w:rsid w:val="2B1D45B1"/>
    <w:rsid w:val="2B1E09BE"/>
    <w:rsid w:val="2B261FE2"/>
    <w:rsid w:val="2B275C70"/>
    <w:rsid w:val="2B29455C"/>
    <w:rsid w:val="2B2A5FC2"/>
    <w:rsid w:val="2B3A2AD9"/>
    <w:rsid w:val="2B3F4D84"/>
    <w:rsid w:val="2B4674F7"/>
    <w:rsid w:val="2B496CD8"/>
    <w:rsid w:val="2B4F1E4D"/>
    <w:rsid w:val="2B511746"/>
    <w:rsid w:val="2B58552F"/>
    <w:rsid w:val="2B68613A"/>
    <w:rsid w:val="2B6D1F25"/>
    <w:rsid w:val="2B6D563F"/>
    <w:rsid w:val="2B6F7246"/>
    <w:rsid w:val="2B703413"/>
    <w:rsid w:val="2B737C52"/>
    <w:rsid w:val="2B797CA5"/>
    <w:rsid w:val="2B8C3A21"/>
    <w:rsid w:val="2B8C6B7A"/>
    <w:rsid w:val="2B8D05F5"/>
    <w:rsid w:val="2B97036E"/>
    <w:rsid w:val="2B9F0F43"/>
    <w:rsid w:val="2BA52284"/>
    <w:rsid w:val="2BA700C8"/>
    <w:rsid w:val="2BAB5AA0"/>
    <w:rsid w:val="2BAC0A95"/>
    <w:rsid w:val="2BAC66B8"/>
    <w:rsid w:val="2BAF3007"/>
    <w:rsid w:val="2BB370E3"/>
    <w:rsid w:val="2BB419B4"/>
    <w:rsid w:val="2BB674D7"/>
    <w:rsid w:val="2BB77857"/>
    <w:rsid w:val="2BB94751"/>
    <w:rsid w:val="2BC15727"/>
    <w:rsid w:val="2BC74A00"/>
    <w:rsid w:val="2BCB24CC"/>
    <w:rsid w:val="2BD14F53"/>
    <w:rsid w:val="2BD37A17"/>
    <w:rsid w:val="2BD90BA8"/>
    <w:rsid w:val="2BE048DA"/>
    <w:rsid w:val="2BEA5B8D"/>
    <w:rsid w:val="2BED1DF2"/>
    <w:rsid w:val="2BF20924"/>
    <w:rsid w:val="2BFE13F4"/>
    <w:rsid w:val="2C036DF3"/>
    <w:rsid w:val="2C0637FF"/>
    <w:rsid w:val="2C0B1E86"/>
    <w:rsid w:val="2C1078AB"/>
    <w:rsid w:val="2C122D2F"/>
    <w:rsid w:val="2C126BF6"/>
    <w:rsid w:val="2C1305C4"/>
    <w:rsid w:val="2C1F681D"/>
    <w:rsid w:val="2C200219"/>
    <w:rsid w:val="2C2152C8"/>
    <w:rsid w:val="2C235E47"/>
    <w:rsid w:val="2C285010"/>
    <w:rsid w:val="2C2C1E8A"/>
    <w:rsid w:val="2C345CC9"/>
    <w:rsid w:val="2C3474E5"/>
    <w:rsid w:val="2C381516"/>
    <w:rsid w:val="2C3A56D1"/>
    <w:rsid w:val="2C3B59B1"/>
    <w:rsid w:val="2C3F6B11"/>
    <w:rsid w:val="2C406C09"/>
    <w:rsid w:val="2C4971E1"/>
    <w:rsid w:val="2C4B2982"/>
    <w:rsid w:val="2C4D7DCB"/>
    <w:rsid w:val="2C5506ED"/>
    <w:rsid w:val="2C582397"/>
    <w:rsid w:val="2C596A92"/>
    <w:rsid w:val="2C5D40FC"/>
    <w:rsid w:val="2C607F64"/>
    <w:rsid w:val="2C645AC5"/>
    <w:rsid w:val="2C68368E"/>
    <w:rsid w:val="2C6D47B4"/>
    <w:rsid w:val="2C731BD8"/>
    <w:rsid w:val="2C74581C"/>
    <w:rsid w:val="2C747483"/>
    <w:rsid w:val="2C892157"/>
    <w:rsid w:val="2C8B279B"/>
    <w:rsid w:val="2C90381F"/>
    <w:rsid w:val="2C935627"/>
    <w:rsid w:val="2C957780"/>
    <w:rsid w:val="2C9701C3"/>
    <w:rsid w:val="2C972789"/>
    <w:rsid w:val="2CA41EC3"/>
    <w:rsid w:val="2CA66DE9"/>
    <w:rsid w:val="2CA74998"/>
    <w:rsid w:val="2CAB240E"/>
    <w:rsid w:val="2CAF0B12"/>
    <w:rsid w:val="2CB2409F"/>
    <w:rsid w:val="2CB71F1D"/>
    <w:rsid w:val="2CB80B56"/>
    <w:rsid w:val="2CBF0C89"/>
    <w:rsid w:val="2CCD62EE"/>
    <w:rsid w:val="2CD45B80"/>
    <w:rsid w:val="2CD55964"/>
    <w:rsid w:val="2CD664E4"/>
    <w:rsid w:val="2CDA0321"/>
    <w:rsid w:val="2CDB7A41"/>
    <w:rsid w:val="2CDF09D7"/>
    <w:rsid w:val="2CE01CCF"/>
    <w:rsid w:val="2CE5193F"/>
    <w:rsid w:val="2CEC12AC"/>
    <w:rsid w:val="2CF4295D"/>
    <w:rsid w:val="2CF943D7"/>
    <w:rsid w:val="2D0503BE"/>
    <w:rsid w:val="2D077CB4"/>
    <w:rsid w:val="2D094838"/>
    <w:rsid w:val="2D0F4EEC"/>
    <w:rsid w:val="2D1105EE"/>
    <w:rsid w:val="2D120776"/>
    <w:rsid w:val="2D1C0025"/>
    <w:rsid w:val="2D206D6D"/>
    <w:rsid w:val="2D221E3A"/>
    <w:rsid w:val="2D2277A8"/>
    <w:rsid w:val="2D2306E8"/>
    <w:rsid w:val="2D231BD1"/>
    <w:rsid w:val="2D2A163B"/>
    <w:rsid w:val="2D2A3A14"/>
    <w:rsid w:val="2D30631F"/>
    <w:rsid w:val="2D391D65"/>
    <w:rsid w:val="2D3C1C22"/>
    <w:rsid w:val="2D3E7852"/>
    <w:rsid w:val="2D413C3F"/>
    <w:rsid w:val="2D442FF1"/>
    <w:rsid w:val="2D4D0556"/>
    <w:rsid w:val="2D545E0F"/>
    <w:rsid w:val="2D5A28DB"/>
    <w:rsid w:val="2D5B031E"/>
    <w:rsid w:val="2D61251B"/>
    <w:rsid w:val="2D654E96"/>
    <w:rsid w:val="2D841BEF"/>
    <w:rsid w:val="2D88315F"/>
    <w:rsid w:val="2D8A513E"/>
    <w:rsid w:val="2D8F6069"/>
    <w:rsid w:val="2D937AAA"/>
    <w:rsid w:val="2D943907"/>
    <w:rsid w:val="2D9724BB"/>
    <w:rsid w:val="2DA525FC"/>
    <w:rsid w:val="2DAE5830"/>
    <w:rsid w:val="2DB2061F"/>
    <w:rsid w:val="2DB20B32"/>
    <w:rsid w:val="2DB63FD1"/>
    <w:rsid w:val="2DBB247F"/>
    <w:rsid w:val="2DC23790"/>
    <w:rsid w:val="2DC63F4D"/>
    <w:rsid w:val="2DC70941"/>
    <w:rsid w:val="2DCC7003"/>
    <w:rsid w:val="2DD177EF"/>
    <w:rsid w:val="2DD7533D"/>
    <w:rsid w:val="2DDA0BFD"/>
    <w:rsid w:val="2DDD71EF"/>
    <w:rsid w:val="2DF30325"/>
    <w:rsid w:val="2DFB514C"/>
    <w:rsid w:val="2E05240C"/>
    <w:rsid w:val="2E082D34"/>
    <w:rsid w:val="2E0B10D5"/>
    <w:rsid w:val="2E0B29AC"/>
    <w:rsid w:val="2E0D20B7"/>
    <w:rsid w:val="2E181105"/>
    <w:rsid w:val="2E204172"/>
    <w:rsid w:val="2E2814D4"/>
    <w:rsid w:val="2E3F43E1"/>
    <w:rsid w:val="2E432779"/>
    <w:rsid w:val="2E453C1E"/>
    <w:rsid w:val="2E4551CA"/>
    <w:rsid w:val="2E4966DF"/>
    <w:rsid w:val="2E4D199A"/>
    <w:rsid w:val="2E4F3535"/>
    <w:rsid w:val="2E4F6D33"/>
    <w:rsid w:val="2E547685"/>
    <w:rsid w:val="2E584C85"/>
    <w:rsid w:val="2E590505"/>
    <w:rsid w:val="2E63591F"/>
    <w:rsid w:val="2E662E64"/>
    <w:rsid w:val="2E690846"/>
    <w:rsid w:val="2E69577A"/>
    <w:rsid w:val="2E6B7A7E"/>
    <w:rsid w:val="2E6F7654"/>
    <w:rsid w:val="2E790CC3"/>
    <w:rsid w:val="2E79681C"/>
    <w:rsid w:val="2E7B3521"/>
    <w:rsid w:val="2E803D29"/>
    <w:rsid w:val="2E84697C"/>
    <w:rsid w:val="2E874B22"/>
    <w:rsid w:val="2E8D3A0F"/>
    <w:rsid w:val="2E975FE1"/>
    <w:rsid w:val="2E9A735F"/>
    <w:rsid w:val="2E9B199C"/>
    <w:rsid w:val="2E9E4538"/>
    <w:rsid w:val="2EA32F53"/>
    <w:rsid w:val="2EA82282"/>
    <w:rsid w:val="2EAB4997"/>
    <w:rsid w:val="2EB11497"/>
    <w:rsid w:val="2EB41130"/>
    <w:rsid w:val="2EB500B7"/>
    <w:rsid w:val="2EB629E6"/>
    <w:rsid w:val="2EB677E4"/>
    <w:rsid w:val="2EBE4357"/>
    <w:rsid w:val="2EC70120"/>
    <w:rsid w:val="2ECA0ADB"/>
    <w:rsid w:val="2ECB76C4"/>
    <w:rsid w:val="2ECD059F"/>
    <w:rsid w:val="2ED52499"/>
    <w:rsid w:val="2EEE2FE9"/>
    <w:rsid w:val="2EF103A4"/>
    <w:rsid w:val="2EF77611"/>
    <w:rsid w:val="2EFD3446"/>
    <w:rsid w:val="2F0403AF"/>
    <w:rsid w:val="2F054974"/>
    <w:rsid w:val="2F082717"/>
    <w:rsid w:val="2F0A4449"/>
    <w:rsid w:val="2F0C556B"/>
    <w:rsid w:val="2F116FBA"/>
    <w:rsid w:val="2F14610E"/>
    <w:rsid w:val="2F156CD9"/>
    <w:rsid w:val="2F1A7019"/>
    <w:rsid w:val="2F1A733F"/>
    <w:rsid w:val="2F1B17C7"/>
    <w:rsid w:val="2F1D3420"/>
    <w:rsid w:val="2F2A508B"/>
    <w:rsid w:val="2F2A7961"/>
    <w:rsid w:val="2F2D4FCF"/>
    <w:rsid w:val="2F2E629B"/>
    <w:rsid w:val="2F365382"/>
    <w:rsid w:val="2F3761BD"/>
    <w:rsid w:val="2F3B5F4E"/>
    <w:rsid w:val="2F424181"/>
    <w:rsid w:val="2F4930EA"/>
    <w:rsid w:val="2F4A60D2"/>
    <w:rsid w:val="2F4C3632"/>
    <w:rsid w:val="2F5057F8"/>
    <w:rsid w:val="2F5A5F40"/>
    <w:rsid w:val="2F5E5D37"/>
    <w:rsid w:val="2F634E8B"/>
    <w:rsid w:val="2F6D1507"/>
    <w:rsid w:val="2F715DFB"/>
    <w:rsid w:val="2F735527"/>
    <w:rsid w:val="2F755D6D"/>
    <w:rsid w:val="2F767E41"/>
    <w:rsid w:val="2F773C9A"/>
    <w:rsid w:val="2F7A0872"/>
    <w:rsid w:val="2F7A7680"/>
    <w:rsid w:val="2F7E3209"/>
    <w:rsid w:val="2F803818"/>
    <w:rsid w:val="2F8210F4"/>
    <w:rsid w:val="2F837E09"/>
    <w:rsid w:val="2F8914D3"/>
    <w:rsid w:val="2F92567B"/>
    <w:rsid w:val="2F963D8B"/>
    <w:rsid w:val="2F976089"/>
    <w:rsid w:val="2F9B56FC"/>
    <w:rsid w:val="2F9C1189"/>
    <w:rsid w:val="2F9E0438"/>
    <w:rsid w:val="2FA15DF4"/>
    <w:rsid w:val="2FA343A7"/>
    <w:rsid w:val="2FA70711"/>
    <w:rsid w:val="2FAA31FD"/>
    <w:rsid w:val="2FAC6B40"/>
    <w:rsid w:val="2FB1206E"/>
    <w:rsid w:val="2FB54242"/>
    <w:rsid w:val="2FB84936"/>
    <w:rsid w:val="2FC40DFC"/>
    <w:rsid w:val="2FC4673D"/>
    <w:rsid w:val="2FC801B7"/>
    <w:rsid w:val="2FCE70DE"/>
    <w:rsid w:val="2FCE715A"/>
    <w:rsid w:val="2FD5296A"/>
    <w:rsid w:val="2FD66E23"/>
    <w:rsid w:val="2FE1448C"/>
    <w:rsid w:val="2FE32EE3"/>
    <w:rsid w:val="2FE51690"/>
    <w:rsid w:val="2FE97BD5"/>
    <w:rsid w:val="2FF5403C"/>
    <w:rsid w:val="2FFC4D45"/>
    <w:rsid w:val="300C469A"/>
    <w:rsid w:val="300E6A7D"/>
    <w:rsid w:val="300E74E6"/>
    <w:rsid w:val="30112A00"/>
    <w:rsid w:val="301A215E"/>
    <w:rsid w:val="301C526D"/>
    <w:rsid w:val="30206069"/>
    <w:rsid w:val="30214903"/>
    <w:rsid w:val="302327E0"/>
    <w:rsid w:val="302A3D93"/>
    <w:rsid w:val="30346E72"/>
    <w:rsid w:val="30395E8F"/>
    <w:rsid w:val="303E35A4"/>
    <w:rsid w:val="30406968"/>
    <w:rsid w:val="30537E71"/>
    <w:rsid w:val="30554338"/>
    <w:rsid w:val="305A448B"/>
    <w:rsid w:val="30637616"/>
    <w:rsid w:val="30651B21"/>
    <w:rsid w:val="30674099"/>
    <w:rsid w:val="306C3B7D"/>
    <w:rsid w:val="30785EA0"/>
    <w:rsid w:val="307A2944"/>
    <w:rsid w:val="307B0AEC"/>
    <w:rsid w:val="307C2541"/>
    <w:rsid w:val="307C2B41"/>
    <w:rsid w:val="308B3107"/>
    <w:rsid w:val="30906744"/>
    <w:rsid w:val="30967A28"/>
    <w:rsid w:val="30973EA4"/>
    <w:rsid w:val="309942E0"/>
    <w:rsid w:val="309B269F"/>
    <w:rsid w:val="309C4BE2"/>
    <w:rsid w:val="30A256EC"/>
    <w:rsid w:val="30A448D8"/>
    <w:rsid w:val="30A50915"/>
    <w:rsid w:val="30A57F85"/>
    <w:rsid w:val="30AC2ADD"/>
    <w:rsid w:val="30AF13F4"/>
    <w:rsid w:val="30B27199"/>
    <w:rsid w:val="30B321C2"/>
    <w:rsid w:val="30BE61DB"/>
    <w:rsid w:val="30D03460"/>
    <w:rsid w:val="30D93C28"/>
    <w:rsid w:val="30E82AED"/>
    <w:rsid w:val="30EE6F1D"/>
    <w:rsid w:val="30F328DF"/>
    <w:rsid w:val="30F80898"/>
    <w:rsid w:val="30F95095"/>
    <w:rsid w:val="30FC5E5B"/>
    <w:rsid w:val="30FF456A"/>
    <w:rsid w:val="31016D67"/>
    <w:rsid w:val="31040100"/>
    <w:rsid w:val="31060D9F"/>
    <w:rsid w:val="310F0E00"/>
    <w:rsid w:val="31180CD7"/>
    <w:rsid w:val="311C0330"/>
    <w:rsid w:val="312A6B74"/>
    <w:rsid w:val="312F1D5A"/>
    <w:rsid w:val="3130743B"/>
    <w:rsid w:val="313B67A5"/>
    <w:rsid w:val="314A168C"/>
    <w:rsid w:val="314E3EDD"/>
    <w:rsid w:val="315C6A8A"/>
    <w:rsid w:val="315D70C9"/>
    <w:rsid w:val="315E1EE7"/>
    <w:rsid w:val="315F18B2"/>
    <w:rsid w:val="3171266A"/>
    <w:rsid w:val="3175019E"/>
    <w:rsid w:val="317566E7"/>
    <w:rsid w:val="31794893"/>
    <w:rsid w:val="317C0695"/>
    <w:rsid w:val="31944729"/>
    <w:rsid w:val="31971678"/>
    <w:rsid w:val="31981C84"/>
    <w:rsid w:val="319C3472"/>
    <w:rsid w:val="319C7EB8"/>
    <w:rsid w:val="319D798B"/>
    <w:rsid w:val="31A72AF7"/>
    <w:rsid w:val="31AD1EA2"/>
    <w:rsid w:val="31B16577"/>
    <w:rsid w:val="31B505F5"/>
    <w:rsid w:val="31B77AEA"/>
    <w:rsid w:val="31BA65F4"/>
    <w:rsid w:val="31C17B0E"/>
    <w:rsid w:val="31CC50B5"/>
    <w:rsid w:val="31E134CC"/>
    <w:rsid w:val="31EB4A20"/>
    <w:rsid w:val="31F216EF"/>
    <w:rsid w:val="31F458E5"/>
    <w:rsid w:val="31F9384E"/>
    <w:rsid w:val="31FF759B"/>
    <w:rsid w:val="3209420C"/>
    <w:rsid w:val="321A45E4"/>
    <w:rsid w:val="321C3520"/>
    <w:rsid w:val="321C4972"/>
    <w:rsid w:val="321C5A40"/>
    <w:rsid w:val="3226174E"/>
    <w:rsid w:val="32272C20"/>
    <w:rsid w:val="32306602"/>
    <w:rsid w:val="323359BF"/>
    <w:rsid w:val="323479F7"/>
    <w:rsid w:val="323836B1"/>
    <w:rsid w:val="32383EFF"/>
    <w:rsid w:val="3240113C"/>
    <w:rsid w:val="3242395C"/>
    <w:rsid w:val="325276A5"/>
    <w:rsid w:val="32553299"/>
    <w:rsid w:val="325C45D0"/>
    <w:rsid w:val="325E423F"/>
    <w:rsid w:val="32611C54"/>
    <w:rsid w:val="326204F0"/>
    <w:rsid w:val="32733072"/>
    <w:rsid w:val="32740529"/>
    <w:rsid w:val="32750884"/>
    <w:rsid w:val="32774DE1"/>
    <w:rsid w:val="327F1F69"/>
    <w:rsid w:val="327F511A"/>
    <w:rsid w:val="3285588F"/>
    <w:rsid w:val="32887A7F"/>
    <w:rsid w:val="328C1FB6"/>
    <w:rsid w:val="328E1E70"/>
    <w:rsid w:val="328F7A82"/>
    <w:rsid w:val="32903D54"/>
    <w:rsid w:val="329C2A82"/>
    <w:rsid w:val="329F4D7D"/>
    <w:rsid w:val="329F68C8"/>
    <w:rsid w:val="32A41A7B"/>
    <w:rsid w:val="32A62D82"/>
    <w:rsid w:val="32AE2DB3"/>
    <w:rsid w:val="32B100DD"/>
    <w:rsid w:val="32B35561"/>
    <w:rsid w:val="32B4060B"/>
    <w:rsid w:val="32B61D9E"/>
    <w:rsid w:val="32BC6058"/>
    <w:rsid w:val="32BC6E87"/>
    <w:rsid w:val="32BE5C09"/>
    <w:rsid w:val="32C06CB4"/>
    <w:rsid w:val="32C16FB5"/>
    <w:rsid w:val="32D00CFB"/>
    <w:rsid w:val="32D509F1"/>
    <w:rsid w:val="32D516A0"/>
    <w:rsid w:val="32D6357D"/>
    <w:rsid w:val="32DF074C"/>
    <w:rsid w:val="32E21CF4"/>
    <w:rsid w:val="32E2799F"/>
    <w:rsid w:val="32E95E43"/>
    <w:rsid w:val="32ED02C3"/>
    <w:rsid w:val="32EF3FA3"/>
    <w:rsid w:val="32F77300"/>
    <w:rsid w:val="32F96511"/>
    <w:rsid w:val="330131AB"/>
    <w:rsid w:val="33053C68"/>
    <w:rsid w:val="330D1494"/>
    <w:rsid w:val="330D2BE7"/>
    <w:rsid w:val="33143C32"/>
    <w:rsid w:val="3314733B"/>
    <w:rsid w:val="331A35B9"/>
    <w:rsid w:val="331D705B"/>
    <w:rsid w:val="33365DA9"/>
    <w:rsid w:val="334152F0"/>
    <w:rsid w:val="3343018A"/>
    <w:rsid w:val="3345527F"/>
    <w:rsid w:val="334B1E4A"/>
    <w:rsid w:val="334D1128"/>
    <w:rsid w:val="3354412F"/>
    <w:rsid w:val="33696B14"/>
    <w:rsid w:val="336D3C21"/>
    <w:rsid w:val="3371216C"/>
    <w:rsid w:val="3373176E"/>
    <w:rsid w:val="33760312"/>
    <w:rsid w:val="337720AD"/>
    <w:rsid w:val="33796EA2"/>
    <w:rsid w:val="3380463D"/>
    <w:rsid w:val="33871598"/>
    <w:rsid w:val="33874DB1"/>
    <w:rsid w:val="339815C8"/>
    <w:rsid w:val="339B639A"/>
    <w:rsid w:val="33A52C51"/>
    <w:rsid w:val="33A67D66"/>
    <w:rsid w:val="33B00BD8"/>
    <w:rsid w:val="33B00C7D"/>
    <w:rsid w:val="33C4014D"/>
    <w:rsid w:val="33C651E6"/>
    <w:rsid w:val="33CA4C58"/>
    <w:rsid w:val="33E168E8"/>
    <w:rsid w:val="33E25226"/>
    <w:rsid w:val="33E67F47"/>
    <w:rsid w:val="33EB7AD1"/>
    <w:rsid w:val="33EF0AD5"/>
    <w:rsid w:val="33F77540"/>
    <w:rsid w:val="34031A5A"/>
    <w:rsid w:val="34047A2B"/>
    <w:rsid w:val="340E35E5"/>
    <w:rsid w:val="34102871"/>
    <w:rsid w:val="341148F3"/>
    <w:rsid w:val="341158BF"/>
    <w:rsid w:val="341646F7"/>
    <w:rsid w:val="341F2A3E"/>
    <w:rsid w:val="34296808"/>
    <w:rsid w:val="34334629"/>
    <w:rsid w:val="34370CB7"/>
    <w:rsid w:val="34370F59"/>
    <w:rsid w:val="343C10B8"/>
    <w:rsid w:val="343D38B6"/>
    <w:rsid w:val="34497CA8"/>
    <w:rsid w:val="344B4BDE"/>
    <w:rsid w:val="34587799"/>
    <w:rsid w:val="345E4FC7"/>
    <w:rsid w:val="345F2074"/>
    <w:rsid w:val="346A0219"/>
    <w:rsid w:val="34731FE5"/>
    <w:rsid w:val="3473664E"/>
    <w:rsid w:val="34821DB6"/>
    <w:rsid w:val="34891A14"/>
    <w:rsid w:val="34943987"/>
    <w:rsid w:val="34983900"/>
    <w:rsid w:val="349C325D"/>
    <w:rsid w:val="34AB1CE7"/>
    <w:rsid w:val="34AB6542"/>
    <w:rsid w:val="34B04625"/>
    <w:rsid w:val="34B14DF2"/>
    <w:rsid w:val="34BD617A"/>
    <w:rsid w:val="34BD6AE4"/>
    <w:rsid w:val="34BE095B"/>
    <w:rsid w:val="34BF03C0"/>
    <w:rsid w:val="34C47078"/>
    <w:rsid w:val="34C57F2B"/>
    <w:rsid w:val="34C9321B"/>
    <w:rsid w:val="34D141F3"/>
    <w:rsid w:val="34E047A9"/>
    <w:rsid w:val="34ED5149"/>
    <w:rsid w:val="34FF4BD6"/>
    <w:rsid w:val="350110D3"/>
    <w:rsid w:val="350505E1"/>
    <w:rsid w:val="350512C5"/>
    <w:rsid w:val="350513F3"/>
    <w:rsid w:val="350543EF"/>
    <w:rsid w:val="35071AF5"/>
    <w:rsid w:val="35093B42"/>
    <w:rsid w:val="350A630F"/>
    <w:rsid w:val="351273A3"/>
    <w:rsid w:val="351A3E8E"/>
    <w:rsid w:val="351E1EBA"/>
    <w:rsid w:val="351E53B4"/>
    <w:rsid w:val="35202495"/>
    <w:rsid w:val="35267445"/>
    <w:rsid w:val="352A27D3"/>
    <w:rsid w:val="352D544F"/>
    <w:rsid w:val="353163B0"/>
    <w:rsid w:val="35321D42"/>
    <w:rsid w:val="35323B4A"/>
    <w:rsid w:val="353742D9"/>
    <w:rsid w:val="353C1289"/>
    <w:rsid w:val="353C194B"/>
    <w:rsid w:val="35465A56"/>
    <w:rsid w:val="354662BE"/>
    <w:rsid w:val="3547329F"/>
    <w:rsid w:val="354A5908"/>
    <w:rsid w:val="354C690B"/>
    <w:rsid w:val="354E34AE"/>
    <w:rsid w:val="354E6469"/>
    <w:rsid w:val="355005B0"/>
    <w:rsid w:val="3553752B"/>
    <w:rsid w:val="35547A4F"/>
    <w:rsid w:val="355C4747"/>
    <w:rsid w:val="355E59AC"/>
    <w:rsid w:val="35626347"/>
    <w:rsid w:val="356A6796"/>
    <w:rsid w:val="35797A8E"/>
    <w:rsid w:val="358235B9"/>
    <w:rsid w:val="35977FF3"/>
    <w:rsid w:val="3598192B"/>
    <w:rsid w:val="359C25E7"/>
    <w:rsid w:val="359E1D7F"/>
    <w:rsid w:val="35A0576B"/>
    <w:rsid w:val="35A35C71"/>
    <w:rsid w:val="35A47824"/>
    <w:rsid w:val="35A523CA"/>
    <w:rsid w:val="35A9404B"/>
    <w:rsid w:val="35B0013A"/>
    <w:rsid w:val="35B41B4C"/>
    <w:rsid w:val="35B523F9"/>
    <w:rsid w:val="35BB6E87"/>
    <w:rsid w:val="35C67B7E"/>
    <w:rsid w:val="35C70B39"/>
    <w:rsid w:val="35C87219"/>
    <w:rsid w:val="35D53940"/>
    <w:rsid w:val="35D96401"/>
    <w:rsid w:val="35DE1F6D"/>
    <w:rsid w:val="35DF0F54"/>
    <w:rsid w:val="35E044BE"/>
    <w:rsid w:val="35F9152F"/>
    <w:rsid w:val="35FB4374"/>
    <w:rsid w:val="36004C81"/>
    <w:rsid w:val="36020E24"/>
    <w:rsid w:val="3604003B"/>
    <w:rsid w:val="361527A9"/>
    <w:rsid w:val="36191A1A"/>
    <w:rsid w:val="36192A7D"/>
    <w:rsid w:val="361C2879"/>
    <w:rsid w:val="36207CDC"/>
    <w:rsid w:val="36244009"/>
    <w:rsid w:val="36272CED"/>
    <w:rsid w:val="36291E89"/>
    <w:rsid w:val="362C7821"/>
    <w:rsid w:val="363206E4"/>
    <w:rsid w:val="36355ECD"/>
    <w:rsid w:val="363E6FA8"/>
    <w:rsid w:val="36413F0E"/>
    <w:rsid w:val="364C3B1F"/>
    <w:rsid w:val="364E12B3"/>
    <w:rsid w:val="36585279"/>
    <w:rsid w:val="365C2BCF"/>
    <w:rsid w:val="365F4C30"/>
    <w:rsid w:val="36650F62"/>
    <w:rsid w:val="366B65AC"/>
    <w:rsid w:val="366E715B"/>
    <w:rsid w:val="36743B46"/>
    <w:rsid w:val="36795BCA"/>
    <w:rsid w:val="367E7F53"/>
    <w:rsid w:val="36803522"/>
    <w:rsid w:val="3683106D"/>
    <w:rsid w:val="3683427F"/>
    <w:rsid w:val="3686557F"/>
    <w:rsid w:val="368A75CD"/>
    <w:rsid w:val="368B28AF"/>
    <w:rsid w:val="36934290"/>
    <w:rsid w:val="36977B2E"/>
    <w:rsid w:val="369D6398"/>
    <w:rsid w:val="36A47D6D"/>
    <w:rsid w:val="36A529DB"/>
    <w:rsid w:val="36A808B8"/>
    <w:rsid w:val="36AE2183"/>
    <w:rsid w:val="36B23ED0"/>
    <w:rsid w:val="36B36FD1"/>
    <w:rsid w:val="36BB76D5"/>
    <w:rsid w:val="36BE29CA"/>
    <w:rsid w:val="36C05849"/>
    <w:rsid w:val="36C4281B"/>
    <w:rsid w:val="36CC1FA1"/>
    <w:rsid w:val="36CC47AC"/>
    <w:rsid w:val="36CD16E9"/>
    <w:rsid w:val="36D320A0"/>
    <w:rsid w:val="36D465A9"/>
    <w:rsid w:val="36D733AA"/>
    <w:rsid w:val="36E63C25"/>
    <w:rsid w:val="36E73850"/>
    <w:rsid w:val="36E93A74"/>
    <w:rsid w:val="36EA4205"/>
    <w:rsid w:val="36FA3AAE"/>
    <w:rsid w:val="36FC087B"/>
    <w:rsid w:val="36FE4957"/>
    <w:rsid w:val="36FF6EEF"/>
    <w:rsid w:val="37012AB3"/>
    <w:rsid w:val="370B6256"/>
    <w:rsid w:val="370F446D"/>
    <w:rsid w:val="370F7E76"/>
    <w:rsid w:val="371312A9"/>
    <w:rsid w:val="3714695E"/>
    <w:rsid w:val="3715066D"/>
    <w:rsid w:val="371A4610"/>
    <w:rsid w:val="371A602D"/>
    <w:rsid w:val="37201D38"/>
    <w:rsid w:val="372442CC"/>
    <w:rsid w:val="372472E5"/>
    <w:rsid w:val="37290271"/>
    <w:rsid w:val="37371C9C"/>
    <w:rsid w:val="373725AE"/>
    <w:rsid w:val="373728CD"/>
    <w:rsid w:val="373D5374"/>
    <w:rsid w:val="37423F06"/>
    <w:rsid w:val="37481FA2"/>
    <w:rsid w:val="374B64EB"/>
    <w:rsid w:val="375B4DE1"/>
    <w:rsid w:val="375E22D6"/>
    <w:rsid w:val="376A4B2C"/>
    <w:rsid w:val="376C30AA"/>
    <w:rsid w:val="377650C4"/>
    <w:rsid w:val="377D64A4"/>
    <w:rsid w:val="37826F63"/>
    <w:rsid w:val="37877238"/>
    <w:rsid w:val="378E4FD5"/>
    <w:rsid w:val="37942B39"/>
    <w:rsid w:val="37AD2B13"/>
    <w:rsid w:val="37BD6442"/>
    <w:rsid w:val="37BE18E5"/>
    <w:rsid w:val="37C37C1C"/>
    <w:rsid w:val="37CE2B23"/>
    <w:rsid w:val="37CF4AD9"/>
    <w:rsid w:val="37D07EAA"/>
    <w:rsid w:val="37DF24E7"/>
    <w:rsid w:val="37E27B5D"/>
    <w:rsid w:val="37E27BC9"/>
    <w:rsid w:val="37EA017C"/>
    <w:rsid w:val="37EC2AAF"/>
    <w:rsid w:val="37EC5D42"/>
    <w:rsid w:val="37F03EA3"/>
    <w:rsid w:val="37F07FDA"/>
    <w:rsid w:val="37F410B5"/>
    <w:rsid w:val="37F75501"/>
    <w:rsid w:val="37F93AA0"/>
    <w:rsid w:val="37FE20C7"/>
    <w:rsid w:val="3804730B"/>
    <w:rsid w:val="380706FA"/>
    <w:rsid w:val="3807713A"/>
    <w:rsid w:val="380B0962"/>
    <w:rsid w:val="381421AB"/>
    <w:rsid w:val="3815562E"/>
    <w:rsid w:val="381E465A"/>
    <w:rsid w:val="38214BD7"/>
    <w:rsid w:val="38224AA2"/>
    <w:rsid w:val="38290F32"/>
    <w:rsid w:val="382B4E28"/>
    <w:rsid w:val="382B7542"/>
    <w:rsid w:val="3830122E"/>
    <w:rsid w:val="384C6899"/>
    <w:rsid w:val="384E4C6F"/>
    <w:rsid w:val="38691930"/>
    <w:rsid w:val="386C11B8"/>
    <w:rsid w:val="386F447F"/>
    <w:rsid w:val="38712CDA"/>
    <w:rsid w:val="38751C45"/>
    <w:rsid w:val="3877225A"/>
    <w:rsid w:val="387B7013"/>
    <w:rsid w:val="38894F0B"/>
    <w:rsid w:val="388F5A37"/>
    <w:rsid w:val="38934AE0"/>
    <w:rsid w:val="38977DBF"/>
    <w:rsid w:val="389B5999"/>
    <w:rsid w:val="38A1340A"/>
    <w:rsid w:val="38A75E69"/>
    <w:rsid w:val="38B66376"/>
    <w:rsid w:val="38BA32B3"/>
    <w:rsid w:val="38BA7CFB"/>
    <w:rsid w:val="38BB68D2"/>
    <w:rsid w:val="38CE39A8"/>
    <w:rsid w:val="38D51738"/>
    <w:rsid w:val="38D734DD"/>
    <w:rsid w:val="38DF6194"/>
    <w:rsid w:val="38E356B8"/>
    <w:rsid w:val="38E75891"/>
    <w:rsid w:val="38EB367A"/>
    <w:rsid w:val="38EC218C"/>
    <w:rsid w:val="38EC6E59"/>
    <w:rsid w:val="38ED7A87"/>
    <w:rsid w:val="38EE5959"/>
    <w:rsid w:val="38EF62C9"/>
    <w:rsid w:val="38EF7A13"/>
    <w:rsid w:val="38F061A6"/>
    <w:rsid w:val="38F13F58"/>
    <w:rsid w:val="38F42B69"/>
    <w:rsid w:val="38F47210"/>
    <w:rsid w:val="38FA19EC"/>
    <w:rsid w:val="39015276"/>
    <w:rsid w:val="39033E7D"/>
    <w:rsid w:val="390B44D8"/>
    <w:rsid w:val="390C1AE2"/>
    <w:rsid w:val="390C4D71"/>
    <w:rsid w:val="390E2106"/>
    <w:rsid w:val="3911482C"/>
    <w:rsid w:val="39124917"/>
    <w:rsid w:val="391B45D2"/>
    <w:rsid w:val="391E037A"/>
    <w:rsid w:val="39267EC3"/>
    <w:rsid w:val="392F1F57"/>
    <w:rsid w:val="393E4F9C"/>
    <w:rsid w:val="39464E3F"/>
    <w:rsid w:val="39471B35"/>
    <w:rsid w:val="395A437F"/>
    <w:rsid w:val="3960010B"/>
    <w:rsid w:val="39635BF8"/>
    <w:rsid w:val="396752B2"/>
    <w:rsid w:val="39722B95"/>
    <w:rsid w:val="397505D1"/>
    <w:rsid w:val="398510FD"/>
    <w:rsid w:val="39851EE5"/>
    <w:rsid w:val="398849A4"/>
    <w:rsid w:val="399301E3"/>
    <w:rsid w:val="399738D3"/>
    <w:rsid w:val="39984C82"/>
    <w:rsid w:val="39997BA9"/>
    <w:rsid w:val="39A068B7"/>
    <w:rsid w:val="39A14E5E"/>
    <w:rsid w:val="39A62AAE"/>
    <w:rsid w:val="39B45646"/>
    <w:rsid w:val="39C42435"/>
    <w:rsid w:val="39CD072F"/>
    <w:rsid w:val="39CD7D97"/>
    <w:rsid w:val="39D23417"/>
    <w:rsid w:val="39D927E4"/>
    <w:rsid w:val="39DE21A4"/>
    <w:rsid w:val="39E67B72"/>
    <w:rsid w:val="39E83119"/>
    <w:rsid w:val="39E95CB3"/>
    <w:rsid w:val="39F11388"/>
    <w:rsid w:val="39F85BE8"/>
    <w:rsid w:val="39FD2BE0"/>
    <w:rsid w:val="3A022530"/>
    <w:rsid w:val="3A093AD0"/>
    <w:rsid w:val="3A0B3495"/>
    <w:rsid w:val="3A0D6E79"/>
    <w:rsid w:val="3A113AEA"/>
    <w:rsid w:val="3A187DCA"/>
    <w:rsid w:val="3A1A10DF"/>
    <w:rsid w:val="3A1C282A"/>
    <w:rsid w:val="3A223DB6"/>
    <w:rsid w:val="3A29301F"/>
    <w:rsid w:val="3A2956D7"/>
    <w:rsid w:val="3A2B7E4E"/>
    <w:rsid w:val="3A2E1604"/>
    <w:rsid w:val="3A390C1F"/>
    <w:rsid w:val="3A447B00"/>
    <w:rsid w:val="3A4C3392"/>
    <w:rsid w:val="3A4C56CC"/>
    <w:rsid w:val="3A5149A3"/>
    <w:rsid w:val="3A520985"/>
    <w:rsid w:val="3A5A53E7"/>
    <w:rsid w:val="3A6310D4"/>
    <w:rsid w:val="3A640FE3"/>
    <w:rsid w:val="3A645A7B"/>
    <w:rsid w:val="3A6839AC"/>
    <w:rsid w:val="3A6A40E5"/>
    <w:rsid w:val="3A6F1798"/>
    <w:rsid w:val="3A6F70A7"/>
    <w:rsid w:val="3A7264F8"/>
    <w:rsid w:val="3A735B9C"/>
    <w:rsid w:val="3A736185"/>
    <w:rsid w:val="3A744B94"/>
    <w:rsid w:val="3A756231"/>
    <w:rsid w:val="3A7913A9"/>
    <w:rsid w:val="3A797DB8"/>
    <w:rsid w:val="3A7A5917"/>
    <w:rsid w:val="3A7D78EE"/>
    <w:rsid w:val="3A8167B1"/>
    <w:rsid w:val="3A8469D0"/>
    <w:rsid w:val="3A8D34BA"/>
    <w:rsid w:val="3A8F38E7"/>
    <w:rsid w:val="3A9C0015"/>
    <w:rsid w:val="3AA72A64"/>
    <w:rsid w:val="3AAE1F3C"/>
    <w:rsid w:val="3AB23D0B"/>
    <w:rsid w:val="3AB60F2E"/>
    <w:rsid w:val="3ABC22FE"/>
    <w:rsid w:val="3AD65F85"/>
    <w:rsid w:val="3AD85EE8"/>
    <w:rsid w:val="3ADB078E"/>
    <w:rsid w:val="3AE20A92"/>
    <w:rsid w:val="3AE561BA"/>
    <w:rsid w:val="3AE80953"/>
    <w:rsid w:val="3AE837D8"/>
    <w:rsid w:val="3AF23756"/>
    <w:rsid w:val="3AF42058"/>
    <w:rsid w:val="3AF63B9E"/>
    <w:rsid w:val="3AF75894"/>
    <w:rsid w:val="3AFB4DDF"/>
    <w:rsid w:val="3AFB7BF1"/>
    <w:rsid w:val="3B001804"/>
    <w:rsid w:val="3B0065DF"/>
    <w:rsid w:val="3B056853"/>
    <w:rsid w:val="3B056DBE"/>
    <w:rsid w:val="3B065F53"/>
    <w:rsid w:val="3B0A456A"/>
    <w:rsid w:val="3B116AA3"/>
    <w:rsid w:val="3B1D5B57"/>
    <w:rsid w:val="3B27618E"/>
    <w:rsid w:val="3B3A5FD6"/>
    <w:rsid w:val="3B3C670F"/>
    <w:rsid w:val="3B4340EA"/>
    <w:rsid w:val="3B452A79"/>
    <w:rsid w:val="3B4570B4"/>
    <w:rsid w:val="3B4B59DA"/>
    <w:rsid w:val="3B525D88"/>
    <w:rsid w:val="3B610833"/>
    <w:rsid w:val="3B6157C0"/>
    <w:rsid w:val="3B660F16"/>
    <w:rsid w:val="3B6E0DCC"/>
    <w:rsid w:val="3B717E3E"/>
    <w:rsid w:val="3B7554C8"/>
    <w:rsid w:val="3B765593"/>
    <w:rsid w:val="3B7A5B38"/>
    <w:rsid w:val="3B7B1BA2"/>
    <w:rsid w:val="3B800A69"/>
    <w:rsid w:val="3B810C51"/>
    <w:rsid w:val="3B813314"/>
    <w:rsid w:val="3B833225"/>
    <w:rsid w:val="3B8D1A72"/>
    <w:rsid w:val="3B8E6F9B"/>
    <w:rsid w:val="3B9B1093"/>
    <w:rsid w:val="3BA31E83"/>
    <w:rsid w:val="3BA32C6E"/>
    <w:rsid w:val="3BA61646"/>
    <w:rsid w:val="3BA625BC"/>
    <w:rsid w:val="3BB01313"/>
    <w:rsid w:val="3BB359CF"/>
    <w:rsid w:val="3BB42BA0"/>
    <w:rsid w:val="3BB73093"/>
    <w:rsid w:val="3BBA7B93"/>
    <w:rsid w:val="3BC42B06"/>
    <w:rsid w:val="3BC8218F"/>
    <w:rsid w:val="3BD252A2"/>
    <w:rsid w:val="3BD85B94"/>
    <w:rsid w:val="3BDA57F0"/>
    <w:rsid w:val="3BDB6A22"/>
    <w:rsid w:val="3BE3767F"/>
    <w:rsid w:val="3BE80DE5"/>
    <w:rsid w:val="3BE87609"/>
    <w:rsid w:val="3BE94EC2"/>
    <w:rsid w:val="3BF25588"/>
    <w:rsid w:val="3BF47F24"/>
    <w:rsid w:val="3BFA1D9E"/>
    <w:rsid w:val="3C015B8B"/>
    <w:rsid w:val="3C05420F"/>
    <w:rsid w:val="3C054F31"/>
    <w:rsid w:val="3C0B137B"/>
    <w:rsid w:val="3C0B3672"/>
    <w:rsid w:val="3C0D5E62"/>
    <w:rsid w:val="3C121BDA"/>
    <w:rsid w:val="3C14237F"/>
    <w:rsid w:val="3C147838"/>
    <w:rsid w:val="3C182D2A"/>
    <w:rsid w:val="3C266697"/>
    <w:rsid w:val="3C2C0930"/>
    <w:rsid w:val="3C2D45C7"/>
    <w:rsid w:val="3C2E6C3B"/>
    <w:rsid w:val="3C411A65"/>
    <w:rsid w:val="3C41460F"/>
    <w:rsid w:val="3C4364F4"/>
    <w:rsid w:val="3C490809"/>
    <w:rsid w:val="3C4A448E"/>
    <w:rsid w:val="3C4E5F9A"/>
    <w:rsid w:val="3C5A7F5C"/>
    <w:rsid w:val="3C6352D2"/>
    <w:rsid w:val="3C69593B"/>
    <w:rsid w:val="3C7C02BE"/>
    <w:rsid w:val="3C8563F0"/>
    <w:rsid w:val="3C873057"/>
    <w:rsid w:val="3C8A14B4"/>
    <w:rsid w:val="3C9C5CEB"/>
    <w:rsid w:val="3CA26F60"/>
    <w:rsid w:val="3CA82E64"/>
    <w:rsid w:val="3CAC1845"/>
    <w:rsid w:val="3CAF1C39"/>
    <w:rsid w:val="3CB60AF6"/>
    <w:rsid w:val="3CB871CA"/>
    <w:rsid w:val="3CC70013"/>
    <w:rsid w:val="3CC91D0A"/>
    <w:rsid w:val="3CCC0017"/>
    <w:rsid w:val="3CD11CFA"/>
    <w:rsid w:val="3CD23EB4"/>
    <w:rsid w:val="3CD37D09"/>
    <w:rsid w:val="3CDC2CDE"/>
    <w:rsid w:val="3CDE06A1"/>
    <w:rsid w:val="3CE21F96"/>
    <w:rsid w:val="3CE32254"/>
    <w:rsid w:val="3CE44354"/>
    <w:rsid w:val="3CF6334F"/>
    <w:rsid w:val="3CFA730C"/>
    <w:rsid w:val="3D000E72"/>
    <w:rsid w:val="3D0F67B8"/>
    <w:rsid w:val="3D175682"/>
    <w:rsid w:val="3D17660E"/>
    <w:rsid w:val="3D176D2F"/>
    <w:rsid w:val="3D1A33C1"/>
    <w:rsid w:val="3D1B0314"/>
    <w:rsid w:val="3D1B076B"/>
    <w:rsid w:val="3D1B4062"/>
    <w:rsid w:val="3D1C1880"/>
    <w:rsid w:val="3D29037D"/>
    <w:rsid w:val="3D347FCD"/>
    <w:rsid w:val="3D355955"/>
    <w:rsid w:val="3D3A2A2A"/>
    <w:rsid w:val="3D3F3DCD"/>
    <w:rsid w:val="3D4446BC"/>
    <w:rsid w:val="3D454853"/>
    <w:rsid w:val="3D465537"/>
    <w:rsid w:val="3D4F58E0"/>
    <w:rsid w:val="3D50472E"/>
    <w:rsid w:val="3D51270F"/>
    <w:rsid w:val="3D5B587B"/>
    <w:rsid w:val="3D620B07"/>
    <w:rsid w:val="3D665388"/>
    <w:rsid w:val="3D6B3851"/>
    <w:rsid w:val="3D6C18A8"/>
    <w:rsid w:val="3D6E1B04"/>
    <w:rsid w:val="3D723221"/>
    <w:rsid w:val="3D791370"/>
    <w:rsid w:val="3D7E5FB8"/>
    <w:rsid w:val="3D7F6168"/>
    <w:rsid w:val="3D804B77"/>
    <w:rsid w:val="3D827E15"/>
    <w:rsid w:val="3D885800"/>
    <w:rsid w:val="3D8A0C9D"/>
    <w:rsid w:val="3D923BD2"/>
    <w:rsid w:val="3D93157E"/>
    <w:rsid w:val="3D936277"/>
    <w:rsid w:val="3D956849"/>
    <w:rsid w:val="3D9C4A6B"/>
    <w:rsid w:val="3D9C4F0B"/>
    <w:rsid w:val="3DA325C0"/>
    <w:rsid w:val="3DB349AC"/>
    <w:rsid w:val="3DC42354"/>
    <w:rsid w:val="3DC9492F"/>
    <w:rsid w:val="3DD4028D"/>
    <w:rsid w:val="3DD47F74"/>
    <w:rsid w:val="3DD5295F"/>
    <w:rsid w:val="3DD607E3"/>
    <w:rsid w:val="3DDA147D"/>
    <w:rsid w:val="3DDD54D4"/>
    <w:rsid w:val="3DDF2D5F"/>
    <w:rsid w:val="3DE229D4"/>
    <w:rsid w:val="3DE31572"/>
    <w:rsid w:val="3DE8490C"/>
    <w:rsid w:val="3DEA2B77"/>
    <w:rsid w:val="3DF92C10"/>
    <w:rsid w:val="3E013F51"/>
    <w:rsid w:val="3E0229D4"/>
    <w:rsid w:val="3E047322"/>
    <w:rsid w:val="3E073C7A"/>
    <w:rsid w:val="3E0879B9"/>
    <w:rsid w:val="3E0B2912"/>
    <w:rsid w:val="3E0B746B"/>
    <w:rsid w:val="3E0C5648"/>
    <w:rsid w:val="3E0F0DFB"/>
    <w:rsid w:val="3E0F2211"/>
    <w:rsid w:val="3E113A1D"/>
    <w:rsid w:val="3E305596"/>
    <w:rsid w:val="3E321E64"/>
    <w:rsid w:val="3E39770C"/>
    <w:rsid w:val="3E3D354C"/>
    <w:rsid w:val="3E431046"/>
    <w:rsid w:val="3E4A1B6D"/>
    <w:rsid w:val="3E4C5461"/>
    <w:rsid w:val="3E556C2E"/>
    <w:rsid w:val="3E733D81"/>
    <w:rsid w:val="3E7868A8"/>
    <w:rsid w:val="3E792277"/>
    <w:rsid w:val="3E797769"/>
    <w:rsid w:val="3E7D4763"/>
    <w:rsid w:val="3E8711A8"/>
    <w:rsid w:val="3E904B6E"/>
    <w:rsid w:val="3E97387F"/>
    <w:rsid w:val="3E990CA8"/>
    <w:rsid w:val="3EA122CC"/>
    <w:rsid w:val="3EB1348A"/>
    <w:rsid w:val="3EB453E4"/>
    <w:rsid w:val="3EB656B0"/>
    <w:rsid w:val="3EB87BA7"/>
    <w:rsid w:val="3EBE56F7"/>
    <w:rsid w:val="3EC8277F"/>
    <w:rsid w:val="3EC87D98"/>
    <w:rsid w:val="3ED503AA"/>
    <w:rsid w:val="3ED60D0B"/>
    <w:rsid w:val="3EDC1997"/>
    <w:rsid w:val="3EE366E4"/>
    <w:rsid w:val="3EF3269A"/>
    <w:rsid w:val="3EFA0956"/>
    <w:rsid w:val="3EFB6321"/>
    <w:rsid w:val="3EFE7F2C"/>
    <w:rsid w:val="3F046C96"/>
    <w:rsid w:val="3F0A0DF5"/>
    <w:rsid w:val="3F0B34BF"/>
    <w:rsid w:val="3F0C4EF7"/>
    <w:rsid w:val="3F0E698C"/>
    <w:rsid w:val="3F0E6BD8"/>
    <w:rsid w:val="3F1625C7"/>
    <w:rsid w:val="3F207D44"/>
    <w:rsid w:val="3F2712EE"/>
    <w:rsid w:val="3F29101A"/>
    <w:rsid w:val="3F2A0203"/>
    <w:rsid w:val="3F2A7CF7"/>
    <w:rsid w:val="3F307AC0"/>
    <w:rsid w:val="3F3326F8"/>
    <w:rsid w:val="3F412CD3"/>
    <w:rsid w:val="3F423B0E"/>
    <w:rsid w:val="3F4867B5"/>
    <w:rsid w:val="3F55333D"/>
    <w:rsid w:val="3F5560F1"/>
    <w:rsid w:val="3F5C256D"/>
    <w:rsid w:val="3F5D0B27"/>
    <w:rsid w:val="3F5D7102"/>
    <w:rsid w:val="3F627F45"/>
    <w:rsid w:val="3F734587"/>
    <w:rsid w:val="3F7964B5"/>
    <w:rsid w:val="3F7D1E87"/>
    <w:rsid w:val="3F7E040A"/>
    <w:rsid w:val="3F7E20CE"/>
    <w:rsid w:val="3F7E67A1"/>
    <w:rsid w:val="3F876E08"/>
    <w:rsid w:val="3F9C2014"/>
    <w:rsid w:val="3FB03025"/>
    <w:rsid w:val="3FB12BD5"/>
    <w:rsid w:val="3FB17C9C"/>
    <w:rsid w:val="3FB80946"/>
    <w:rsid w:val="3FB80EFD"/>
    <w:rsid w:val="3FBC5822"/>
    <w:rsid w:val="3FBF14FF"/>
    <w:rsid w:val="3FC22FB9"/>
    <w:rsid w:val="3FC7540A"/>
    <w:rsid w:val="3FCC7E5D"/>
    <w:rsid w:val="3FCD0B22"/>
    <w:rsid w:val="3FCF534A"/>
    <w:rsid w:val="3FD7239D"/>
    <w:rsid w:val="3FE17341"/>
    <w:rsid w:val="3FE53918"/>
    <w:rsid w:val="3FE61219"/>
    <w:rsid w:val="3FEE4E91"/>
    <w:rsid w:val="3FF05E79"/>
    <w:rsid w:val="400D43F9"/>
    <w:rsid w:val="400E0F00"/>
    <w:rsid w:val="401253D8"/>
    <w:rsid w:val="401E3B63"/>
    <w:rsid w:val="40255C18"/>
    <w:rsid w:val="402853F5"/>
    <w:rsid w:val="402A3185"/>
    <w:rsid w:val="40362071"/>
    <w:rsid w:val="40376FAF"/>
    <w:rsid w:val="403A6F01"/>
    <w:rsid w:val="4046080C"/>
    <w:rsid w:val="40477CE0"/>
    <w:rsid w:val="405235AC"/>
    <w:rsid w:val="40551C8B"/>
    <w:rsid w:val="406139E2"/>
    <w:rsid w:val="40630E45"/>
    <w:rsid w:val="40695F1F"/>
    <w:rsid w:val="407006EC"/>
    <w:rsid w:val="40767B68"/>
    <w:rsid w:val="407B0B73"/>
    <w:rsid w:val="407F785E"/>
    <w:rsid w:val="408D3E49"/>
    <w:rsid w:val="408E4469"/>
    <w:rsid w:val="408E6654"/>
    <w:rsid w:val="409B5056"/>
    <w:rsid w:val="409E7D06"/>
    <w:rsid w:val="40AD1AFC"/>
    <w:rsid w:val="40B12322"/>
    <w:rsid w:val="40B214B9"/>
    <w:rsid w:val="40B66293"/>
    <w:rsid w:val="40B874D3"/>
    <w:rsid w:val="40C03BC8"/>
    <w:rsid w:val="40C14AB2"/>
    <w:rsid w:val="40C926B3"/>
    <w:rsid w:val="40CD422A"/>
    <w:rsid w:val="40CD788E"/>
    <w:rsid w:val="40CF0431"/>
    <w:rsid w:val="40D11F33"/>
    <w:rsid w:val="40D52178"/>
    <w:rsid w:val="40D550BE"/>
    <w:rsid w:val="40E51744"/>
    <w:rsid w:val="40E61C65"/>
    <w:rsid w:val="40E67367"/>
    <w:rsid w:val="40EB2AE9"/>
    <w:rsid w:val="40EC0B09"/>
    <w:rsid w:val="40F12C85"/>
    <w:rsid w:val="40F432A2"/>
    <w:rsid w:val="40F91527"/>
    <w:rsid w:val="40FA6DB5"/>
    <w:rsid w:val="40FF1A75"/>
    <w:rsid w:val="41014EC4"/>
    <w:rsid w:val="41023462"/>
    <w:rsid w:val="41053AC9"/>
    <w:rsid w:val="41083832"/>
    <w:rsid w:val="411163EE"/>
    <w:rsid w:val="41127E1B"/>
    <w:rsid w:val="411A630D"/>
    <w:rsid w:val="411C5C4C"/>
    <w:rsid w:val="411E7C4B"/>
    <w:rsid w:val="41225724"/>
    <w:rsid w:val="41267B67"/>
    <w:rsid w:val="412E4336"/>
    <w:rsid w:val="412E7D4B"/>
    <w:rsid w:val="413657DF"/>
    <w:rsid w:val="41395D7E"/>
    <w:rsid w:val="413968E1"/>
    <w:rsid w:val="413C5E9F"/>
    <w:rsid w:val="41413C0A"/>
    <w:rsid w:val="41416F32"/>
    <w:rsid w:val="414368B0"/>
    <w:rsid w:val="41463286"/>
    <w:rsid w:val="414768D0"/>
    <w:rsid w:val="41512B59"/>
    <w:rsid w:val="41540CAC"/>
    <w:rsid w:val="4159689D"/>
    <w:rsid w:val="41606AD7"/>
    <w:rsid w:val="41630510"/>
    <w:rsid w:val="416344DE"/>
    <w:rsid w:val="41660427"/>
    <w:rsid w:val="416649A0"/>
    <w:rsid w:val="416A042F"/>
    <w:rsid w:val="416B49E0"/>
    <w:rsid w:val="41767F6A"/>
    <w:rsid w:val="41847574"/>
    <w:rsid w:val="41854D0D"/>
    <w:rsid w:val="41945FB2"/>
    <w:rsid w:val="41973F91"/>
    <w:rsid w:val="419B5B48"/>
    <w:rsid w:val="41A027A8"/>
    <w:rsid w:val="41A45A0E"/>
    <w:rsid w:val="41B21C0B"/>
    <w:rsid w:val="41C151E6"/>
    <w:rsid w:val="41C16A7E"/>
    <w:rsid w:val="41C441CD"/>
    <w:rsid w:val="41C90BDF"/>
    <w:rsid w:val="41CC1295"/>
    <w:rsid w:val="41CF1F84"/>
    <w:rsid w:val="41D14098"/>
    <w:rsid w:val="41E01E28"/>
    <w:rsid w:val="41E97431"/>
    <w:rsid w:val="41F80A33"/>
    <w:rsid w:val="41F83881"/>
    <w:rsid w:val="41FE4949"/>
    <w:rsid w:val="41FE7E01"/>
    <w:rsid w:val="420E40B5"/>
    <w:rsid w:val="420F3DF7"/>
    <w:rsid w:val="42110E30"/>
    <w:rsid w:val="4216574C"/>
    <w:rsid w:val="421972E8"/>
    <w:rsid w:val="421C7CED"/>
    <w:rsid w:val="42201C8D"/>
    <w:rsid w:val="4222022A"/>
    <w:rsid w:val="42252394"/>
    <w:rsid w:val="42285C9F"/>
    <w:rsid w:val="422E3C86"/>
    <w:rsid w:val="422F4F26"/>
    <w:rsid w:val="423258F3"/>
    <w:rsid w:val="42335037"/>
    <w:rsid w:val="423533CA"/>
    <w:rsid w:val="4237292B"/>
    <w:rsid w:val="423C5B7D"/>
    <w:rsid w:val="42432326"/>
    <w:rsid w:val="424515E5"/>
    <w:rsid w:val="42523F42"/>
    <w:rsid w:val="42561F78"/>
    <w:rsid w:val="426721FC"/>
    <w:rsid w:val="42677C0A"/>
    <w:rsid w:val="42686FD0"/>
    <w:rsid w:val="427027CC"/>
    <w:rsid w:val="42707498"/>
    <w:rsid w:val="42794725"/>
    <w:rsid w:val="42796093"/>
    <w:rsid w:val="427A5E2E"/>
    <w:rsid w:val="427D2760"/>
    <w:rsid w:val="428373ED"/>
    <w:rsid w:val="42877975"/>
    <w:rsid w:val="42927325"/>
    <w:rsid w:val="429674D2"/>
    <w:rsid w:val="429949FA"/>
    <w:rsid w:val="429D4898"/>
    <w:rsid w:val="42A07800"/>
    <w:rsid w:val="42A90543"/>
    <w:rsid w:val="42A91F80"/>
    <w:rsid w:val="42AB109C"/>
    <w:rsid w:val="42AC73B8"/>
    <w:rsid w:val="42AE6D49"/>
    <w:rsid w:val="42B36AE2"/>
    <w:rsid w:val="42B73A0B"/>
    <w:rsid w:val="42CB5DA9"/>
    <w:rsid w:val="42CC6012"/>
    <w:rsid w:val="42CE303B"/>
    <w:rsid w:val="42DB5108"/>
    <w:rsid w:val="42E27E6E"/>
    <w:rsid w:val="42E60F6A"/>
    <w:rsid w:val="42E80753"/>
    <w:rsid w:val="42ED2030"/>
    <w:rsid w:val="42ED33FE"/>
    <w:rsid w:val="42EE3EF0"/>
    <w:rsid w:val="42EF74EF"/>
    <w:rsid w:val="42F016FB"/>
    <w:rsid w:val="42F276DA"/>
    <w:rsid w:val="42FE31E5"/>
    <w:rsid w:val="42FE62DE"/>
    <w:rsid w:val="43070B01"/>
    <w:rsid w:val="43077F4D"/>
    <w:rsid w:val="430E2045"/>
    <w:rsid w:val="430E5448"/>
    <w:rsid w:val="431071B4"/>
    <w:rsid w:val="431406B3"/>
    <w:rsid w:val="4314590F"/>
    <w:rsid w:val="431A124B"/>
    <w:rsid w:val="431B2968"/>
    <w:rsid w:val="43247A3C"/>
    <w:rsid w:val="43290047"/>
    <w:rsid w:val="43325313"/>
    <w:rsid w:val="433F131C"/>
    <w:rsid w:val="434427F9"/>
    <w:rsid w:val="434B56FF"/>
    <w:rsid w:val="434B7961"/>
    <w:rsid w:val="43650652"/>
    <w:rsid w:val="43657C28"/>
    <w:rsid w:val="436B502A"/>
    <w:rsid w:val="436F5BD4"/>
    <w:rsid w:val="43750D34"/>
    <w:rsid w:val="43784833"/>
    <w:rsid w:val="437956D4"/>
    <w:rsid w:val="437B3008"/>
    <w:rsid w:val="43875E20"/>
    <w:rsid w:val="43882229"/>
    <w:rsid w:val="438E6C0F"/>
    <w:rsid w:val="439304C1"/>
    <w:rsid w:val="4393679B"/>
    <w:rsid w:val="43941F4E"/>
    <w:rsid w:val="4394623E"/>
    <w:rsid w:val="439B6D2D"/>
    <w:rsid w:val="439C6CCB"/>
    <w:rsid w:val="439C6D08"/>
    <w:rsid w:val="439E1C36"/>
    <w:rsid w:val="43A626DB"/>
    <w:rsid w:val="43A66B11"/>
    <w:rsid w:val="43AC036E"/>
    <w:rsid w:val="43B00161"/>
    <w:rsid w:val="43B219FE"/>
    <w:rsid w:val="43B310D5"/>
    <w:rsid w:val="43B473EA"/>
    <w:rsid w:val="43B76FCC"/>
    <w:rsid w:val="43B77CCD"/>
    <w:rsid w:val="43B851BD"/>
    <w:rsid w:val="43B868C2"/>
    <w:rsid w:val="43B931BB"/>
    <w:rsid w:val="43C07573"/>
    <w:rsid w:val="43C5153F"/>
    <w:rsid w:val="43CD5968"/>
    <w:rsid w:val="43D040E8"/>
    <w:rsid w:val="43D666A2"/>
    <w:rsid w:val="43DA2319"/>
    <w:rsid w:val="43DF48B3"/>
    <w:rsid w:val="43E018B4"/>
    <w:rsid w:val="43E626C2"/>
    <w:rsid w:val="43ED5D5F"/>
    <w:rsid w:val="43EE1E37"/>
    <w:rsid w:val="43F34E19"/>
    <w:rsid w:val="43F43700"/>
    <w:rsid w:val="43F60514"/>
    <w:rsid w:val="43F776F7"/>
    <w:rsid w:val="43F92E20"/>
    <w:rsid w:val="43FA0706"/>
    <w:rsid w:val="44000C6B"/>
    <w:rsid w:val="440508DD"/>
    <w:rsid w:val="441022B9"/>
    <w:rsid w:val="4411532F"/>
    <w:rsid w:val="44156A97"/>
    <w:rsid w:val="442235B1"/>
    <w:rsid w:val="44250B1C"/>
    <w:rsid w:val="442665BE"/>
    <w:rsid w:val="44282CF4"/>
    <w:rsid w:val="44376861"/>
    <w:rsid w:val="44391EFE"/>
    <w:rsid w:val="443D691B"/>
    <w:rsid w:val="444356FC"/>
    <w:rsid w:val="444410A6"/>
    <w:rsid w:val="444472E4"/>
    <w:rsid w:val="44454702"/>
    <w:rsid w:val="4450030D"/>
    <w:rsid w:val="445128E1"/>
    <w:rsid w:val="44530424"/>
    <w:rsid w:val="44534EB9"/>
    <w:rsid w:val="445649F1"/>
    <w:rsid w:val="4467729A"/>
    <w:rsid w:val="446A05DD"/>
    <w:rsid w:val="446D07FF"/>
    <w:rsid w:val="446F63C7"/>
    <w:rsid w:val="447236C5"/>
    <w:rsid w:val="44756D2F"/>
    <w:rsid w:val="44797BF8"/>
    <w:rsid w:val="447F5F53"/>
    <w:rsid w:val="448639C8"/>
    <w:rsid w:val="448917B4"/>
    <w:rsid w:val="448A6576"/>
    <w:rsid w:val="448D7AC4"/>
    <w:rsid w:val="448F518C"/>
    <w:rsid w:val="449A4990"/>
    <w:rsid w:val="449F5365"/>
    <w:rsid w:val="44A47519"/>
    <w:rsid w:val="44A60A54"/>
    <w:rsid w:val="44A77EFC"/>
    <w:rsid w:val="44AA1069"/>
    <w:rsid w:val="44AB4E55"/>
    <w:rsid w:val="44AB4EAA"/>
    <w:rsid w:val="44BB0EE1"/>
    <w:rsid w:val="44BF3905"/>
    <w:rsid w:val="44C442F0"/>
    <w:rsid w:val="44CD7DA7"/>
    <w:rsid w:val="44D5061C"/>
    <w:rsid w:val="44D53135"/>
    <w:rsid w:val="44DA29F7"/>
    <w:rsid w:val="44DF484E"/>
    <w:rsid w:val="44E0542B"/>
    <w:rsid w:val="44E0713A"/>
    <w:rsid w:val="44E6204B"/>
    <w:rsid w:val="44E62901"/>
    <w:rsid w:val="44E81CEF"/>
    <w:rsid w:val="44E96513"/>
    <w:rsid w:val="44EA5D4B"/>
    <w:rsid w:val="44EE35EE"/>
    <w:rsid w:val="44F823D3"/>
    <w:rsid w:val="44FD65CC"/>
    <w:rsid w:val="44FE65F6"/>
    <w:rsid w:val="45042174"/>
    <w:rsid w:val="450D13CB"/>
    <w:rsid w:val="450E5A6E"/>
    <w:rsid w:val="45183DB1"/>
    <w:rsid w:val="451A7E4F"/>
    <w:rsid w:val="451D5B72"/>
    <w:rsid w:val="451E6025"/>
    <w:rsid w:val="4526448D"/>
    <w:rsid w:val="45300159"/>
    <w:rsid w:val="4531597B"/>
    <w:rsid w:val="453904F2"/>
    <w:rsid w:val="4539335C"/>
    <w:rsid w:val="453A3623"/>
    <w:rsid w:val="453D78E6"/>
    <w:rsid w:val="454043FC"/>
    <w:rsid w:val="454A6902"/>
    <w:rsid w:val="4556066D"/>
    <w:rsid w:val="45606B96"/>
    <w:rsid w:val="45621BB0"/>
    <w:rsid w:val="45622D38"/>
    <w:rsid w:val="456A5992"/>
    <w:rsid w:val="456E7536"/>
    <w:rsid w:val="456F0429"/>
    <w:rsid w:val="45721809"/>
    <w:rsid w:val="45810AC5"/>
    <w:rsid w:val="4584582D"/>
    <w:rsid w:val="458C3BA6"/>
    <w:rsid w:val="459007E1"/>
    <w:rsid w:val="45984800"/>
    <w:rsid w:val="45994DBE"/>
    <w:rsid w:val="459A46ED"/>
    <w:rsid w:val="459B26C5"/>
    <w:rsid w:val="459E6606"/>
    <w:rsid w:val="45A34024"/>
    <w:rsid w:val="45A61F9B"/>
    <w:rsid w:val="45A8275D"/>
    <w:rsid w:val="45A9108F"/>
    <w:rsid w:val="45B97132"/>
    <w:rsid w:val="45C054E8"/>
    <w:rsid w:val="45D26754"/>
    <w:rsid w:val="45D329EF"/>
    <w:rsid w:val="45D50F2A"/>
    <w:rsid w:val="45DA1BEC"/>
    <w:rsid w:val="45DC5F6C"/>
    <w:rsid w:val="45E82A8F"/>
    <w:rsid w:val="45EB20E9"/>
    <w:rsid w:val="45F52076"/>
    <w:rsid w:val="45F83CBF"/>
    <w:rsid w:val="45FF2DC3"/>
    <w:rsid w:val="45FF6ED0"/>
    <w:rsid w:val="4608624A"/>
    <w:rsid w:val="460C180B"/>
    <w:rsid w:val="460C2B9C"/>
    <w:rsid w:val="46104233"/>
    <w:rsid w:val="46154E9C"/>
    <w:rsid w:val="46287C37"/>
    <w:rsid w:val="462F10F0"/>
    <w:rsid w:val="46361F7E"/>
    <w:rsid w:val="463833B1"/>
    <w:rsid w:val="464F371A"/>
    <w:rsid w:val="465546CC"/>
    <w:rsid w:val="4656072E"/>
    <w:rsid w:val="46577A0C"/>
    <w:rsid w:val="46592443"/>
    <w:rsid w:val="466037D7"/>
    <w:rsid w:val="46640DB7"/>
    <w:rsid w:val="46646DE5"/>
    <w:rsid w:val="46690630"/>
    <w:rsid w:val="466E0329"/>
    <w:rsid w:val="466E476B"/>
    <w:rsid w:val="46742157"/>
    <w:rsid w:val="46792784"/>
    <w:rsid w:val="46822DDC"/>
    <w:rsid w:val="46843CC4"/>
    <w:rsid w:val="46865926"/>
    <w:rsid w:val="4687304E"/>
    <w:rsid w:val="468F653F"/>
    <w:rsid w:val="46934486"/>
    <w:rsid w:val="46964683"/>
    <w:rsid w:val="46991B15"/>
    <w:rsid w:val="46A20C49"/>
    <w:rsid w:val="46A846B3"/>
    <w:rsid w:val="46AA6E3C"/>
    <w:rsid w:val="46AC2B55"/>
    <w:rsid w:val="46AE370F"/>
    <w:rsid w:val="46AE6D64"/>
    <w:rsid w:val="46AF70D7"/>
    <w:rsid w:val="46B35346"/>
    <w:rsid w:val="46B55F5A"/>
    <w:rsid w:val="46B84ED6"/>
    <w:rsid w:val="46BF6361"/>
    <w:rsid w:val="46C06317"/>
    <w:rsid w:val="46C5077F"/>
    <w:rsid w:val="46C91B69"/>
    <w:rsid w:val="46D62D9B"/>
    <w:rsid w:val="46DF0140"/>
    <w:rsid w:val="46E579BD"/>
    <w:rsid w:val="46E62C2C"/>
    <w:rsid w:val="46EE1188"/>
    <w:rsid w:val="46EE70F1"/>
    <w:rsid w:val="47034913"/>
    <w:rsid w:val="470A188C"/>
    <w:rsid w:val="470B7999"/>
    <w:rsid w:val="470D0477"/>
    <w:rsid w:val="471E0C65"/>
    <w:rsid w:val="47355651"/>
    <w:rsid w:val="473D3B1C"/>
    <w:rsid w:val="473F021C"/>
    <w:rsid w:val="4741331D"/>
    <w:rsid w:val="474A5D8F"/>
    <w:rsid w:val="47516AC7"/>
    <w:rsid w:val="475315BB"/>
    <w:rsid w:val="47582DE1"/>
    <w:rsid w:val="475B3459"/>
    <w:rsid w:val="475F2D6A"/>
    <w:rsid w:val="476204E5"/>
    <w:rsid w:val="47657FF7"/>
    <w:rsid w:val="47713C6F"/>
    <w:rsid w:val="478538FE"/>
    <w:rsid w:val="478C78AE"/>
    <w:rsid w:val="47943581"/>
    <w:rsid w:val="479B28D0"/>
    <w:rsid w:val="47A0109E"/>
    <w:rsid w:val="47AD7374"/>
    <w:rsid w:val="47B52F6C"/>
    <w:rsid w:val="47BA0E61"/>
    <w:rsid w:val="47C268E3"/>
    <w:rsid w:val="47C45853"/>
    <w:rsid w:val="47D53FC8"/>
    <w:rsid w:val="47D66761"/>
    <w:rsid w:val="47D817E6"/>
    <w:rsid w:val="47E73A7A"/>
    <w:rsid w:val="47E92252"/>
    <w:rsid w:val="47E96C1B"/>
    <w:rsid w:val="47EE62C1"/>
    <w:rsid w:val="47F9057E"/>
    <w:rsid w:val="47FC1152"/>
    <w:rsid w:val="480034D2"/>
    <w:rsid w:val="480300A9"/>
    <w:rsid w:val="480B3CBA"/>
    <w:rsid w:val="480B7547"/>
    <w:rsid w:val="480E3923"/>
    <w:rsid w:val="48100CD5"/>
    <w:rsid w:val="48143A9F"/>
    <w:rsid w:val="481B200E"/>
    <w:rsid w:val="481E3513"/>
    <w:rsid w:val="48252844"/>
    <w:rsid w:val="48265076"/>
    <w:rsid w:val="48297858"/>
    <w:rsid w:val="482C41D7"/>
    <w:rsid w:val="48356C86"/>
    <w:rsid w:val="483827F9"/>
    <w:rsid w:val="483B3AF5"/>
    <w:rsid w:val="483E4CDC"/>
    <w:rsid w:val="484D26F2"/>
    <w:rsid w:val="485478D0"/>
    <w:rsid w:val="485816C2"/>
    <w:rsid w:val="48601B0D"/>
    <w:rsid w:val="48613153"/>
    <w:rsid w:val="48694BFC"/>
    <w:rsid w:val="486F16F4"/>
    <w:rsid w:val="48886E76"/>
    <w:rsid w:val="488B7E3B"/>
    <w:rsid w:val="488C4BBC"/>
    <w:rsid w:val="48920A64"/>
    <w:rsid w:val="48927FDD"/>
    <w:rsid w:val="489815C3"/>
    <w:rsid w:val="489A40BE"/>
    <w:rsid w:val="48A365C2"/>
    <w:rsid w:val="48A4445C"/>
    <w:rsid w:val="48A74ABC"/>
    <w:rsid w:val="48AB6879"/>
    <w:rsid w:val="48B8145F"/>
    <w:rsid w:val="48B87031"/>
    <w:rsid w:val="48B975E8"/>
    <w:rsid w:val="48C525E7"/>
    <w:rsid w:val="48D02DFA"/>
    <w:rsid w:val="48D254DD"/>
    <w:rsid w:val="48D33621"/>
    <w:rsid w:val="48DC53C6"/>
    <w:rsid w:val="48E03F47"/>
    <w:rsid w:val="48E048BE"/>
    <w:rsid w:val="48F455D9"/>
    <w:rsid w:val="48F630A0"/>
    <w:rsid w:val="48FE365D"/>
    <w:rsid w:val="48FF3613"/>
    <w:rsid w:val="49022E1E"/>
    <w:rsid w:val="49052C3A"/>
    <w:rsid w:val="4906709D"/>
    <w:rsid w:val="490847B2"/>
    <w:rsid w:val="49117EB7"/>
    <w:rsid w:val="491B5141"/>
    <w:rsid w:val="49221EF3"/>
    <w:rsid w:val="492523A5"/>
    <w:rsid w:val="49263CE8"/>
    <w:rsid w:val="492B03AC"/>
    <w:rsid w:val="492C5BC2"/>
    <w:rsid w:val="492F6448"/>
    <w:rsid w:val="493654D2"/>
    <w:rsid w:val="49392F93"/>
    <w:rsid w:val="493C4E3E"/>
    <w:rsid w:val="493F46AE"/>
    <w:rsid w:val="4944579D"/>
    <w:rsid w:val="49461A42"/>
    <w:rsid w:val="494A62F3"/>
    <w:rsid w:val="494A7785"/>
    <w:rsid w:val="49517495"/>
    <w:rsid w:val="49556B1B"/>
    <w:rsid w:val="495D1634"/>
    <w:rsid w:val="49643656"/>
    <w:rsid w:val="496753CD"/>
    <w:rsid w:val="49683F16"/>
    <w:rsid w:val="496C1F95"/>
    <w:rsid w:val="496E7C99"/>
    <w:rsid w:val="49724868"/>
    <w:rsid w:val="49733198"/>
    <w:rsid w:val="49763075"/>
    <w:rsid w:val="49766393"/>
    <w:rsid w:val="49793037"/>
    <w:rsid w:val="49795031"/>
    <w:rsid w:val="497B40F9"/>
    <w:rsid w:val="497B4BC6"/>
    <w:rsid w:val="49882154"/>
    <w:rsid w:val="49A84DEB"/>
    <w:rsid w:val="49A96CB4"/>
    <w:rsid w:val="49AD33F8"/>
    <w:rsid w:val="49B10F5E"/>
    <w:rsid w:val="49B474E3"/>
    <w:rsid w:val="49B63626"/>
    <w:rsid w:val="49BD7208"/>
    <w:rsid w:val="49CC6D33"/>
    <w:rsid w:val="49CD3F8C"/>
    <w:rsid w:val="49D06FD0"/>
    <w:rsid w:val="49DC48BD"/>
    <w:rsid w:val="49E97894"/>
    <w:rsid w:val="49EA41B0"/>
    <w:rsid w:val="49EB1C11"/>
    <w:rsid w:val="49ED405E"/>
    <w:rsid w:val="49EE406D"/>
    <w:rsid w:val="49F809C6"/>
    <w:rsid w:val="49F91D38"/>
    <w:rsid w:val="49FF0A09"/>
    <w:rsid w:val="4A03305F"/>
    <w:rsid w:val="4A061668"/>
    <w:rsid w:val="4A0A13C3"/>
    <w:rsid w:val="4A0C1434"/>
    <w:rsid w:val="4A0E4CA1"/>
    <w:rsid w:val="4A1F5622"/>
    <w:rsid w:val="4A204E61"/>
    <w:rsid w:val="4A20686C"/>
    <w:rsid w:val="4A2429C4"/>
    <w:rsid w:val="4A3904A0"/>
    <w:rsid w:val="4A416F68"/>
    <w:rsid w:val="4A483E93"/>
    <w:rsid w:val="4A4A7644"/>
    <w:rsid w:val="4A4D325D"/>
    <w:rsid w:val="4A502EEC"/>
    <w:rsid w:val="4A5448A6"/>
    <w:rsid w:val="4A5526B2"/>
    <w:rsid w:val="4A585566"/>
    <w:rsid w:val="4A5E1585"/>
    <w:rsid w:val="4A617140"/>
    <w:rsid w:val="4A62741F"/>
    <w:rsid w:val="4A64766F"/>
    <w:rsid w:val="4A6A7073"/>
    <w:rsid w:val="4A6F5575"/>
    <w:rsid w:val="4A7D4D03"/>
    <w:rsid w:val="4A806167"/>
    <w:rsid w:val="4A85490E"/>
    <w:rsid w:val="4A893443"/>
    <w:rsid w:val="4A8D6A59"/>
    <w:rsid w:val="4A984EBA"/>
    <w:rsid w:val="4AA077A9"/>
    <w:rsid w:val="4AA427B7"/>
    <w:rsid w:val="4AB01104"/>
    <w:rsid w:val="4AB05887"/>
    <w:rsid w:val="4AC233BA"/>
    <w:rsid w:val="4AC77135"/>
    <w:rsid w:val="4ACC3033"/>
    <w:rsid w:val="4ADF6E5C"/>
    <w:rsid w:val="4AE64520"/>
    <w:rsid w:val="4AE90DC2"/>
    <w:rsid w:val="4AEC1387"/>
    <w:rsid w:val="4AF3647F"/>
    <w:rsid w:val="4AF91269"/>
    <w:rsid w:val="4AFC1731"/>
    <w:rsid w:val="4AFE2D46"/>
    <w:rsid w:val="4B000F68"/>
    <w:rsid w:val="4B02635B"/>
    <w:rsid w:val="4B047A40"/>
    <w:rsid w:val="4B0A317F"/>
    <w:rsid w:val="4B0E0A94"/>
    <w:rsid w:val="4B0F4399"/>
    <w:rsid w:val="4B136921"/>
    <w:rsid w:val="4B1B4316"/>
    <w:rsid w:val="4B23606E"/>
    <w:rsid w:val="4B256A31"/>
    <w:rsid w:val="4B2B1060"/>
    <w:rsid w:val="4B377EBE"/>
    <w:rsid w:val="4B39156F"/>
    <w:rsid w:val="4B3C23B1"/>
    <w:rsid w:val="4B423D0E"/>
    <w:rsid w:val="4B426464"/>
    <w:rsid w:val="4B442EC1"/>
    <w:rsid w:val="4B4517F0"/>
    <w:rsid w:val="4B464598"/>
    <w:rsid w:val="4B4C663A"/>
    <w:rsid w:val="4B5353F4"/>
    <w:rsid w:val="4B545D50"/>
    <w:rsid w:val="4B55662F"/>
    <w:rsid w:val="4B612ABD"/>
    <w:rsid w:val="4B640BD6"/>
    <w:rsid w:val="4B681B5B"/>
    <w:rsid w:val="4B715C8B"/>
    <w:rsid w:val="4B7B1170"/>
    <w:rsid w:val="4B7D0414"/>
    <w:rsid w:val="4B7E7DE4"/>
    <w:rsid w:val="4B894D09"/>
    <w:rsid w:val="4B8E5C15"/>
    <w:rsid w:val="4B9238BF"/>
    <w:rsid w:val="4BA40779"/>
    <w:rsid w:val="4BA7008B"/>
    <w:rsid w:val="4BA863D2"/>
    <w:rsid w:val="4BAD2417"/>
    <w:rsid w:val="4BB1134F"/>
    <w:rsid w:val="4BB20D3A"/>
    <w:rsid w:val="4BB22E91"/>
    <w:rsid w:val="4BB27974"/>
    <w:rsid w:val="4BB34525"/>
    <w:rsid w:val="4BBA6168"/>
    <w:rsid w:val="4BC14412"/>
    <w:rsid w:val="4BC70550"/>
    <w:rsid w:val="4BC81E13"/>
    <w:rsid w:val="4BC85E05"/>
    <w:rsid w:val="4BC90D8A"/>
    <w:rsid w:val="4BCC6683"/>
    <w:rsid w:val="4BD03E76"/>
    <w:rsid w:val="4BD05280"/>
    <w:rsid w:val="4BD86D98"/>
    <w:rsid w:val="4BDF59DB"/>
    <w:rsid w:val="4BE26583"/>
    <w:rsid w:val="4BE9221D"/>
    <w:rsid w:val="4BE943A1"/>
    <w:rsid w:val="4BEC248F"/>
    <w:rsid w:val="4BF173FF"/>
    <w:rsid w:val="4BF34414"/>
    <w:rsid w:val="4BF36557"/>
    <w:rsid w:val="4BF425A3"/>
    <w:rsid w:val="4BF859FE"/>
    <w:rsid w:val="4BFA33EE"/>
    <w:rsid w:val="4BFA4AC4"/>
    <w:rsid w:val="4C013CC3"/>
    <w:rsid w:val="4C0872D5"/>
    <w:rsid w:val="4C0F0910"/>
    <w:rsid w:val="4C120837"/>
    <w:rsid w:val="4C151BE6"/>
    <w:rsid w:val="4C1D5BF2"/>
    <w:rsid w:val="4C217379"/>
    <w:rsid w:val="4C235F6D"/>
    <w:rsid w:val="4C2662A1"/>
    <w:rsid w:val="4C2C3B80"/>
    <w:rsid w:val="4C34766B"/>
    <w:rsid w:val="4C382E91"/>
    <w:rsid w:val="4C395343"/>
    <w:rsid w:val="4C3F4060"/>
    <w:rsid w:val="4C4C5E5A"/>
    <w:rsid w:val="4C513F56"/>
    <w:rsid w:val="4C53206A"/>
    <w:rsid w:val="4C56505B"/>
    <w:rsid w:val="4C5C37F5"/>
    <w:rsid w:val="4C5C5183"/>
    <w:rsid w:val="4C5D3772"/>
    <w:rsid w:val="4C5F4229"/>
    <w:rsid w:val="4C5F5A6A"/>
    <w:rsid w:val="4C6009ED"/>
    <w:rsid w:val="4C6B23B9"/>
    <w:rsid w:val="4C6D4ECB"/>
    <w:rsid w:val="4C764040"/>
    <w:rsid w:val="4C7727CC"/>
    <w:rsid w:val="4C7868DE"/>
    <w:rsid w:val="4C7A5B00"/>
    <w:rsid w:val="4C8563B2"/>
    <w:rsid w:val="4C9574B4"/>
    <w:rsid w:val="4C992AE6"/>
    <w:rsid w:val="4CA73932"/>
    <w:rsid w:val="4CAA37EF"/>
    <w:rsid w:val="4CAF4359"/>
    <w:rsid w:val="4CBC2389"/>
    <w:rsid w:val="4CBF07CC"/>
    <w:rsid w:val="4CC07E11"/>
    <w:rsid w:val="4CC52A50"/>
    <w:rsid w:val="4CC65679"/>
    <w:rsid w:val="4CCC3042"/>
    <w:rsid w:val="4CCD0A4D"/>
    <w:rsid w:val="4CCE2DA9"/>
    <w:rsid w:val="4CD51866"/>
    <w:rsid w:val="4CE63912"/>
    <w:rsid w:val="4CED7960"/>
    <w:rsid w:val="4CEE775F"/>
    <w:rsid w:val="4CF52899"/>
    <w:rsid w:val="4CFA4FB8"/>
    <w:rsid w:val="4D067D3B"/>
    <w:rsid w:val="4D0C7F6B"/>
    <w:rsid w:val="4D123B22"/>
    <w:rsid w:val="4D136105"/>
    <w:rsid w:val="4D1D6971"/>
    <w:rsid w:val="4D213508"/>
    <w:rsid w:val="4D240D02"/>
    <w:rsid w:val="4D255966"/>
    <w:rsid w:val="4D265A33"/>
    <w:rsid w:val="4D275571"/>
    <w:rsid w:val="4D294ABF"/>
    <w:rsid w:val="4D2A6193"/>
    <w:rsid w:val="4D32493B"/>
    <w:rsid w:val="4D332B9E"/>
    <w:rsid w:val="4D374381"/>
    <w:rsid w:val="4D493BD2"/>
    <w:rsid w:val="4D520CA9"/>
    <w:rsid w:val="4D5C73A1"/>
    <w:rsid w:val="4D643F7E"/>
    <w:rsid w:val="4D6838CB"/>
    <w:rsid w:val="4D6D261C"/>
    <w:rsid w:val="4D71035B"/>
    <w:rsid w:val="4D746DD5"/>
    <w:rsid w:val="4D773218"/>
    <w:rsid w:val="4D7C7027"/>
    <w:rsid w:val="4D8331FA"/>
    <w:rsid w:val="4D835D0A"/>
    <w:rsid w:val="4D863FCF"/>
    <w:rsid w:val="4D8B654E"/>
    <w:rsid w:val="4D8E116E"/>
    <w:rsid w:val="4D906F30"/>
    <w:rsid w:val="4D965288"/>
    <w:rsid w:val="4D9675E8"/>
    <w:rsid w:val="4D973718"/>
    <w:rsid w:val="4D9A5042"/>
    <w:rsid w:val="4D9C7AC6"/>
    <w:rsid w:val="4DA126F3"/>
    <w:rsid w:val="4DA75699"/>
    <w:rsid w:val="4DB519CB"/>
    <w:rsid w:val="4DB61909"/>
    <w:rsid w:val="4DBF55C0"/>
    <w:rsid w:val="4DC21731"/>
    <w:rsid w:val="4DC97D58"/>
    <w:rsid w:val="4DCA6230"/>
    <w:rsid w:val="4DCC1EA4"/>
    <w:rsid w:val="4DCC6294"/>
    <w:rsid w:val="4DCF296D"/>
    <w:rsid w:val="4DCF3F85"/>
    <w:rsid w:val="4DD00011"/>
    <w:rsid w:val="4DD0325A"/>
    <w:rsid w:val="4DD217A6"/>
    <w:rsid w:val="4DD477F8"/>
    <w:rsid w:val="4DDF01ED"/>
    <w:rsid w:val="4DE06E13"/>
    <w:rsid w:val="4DE548F5"/>
    <w:rsid w:val="4DE603FA"/>
    <w:rsid w:val="4DE66E63"/>
    <w:rsid w:val="4DE80BCC"/>
    <w:rsid w:val="4DF66CF7"/>
    <w:rsid w:val="4DF71029"/>
    <w:rsid w:val="4DF72EA8"/>
    <w:rsid w:val="4DF736E9"/>
    <w:rsid w:val="4DF92338"/>
    <w:rsid w:val="4DFC6472"/>
    <w:rsid w:val="4DFE481B"/>
    <w:rsid w:val="4E007D98"/>
    <w:rsid w:val="4E0641CD"/>
    <w:rsid w:val="4E1117A7"/>
    <w:rsid w:val="4E1B44C8"/>
    <w:rsid w:val="4E1F099B"/>
    <w:rsid w:val="4E2F4899"/>
    <w:rsid w:val="4E373A96"/>
    <w:rsid w:val="4E3D215E"/>
    <w:rsid w:val="4E402984"/>
    <w:rsid w:val="4E427B75"/>
    <w:rsid w:val="4E5451CB"/>
    <w:rsid w:val="4E5974B7"/>
    <w:rsid w:val="4E5B39DF"/>
    <w:rsid w:val="4E624B2A"/>
    <w:rsid w:val="4E6D17E5"/>
    <w:rsid w:val="4E7373DB"/>
    <w:rsid w:val="4E803928"/>
    <w:rsid w:val="4E834E0D"/>
    <w:rsid w:val="4E855A8D"/>
    <w:rsid w:val="4E897566"/>
    <w:rsid w:val="4E897C51"/>
    <w:rsid w:val="4E8A7102"/>
    <w:rsid w:val="4E8C110D"/>
    <w:rsid w:val="4E8F2D7A"/>
    <w:rsid w:val="4E992DE9"/>
    <w:rsid w:val="4E9B3A64"/>
    <w:rsid w:val="4EA1142B"/>
    <w:rsid w:val="4EB32EA9"/>
    <w:rsid w:val="4EB513EA"/>
    <w:rsid w:val="4ED4297C"/>
    <w:rsid w:val="4EDA0B9B"/>
    <w:rsid w:val="4EE27DF5"/>
    <w:rsid w:val="4EE561A6"/>
    <w:rsid w:val="4EE57FCE"/>
    <w:rsid w:val="4EE74974"/>
    <w:rsid w:val="4EEB7161"/>
    <w:rsid w:val="4EEC71D6"/>
    <w:rsid w:val="4EED2019"/>
    <w:rsid w:val="4F004102"/>
    <w:rsid w:val="4F037680"/>
    <w:rsid w:val="4F0D7E3C"/>
    <w:rsid w:val="4F145032"/>
    <w:rsid w:val="4F164766"/>
    <w:rsid w:val="4F1709B0"/>
    <w:rsid w:val="4F175411"/>
    <w:rsid w:val="4F212518"/>
    <w:rsid w:val="4F255C13"/>
    <w:rsid w:val="4F2A1E67"/>
    <w:rsid w:val="4F31025B"/>
    <w:rsid w:val="4F316029"/>
    <w:rsid w:val="4F336F33"/>
    <w:rsid w:val="4F364E08"/>
    <w:rsid w:val="4F372175"/>
    <w:rsid w:val="4F39719B"/>
    <w:rsid w:val="4F3A402D"/>
    <w:rsid w:val="4F425463"/>
    <w:rsid w:val="4F514125"/>
    <w:rsid w:val="4F564CC9"/>
    <w:rsid w:val="4F6323AB"/>
    <w:rsid w:val="4F677C06"/>
    <w:rsid w:val="4F6B360F"/>
    <w:rsid w:val="4F6B791B"/>
    <w:rsid w:val="4F6D127C"/>
    <w:rsid w:val="4F716C7A"/>
    <w:rsid w:val="4F7A0403"/>
    <w:rsid w:val="4F8F1EDB"/>
    <w:rsid w:val="4F9031C8"/>
    <w:rsid w:val="4F932273"/>
    <w:rsid w:val="4F987149"/>
    <w:rsid w:val="4F9D2523"/>
    <w:rsid w:val="4F9F5E29"/>
    <w:rsid w:val="4FA3657F"/>
    <w:rsid w:val="4FA464BB"/>
    <w:rsid w:val="4FA7132D"/>
    <w:rsid w:val="4FAF47D8"/>
    <w:rsid w:val="4FB17907"/>
    <w:rsid w:val="4FB61810"/>
    <w:rsid w:val="4FBB189C"/>
    <w:rsid w:val="4FBB2334"/>
    <w:rsid w:val="4FBB2997"/>
    <w:rsid w:val="4FBB7BA7"/>
    <w:rsid w:val="4FC51669"/>
    <w:rsid w:val="4FD0735B"/>
    <w:rsid w:val="4FD25AC1"/>
    <w:rsid w:val="4FDA2099"/>
    <w:rsid w:val="4FE86518"/>
    <w:rsid w:val="4FEB6FD4"/>
    <w:rsid w:val="4FED45EA"/>
    <w:rsid w:val="4FED7241"/>
    <w:rsid w:val="4FEF533D"/>
    <w:rsid w:val="4FF4301A"/>
    <w:rsid w:val="4FF96423"/>
    <w:rsid w:val="4FFC45DE"/>
    <w:rsid w:val="4FFD07D3"/>
    <w:rsid w:val="4FFE23D2"/>
    <w:rsid w:val="4FFE4516"/>
    <w:rsid w:val="50031B62"/>
    <w:rsid w:val="500860DF"/>
    <w:rsid w:val="501837E8"/>
    <w:rsid w:val="502026EB"/>
    <w:rsid w:val="502B69E0"/>
    <w:rsid w:val="502F271D"/>
    <w:rsid w:val="502F784A"/>
    <w:rsid w:val="50301431"/>
    <w:rsid w:val="5030328D"/>
    <w:rsid w:val="50335183"/>
    <w:rsid w:val="50373E89"/>
    <w:rsid w:val="503B4E5F"/>
    <w:rsid w:val="504319EA"/>
    <w:rsid w:val="50472BEF"/>
    <w:rsid w:val="5051251E"/>
    <w:rsid w:val="50536ABA"/>
    <w:rsid w:val="50545F1C"/>
    <w:rsid w:val="50594366"/>
    <w:rsid w:val="505C2547"/>
    <w:rsid w:val="505D591E"/>
    <w:rsid w:val="50730792"/>
    <w:rsid w:val="507E3831"/>
    <w:rsid w:val="50897263"/>
    <w:rsid w:val="508E1E88"/>
    <w:rsid w:val="50B44D2D"/>
    <w:rsid w:val="50B6699C"/>
    <w:rsid w:val="50BC2D18"/>
    <w:rsid w:val="50BC5CAF"/>
    <w:rsid w:val="50C64F0D"/>
    <w:rsid w:val="50CB4427"/>
    <w:rsid w:val="50D5278D"/>
    <w:rsid w:val="50D8798A"/>
    <w:rsid w:val="50D90D44"/>
    <w:rsid w:val="50DB10B2"/>
    <w:rsid w:val="50DD014E"/>
    <w:rsid w:val="50DE7253"/>
    <w:rsid w:val="50E12AA1"/>
    <w:rsid w:val="50E12CAF"/>
    <w:rsid w:val="50EA73AE"/>
    <w:rsid w:val="50ED7CD9"/>
    <w:rsid w:val="50F61864"/>
    <w:rsid w:val="50FB1699"/>
    <w:rsid w:val="510A7971"/>
    <w:rsid w:val="510F188F"/>
    <w:rsid w:val="51104578"/>
    <w:rsid w:val="511057AD"/>
    <w:rsid w:val="511D528C"/>
    <w:rsid w:val="51211216"/>
    <w:rsid w:val="512C5FF9"/>
    <w:rsid w:val="5134432A"/>
    <w:rsid w:val="51345387"/>
    <w:rsid w:val="513B412B"/>
    <w:rsid w:val="51474695"/>
    <w:rsid w:val="514D38AE"/>
    <w:rsid w:val="515B6F75"/>
    <w:rsid w:val="51604EA1"/>
    <w:rsid w:val="51674012"/>
    <w:rsid w:val="51683979"/>
    <w:rsid w:val="5169092D"/>
    <w:rsid w:val="516A0414"/>
    <w:rsid w:val="516F75A3"/>
    <w:rsid w:val="517226F0"/>
    <w:rsid w:val="51770CA4"/>
    <w:rsid w:val="51794061"/>
    <w:rsid w:val="5179553C"/>
    <w:rsid w:val="51824B54"/>
    <w:rsid w:val="51825138"/>
    <w:rsid w:val="5183354D"/>
    <w:rsid w:val="51880D43"/>
    <w:rsid w:val="518B5AF5"/>
    <w:rsid w:val="518B78F0"/>
    <w:rsid w:val="51907559"/>
    <w:rsid w:val="519716B3"/>
    <w:rsid w:val="519B5C01"/>
    <w:rsid w:val="51AB5A87"/>
    <w:rsid w:val="51B43752"/>
    <w:rsid w:val="51BA41CF"/>
    <w:rsid w:val="51BE14DD"/>
    <w:rsid w:val="51BE7B76"/>
    <w:rsid w:val="51C05AAB"/>
    <w:rsid w:val="51C41D64"/>
    <w:rsid w:val="51D213FA"/>
    <w:rsid w:val="51D64118"/>
    <w:rsid w:val="51DF2E75"/>
    <w:rsid w:val="51E2642D"/>
    <w:rsid w:val="51E87B5A"/>
    <w:rsid w:val="51EB77DD"/>
    <w:rsid w:val="51F02D50"/>
    <w:rsid w:val="51FC3690"/>
    <w:rsid w:val="51FD0B2A"/>
    <w:rsid w:val="51FD5E72"/>
    <w:rsid w:val="5208143C"/>
    <w:rsid w:val="520B420E"/>
    <w:rsid w:val="520F5004"/>
    <w:rsid w:val="521068D7"/>
    <w:rsid w:val="521B6409"/>
    <w:rsid w:val="521E12D6"/>
    <w:rsid w:val="522012A9"/>
    <w:rsid w:val="522234B4"/>
    <w:rsid w:val="52236517"/>
    <w:rsid w:val="52302601"/>
    <w:rsid w:val="52307094"/>
    <w:rsid w:val="5234271C"/>
    <w:rsid w:val="523E4983"/>
    <w:rsid w:val="523F01F1"/>
    <w:rsid w:val="52467E8E"/>
    <w:rsid w:val="524C7C53"/>
    <w:rsid w:val="52501807"/>
    <w:rsid w:val="526372C4"/>
    <w:rsid w:val="526451F2"/>
    <w:rsid w:val="52663DA2"/>
    <w:rsid w:val="526F3D2B"/>
    <w:rsid w:val="5271206F"/>
    <w:rsid w:val="52715E4F"/>
    <w:rsid w:val="52734B6F"/>
    <w:rsid w:val="527A2B67"/>
    <w:rsid w:val="527A6C9F"/>
    <w:rsid w:val="527B459E"/>
    <w:rsid w:val="527C4B84"/>
    <w:rsid w:val="527D236E"/>
    <w:rsid w:val="52867D8C"/>
    <w:rsid w:val="528961FA"/>
    <w:rsid w:val="5293373C"/>
    <w:rsid w:val="529906F6"/>
    <w:rsid w:val="52A41E30"/>
    <w:rsid w:val="52AE496B"/>
    <w:rsid w:val="52B15AEE"/>
    <w:rsid w:val="52B94D34"/>
    <w:rsid w:val="52BD2FBE"/>
    <w:rsid w:val="52BE360F"/>
    <w:rsid w:val="52C0001E"/>
    <w:rsid w:val="52C103B4"/>
    <w:rsid w:val="52C323D1"/>
    <w:rsid w:val="52C56591"/>
    <w:rsid w:val="52C94183"/>
    <w:rsid w:val="52D013D5"/>
    <w:rsid w:val="52D477E1"/>
    <w:rsid w:val="52EE2DAD"/>
    <w:rsid w:val="52F06DE9"/>
    <w:rsid w:val="52F53DC7"/>
    <w:rsid w:val="52FB1A8B"/>
    <w:rsid w:val="530B067B"/>
    <w:rsid w:val="530E486D"/>
    <w:rsid w:val="53141A8E"/>
    <w:rsid w:val="531879D2"/>
    <w:rsid w:val="53197FDB"/>
    <w:rsid w:val="532137D9"/>
    <w:rsid w:val="53215334"/>
    <w:rsid w:val="532642B5"/>
    <w:rsid w:val="532763C1"/>
    <w:rsid w:val="533A2FD8"/>
    <w:rsid w:val="533C1CBE"/>
    <w:rsid w:val="533D36A8"/>
    <w:rsid w:val="533E3ACC"/>
    <w:rsid w:val="534258AD"/>
    <w:rsid w:val="53462E60"/>
    <w:rsid w:val="5347416B"/>
    <w:rsid w:val="535035C3"/>
    <w:rsid w:val="53560B70"/>
    <w:rsid w:val="53594500"/>
    <w:rsid w:val="535C0879"/>
    <w:rsid w:val="535F19CB"/>
    <w:rsid w:val="535F7688"/>
    <w:rsid w:val="53602093"/>
    <w:rsid w:val="53674466"/>
    <w:rsid w:val="5370080A"/>
    <w:rsid w:val="53795E7B"/>
    <w:rsid w:val="537B749F"/>
    <w:rsid w:val="537C684F"/>
    <w:rsid w:val="53842846"/>
    <w:rsid w:val="53853FE9"/>
    <w:rsid w:val="538F7BF4"/>
    <w:rsid w:val="53981886"/>
    <w:rsid w:val="53A007A5"/>
    <w:rsid w:val="53A65CF3"/>
    <w:rsid w:val="53AB0815"/>
    <w:rsid w:val="53AD01EC"/>
    <w:rsid w:val="53B76AFC"/>
    <w:rsid w:val="53C15472"/>
    <w:rsid w:val="53C3436F"/>
    <w:rsid w:val="53C44015"/>
    <w:rsid w:val="53C44E87"/>
    <w:rsid w:val="53CC0CFD"/>
    <w:rsid w:val="53CE787B"/>
    <w:rsid w:val="53DB0120"/>
    <w:rsid w:val="53E7760C"/>
    <w:rsid w:val="53EA783B"/>
    <w:rsid w:val="53EC5261"/>
    <w:rsid w:val="53EC7657"/>
    <w:rsid w:val="53F63D2B"/>
    <w:rsid w:val="53FA377C"/>
    <w:rsid w:val="540C670F"/>
    <w:rsid w:val="54111BDE"/>
    <w:rsid w:val="54132E2A"/>
    <w:rsid w:val="54146961"/>
    <w:rsid w:val="541A615A"/>
    <w:rsid w:val="541D0416"/>
    <w:rsid w:val="541E5972"/>
    <w:rsid w:val="542C3EAE"/>
    <w:rsid w:val="54331315"/>
    <w:rsid w:val="54395FE7"/>
    <w:rsid w:val="543B134E"/>
    <w:rsid w:val="543B3155"/>
    <w:rsid w:val="54402CE5"/>
    <w:rsid w:val="5446737B"/>
    <w:rsid w:val="5449093D"/>
    <w:rsid w:val="5460226B"/>
    <w:rsid w:val="5466564E"/>
    <w:rsid w:val="54724AA8"/>
    <w:rsid w:val="54787AB7"/>
    <w:rsid w:val="547D3B20"/>
    <w:rsid w:val="547D7D39"/>
    <w:rsid w:val="548463A3"/>
    <w:rsid w:val="548601E9"/>
    <w:rsid w:val="54890354"/>
    <w:rsid w:val="548B523B"/>
    <w:rsid w:val="54910D61"/>
    <w:rsid w:val="54942A53"/>
    <w:rsid w:val="549717EF"/>
    <w:rsid w:val="549C5189"/>
    <w:rsid w:val="54A7765B"/>
    <w:rsid w:val="54AD617C"/>
    <w:rsid w:val="54B16B3E"/>
    <w:rsid w:val="54B43469"/>
    <w:rsid w:val="54B81FA0"/>
    <w:rsid w:val="54B903ED"/>
    <w:rsid w:val="54BA2C5A"/>
    <w:rsid w:val="54BE58C1"/>
    <w:rsid w:val="54C314DA"/>
    <w:rsid w:val="54CD10D6"/>
    <w:rsid w:val="54D64681"/>
    <w:rsid w:val="54D73C51"/>
    <w:rsid w:val="54DD41D3"/>
    <w:rsid w:val="54E42F4C"/>
    <w:rsid w:val="54E50D99"/>
    <w:rsid w:val="54E51C6D"/>
    <w:rsid w:val="54E57C21"/>
    <w:rsid w:val="54E869B5"/>
    <w:rsid w:val="54E97EFE"/>
    <w:rsid w:val="54EB5EE5"/>
    <w:rsid w:val="54FF115C"/>
    <w:rsid w:val="54FF47D6"/>
    <w:rsid w:val="55023120"/>
    <w:rsid w:val="55051E41"/>
    <w:rsid w:val="550679C2"/>
    <w:rsid w:val="550A346E"/>
    <w:rsid w:val="550D445B"/>
    <w:rsid w:val="551035CF"/>
    <w:rsid w:val="55120DA5"/>
    <w:rsid w:val="55192AD9"/>
    <w:rsid w:val="551D341D"/>
    <w:rsid w:val="55260925"/>
    <w:rsid w:val="55264456"/>
    <w:rsid w:val="5531527C"/>
    <w:rsid w:val="55316C2E"/>
    <w:rsid w:val="553C4A8E"/>
    <w:rsid w:val="554053A6"/>
    <w:rsid w:val="55420BA7"/>
    <w:rsid w:val="55437154"/>
    <w:rsid w:val="554D25CC"/>
    <w:rsid w:val="554D7CEE"/>
    <w:rsid w:val="554F471D"/>
    <w:rsid w:val="55530693"/>
    <w:rsid w:val="555444AE"/>
    <w:rsid w:val="55642426"/>
    <w:rsid w:val="556D016D"/>
    <w:rsid w:val="556F620B"/>
    <w:rsid w:val="55737168"/>
    <w:rsid w:val="558253F5"/>
    <w:rsid w:val="559B4664"/>
    <w:rsid w:val="55A101DD"/>
    <w:rsid w:val="55A34EB3"/>
    <w:rsid w:val="55A968F4"/>
    <w:rsid w:val="55B52475"/>
    <w:rsid w:val="55B57A9B"/>
    <w:rsid w:val="55C033B6"/>
    <w:rsid w:val="55C471E2"/>
    <w:rsid w:val="55C835FD"/>
    <w:rsid w:val="55CB6789"/>
    <w:rsid w:val="55CC1834"/>
    <w:rsid w:val="55DA59DF"/>
    <w:rsid w:val="55F842D8"/>
    <w:rsid w:val="55F857F3"/>
    <w:rsid w:val="55FB173E"/>
    <w:rsid w:val="55FC75B6"/>
    <w:rsid w:val="55FC75CE"/>
    <w:rsid w:val="55FD2AD0"/>
    <w:rsid w:val="55FE1A21"/>
    <w:rsid w:val="55FE72EB"/>
    <w:rsid w:val="55FF7A68"/>
    <w:rsid w:val="560121F7"/>
    <w:rsid w:val="5605622E"/>
    <w:rsid w:val="56083638"/>
    <w:rsid w:val="560856BA"/>
    <w:rsid w:val="560926F9"/>
    <w:rsid w:val="560D35F6"/>
    <w:rsid w:val="56104CA4"/>
    <w:rsid w:val="5618328F"/>
    <w:rsid w:val="562373CF"/>
    <w:rsid w:val="56254812"/>
    <w:rsid w:val="562B410C"/>
    <w:rsid w:val="562E4000"/>
    <w:rsid w:val="56327C6D"/>
    <w:rsid w:val="563818BF"/>
    <w:rsid w:val="563B4C39"/>
    <w:rsid w:val="564373D8"/>
    <w:rsid w:val="56472BEA"/>
    <w:rsid w:val="56473EE5"/>
    <w:rsid w:val="566672FA"/>
    <w:rsid w:val="566C4BDA"/>
    <w:rsid w:val="56710052"/>
    <w:rsid w:val="56730D25"/>
    <w:rsid w:val="56730D9A"/>
    <w:rsid w:val="56794A10"/>
    <w:rsid w:val="567E6E65"/>
    <w:rsid w:val="56811261"/>
    <w:rsid w:val="568C072B"/>
    <w:rsid w:val="568C0E70"/>
    <w:rsid w:val="568D2AD3"/>
    <w:rsid w:val="568F115D"/>
    <w:rsid w:val="5690072F"/>
    <w:rsid w:val="56A91C76"/>
    <w:rsid w:val="56AD6F15"/>
    <w:rsid w:val="56BA7977"/>
    <w:rsid w:val="56BC5801"/>
    <w:rsid w:val="56BD5D14"/>
    <w:rsid w:val="56BF6517"/>
    <w:rsid w:val="56C4310B"/>
    <w:rsid w:val="56C66A52"/>
    <w:rsid w:val="56D8092F"/>
    <w:rsid w:val="56D8486C"/>
    <w:rsid w:val="56DE26A3"/>
    <w:rsid w:val="56E02C97"/>
    <w:rsid w:val="56E25BD7"/>
    <w:rsid w:val="56E40687"/>
    <w:rsid w:val="56E822E6"/>
    <w:rsid w:val="56E83841"/>
    <w:rsid w:val="56ED004C"/>
    <w:rsid w:val="56F52FC7"/>
    <w:rsid w:val="56F54F7F"/>
    <w:rsid w:val="56FA718C"/>
    <w:rsid w:val="56FE290F"/>
    <w:rsid w:val="570037FA"/>
    <w:rsid w:val="57071473"/>
    <w:rsid w:val="570A01C3"/>
    <w:rsid w:val="5710154E"/>
    <w:rsid w:val="57116A00"/>
    <w:rsid w:val="57131CCD"/>
    <w:rsid w:val="571331B4"/>
    <w:rsid w:val="571478F1"/>
    <w:rsid w:val="57163E22"/>
    <w:rsid w:val="571C66B0"/>
    <w:rsid w:val="571D17D2"/>
    <w:rsid w:val="572158C9"/>
    <w:rsid w:val="5727138D"/>
    <w:rsid w:val="57277C80"/>
    <w:rsid w:val="57282DE2"/>
    <w:rsid w:val="573A529A"/>
    <w:rsid w:val="573E55FC"/>
    <w:rsid w:val="573F7AE4"/>
    <w:rsid w:val="5747212A"/>
    <w:rsid w:val="575135D0"/>
    <w:rsid w:val="57567941"/>
    <w:rsid w:val="57602736"/>
    <w:rsid w:val="577306AD"/>
    <w:rsid w:val="577C4DB5"/>
    <w:rsid w:val="577E5C04"/>
    <w:rsid w:val="578869B8"/>
    <w:rsid w:val="578E4B51"/>
    <w:rsid w:val="57911F4B"/>
    <w:rsid w:val="57930A30"/>
    <w:rsid w:val="579866AD"/>
    <w:rsid w:val="579C13F5"/>
    <w:rsid w:val="57A1565E"/>
    <w:rsid w:val="57AA226C"/>
    <w:rsid w:val="57AB29D0"/>
    <w:rsid w:val="57AB3443"/>
    <w:rsid w:val="57B96237"/>
    <w:rsid w:val="57BE7D37"/>
    <w:rsid w:val="57C729C2"/>
    <w:rsid w:val="57C85944"/>
    <w:rsid w:val="57CE5E7E"/>
    <w:rsid w:val="57D17EA4"/>
    <w:rsid w:val="57D51680"/>
    <w:rsid w:val="57D66260"/>
    <w:rsid w:val="57DB1FCB"/>
    <w:rsid w:val="57E04B9D"/>
    <w:rsid w:val="57E622DC"/>
    <w:rsid w:val="57E8487C"/>
    <w:rsid w:val="57EA6666"/>
    <w:rsid w:val="57EC1005"/>
    <w:rsid w:val="57F310E7"/>
    <w:rsid w:val="57FF38C8"/>
    <w:rsid w:val="58002BB3"/>
    <w:rsid w:val="58013066"/>
    <w:rsid w:val="58056758"/>
    <w:rsid w:val="580A7647"/>
    <w:rsid w:val="58163F1A"/>
    <w:rsid w:val="58246DBA"/>
    <w:rsid w:val="58250FE1"/>
    <w:rsid w:val="582B4710"/>
    <w:rsid w:val="58337C5E"/>
    <w:rsid w:val="583E34FA"/>
    <w:rsid w:val="584B0738"/>
    <w:rsid w:val="58592BBB"/>
    <w:rsid w:val="58597CB3"/>
    <w:rsid w:val="5860062E"/>
    <w:rsid w:val="5869259F"/>
    <w:rsid w:val="586A4B3F"/>
    <w:rsid w:val="58771BEC"/>
    <w:rsid w:val="58810DBE"/>
    <w:rsid w:val="588C2AD3"/>
    <w:rsid w:val="588C4896"/>
    <w:rsid w:val="58923812"/>
    <w:rsid w:val="58971EDE"/>
    <w:rsid w:val="58AA723E"/>
    <w:rsid w:val="58B05B4A"/>
    <w:rsid w:val="58B825EB"/>
    <w:rsid w:val="58C758DF"/>
    <w:rsid w:val="58E212E5"/>
    <w:rsid w:val="58E5059D"/>
    <w:rsid w:val="58EE2FD9"/>
    <w:rsid w:val="58F51BDC"/>
    <w:rsid w:val="58F75E22"/>
    <w:rsid w:val="59040C9F"/>
    <w:rsid w:val="590A195B"/>
    <w:rsid w:val="591C036C"/>
    <w:rsid w:val="592A5745"/>
    <w:rsid w:val="59363447"/>
    <w:rsid w:val="593A54B4"/>
    <w:rsid w:val="593B5413"/>
    <w:rsid w:val="59411BE4"/>
    <w:rsid w:val="594232D1"/>
    <w:rsid w:val="59430F9F"/>
    <w:rsid w:val="59480C65"/>
    <w:rsid w:val="594A3A98"/>
    <w:rsid w:val="594B4EEC"/>
    <w:rsid w:val="59542010"/>
    <w:rsid w:val="595935D7"/>
    <w:rsid w:val="595C174C"/>
    <w:rsid w:val="59676576"/>
    <w:rsid w:val="596D0D0B"/>
    <w:rsid w:val="59715901"/>
    <w:rsid w:val="597225BC"/>
    <w:rsid w:val="597E6F28"/>
    <w:rsid w:val="597F0524"/>
    <w:rsid w:val="598551F0"/>
    <w:rsid w:val="598B3271"/>
    <w:rsid w:val="598C1F83"/>
    <w:rsid w:val="59A471FD"/>
    <w:rsid w:val="59A62CCD"/>
    <w:rsid w:val="59AF3720"/>
    <w:rsid w:val="59C51933"/>
    <w:rsid w:val="59C662C9"/>
    <w:rsid w:val="59D65364"/>
    <w:rsid w:val="59DA1FE8"/>
    <w:rsid w:val="59DA5280"/>
    <w:rsid w:val="59DB6CD0"/>
    <w:rsid w:val="59DD38F2"/>
    <w:rsid w:val="59DF6C6A"/>
    <w:rsid w:val="59DF7CAC"/>
    <w:rsid w:val="59E6029A"/>
    <w:rsid w:val="59EB4A90"/>
    <w:rsid w:val="59F0267D"/>
    <w:rsid w:val="59F13109"/>
    <w:rsid w:val="59F503BF"/>
    <w:rsid w:val="59FB45BA"/>
    <w:rsid w:val="59FE66AA"/>
    <w:rsid w:val="5A0B2937"/>
    <w:rsid w:val="5A0B6A09"/>
    <w:rsid w:val="5A13638E"/>
    <w:rsid w:val="5A152E96"/>
    <w:rsid w:val="5A1B5737"/>
    <w:rsid w:val="5A1E223C"/>
    <w:rsid w:val="5A242E87"/>
    <w:rsid w:val="5A2760C5"/>
    <w:rsid w:val="5A326377"/>
    <w:rsid w:val="5A3A2BF2"/>
    <w:rsid w:val="5A403526"/>
    <w:rsid w:val="5A4E04C5"/>
    <w:rsid w:val="5A523834"/>
    <w:rsid w:val="5A566236"/>
    <w:rsid w:val="5A5852DF"/>
    <w:rsid w:val="5A585632"/>
    <w:rsid w:val="5A5A00BB"/>
    <w:rsid w:val="5A5D3286"/>
    <w:rsid w:val="5A5F59C8"/>
    <w:rsid w:val="5A606706"/>
    <w:rsid w:val="5A6564F7"/>
    <w:rsid w:val="5A6F48D6"/>
    <w:rsid w:val="5A700DDB"/>
    <w:rsid w:val="5A7D1825"/>
    <w:rsid w:val="5A81213B"/>
    <w:rsid w:val="5A8E738C"/>
    <w:rsid w:val="5A8E7E72"/>
    <w:rsid w:val="5A941E82"/>
    <w:rsid w:val="5A9A47D3"/>
    <w:rsid w:val="5A9E1CDF"/>
    <w:rsid w:val="5A9E6CB0"/>
    <w:rsid w:val="5AA02B16"/>
    <w:rsid w:val="5AA70DE3"/>
    <w:rsid w:val="5AB82E23"/>
    <w:rsid w:val="5ABF2E0D"/>
    <w:rsid w:val="5AC06D3D"/>
    <w:rsid w:val="5AC643F8"/>
    <w:rsid w:val="5ACA5B13"/>
    <w:rsid w:val="5ACF42A5"/>
    <w:rsid w:val="5AD145E0"/>
    <w:rsid w:val="5AD84379"/>
    <w:rsid w:val="5AD93A31"/>
    <w:rsid w:val="5ADB5314"/>
    <w:rsid w:val="5ADD3032"/>
    <w:rsid w:val="5AE50A89"/>
    <w:rsid w:val="5AE84F4D"/>
    <w:rsid w:val="5AEA6207"/>
    <w:rsid w:val="5AEB7000"/>
    <w:rsid w:val="5AF710F1"/>
    <w:rsid w:val="5AF80C1C"/>
    <w:rsid w:val="5B040343"/>
    <w:rsid w:val="5B043542"/>
    <w:rsid w:val="5B0566AD"/>
    <w:rsid w:val="5B081DDC"/>
    <w:rsid w:val="5B120413"/>
    <w:rsid w:val="5B183F28"/>
    <w:rsid w:val="5B190114"/>
    <w:rsid w:val="5B204CEE"/>
    <w:rsid w:val="5B2542B1"/>
    <w:rsid w:val="5B2559E9"/>
    <w:rsid w:val="5B2B376B"/>
    <w:rsid w:val="5B325EC9"/>
    <w:rsid w:val="5B332897"/>
    <w:rsid w:val="5B3F28A0"/>
    <w:rsid w:val="5B4800AB"/>
    <w:rsid w:val="5B495E8B"/>
    <w:rsid w:val="5B521B28"/>
    <w:rsid w:val="5B59543F"/>
    <w:rsid w:val="5B633D6B"/>
    <w:rsid w:val="5B660DC4"/>
    <w:rsid w:val="5B671EA8"/>
    <w:rsid w:val="5B753957"/>
    <w:rsid w:val="5B777347"/>
    <w:rsid w:val="5B781921"/>
    <w:rsid w:val="5B7E617D"/>
    <w:rsid w:val="5B84167F"/>
    <w:rsid w:val="5B8421F9"/>
    <w:rsid w:val="5B8F3381"/>
    <w:rsid w:val="5B8F3FCB"/>
    <w:rsid w:val="5B9810F6"/>
    <w:rsid w:val="5B9E3E5F"/>
    <w:rsid w:val="5BA33305"/>
    <w:rsid w:val="5BBC312B"/>
    <w:rsid w:val="5BD01973"/>
    <w:rsid w:val="5BE82358"/>
    <w:rsid w:val="5BE93F6C"/>
    <w:rsid w:val="5BEF6400"/>
    <w:rsid w:val="5BF56E8F"/>
    <w:rsid w:val="5BF84BFF"/>
    <w:rsid w:val="5BF8618B"/>
    <w:rsid w:val="5C0D1CBC"/>
    <w:rsid w:val="5C0D68F9"/>
    <w:rsid w:val="5C0E42C5"/>
    <w:rsid w:val="5C0F59D5"/>
    <w:rsid w:val="5C134FAF"/>
    <w:rsid w:val="5C184469"/>
    <w:rsid w:val="5C1B6D05"/>
    <w:rsid w:val="5C20246E"/>
    <w:rsid w:val="5C271D2C"/>
    <w:rsid w:val="5C34216D"/>
    <w:rsid w:val="5C3527D4"/>
    <w:rsid w:val="5C373789"/>
    <w:rsid w:val="5C3E5AD9"/>
    <w:rsid w:val="5C3F48B8"/>
    <w:rsid w:val="5C415A9C"/>
    <w:rsid w:val="5C482E67"/>
    <w:rsid w:val="5C4B7AA8"/>
    <w:rsid w:val="5C4D387C"/>
    <w:rsid w:val="5C4D7D95"/>
    <w:rsid w:val="5C4F5358"/>
    <w:rsid w:val="5C4F5D23"/>
    <w:rsid w:val="5C573379"/>
    <w:rsid w:val="5C5A767C"/>
    <w:rsid w:val="5C621988"/>
    <w:rsid w:val="5C64343E"/>
    <w:rsid w:val="5C6632C9"/>
    <w:rsid w:val="5C6850BE"/>
    <w:rsid w:val="5C6E6700"/>
    <w:rsid w:val="5C6F5AEE"/>
    <w:rsid w:val="5C742128"/>
    <w:rsid w:val="5C747B1B"/>
    <w:rsid w:val="5C757357"/>
    <w:rsid w:val="5C7B24AE"/>
    <w:rsid w:val="5C7B6E4B"/>
    <w:rsid w:val="5C7E29F1"/>
    <w:rsid w:val="5C85759A"/>
    <w:rsid w:val="5C9161D8"/>
    <w:rsid w:val="5C925055"/>
    <w:rsid w:val="5C986842"/>
    <w:rsid w:val="5CA178C3"/>
    <w:rsid w:val="5CA36D0C"/>
    <w:rsid w:val="5CA946AC"/>
    <w:rsid w:val="5CAC1998"/>
    <w:rsid w:val="5CAC6113"/>
    <w:rsid w:val="5CAE0827"/>
    <w:rsid w:val="5CAF09BE"/>
    <w:rsid w:val="5CB42DD9"/>
    <w:rsid w:val="5CB61716"/>
    <w:rsid w:val="5CBC3E18"/>
    <w:rsid w:val="5CBF0A34"/>
    <w:rsid w:val="5CC25F0D"/>
    <w:rsid w:val="5CCB7305"/>
    <w:rsid w:val="5CD06BA7"/>
    <w:rsid w:val="5CD21FF7"/>
    <w:rsid w:val="5CD234B8"/>
    <w:rsid w:val="5CD40530"/>
    <w:rsid w:val="5CD57B99"/>
    <w:rsid w:val="5CD65D84"/>
    <w:rsid w:val="5CD86933"/>
    <w:rsid w:val="5CDB42E8"/>
    <w:rsid w:val="5CDC5D78"/>
    <w:rsid w:val="5CEC03BA"/>
    <w:rsid w:val="5CF33318"/>
    <w:rsid w:val="5CF97C2A"/>
    <w:rsid w:val="5CFA66F6"/>
    <w:rsid w:val="5CFB6093"/>
    <w:rsid w:val="5D052215"/>
    <w:rsid w:val="5D1E28FF"/>
    <w:rsid w:val="5D221549"/>
    <w:rsid w:val="5D26703E"/>
    <w:rsid w:val="5D36126F"/>
    <w:rsid w:val="5D3614FF"/>
    <w:rsid w:val="5D3E4695"/>
    <w:rsid w:val="5D4E4792"/>
    <w:rsid w:val="5D505E7F"/>
    <w:rsid w:val="5D53265C"/>
    <w:rsid w:val="5D535585"/>
    <w:rsid w:val="5D555784"/>
    <w:rsid w:val="5D564011"/>
    <w:rsid w:val="5D5821FA"/>
    <w:rsid w:val="5D5E7374"/>
    <w:rsid w:val="5D646FB5"/>
    <w:rsid w:val="5D653092"/>
    <w:rsid w:val="5D6F4DB9"/>
    <w:rsid w:val="5D7008F0"/>
    <w:rsid w:val="5D7461ED"/>
    <w:rsid w:val="5D7767DA"/>
    <w:rsid w:val="5D81316C"/>
    <w:rsid w:val="5D860423"/>
    <w:rsid w:val="5D923DF6"/>
    <w:rsid w:val="5D9429BF"/>
    <w:rsid w:val="5D9E460C"/>
    <w:rsid w:val="5DA37A16"/>
    <w:rsid w:val="5DA71C37"/>
    <w:rsid w:val="5DA7628A"/>
    <w:rsid w:val="5DAB0E18"/>
    <w:rsid w:val="5DAD0F36"/>
    <w:rsid w:val="5DAD6987"/>
    <w:rsid w:val="5DAE5FB4"/>
    <w:rsid w:val="5DAE6E46"/>
    <w:rsid w:val="5DB5639B"/>
    <w:rsid w:val="5DB62660"/>
    <w:rsid w:val="5DB95883"/>
    <w:rsid w:val="5DC17630"/>
    <w:rsid w:val="5DC44F32"/>
    <w:rsid w:val="5DC55E66"/>
    <w:rsid w:val="5DCB374B"/>
    <w:rsid w:val="5DD10FFC"/>
    <w:rsid w:val="5DD359F1"/>
    <w:rsid w:val="5DD370D6"/>
    <w:rsid w:val="5DD43396"/>
    <w:rsid w:val="5DD66419"/>
    <w:rsid w:val="5DDE4472"/>
    <w:rsid w:val="5DEA7708"/>
    <w:rsid w:val="5DEB02EB"/>
    <w:rsid w:val="5DED2F61"/>
    <w:rsid w:val="5DEE248E"/>
    <w:rsid w:val="5DF52985"/>
    <w:rsid w:val="5E0101F6"/>
    <w:rsid w:val="5E0848E5"/>
    <w:rsid w:val="5E123FDF"/>
    <w:rsid w:val="5E13427D"/>
    <w:rsid w:val="5E14021C"/>
    <w:rsid w:val="5E167D04"/>
    <w:rsid w:val="5E1A1A53"/>
    <w:rsid w:val="5E1B353D"/>
    <w:rsid w:val="5E1E7393"/>
    <w:rsid w:val="5E2410E2"/>
    <w:rsid w:val="5E257792"/>
    <w:rsid w:val="5E2915EF"/>
    <w:rsid w:val="5E2D3D29"/>
    <w:rsid w:val="5E456257"/>
    <w:rsid w:val="5E4802E5"/>
    <w:rsid w:val="5E4E3A5C"/>
    <w:rsid w:val="5E520053"/>
    <w:rsid w:val="5E575C93"/>
    <w:rsid w:val="5E5E2BC0"/>
    <w:rsid w:val="5E5E65DE"/>
    <w:rsid w:val="5E6650BE"/>
    <w:rsid w:val="5E6C4A4C"/>
    <w:rsid w:val="5E6F09DA"/>
    <w:rsid w:val="5E7468B2"/>
    <w:rsid w:val="5E74781D"/>
    <w:rsid w:val="5E7A2442"/>
    <w:rsid w:val="5E843146"/>
    <w:rsid w:val="5E857ACB"/>
    <w:rsid w:val="5E8808CC"/>
    <w:rsid w:val="5E8828C7"/>
    <w:rsid w:val="5E917A48"/>
    <w:rsid w:val="5E97541A"/>
    <w:rsid w:val="5E9C43FB"/>
    <w:rsid w:val="5E9C4C56"/>
    <w:rsid w:val="5EA03A7F"/>
    <w:rsid w:val="5EA22C6B"/>
    <w:rsid w:val="5EA37C40"/>
    <w:rsid w:val="5EA821C5"/>
    <w:rsid w:val="5EB06783"/>
    <w:rsid w:val="5EB3616F"/>
    <w:rsid w:val="5EB40D74"/>
    <w:rsid w:val="5EB62CB9"/>
    <w:rsid w:val="5EB63872"/>
    <w:rsid w:val="5EB95CA0"/>
    <w:rsid w:val="5EBA6A4C"/>
    <w:rsid w:val="5EBD3DD6"/>
    <w:rsid w:val="5EC3617C"/>
    <w:rsid w:val="5ECA61AF"/>
    <w:rsid w:val="5ECE6710"/>
    <w:rsid w:val="5ED10B7E"/>
    <w:rsid w:val="5ED152C7"/>
    <w:rsid w:val="5EDB1218"/>
    <w:rsid w:val="5EDE14E7"/>
    <w:rsid w:val="5EE04929"/>
    <w:rsid w:val="5EE07617"/>
    <w:rsid w:val="5EE15FFA"/>
    <w:rsid w:val="5EEE3675"/>
    <w:rsid w:val="5EF270CC"/>
    <w:rsid w:val="5EFC7806"/>
    <w:rsid w:val="5F0442BB"/>
    <w:rsid w:val="5F182752"/>
    <w:rsid w:val="5F1F0384"/>
    <w:rsid w:val="5F2031A1"/>
    <w:rsid w:val="5F206D33"/>
    <w:rsid w:val="5F211264"/>
    <w:rsid w:val="5F213B00"/>
    <w:rsid w:val="5F217648"/>
    <w:rsid w:val="5F345639"/>
    <w:rsid w:val="5F4124CE"/>
    <w:rsid w:val="5F5B11C4"/>
    <w:rsid w:val="5F602C06"/>
    <w:rsid w:val="5F664F5C"/>
    <w:rsid w:val="5F67114A"/>
    <w:rsid w:val="5F6803FC"/>
    <w:rsid w:val="5F68254E"/>
    <w:rsid w:val="5F6E2D4F"/>
    <w:rsid w:val="5F6F1E84"/>
    <w:rsid w:val="5F7537D2"/>
    <w:rsid w:val="5F75569A"/>
    <w:rsid w:val="5F760DA1"/>
    <w:rsid w:val="5F7925F4"/>
    <w:rsid w:val="5F797690"/>
    <w:rsid w:val="5F8052EE"/>
    <w:rsid w:val="5F82052C"/>
    <w:rsid w:val="5F8876AD"/>
    <w:rsid w:val="5F8A68DF"/>
    <w:rsid w:val="5F8E094D"/>
    <w:rsid w:val="5F9051A1"/>
    <w:rsid w:val="5F944A76"/>
    <w:rsid w:val="5F975B18"/>
    <w:rsid w:val="5F9A1F88"/>
    <w:rsid w:val="5F9E2199"/>
    <w:rsid w:val="5FA23604"/>
    <w:rsid w:val="5FA637F7"/>
    <w:rsid w:val="5FB10E49"/>
    <w:rsid w:val="5FBC324E"/>
    <w:rsid w:val="5FBD7452"/>
    <w:rsid w:val="5FBE6425"/>
    <w:rsid w:val="5FC655E4"/>
    <w:rsid w:val="5FCC3242"/>
    <w:rsid w:val="5FD35448"/>
    <w:rsid w:val="5FD75B40"/>
    <w:rsid w:val="5FDB53A9"/>
    <w:rsid w:val="5FDC42C7"/>
    <w:rsid w:val="5FDF7DD1"/>
    <w:rsid w:val="5FF06077"/>
    <w:rsid w:val="6000291C"/>
    <w:rsid w:val="600078D7"/>
    <w:rsid w:val="600225BA"/>
    <w:rsid w:val="60055CDD"/>
    <w:rsid w:val="60085FFE"/>
    <w:rsid w:val="600A4E36"/>
    <w:rsid w:val="600A7C66"/>
    <w:rsid w:val="600D5F4D"/>
    <w:rsid w:val="600E2084"/>
    <w:rsid w:val="601A4831"/>
    <w:rsid w:val="6021348D"/>
    <w:rsid w:val="602E2215"/>
    <w:rsid w:val="602F2C21"/>
    <w:rsid w:val="60304EAD"/>
    <w:rsid w:val="60310F5E"/>
    <w:rsid w:val="6037255D"/>
    <w:rsid w:val="60545B82"/>
    <w:rsid w:val="605860E9"/>
    <w:rsid w:val="60590412"/>
    <w:rsid w:val="605933E9"/>
    <w:rsid w:val="605C16F1"/>
    <w:rsid w:val="605F6935"/>
    <w:rsid w:val="606168BA"/>
    <w:rsid w:val="606B2DAF"/>
    <w:rsid w:val="606D5471"/>
    <w:rsid w:val="60781D63"/>
    <w:rsid w:val="607A283B"/>
    <w:rsid w:val="607A693F"/>
    <w:rsid w:val="607F50F0"/>
    <w:rsid w:val="60880F0D"/>
    <w:rsid w:val="60897FAC"/>
    <w:rsid w:val="608B2253"/>
    <w:rsid w:val="608B5D14"/>
    <w:rsid w:val="608F3E94"/>
    <w:rsid w:val="609043BB"/>
    <w:rsid w:val="60942905"/>
    <w:rsid w:val="60964D8C"/>
    <w:rsid w:val="609B7CD3"/>
    <w:rsid w:val="609C1472"/>
    <w:rsid w:val="60A139AB"/>
    <w:rsid w:val="60AB0E13"/>
    <w:rsid w:val="60AC50B8"/>
    <w:rsid w:val="60B064FA"/>
    <w:rsid w:val="60B13A00"/>
    <w:rsid w:val="60B33107"/>
    <w:rsid w:val="60B63A99"/>
    <w:rsid w:val="60B8657C"/>
    <w:rsid w:val="60BD0DA8"/>
    <w:rsid w:val="60C21245"/>
    <w:rsid w:val="60C960EE"/>
    <w:rsid w:val="60CD3F74"/>
    <w:rsid w:val="60DA59E5"/>
    <w:rsid w:val="60DB165A"/>
    <w:rsid w:val="60E07A83"/>
    <w:rsid w:val="60E279B2"/>
    <w:rsid w:val="60F71E66"/>
    <w:rsid w:val="60FE7EA9"/>
    <w:rsid w:val="60FF4C34"/>
    <w:rsid w:val="61000339"/>
    <w:rsid w:val="610C7A46"/>
    <w:rsid w:val="611A0761"/>
    <w:rsid w:val="611A2421"/>
    <w:rsid w:val="611C109A"/>
    <w:rsid w:val="61224800"/>
    <w:rsid w:val="612406F7"/>
    <w:rsid w:val="612777AE"/>
    <w:rsid w:val="612B23DC"/>
    <w:rsid w:val="612B478F"/>
    <w:rsid w:val="612B7D3D"/>
    <w:rsid w:val="612C7B4F"/>
    <w:rsid w:val="6131025F"/>
    <w:rsid w:val="61315045"/>
    <w:rsid w:val="61376576"/>
    <w:rsid w:val="61381805"/>
    <w:rsid w:val="613B2C8C"/>
    <w:rsid w:val="613E44C1"/>
    <w:rsid w:val="6142587F"/>
    <w:rsid w:val="61477BAD"/>
    <w:rsid w:val="614B5D47"/>
    <w:rsid w:val="614E561F"/>
    <w:rsid w:val="6154353F"/>
    <w:rsid w:val="6154788D"/>
    <w:rsid w:val="61584192"/>
    <w:rsid w:val="615C5318"/>
    <w:rsid w:val="616049DA"/>
    <w:rsid w:val="61635610"/>
    <w:rsid w:val="616E17D3"/>
    <w:rsid w:val="617457B4"/>
    <w:rsid w:val="617566F8"/>
    <w:rsid w:val="617641DC"/>
    <w:rsid w:val="61786CF4"/>
    <w:rsid w:val="61793E64"/>
    <w:rsid w:val="617F1050"/>
    <w:rsid w:val="617F2FCE"/>
    <w:rsid w:val="61846BBC"/>
    <w:rsid w:val="6186393C"/>
    <w:rsid w:val="61885BE0"/>
    <w:rsid w:val="619320C9"/>
    <w:rsid w:val="619B6FDA"/>
    <w:rsid w:val="619E5C92"/>
    <w:rsid w:val="61A9505D"/>
    <w:rsid w:val="61B076F0"/>
    <w:rsid w:val="61B466F9"/>
    <w:rsid w:val="61BA395A"/>
    <w:rsid w:val="61BF6EBD"/>
    <w:rsid w:val="61C02370"/>
    <w:rsid w:val="61D20CBB"/>
    <w:rsid w:val="61D42208"/>
    <w:rsid w:val="61D534E7"/>
    <w:rsid w:val="61D76CC1"/>
    <w:rsid w:val="61EA14A9"/>
    <w:rsid w:val="61EC3D17"/>
    <w:rsid w:val="61EC40F8"/>
    <w:rsid w:val="61EC5545"/>
    <w:rsid w:val="62070CC1"/>
    <w:rsid w:val="621E4ED7"/>
    <w:rsid w:val="621E5D8C"/>
    <w:rsid w:val="62250885"/>
    <w:rsid w:val="623C46D1"/>
    <w:rsid w:val="623D0373"/>
    <w:rsid w:val="6241571F"/>
    <w:rsid w:val="62432540"/>
    <w:rsid w:val="624917BF"/>
    <w:rsid w:val="624D79EF"/>
    <w:rsid w:val="624F6088"/>
    <w:rsid w:val="625B2DED"/>
    <w:rsid w:val="625B3BFE"/>
    <w:rsid w:val="625F10EE"/>
    <w:rsid w:val="626710A2"/>
    <w:rsid w:val="626D714D"/>
    <w:rsid w:val="627320D5"/>
    <w:rsid w:val="62780C09"/>
    <w:rsid w:val="627F2AD2"/>
    <w:rsid w:val="62827F50"/>
    <w:rsid w:val="628316EC"/>
    <w:rsid w:val="62831F57"/>
    <w:rsid w:val="62832F90"/>
    <w:rsid w:val="628343FA"/>
    <w:rsid w:val="62834982"/>
    <w:rsid w:val="6287475A"/>
    <w:rsid w:val="628C7F52"/>
    <w:rsid w:val="629A631F"/>
    <w:rsid w:val="62A423DF"/>
    <w:rsid w:val="62A4262D"/>
    <w:rsid w:val="62A6600B"/>
    <w:rsid w:val="62A8443D"/>
    <w:rsid w:val="62AC27DA"/>
    <w:rsid w:val="62AF4C6E"/>
    <w:rsid w:val="62B65C78"/>
    <w:rsid w:val="62B80183"/>
    <w:rsid w:val="62BC38D6"/>
    <w:rsid w:val="62C54A13"/>
    <w:rsid w:val="62C574D2"/>
    <w:rsid w:val="62C75F60"/>
    <w:rsid w:val="62C855B9"/>
    <w:rsid w:val="62D51CD7"/>
    <w:rsid w:val="62E50B71"/>
    <w:rsid w:val="62E55F14"/>
    <w:rsid w:val="62ED3078"/>
    <w:rsid w:val="62F125C9"/>
    <w:rsid w:val="62F90156"/>
    <w:rsid w:val="630543B3"/>
    <w:rsid w:val="63061EA5"/>
    <w:rsid w:val="630905A4"/>
    <w:rsid w:val="631C2A0A"/>
    <w:rsid w:val="631C6480"/>
    <w:rsid w:val="631D3BD9"/>
    <w:rsid w:val="63227ACF"/>
    <w:rsid w:val="63275C4A"/>
    <w:rsid w:val="63286F5E"/>
    <w:rsid w:val="63293D5C"/>
    <w:rsid w:val="63344821"/>
    <w:rsid w:val="63473452"/>
    <w:rsid w:val="634750BC"/>
    <w:rsid w:val="634C3801"/>
    <w:rsid w:val="634D5FBD"/>
    <w:rsid w:val="63521168"/>
    <w:rsid w:val="6365765A"/>
    <w:rsid w:val="636A3072"/>
    <w:rsid w:val="6373587F"/>
    <w:rsid w:val="63805021"/>
    <w:rsid w:val="638139D7"/>
    <w:rsid w:val="638C6421"/>
    <w:rsid w:val="638D6EDD"/>
    <w:rsid w:val="639573FF"/>
    <w:rsid w:val="63993F1C"/>
    <w:rsid w:val="639C6D0C"/>
    <w:rsid w:val="639D72A6"/>
    <w:rsid w:val="63AB45FC"/>
    <w:rsid w:val="63AD4780"/>
    <w:rsid w:val="63B94723"/>
    <w:rsid w:val="63C75B75"/>
    <w:rsid w:val="63CC5528"/>
    <w:rsid w:val="63D97C8C"/>
    <w:rsid w:val="63EB1B7A"/>
    <w:rsid w:val="63F13246"/>
    <w:rsid w:val="63F34247"/>
    <w:rsid w:val="63F811E6"/>
    <w:rsid w:val="63F86C3B"/>
    <w:rsid w:val="63F93046"/>
    <w:rsid w:val="63FA1BE0"/>
    <w:rsid w:val="63FF5E58"/>
    <w:rsid w:val="640256AE"/>
    <w:rsid w:val="64045D16"/>
    <w:rsid w:val="640A07AD"/>
    <w:rsid w:val="640D633E"/>
    <w:rsid w:val="641C7F46"/>
    <w:rsid w:val="64257C6D"/>
    <w:rsid w:val="6427374E"/>
    <w:rsid w:val="643C3678"/>
    <w:rsid w:val="643D72FC"/>
    <w:rsid w:val="64416383"/>
    <w:rsid w:val="64417A35"/>
    <w:rsid w:val="64465AE1"/>
    <w:rsid w:val="644E7CE1"/>
    <w:rsid w:val="64527083"/>
    <w:rsid w:val="646543E9"/>
    <w:rsid w:val="64672FAE"/>
    <w:rsid w:val="64685687"/>
    <w:rsid w:val="646B6450"/>
    <w:rsid w:val="646D2585"/>
    <w:rsid w:val="646E6D6D"/>
    <w:rsid w:val="647761DB"/>
    <w:rsid w:val="647B59BF"/>
    <w:rsid w:val="647D1FD0"/>
    <w:rsid w:val="648A7C94"/>
    <w:rsid w:val="648E1C76"/>
    <w:rsid w:val="648E2075"/>
    <w:rsid w:val="64911C79"/>
    <w:rsid w:val="64934E96"/>
    <w:rsid w:val="64946734"/>
    <w:rsid w:val="649E4F39"/>
    <w:rsid w:val="64A20820"/>
    <w:rsid w:val="64A2588F"/>
    <w:rsid w:val="64A509B9"/>
    <w:rsid w:val="64AD4499"/>
    <w:rsid w:val="64B1645F"/>
    <w:rsid w:val="64B51FF5"/>
    <w:rsid w:val="64B7505C"/>
    <w:rsid w:val="64BA35F0"/>
    <w:rsid w:val="64C17B33"/>
    <w:rsid w:val="64CC7A33"/>
    <w:rsid w:val="64D00A1A"/>
    <w:rsid w:val="64D4059A"/>
    <w:rsid w:val="64D61138"/>
    <w:rsid w:val="64D67720"/>
    <w:rsid w:val="64D7426E"/>
    <w:rsid w:val="64DB4740"/>
    <w:rsid w:val="64E15998"/>
    <w:rsid w:val="64E217C9"/>
    <w:rsid w:val="64EA2357"/>
    <w:rsid w:val="64F10A16"/>
    <w:rsid w:val="64F27CB2"/>
    <w:rsid w:val="64F465B8"/>
    <w:rsid w:val="64F97411"/>
    <w:rsid w:val="64FB1440"/>
    <w:rsid w:val="65015DDC"/>
    <w:rsid w:val="6504669E"/>
    <w:rsid w:val="6505046A"/>
    <w:rsid w:val="650817E2"/>
    <w:rsid w:val="650A699E"/>
    <w:rsid w:val="651726BF"/>
    <w:rsid w:val="651905B2"/>
    <w:rsid w:val="651910DA"/>
    <w:rsid w:val="651D2680"/>
    <w:rsid w:val="6522374B"/>
    <w:rsid w:val="65290532"/>
    <w:rsid w:val="652C5E2F"/>
    <w:rsid w:val="653369E4"/>
    <w:rsid w:val="653618F5"/>
    <w:rsid w:val="65362604"/>
    <w:rsid w:val="65381594"/>
    <w:rsid w:val="653C4510"/>
    <w:rsid w:val="653E6955"/>
    <w:rsid w:val="65401EAC"/>
    <w:rsid w:val="65526927"/>
    <w:rsid w:val="65561A00"/>
    <w:rsid w:val="65605868"/>
    <w:rsid w:val="65614F21"/>
    <w:rsid w:val="65642DDB"/>
    <w:rsid w:val="65667FDE"/>
    <w:rsid w:val="65686725"/>
    <w:rsid w:val="656E07CC"/>
    <w:rsid w:val="656F068D"/>
    <w:rsid w:val="65736488"/>
    <w:rsid w:val="657900E4"/>
    <w:rsid w:val="657A02DE"/>
    <w:rsid w:val="658027EB"/>
    <w:rsid w:val="65851C2E"/>
    <w:rsid w:val="658600C2"/>
    <w:rsid w:val="65881E67"/>
    <w:rsid w:val="65893BFE"/>
    <w:rsid w:val="6591603B"/>
    <w:rsid w:val="65922395"/>
    <w:rsid w:val="6594728B"/>
    <w:rsid w:val="659A4D69"/>
    <w:rsid w:val="659A4E5A"/>
    <w:rsid w:val="659D0931"/>
    <w:rsid w:val="65A22395"/>
    <w:rsid w:val="65AC2687"/>
    <w:rsid w:val="65B25E5B"/>
    <w:rsid w:val="65B53EC4"/>
    <w:rsid w:val="65C04864"/>
    <w:rsid w:val="65C204C7"/>
    <w:rsid w:val="65D23647"/>
    <w:rsid w:val="65D41E2A"/>
    <w:rsid w:val="65D816E7"/>
    <w:rsid w:val="65DD4380"/>
    <w:rsid w:val="65E1130C"/>
    <w:rsid w:val="65EA5953"/>
    <w:rsid w:val="65EE366D"/>
    <w:rsid w:val="65F42734"/>
    <w:rsid w:val="65F779DF"/>
    <w:rsid w:val="65F84424"/>
    <w:rsid w:val="65F915FA"/>
    <w:rsid w:val="65FF3573"/>
    <w:rsid w:val="66016F4B"/>
    <w:rsid w:val="660F296A"/>
    <w:rsid w:val="66113A91"/>
    <w:rsid w:val="66182F85"/>
    <w:rsid w:val="661832BD"/>
    <w:rsid w:val="661C480A"/>
    <w:rsid w:val="661D39EA"/>
    <w:rsid w:val="66227972"/>
    <w:rsid w:val="6625794D"/>
    <w:rsid w:val="662918E7"/>
    <w:rsid w:val="66294047"/>
    <w:rsid w:val="662B143D"/>
    <w:rsid w:val="662C5FAB"/>
    <w:rsid w:val="662C7CEB"/>
    <w:rsid w:val="662D772A"/>
    <w:rsid w:val="662E1DE4"/>
    <w:rsid w:val="66393FAD"/>
    <w:rsid w:val="664349A6"/>
    <w:rsid w:val="66435739"/>
    <w:rsid w:val="66445F2C"/>
    <w:rsid w:val="66586F85"/>
    <w:rsid w:val="666379BB"/>
    <w:rsid w:val="666500D3"/>
    <w:rsid w:val="6666508A"/>
    <w:rsid w:val="66694473"/>
    <w:rsid w:val="666A6888"/>
    <w:rsid w:val="66725514"/>
    <w:rsid w:val="66727FCF"/>
    <w:rsid w:val="667E2BC3"/>
    <w:rsid w:val="66851C81"/>
    <w:rsid w:val="668629F7"/>
    <w:rsid w:val="668B2D43"/>
    <w:rsid w:val="6693135E"/>
    <w:rsid w:val="669F4F7F"/>
    <w:rsid w:val="66A82DB7"/>
    <w:rsid w:val="66AE413C"/>
    <w:rsid w:val="66B10FB5"/>
    <w:rsid w:val="66B45AAE"/>
    <w:rsid w:val="66BB1E72"/>
    <w:rsid w:val="66C13A47"/>
    <w:rsid w:val="66C548CA"/>
    <w:rsid w:val="66CD2244"/>
    <w:rsid w:val="66D32DD9"/>
    <w:rsid w:val="66D75CB1"/>
    <w:rsid w:val="66DA0F49"/>
    <w:rsid w:val="66DB7717"/>
    <w:rsid w:val="66E77AF6"/>
    <w:rsid w:val="66F17C59"/>
    <w:rsid w:val="670229AD"/>
    <w:rsid w:val="6705286D"/>
    <w:rsid w:val="670871BD"/>
    <w:rsid w:val="670955D4"/>
    <w:rsid w:val="67184FB5"/>
    <w:rsid w:val="671D391E"/>
    <w:rsid w:val="67242AA0"/>
    <w:rsid w:val="6724595F"/>
    <w:rsid w:val="6725765D"/>
    <w:rsid w:val="672A1382"/>
    <w:rsid w:val="672D3D1C"/>
    <w:rsid w:val="672E51BA"/>
    <w:rsid w:val="673F2FD5"/>
    <w:rsid w:val="674728FC"/>
    <w:rsid w:val="67491373"/>
    <w:rsid w:val="67496F6B"/>
    <w:rsid w:val="67584871"/>
    <w:rsid w:val="6760765E"/>
    <w:rsid w:val="67610413"/>
    <w:rsid w:val="67625EEE"/>
    <w:rsid w:val="67677F6D"/>
    <w:rsid w:val="67684D55"/>
    <w:rsid w:val="67694F83"/>
    <w:rsid w:val="676B782B"/>
    <w:rsid w:val="676C5136"/>
    <w:rsid w:val="676F769F"/>
    <w:rsid w:val="677222BF"/>
    <w:rsid w:val="67787C71"/>
    <w:rsid w:val="67842197"/>
    <w:rsid w:val="678C6087"/>
    <w:rsid w:val="678E4A84"/>
    <w:rsid w:val="67941123"/>
    <w:rsid w:val="67986377"/>
    <w:rsid w:val="679D1763"/>
    <w:rsid w:val="679E06D8"/>
    <w:rsid w:val="679F1588"/>
    <w:rsid w:val="67A70E0F"/>
    <w:rsid w:val="67A77BF9"/>
    <w:rsid w:val="67B279E6"/>
    <w:rsid w:val="67B337B4"/>
    <w:rsid w:val="67B52CAF"/>
    <w:rsid w:val="67B80385"/>
    <w:rsid w:val="67CE21CE"/>
    <w:rsid w:val="67CF3348"/>
    <w:rsid w:val="67D3667C"/>
    <w:rsid w:val="67D559EF"/>
    <w:rsid w:val="67DB45C9"/>
    <w:rsid w:val="67DF448D"/>
    <w:rsid w:val="67E4342B"/>
    <w:rsid w:val="67EB3969"/>
    <w:rsid w:val="67EC48A5"/>
    <w:rsid w:val="67EF4FA8"/>
    <w:rsid w:val="67F83A50"/>
    <w:rsid w:val="67FC746A"/>
    <w:rsid w:val="68054AE9"/>
    <w:rsid w:val="68124BAB"/>
    <w:rsid w:val="68133A05"/>
    <w:rsid w:val="681654A0"/>
    <w:rsid w:val="68184FA9"/>
    <w:rsid w:val="681F27AC"/>
    <w:rsid w:val="682014D9"/>
    <w:rsid w:val="68250A72"/>
    <w:rsid w:val="68372A16"/>
    <w:rsid w:val="68395D72"/>
    <w:rsid w:val="683B0DF8"/>
    <w:rsid w:val="68404E52"/>
    <w:rsid w:val="6848045B"/>
    <w:rsid w:val="684B43CC"/>
    <w:rsid w:val="684F5F72"/>
    <w:rsid w:val="68506128"/>
    <w:rsid w:val="68530B6E"/>
    <w:rsid w:val="68555E01"/>
    <w:rsid w:val="687565A4"/>
    <w:rsid w:val="687D6AA7"/>
    <w:rsid w:val="687F138C"/>
    <w:rsid w:val="688112E9"/>
    <w:rsid w:val="68867C95"/>
    <w:rsid w:val="688C72C2"/>
    <w:rsid w:val="68923F9B"/>
    <w:rsid w:val="68A1214A"/>
    <w:rsid w:val="68A13585"/>
    <w:rsid w:val="68A17008"/>
    <w:rsid w:val="68A9670D"/>
    <w:rsid w:val="68AB40B2"/>
    <w:rsid w:val="68B03555"/>
    <w:rsid w:val="68B348F1"/>
    <w:rsid w:val="68B53E16"/>
    <w:rsid w:val="68BB0A96"/>
    <w:rsid w:val="68BC0CC2"/>
    <w:rsid w:val="68BC7278"/>
    <w:rsid w:val="68BD42D8"/>
    <w:rsid w:val="68C5799D"/>
    <w:rsid w:val="68C77036"/>
    <w:rsid w:val="68C864A6"/>
    <w:rsid w:val="68CC3614"/>
    <w:rsid w:val="68CD5D36"/>
    <w:rsid w:val="68D4375E"/>
    <w:rsid w:val="68DF322B"/>
    <w:rsid w:val="68E505DF"/>
    <w:rsid w:val="68E54C34"/>
    <w:rsid w:val="68EA49BF"/>
    <w:rsid w:val="68EB402A"/>
    <w:rsid w:val="68EB7B4D"/>
    <w:rsid w:val="68FD0F87"/>
    <w:rsid w:val="68FD2F65"/>
    <w:rsid w:val="6902007B"/>
    <w:rsid w:val="69033F10"/>
    <w:rsid w:val="690A53BE"/>
    <w:rsid w:val="69116EAE"/>
    <w:rsid w:val="69166B47"/>
    <w:rsid w:val="692473AB"/>
    <w:rsid w:val="692A1FD7"/>
    <w:rsid w:val="69322E3E"/>
    <w:rsid w:val="69343BBB"/>
    <w:rsid w:val="693720AD"/>
    <w:rsid w:val="693A257F"/>
    <w:rsid w:val="693C15FC"/>
    <w:rsid w:val="693E2585"/>
    <w:rsid w:val="69414CA1"/>
    <w:rsid w:val="6942115E"/>
    <w:rsid w:val="69442DA6"/>
    <w:rsid w:val="694A6B1D"/>
    <w:rsid w:val="694B03D6"/>
    <w:rsid w:val="695366D9"/>
    <w:rsid w:val="6955614B"/>
    <w:rsid w:val="6958534D"/>
    <w:rsid w:val="69666CCB"/>
    <w:rsid w:val="696A2CC7"/>
    <w:rsid w:val="697666F7"/>
    <w:rsid w:val="698D5FEA"/>
    <w:rsid w:val="699350F3"/>
    <w:rsid w:val="69950815"/>
    <w:rsid w:val="699C4620"/>
    <w:rsid w:val="69A07C4E"/>
    <w:rsid w:val="69A07C71"/>
    <w:rsid w:val="69A373BB"/>
    <w:rsid w:val="69B30DFE"/>
    <w:rsid w:val="69BC754E"/>
    <w:rsid w:val="69BD4C71"/>
    <w:rsid w:val="69CE485B"/>
    <w:rsid w:val="69D20A0A"/>
    <w:rsid w:val="69D3500E"/>
    <w:rsid w:val="69D811A1"/>
    <w:rsid w:val="69E17D5A"/>
    <w:rsid w:val="69E631F3"/>
    <w:rsid w:val="69F40AEF"/>
    <w:rsid w:val="69F50A5F"/>
    <w:rsid w:val="6A0102DD"/>
    <w:rsid w:val="6A041F39"/>
    <w:rsid w:val="6A157F66"/>
    <w:rsid w:val="6A1C452C"/>
    <w:rsid w:val="6A226076"/>
    <w:rsid w:val="6A232D00"/>
    <w:rsid w:val="6A262C5F"/>
    <w:rsid w:val="6A2A29BD"/>
    <w:rsid w:val="6A2A6E45"/>
    <w:rsid w:val="6A2E67A2"/>
    <w:rsid w:val="6A304D4B"/>
    <w:rsid w:val="6A396DDA"/>
    <w:rsid w:val="6A45110E"/>
    <w:rsid w:val="6A460634"/>
    <w:rsid w:val="6A467DE0"/>
    <w:rsid w:val="6A521117"/>
    <w:rsid w:val="6A521D87"/>
    <w:rsid w:val="6A54017F"/>
    <w:rsid w:val="6A5E07C3"/>
    <w:rsid w:val="6A605BE9"/>
    <w:rsid w:val="6A6228BD"/>
    <w:rsid w:val="6A69617A"/>
    <w:rsid w:val="6A796620"/>
    <w:rsid w:val="6A857E5C"/>
    <w:rsid w:val="6A8B6320"/>
    <w:rsid w:val="6A990DE6"/>
    <w:rsid w:val="6A9A5C74"/>
    <w:rsid w:val="6A9B6CDB"/>
    <w:rsid w:val="6AB01060"/>
    <w:rsid w:val="6AB04998"/>
    <w:rsid w:val="6ABB2316"/>
    <w:rsid w:val="6ABC2C10"/>
    <w:rsid w:val="6ABD1F20"/>
    <w:rsid w:val="6ABF5337"/>
    <w:rsid w:val="6AC12E45"/>
    <w:rsid w:val="6ACB5A4F"/>
    <w:rsid w:val="6AD13AB7"/>
    <w:rsid w:val="6AD666F4"/>
    <w:rsid w:val="6ADA3A1F"/>
    <w:rsid w:val="6ADC2BC5"/>
    <w:rsid w:val="6ADE41B0"/>
    <w:rsid w:val="6AE12C6E"/>
    <w:rsid w:val="6AEA6E19"/>
    <w:rsid w:val="6AED4D23"/>
    <w:rsid w:val="6AF52A57"/>
    <w:rsid w:val="6AF56669"/>
    <w:rsid w:val="6AF853A8"/>
    <w:rsid w:val="6B000A05"/>
    <w:rsid w:val="6B045729"/>
    <w:rsid w:val="6B0D782A"/>
    <w:rsid w:val="6B1674F2"/>
    <w:rsid w:val="6B2013EA"/>
    <w:rsid w:val="6B2704D2"/>
    <w:rsid w:val="6B2C1E50"/>
    <w:rsid w:val="6B331893"/>
    <w:rsid w:val="6B364E11"/>
    <w:rsid w:val="6B3E0FF0"/>
    <w:rsid w:val="6B45105A"/>
    <w:rsid w:val="6B480DB9"/>
    <w:rsid w:val="6B4920AB"/>
    <w:rsid w:val="6B502924"/>
    <w:rsid w:val="6B5551C3"/>
    <w:rsid w:val="6B641B68"/>
    <w:rsid w:val="6B6D5AFA"/>
    <w:rsid w:val="6B6E2D37"/>
    <w:rsid w:val="6B7175D4"/>
    <w:rsid w:val="6B733C4A"/>
    <w:rsid w:val="6B74103C"/>
    <w:rsid w:val="6B7724E8"/>
    <w:rsid w:val="6B78767A"/>
    <w:rsid w:val="6B7D2CE0"/>
    <w:rsid w:val="6B803DED"/>
    <w:rsid w:val="6B81694F"/>
    <w:rsid w:val="6B84314D"/>
    <w:rsid w:val="6B872C78"/>
    <w:rsid w:val="6B8C7694"/>
    <w:rsid w:val="6B8F640C"/>
    <w:rsid w:val="6B975BBF"/>
    <w:rsid w:val="6B975C34"/>
    <w:rsid w:val="6B99314D"/>
    <w:rsid w:val="6BA1281C"/>
    <w:rsid w:val="6BA37F00"/>
    <w:rsid w:val="6BA471E8"/>
    <w:rsid w:val="6BB63D0F"/>
    <w:rsid w:val="6BBE75D0"/>
    <w:rsid w:val="6BBF4C74"/>
    <w:rsid w:val="6BC00A03"/>
    <w:rsid w:val="6BC12A56"/>
    <w:rsid w:val="6BC4615A"/>
    <w:rsid w:val="6BC55F2D"/>
    <w:rsid w:val="6BC85F40"/>
    <w:rsid w:val="6BC86D40"/>
    <w:rsid w:val="6BCA01ED"/>
    <w:rsid w:val="6BD1735F"/>
    <w:rsid w:val="6BD3176B"/>
    <w:rsid w:val="6BD33F31"/>
    <w:rsid w:val="6BD97AAF"/>
    <w:rsid w:val="6BE17630"/>
    <w:rsid w:val="6BE2048B"/>
    <w:rsid w:val="6BE600E2"/>
    <w:rsid w:val="6BEA6D2E"/>
    <w:rsid w:val="6BEF1800"/>
    <w:rsid w:val="6BEF301D"/>
    <w:rsid w:val="6BF25F94"/>
    <w:rsid w:val="6BF556D9"/>
    <w:rsid w:val="6BF569FC"/>
    <w:rsid w:val="6BFB0939"/>
    <w:rsid w:val="6C070BAC"/>
    <w:rsid w:val="6C0A093A"/>
    <w:rsid w:val="6C0A170C"/>
    <w:rsid w:val="6C0D1863"/>
    <w:rsid w:val="6C0E1D4E"/>
    <w:rsid w:val="6C104C55"/>
    <w:rsid w:val="6C1550BC"/>
    <w:rsid w:val="6C1B7258"/>
    <w:rsid w:val="6C1C18B7"/>
    <w:rsid w:val="6C1C6A26"/>
    <w:rsid w:val="6C212759"/>
    <w:rsid w:val="6C274AA5"/>
    <w:rsid w:val="6C280AE7"/>
    <w:rsid w:val="6C2A4F36"/>
    <w:rsid w:val="6C2E4710"/>
    <w:rsid w:val="6C323B46"/>
    <w:rsid w:val="6C3C008C"/>
    <w:rsid w:val="6C3F7FE4"/>
    <w:rsid w:val="6C4B69F2"/>
    <w:rsid w:val="6C510EF2"/>
    <w:rsid w:val="6C5F61C0"/>
    <w:rsid w:val="6C601912"/>
    <w:rsid w:val="6C665142"/>
    <w:rsid w:val="6C7346AE"/>
    <w:rsid w:val="6C740FEE"/>
    <w:rsid w:val="6C7F1031"/>
    <w:rsid w:val="6C8245AE"/>
    <w:rsid w:val="6C8574E6"/>
    <w:rsid w:val="6C871472"/>
    <w:rsid w:val="6C8D2244"/>
    <w:rsid w:val="6C982281"/>
    <w:rsid w:val="6C9C5FF2"/>
    <w:rsid w:val="6C9C6853"/>
    <w:rsid w:val="6C9D6713"/>
    <w:rsid w:val="6CA079E7"/>
    <w:rsid w:val="6CA37925"/>
    <w:rsid w:val="6CA45C03"/>
    <w:rsid w:val="6CA50057"/>
    <w:rsid w:val="6CA63E72"/>
    <w:rsid w:val="6CAF5320"/>
    <w:rsid w:val="6CB41ED9"/>
    <w:rsid w:val="6CBC61B1"/>
    <w:rsid w:val="6CBF1D0D"/>
    <w:rsid w:val="6CBF72DC"/>
    <w:rsid w:val="6CD13DE1"/>
    <w:rsid w:val="6CD27DA9"/>
    <w:rsid w:val="6CDB0A04"/>
    <w:rsid w:val="6CDC03B4"/>
    <w:rsid w:val="6CDC3D4D"/>
    <w:rsid w:val="6CE631B8"/>
    <w:rsid w:val="6CEC7832"/>
    <w:rsid w:val="6CED51E6"/>
    <w:rsid w:val="6CEE141C"/>
    <w:rsid w:val="6CEE2E83"/>
    <w:rsid w:val="6CF85ED9"/>
    <w:rsid w:val="6CFC1365"/>
    <w:rsid w:val="6CFF371E"/>
    <w:rsid w:val="6D066A5C"/>
    <w:rsid w:val="6D0D33FE"/>
    <w:rsid w:val="6D2E6F97"/>
    <w:rsid w:val="6D2F24E4"/>
    <w:rsid w:val="6D3B642E"/>
    <w:rsid w:val="6D450121"/>
    <w:rsid w:val="6D455E77"/>
    <w:rsid w:val="6D4F236B"/>
    <w:rsid w:val="6D4F2AF4"/>
    <w:rsid w:val="6D511094"/>
    <w:rsid w:val="6D5221D5"/>
    <w:rsid w:val="6D596667"/>
    <w:rsid w:val="6D5B24D7"/>
    <w:rsid w:val="6D63068A"/>
    <w:rsid w:val="6D654EC4"/>
    <w:rsid w:val="6D6A2C10"/>
    <w:rsid w:val="6D6C6F68"/>
    <w:rsid w:val="6D706A41"/>
    <w:rsid w:val="6D785B8E"/>
    <w:rsid w:val="6D7B6F34"/>
    <w:rsid w:val="6D866447"/>
    <w:rsid w:val="6D8A22B7"/>
    <w:rsid w:val="6D8D68D6"/>
    <w:rsid w:val="6D8F308C"/>
    <w:rsid w:val="6D9C7AD1"/>
    <w:rsid w:val="6DA412DA"/>
    <w:rsid w:val="6DA64D2A"/>
    <w:rsid w:val="6DA76A4B"/>
    <w:rsid w:val="6DA931A8"/>
    <w:rsid w:val="6DAB46CC"/>
    <w:rsid w:val="6DAB4829"/>
    <w:rsid w:val="6DB13F7C"/>
    <w:rsid w:val="6DB167FB"/>
    <w:rsid w:val="6DBA2E71"/>
    <w:rsid w:val="6DBB4FB1"/>
    <w:rsid w:val="6DBE507C"/>
    <w:rsid w:val="6DC94525"/>
    <w:rsid w:val="6DC97E22"/>
    <w:rsid w:val="6DD208C2"/>
    <w:rsid w:val="6DD27D4F"/>
    <w:rsid w:val="6DD36828"/>
    <w:rsid w:val="6DD61290"/>
    <w:rsid w:val="6DDB5BD3"/>
    <w:rsid w:val="6DE02CC1"/>
    <w:rsid w:val="6DE25D6A"/>
    <w:rsid w:val="6DE440B8"/>
    <w:rsid w:val="6DE52D41"/>
    <w:rsid w:val="6DEE0037"/>
    <w:rsid w:val="6DF07FB0"/>
    <w:rsid w:val="6DFA3C82"/>
    <w:rsid w:val="6DFB5DFA"/>
    <w:rsid w:val="6DFD2DCD"/>
    <w:rsid w:val="6E0104BB"/>
    <w:rsid w:val="6E110301"/>
    <w:rsid w:val="6E112732"/>
    <w:rsid w:val="6E2448BF"/>
    <w:rsid w:val="6E25340B"/>
    <w:rsid w:val="6E295B4C"/>
    <w:rsid w:val="6E326705"/>
    <w:rsid w:val="6E33023A"/>
    <w:rsid w:val="6E340D75"/>
    <w:rsid w:val="6E3737B0"/>
    <w:rsid w:val="6E384EEE"/>
    <w:rsid w:val="6E393FE4"/>
    <w:rsid w:val="6E3C7DC4"/>
    <w:rsid w:val="6E3F60E7"/>
    <w:rsid w:val="6E453EFB"/>
    <w:rsid w:val="6E484424"/>
    <w:rsid w:val="6E49217F"/>
    <w:rsid w:val="6E4A3115"/>
    <w:rsid w:val="6E4B1E02"/>
    <w:rsid w:val="6E4F0141"/>
    <w:rsid w:val="6E534249"/>
    <w:rsid w:val="6E5A3F52"/>
    <w:rsid w:val="6E5A4F5D"/>
    <w:rsid w:val="6E5B08EE"/>
    <w:rsid w:val="6E5B6C56"/>
    <w:rsid w:val="6E621B6A"/>
    <w:rsid w:val="6E6C6F01"/>
    <w:rsid w:val="6E6E5824"/>
    <w:rsid w:val="6E7122AD"/>
    <w:rsid w:val="6E714533"/>
    <w:rsid w:val="6E74189A"/>
    <w:rsid w:val="6E774CAB"/>
    <w:rsid w:val="6E7E52D2"/>
    <w:rsid w:val="6E86225B"/>
    <w:rsid w:val="6E8A33E2"/>
    <w:rsid w:val="6E8B590E"/>
    <w:rsid w:val="6E8D1531"/>
    <w:rsid w:val="6E8E698A"/>
    <w:rsid w:val="6E9443A1"/>
    <w:rsid w:val="6E94756F"/>
    <w:rsid w:val="6E970562"/>
    <w:rsid w:val="6E970EF1"/>
    <w:rsid w:val="6E974729"/>
    <w:rsid w:val="6E9949FD"/>
    <w:rsid w:val="6EA51EF8"/>
    <w:rsid w:val="6EBB1AF3"/>
    <w:rsid w:val="6EC249CB"/>
    <w:rsid w:val="6ECD124A"/>
    <w:rsid w:val="6ECD3116"/>
    <w:rsid w:val="6ED40BE9"/>
    <w:rsid w:val="6ED45C35"/>
    <w:rsid w:val="6EDE2127"/>
    <w:rsid w:val="6EE532A5"/>
    <w:rsid w:val="6EE70C01"/>
    <w:rsid w:val="6EEE6FFB"/>
    <w:rsid w:val="6EF52778"/>
    <w:rsid w:val="6EF9225D"/>
    <w:rsid w:val="6EFD1F1F"/>
    <w:rsid w:val="6F0060E8"/>
    <w:rsid w:val="6F052EFE"/>
    <w:rsid w:val="6F085E6C"/>
    <w:rsid w:val="6F0B197E"/>
    <w:rsid w:val="6F0D2007"/>
    <w:rsid w:val="6F0E23F9"/>
    <w:rsid w:val="6F122E01"/>
    <w:rsid w:val="6F1251EB"/>
    <w:rsid w:val="6F1513F1"/>
    <w:rsid w:val="6F175F74"/>
    <w:rsid w:val="6F274EB9"/>
    <w:rsid w:val="6F2F4D45"/>
    <w:rsid w:val="6F3107EB"/>
    <w:rsid w:val="6F3201BB"/>
    <w:rsid w:val="6F406C3B"/>
    <w:rsid w:val="6F42675E"/>
    <w:rsid w:val="6F464621"/>
    <w:rsid w:val="6F481D19"/>
    <w:rsid w:val="6F577DA2"/>
    <w:rsid w:val="6F5844E1"/>
    <w:rsid w:val="6F630687"/>
    <w:rsid w:val="6F67273C"/>
    <w:rsid w:val="6F692F98"/>
    <w:rsid w:val="6F71080A"/>
    <w:rsid w:val="6F71498D"/>
    <w:rsid w:val="6F7A658D"/>
    <w:rsid w:val="6F853D07"/>
    <w:rsid w:val="6F8814D8"/>
    <w:rsid w:val="6F8951EA"/>
    <w:rsid w:val="6F900A86"/>
    <w:rsid w:val="6FAE0519"/>
    <w:rsid w:val="6FB106E7"/>
    <w:rsid w:val="6FB574F3"/>
    <w:rsid w:val="6FB845DD"/>
    <w:rsid w:val="6FB933F2"/>
    <w:rsid w:val="6FBD78BA"/>
    <w:rsid w:val="6FBF31C1"/>
    <w:rsid w:val="6FC93A35"/>
    <w:rsid w:val="6FDA1F2A"/>
    <w:rsid w:val="6FDC3460"/>
    <w:rsid w:val="6FDD43D7"/>
    <w:rsid w:val="6FE314E2"/>
    <w:rsid w:val="6FEB4FFC"/>
    <w:rsid w:val="6FF1115C"/>
    <w:rsid w:val="6FF37BFE"/>
    <w:rsid w:val="6FF9501C"/>
    <w:rsid w:val="70014952"/>
    <w:rsid w:val="700B7F53"/>
    <w:rsid w:val="700C1AAD"/>
    <w:rsid w:val="70123702"/>
    <w:rsid w:val="70123B53"/>
    <w:rsid w:val="701C4B5A"/>
    <w:rsid w:val="701F75B0"/>
    <w:rsid w:val="702108F0"/>
    <w:rsid w:val="702112F5"/>
    <w:rsid w:val="702C1836"/>
    <w:rsid w:val="703069C4"/>
    <w:rsid w:val="70397AD9"/>
    <w:rsid w:val="703B0DE5"/>
    <w:rsid w:val="703D5568"/>
    <w:rsid w:val="704472F6"/>
    <w:rsid w:val="704705DE"/>
    <w:rsid w:val="70481606"/>
    <w:rsid w:val="704A0EDC"/>
    <w:rsid w:val="704C679B"/>
    <w:rsid w:val="704E7F20"/>
    <w:rsid w:val="705F19C0"/>
    <w:rsid w:val="70615124"/>
    <w:rsid w:val="70626F9E"/>
    <w:rsid w:val="70641AA1"/>
    <w:rsid w:val="706B7FE4"/>
    <w:rsid w:val="706D6AFB"/>
    <w:rsid w:val="7073014D"/>
    <w:rsid w:val="70763C67"/>
    <w:rsid w:val="707B5573"/>
    <w:rsid w:val="70821C73"/>
    <w:rsid w:val="7084156E"/>
    <w:rsid w:val="70867E17"/>
    <w:rsid w:val="70873B0D"/>
    <w:rsid w:val="70925DFD"/>
    <w:rsid w:val="7094035D"/>
    <w:rsid w:val="70945979"/>
    <w:rsid w:val="709F7F5B"/>
    <w:rsid w:val="70A47C9A"/>
    <w:rsid w:val="70A64E4C"/>
    <w:rsid w:val="70A84778"/>
    <w:rsid w:val="70A84F1A"/>
    <w:rsid w:val="70AE73F0"/>
    <w:rsid w:val="70B03466"/>
    <w:rsid w:val="70B03795"/>
    <w:rsid w:val="70BC0E9C"/>
    <w:rsid w:val="70BF0EEE"/>
    <w:rsid w:val="70C44334"/>
    <w:rsid w:val="70CA2BE0"/>
    <w:rsid w:val="70CB272F"/>
    <w:rsid w:val="70CF2A7C"/>
    <w:rsid w:val="70D85466"/>
    <w:rsid w:val="70DA4066"/>
    <w:rsid w:val="70DC0993"/>
    <w:rsid w:val="70DF02DE"/>
    <w:rsid w:val="70E31042"/>
    <w:rsid w:val="70E957FE"/>
    <w:rsid w:val="70EC2331"/>
    <w:rsid w:val="70F10AAB"/>
    <w:rsid w:val="70F34C26"/>
    <w:rsid w:val="70F753B0"/>
    <w:rsid w:val="70F75BB4"/>
    <w:rsid w:val="70FC48D3"/>
    <w:rsid w:val="70FE06D9"/>
    <w:rsid w:val="71044AC1"/>
    <w:rsid w:val="7106656B"/>
    <w:rsid w:val="710E18C8"/>
    <w:rsid w:val="711261FF"/>
    <w:rsid w:val="71147AC3"/>
    <w:rsid w:val="711A29A3"/>
    <w:rsid w:val="711D234E"/>
    <w:rsid w:val="712756BD"/>
    <w:rsid w:val="71281771"/>
    <w:rsid w:val="71285F27"/>
    <w:rsid w:val="71306538"/>
    <w:rsid w:val="71313A38"/>
    <w:rsid w:val="71363BBD"/>
    <w:rsid w:val="713A4FB4"/>
    <w:rsid w:val="71432071"/>
    <w:rsid w:val="71435776"/>
    <w:rsid w:val="714621FD"/>
    <w:rsid w:val="714A51D5"/>
    <w:rsid w:val="7154369C"/>
    <w:rsid w:val="71626FC2"/>
    <w:rsid w:val="7168590C"/>
    <w:rsid w:val="71694849"/>
    <w:rsid w:val="716E395C"/>
    <w:rsid w:val="7170041E"/>
    <w:rsid w:val="717B47A4"/>
    <w:rsid w:val="71884ABB"/>
    <w:rsid w:val="71890550"/>
    <w:rsid w:val="71914A52"/>
    <w:rsid w:val="7195364D"/>
    <w:rsid w:val="71A34481"/>
    <w:rsid w:val="71A71C58"/>
    <w:rsid w:val="71AE79FA"/>
    <w:rsid w:val="71B672EC"/>
    <w:rsid w:val="71B756C0"/>
    <w:rsid w:val="71B87CF9"/>
    <w:rsid w:val="71BB4273"/>
    <w:rsid w:val="71BC0467"/>
    <w:rsid w:val="71BD11B1"/>
    <w:rsid w:val="71C43C96"/>
    <w:rsid w:val="71D45FF1"/>
    <w:rsid w:val="71DC2285"/>
    <w:rsid w:val="71E15769"/>
    <w:rsid w:val="71E93027"/>
    <w:rsid w:val="71EB5C80"/>
    <w:rsid w:val="71F3589D"/>
    <w:rsid w:val="71F63D0F"/>
    <w:rsid w:val="720748AD"/>
    <w:rsid w:val="720C37E2"/>
    <w:rsid w:val="7213346E"/>
    <w:rsid w:val="72151062"/>
    <w:rsid w:val="72156CC2"/>
    <w:rsid w:val="721877E0"/>
    <w:rsid w:val="72207940"/>
    <w:rsid w:val="72230EAA"/>
    <w:rsid w:val="722623C4"/>
    <w:rsid w:val="72283659"/>
    <w:rsid w:val="722946D1"/>
    <w:rsid w:val="72322631"/>
    <w:rsid w:val="72370D18"/>
    <w:rsid w:val="7239362C"/>
    <w:rsid w:val="723A3841"/>
    <w:rsid w:val="72405012"/>
    <w:rsid w:val="724D1244"/>
    <w:rsid w:val="72644C34"/>
    <w:rsid w:val="72646E64"/>
    <w:rsid w:val="726F60CC"/>
    <w:rsid w:val="7272034D"/>
    <w:rsid w:val="7275704F"/>
    <w:rsid w:val="72783AF5"/>
    <w:rsid w:val="72830B25"/>
    <w:rsid w:val="72854D74"/>
    <w:rsid w:val="72861860"/>
    <w:rsid w:val="72875B6B"/>
    <w:rsid w:val="729069F5"/>
    <w:rsid w:val="72935416"/>
    <w:rsid w:val="729515CC"/>
    <w:rsid w:val="729D76D4"/>
    <w:rsid w:val="72A307AB"/>
    <w:rsid w:val="72A73EF1"/>
    <w:rsid w:val="72B510B3"/>
    <w:rsid w:val="72B850F5"/>
    <w:rsid w:val="72BB3916"/>
    <w:rsid w:val="72BD5877"/>
    <w:rsid w:val="72C0051A"/>
    <w:rsid w:val="72C82294"/>
    <w:rsid w:val="72CE6C55"/>
    <w:rsid w:val="72D33EE3"/>
    <w:rsid w:val="72D61F79"/>
    <w:rsid w:val="72D65D4A"/>
    <w:rsid w:val="72E04284"/>
    <w:rsid w:val="72E12307"/>
    <w:rsid w:val="72E84779"/>
    <w:rsid w:val="72E94A03"/>
    <w:rsid w:val="72EA4D74"/>
    <w:rsid w:val="72F477FF"/>
    <w:rsid w:val="730357EE"/>
    <w:rsid w:val="730515B0"/>
    <w:rsid w:val="73073923"/>
    <w:rsid w:val="730C4F79"/>
    <w:rsid w:val="730E4F24"/>
    <w:rsid w:val="730E72C1"/>
    <w:rsid w:val="731259A3"/>
    <w:rsid w:val="73195122"/>
    <w:rsid w:val="73196914"/>
    <w:rsid w:val="731B2790"/>
    <w:rsid w:val="73231991"/>
    <w:rsid w:val="732366D3"/>
    <w:rsid w:val="732766E2"/>
    <w:rsid w:val="73322BD9"/>
    <w:rsid w:val="73376222"/>
    <w:rsid w:val="733A22A8"/>
    <w:rsid w:val="734423E2"/>
    <w:rsid w:val="73483D77"/>
    <w:rsid w:val="734C3A2C"/>
    <w:rsid w:val="734E3165"/>
    <w:rsid w:val="734E40F1"/>
    <w:rsid w:val="7354399A"/>
    <w:rsid w:val="735B62B3"/>
    <w:rsid w:val="73620BF8"/>
    <w:rsid w:val="736360E7"/>
    <w:rsid w:val="73664373"/>
    <w:rsid w:val="736D1230"/>
    <w:rsid w:val="73747C82"/>
    <w:rsid w:val="737606A5"/>
    <w:rsid w:val="7379551E"/>
    <w:rsid w:val="737E1AC0"/>
    <w:rsid w:val="73871BEB"/>
    <w:rsid w:val="73873911"/>
    <w:rsid w:val="738C16D2"/>
    <w:rsid w:val="738D522F"/>
    <w:rsid w:val="738F0AD7"/>
    <w:rsid w:val="738F7EDE"/>
    <w:rsid w:val="739C79EA"/>
    <w:rsid w:val="739F1D6B"/>
    <w:rsid w:val="73A35D11"/>
    <w:rsid w:val="73A53030"/>
    <w:rsid w:val="73A92787"/>
    <w:rsid w:val="73AA2461"/>
    <w:rsid w:val="73AA7B93"/>
    <w:rsid w:val="73B93355"/>
    <w:rsid w:val="73BF1C74"/>
    <w:rsid w:val="73C52A9F"/>
    <w:rsid w:val="73C55B7E"/>
    <w:rsid w:val="73D14923"/>
    <w:rsid w:val="73DB3EED"/>
    <w:rsid w:val="73E1122C"/>
    <w:rsid w:val="73E13790"/>
    <w:rsid w:val="73F157B3"/>
    <w:rsid w:val="74072D55"/>
    <w:rsid w:val="740D09C5"/>
    <w:rsid w:val="740D0EF7"/>
    <w:rsid w:val="74103EC1"/>
    <w:rsid w:val="741077F1"/>
    <w:rsid w:val="741079F0"/>
    <w:rsid w:val="74112CC9"/>
    <w:rsid w:val="7416356A"/>
    <w:rsid w:val="741732A4"/>
    <w:rsid w:val="74186A2A"/>
    <w:rsid w:val="74204FBB"/>
    <w:rsid w:val="742170EF"/>
    <w:rsid w:val="742812A5"/>
    <w:rsid w:val="74286015"/>
    <w:rsid w:val="74300567"/>
    <w:rsid w:val="74380FF8"/>
    <w:rsid w:val="74433200"/>
    <w:rsid w:val="7443682B"/>
    <w:rsid w:val="74477E06"/>
    <w:rsid w:val="74485F7C"/>
    <w:rsid w:val="744A065C"/>
    <w:rsid w:val="744A2224"/>
    <w:rsid w:val="744C55AD"/>
    <w:rsid w:val="744F1751"/>
    <w:rsid w:val="745F6915"/>
    <w:rsid w:val="74644E47"/>
    <w:rsid w:val="7467282E"/>
    <w:rsid w:val="7471116C"/>
    <w:rsid w:val="74735449"/>
    <w:rsid w:val="7473565F"/>
    <w:rsid w:val="74792299"/>
    <w:rsid w:val="74823850"/>
    <w:rsid w:val="748535AC"/>
    <w:rsid w:val="748F51CD"/>
    <w:rsid w:val="74A30BAF"/>
    <w:rsid w:val="74A97AB0"/>
    <w:rsid w:val="74AE130D"/>
    <w:rsid w:val="74B340F5"/>
    <w:rsid w:val="74B45AF7"/>
    <w:rsid w:val="74BF4E24"/>
    <w:rsid w:val="74C051CC"/>
    <w:rsid w:val="74C85F19"/>
    <w:rsid w:val="74D00111"/>
    <w:rsid w:val="74D01B9E"/>
    <w:rsid w:val="74D358F9"/>
    <w:rsid w:val="74D53EC8"/>
    <w:rsid w:val="74D75E16"/>
    <w:rsid w:val="74DB04A8"/>
    <w:rsid w:val="74E33C8A"/>
    <w:rsid w:val="74E6745D"/>
    <w:rsid w:val="74E7169D"/>
    <w:rsid w:val="74E93280"/>
    <w:rsid w:val="74E97435"/>
    <w:rsid w:val="74EE733D"/>
    <w:rsid w:val="74F40A1C"/>
    <w:rsid w:val="74FE0E22"/>
    <w:rsid w:val="74FF28E9"/>
    <w:rsid w:val="74FF41DD"/>
    <w:rsid w:val="75065385"/>
    <w:rsid w:val="750B5164"/>
    <w:rsid w:val="750F7C10"/>
    <w:rsid w:val="751265B4"/>
    <w:rsid w:val="751621EE"/>
    <w:rsid w:val="752333F4"/>
    <w:rsid w:val="752F0A3E"/>
    <w:rsid w:val="753B031C"/>
    <w:rsid w:val="753C2DAC"/>
    <w:rsid w:val="753E6EFB"/>
    <w:rsid w:val="753F7BB1"/>
    <w:rsid w:val="75407247"/>
    <w:rsid w:val="75450410"/>
    <w:rsid w:val="754601E1"/>
    <w:rsid w:val="755071AF"/>
    <w:rsid w:val="75555328"/>
    <w:rsid w:val="755F0C29"/>
    <w:rsid w:val="755F1CA2"/>
    <w:rsid w:val="75692C39"/>
    <w:rsid w:val="75695C6E"/>
    <w:rsid w:val="756972D5"/>
    <w:rsid w:val="756E3A33"/>
    <w:rsid w:val="756F4108"/>
    <w:rsid w:val="757C53F9"/>
    <w:rsid w:val="757D295A"/>
    <w:rsid w:val="757D2C94"/>
    <w:rsid w:val="75837377"/>
    <w:rsid w:val="758725B2"/>
    <w:rsid w:val="7588298E"/>
    <w:rsid w:val="758F63C0"/>
    <w:rsid w:val="759053BD"/>
    <w:rsid w:val="7591681F"/>
    <w:rsid w:val="75972CD7"/>
    <w:rsid w:val="759739FC"/>
    <w:rsid w:val="75980658"/>
    <w:rsid w:val="759C7D71"/>
    <w:rsid w:val="759D1995"/>
    <w:rsid w:val="75A02E27"/>
    <w:rsid w:val="75A37C0D"/>
    <w:rsid w:val="75A37D50"/>
    <w:rsid w:val="75A75B9E"/>
    <w:rsid w:val="75A75CB1"/>
    <w:rsid w:val="75B07C02"/>
    <w:rsid w:val="75B10717"/>
    <w:rsid w:val="75B746CC"/>
    <w:rsid w:val="75BA5ABA"/>
    <w:rsid w:val="75BB6F91"/>
    <w:rsid w:val="75BF7C22"/>
    <w:rsid w:val="75C15777"/>
    <w:rsid w:val="75DC4D0A"/>
    <w:rsid w:val="75DD6AAF"/>
    <w:rsid w:val="75E2215D"/>
    <w:rsid w:val="75E57E8C"/>
    <w:rsid w:val="75E71491"/>
    <w:rsid w:val="75E90372"/>
    <w:rsid w:val="75ED27FF"/>
    <w:rsid w:val="75F157F1"/>
    <w:rsid w:val="75FA4B8F"/>
    <w:rsid w:val="75FE178F"/>
    <w:rsid w:val="7608263A"/>
    <w:rsid w:val="760B256B"/>
    <w:rsid w:val="760B4054"/>
    <w:rsid w:val="761404BC"/>
    <w:rsid w:val="7617799E"/>
    <w:rsid w:val="76190456"/>
    <w:rsid w:val="761A3D77"/>
    <w:rsid w:val="761C1193"/>
    <w:rsid w:val="76211648"/>
    <w:rsid w:val="76217453"/>
    <w:rsid w:val="762204E2"/>
    <w:rsid w:val="76242719"/>
    <w:rsid w:val="7632464A"/>
    <w:rsid w:val="76347EF8"/>
    <w:rsid w:val="763718EC"/>
    <w:rsid w:val="76405C00"/>
    <w:rsid w:val="764506D6"/>
    <w:rsid w:val="76462217"/>
    <w:rsid w:val="764B20CC"/>
    <w:rsid w:val="765A460A"/>
    <w:rsid w:val="76633837"/>
    <w:rsid w:val="766F0F9D"/>
    <w:rsid w:val="76711929"/>
    <w:rsid w:val="76717AF9"/>
    <w:rsid w:val="76720BC3"/>
    <w:rsid w:val="767E7D3E"/>
    <w:rsid w:val="767F0A28"/>
    <w:rsid w:val="767F628B"/>
    <w:rsid w:val="76837F13"/>
    <w:rsid w:val="768D2771"/>
    <w:rsid w:val="769C10F0"/>
    <w:rsid w:val="769D1B86"/>
    <w:rsid w:val="76A166C4"/>
    <w:rsid w:val="76AB4BCD"/>
    <w:rsid w:val="76AC7B90"/>
    <w:rsid w:val="76B3002A"/>
    <w:rsid w:val="76B34860"/>
    <w:rsid w:val="76BB7678"/>
    <w:rsid w:val="76BE1EF6"/>
    <w:rsid w:val="76C06AFD"/>
    <w:rsid w:val="76C76A0C"/>
    <w:rsid w:val="76D01345"/>
    <w:rsid w:val="76D0549E"/>
    <w:rsid w:val="76D87025"/>
    <w:rsid w:val="76D91558"/>
    <w:rsid w:val="76DC01B8"/>
    <w:rsid w:val="76DF52F1"/>
    <w:rsid w:val="76E562D8"/>
    <w:rsid w:val="76F060CD"/>
    <w:rsid w:val="76F07212"/>
    <w:rsid w:val="76F25D1E"/>
    <w:rsid w:val="76F760AF"/>
    <w:rsid w:val="770172DC"/>
    <w:rsid w:val="77021EBB"/>
    <w:rsid w:val="77051062"/>
    <w:rsid w:val="77090FE9"/>
    <w:rsid w:val="7711169C"/>
    <w:rsid w:val="771E21B4"/>
    <w:rsid w:val="771E6E15"/>
    <w:rsid w:val="77230C23"/>
    <w:rsid w:val="772958E1"/>
    <w:rsid w:val="77295990"/>
    <w:rsid w:val="773062B8"/>
    <w:rsid w:val="77322B04"/>
    <w:rsid w:val="773844BE"/>
    <w:rsid w:val="77391D99"/>
    <w:rsid w:val="77393110"/>
    <w:rsid w:val="773A2CFF"/>
    <w:rsid w:val="773C44D5"/>
    <w:rsid w:val="773E3310"/>
    <w:rsid w:val="774D4BB9"/>
    <w:rsid w:val="774F28AA"/>
    <w:rsid w:val="775413E5"/>
    <w:rsid w:val="77592225"/>
    <w:rsid w:val="775978C3"/>
    <w:rsid w:val="775B24C0"/>
    <w:rsid w:val="775E2406"/>
    <w:rsid w:val="77600628"/>
    <w:rsid w:val="77642336"/>
    <w:rsid w:val="776749E6"/>
    <w:rsid w:val="776D1B34"/>
    <w:rsid w:val="776D49F4"/>
    <w:rsid w:val="776D514F"/>
    <w:rsid w:val="7772322B"/>
    <w:rsid w:val="777B5838"/>
    <w:rsid w:val="777E0588"/>
    <w:rsid w:val="7783170E"/>
    <w:rsid w:val="778655DC"/>
    <w:rsid w:val="77870F3E"/>
    <w:rsid w:val="778833A9"/>
    <w:rsid w:val="77977DE9"/>
    <w:rsid w:val="779C165A"/>
    <w:rsid w:val="779D0621"/>
    <w:rsid w:val="77A35ABC"/>
    <w:rsid w:val="77AA17BC"/>
    <w:rsid w:val="77AE5CCD"/>
    <w:rsid w:val="77B36485"/>
    <w:rsid w:val="77BB2498"/>
    <w:rsid w:val="77BD55FB"/>
    <w:rsid w:val="77C8522A"/>
    <w:rsid w:val="77CA0789"/>
    <w:rsid w:val="77CA4EFD"/>
    <w:rsid w:val="77CF6CB5"/>
    <w:rsid w:val="77D25A69"/>
    <w:rsid w:val="77D74109"/>
    <w:rsid w:val="77D90C39"/>
    <w:rsid w:val="77DC5E07"/>
    <w:rsid w:val="77E530F9"/>
    <w:rsid w:val="77F04B77"/>
    <w:rsid w:val="77F27263"/>
    <w:rsid w:val="77F624B0"/>
    <w:rsid w:val="780668BB"/>
    <w:rsid w:val="78075AA4"/>
    <w:rsid w:val="78094675"/>
    <w:rsid w:val="7810609A"/>
    <w:rsid w:val="78160BBA"/>
    <w:rsid w:val="781D3EC9"/>
    <w:rsid w:val="781E159A"/>
    <w:rsid w:val="782D5707"/>
    <w:rsid w:val="783256DC"/>
    <w:rsid w:val="783902C3"/>
    <w:rsid w:val="783A532E"/>
    <w:rsid w:val="78426684"/>
    <w:rsid w:val="78454914"/>
    <w:rsid w:val="784E7611"/>
    <w:rsid w:val="78593244"/>
    <w:rsid w:val="78610813"/>
    <w:rsid w:val="787258A0"/>
    <w:rsid w:val="78727577"/>
    <w:rsid w:val="78763033"/>
    <w:rsid w:val="78781BEE"/>
    <w:rsid w:val="788347FC"/>
    <w:rsid w:val="7884727F"/>
    <w:rsid w:val="7889721C"/>
    <w:rsid w:val="788A238A"/>
    <w:rsid w:val="788D4B31"/>
    <w:rsid w:val="78901B4E"/>
    <w:rsid w:val="78953416"/>
    <w:rsid w:val="789A7610"/>
    <w:rsid w:val="78A84423"/>
    <w:rsid w:val="78AF2345"/>
    <w:rsid w:val="78B1683E"/>
    <w:rsid w:val="78B26E76"/>
    <w:rsid w:val="78B46358"/>
    <w:rsid w:val="78BD4FBF"/>
    <w:rsid w:val="78BD71AE"/>
    <w:rsid w:val="78C349EA"/>
    <w:rsid w:val="78C95352"/>
    <w:rsid w:val="78CB123F"/>
    <w:rsid w:val="78CC59C5"/>
    <w:rsid w:val="78D76AB8"/>
    <w:rsid w:val="78DE7CD8"/>
    <w:rsid w:val="78E37E72"/>
    <w:rsid w:val="78E47CC1"/>
    <w:rsid w:val="78E77D4F"/>
    <w:rsid w:val="78E9231C"/>
    <w:rsid w:val="78F121E0"/>
    <w:rsid w:val="78F75D6C"/>
    <w:rsid w:val="78FD1B58"/>
    <w:rsid w:val="790327C3"/>
    <w:rsid w:val="79083ED9"/>
    <w:rsid w:val="79133545"/>
    <w:rsid w:val="79136D0E"/>
    <w:rsid w:val="7920391D"/>
    <w:rsid w:val="79223629"/>
    <w:rsid w:val="792C6423"/>
    <w:rsid w:val="793032B3"/>
    <w:rsid w:val="79356CC4"/>
    <w:rsid w:val="793C7971"/>
    <w:rsid w:val="793D4F43"/>
    <w:rsid w:val="794D5F36"/>
    <w:rsid w:val="796074BB"/>
    <w:rsid w:val="796626B2"/>
    <w:rsid w:val="796C1390"/>
    <w:rsid w:val="796D663D"/>
    <w:rsid w:val="79771244"/>
    <w:rsid w:val="797815E8"/>
    <w:rsid w:val="797A5FD6"/>
    <w:rsid w:val="797D6F5F"/>
    <w:rsid w:val="79847C72"/>
    <w:rsid w:val="79873188"/>
    <w:rsid w:val="79874FCE"/>
    <w:rsid w:val="7987659E"/>
    <w:rsid w:val="798F7898"/>
    <w:rsid w:val="79900474"/>
    <w:rsid w:val="799A1F24"/>
    <w:rsid w:val="799B0DE6"/>
    <w:rsid w:val="79B40346"/>
    <w:rsid w:val="79B5214B"/>
    <w:rsid w:val="79BA60F6"/>
    <w:rsid w:val="79BA7A28"/>
    <w:rsid w:val="79BF12A9"/>
    <w:rsid w:val="79C057D2"/>
    <w:rsid w:val="79C11B59"/>
    <w:rsid w:val="79C83207"/>
    <w:rsid w:val="79CA2F04"/>
    <w:rsid w:val="79CA76F9"/>
    <w:rsid w:val="79D007CA"/>
    <w:rsid w:val="79D16717"/>
    <w:rsid w:val="79D516B5"/>
    <w:rsid w:val="79EB7B4C"/>
    <w:rsid w:val="79F21477"/>
    <w:rsid w:val="79F22A96"/>
    <w:rsid w:val="79F30209"/>
    <w:rsid w:val="79F83D37"/>
    <w:rsid w:val="7A080898"/>
    <w:rsid w:val="7A0853B4"/>
    <w:rsid w:val="7A0E7B20"/>
    <w:rsid w:val="7A0F162C"/>
    <w:rsid w:val="7A147D76"/>
    <w:rsid w:val="7A183F9E"/>
    <w:rsid w:val="7A197638"/>
    <w:rsid w:val="7A1F146D"/>
    <w:rsid w:val="7A243E7F"/>
    <w:rsid w:val="7A3605F0"/>
    <w:rsid w:val="7A3E79CA"/>
    <w:rsid w:val="7A3F4471"/>
    <w:rsid w:val="7A3F71A6"/>
    <w:rsid w:val="7A4E778C"/>
    <w:rsid w:val="7A52260F"/>
    <w:rsid w:val="7A5A0DD3"/>
    <w:rsid w:val="7A62402B"/>
    <w:rsid w:val="7A63740A"/>
    <w:rsid w:val="7A6C3532"/>
    <w:rsid w:val="7A782633"/>
    <w:rsid w:val="7A7B5F7C"/>
    <w:rsid w:val="7A7C1501"/>
    <w:rsid w:val="7A8857A0"/>
    <w:rsid w:val="7A91169F"/>
    <w:rsid w:val="7A961169"/>
    <w:rsid w:val="7A961FE6"/>
    <w:rsid w:val="7A9D5D7B"/>
    <w:rsid w:val="7A9F2AA0"/>
    <w:rsid w:val="7AA11F19"/>
    <w:rsid w:val="7AA6692F"/>
    <w:rsid w:val="7AAA35A7"/>
    <w:rsid w:val="7AAA781D"/>
    <w:rsid w:val="7AB1378A"/>
    <w:rsid w:val="7ABA7C88"/>
    <w:rsid w:val="7ABD330B"/>
    <w:rsid w:val="7ABF362B"/>
    <w:rsid w:val="7AC867A2"/>
    <w:rsid w:val="7AC92323"/>
    <w:rsid w:val="7ACC5704"/>
    <w:rsid w:val="7AD2011A"/>
    <w:rsid w:val="7AD23009"/>
    <w:rsid w:val="7AD66719"/>
    <w:rsid w:val="7AD70A1F"/>
    <w:rsid w:val="7AD96BD6"/>
    <w:rsid w:val="7ADB6B84"/>
    <w:rsid w:val="7ADC422F"/>
    <w:rsid w:val="7AE056D1"/>
    <w:rsid w:val="7AF14113"/>
    <w:rsid w:val="7AF1612D"/>
    <w:rsid w:val="7AFB59EF"/>
    <w:rsid w:val="7B0251CD"/>
    <w:rsid w:val="7B044178"/>
    <w:rsid w:val="7B05555B"/>
    <w:rsid w:val="7B0841B1"/>
    <w:rsid w:val="7B112C13"/>
    <w:rsid w:val="7B117147"/>
    <w:rsid w:val="7B165F22"/>
    <w:rsid w:val="7B186CCB"/>
    <w:rsid w:val="7B193CFE"/>
    <w:rsid w:val="7B2105ED"/>
    <w:rsid w:val="7B2333F1"/>
    <w:rsid w:val="7B290932"/>
    <w:rsid w:val="7B293245"/>
    <w:rsid w:val="7B2D2D29"/>
    <w:rsid w:val="7B332775"/>
    <w:rsid w:val="7B337562"/>
    <w:rsid w:val="7B447916"/>
    <w:rsid w:val="7B4D53F2"/>
    <w:rsid w:val="7B5C0649"/>
    <w:rsid w:val="7B601836"/>
    <w:rsid w:val="7B606ED9"/>
    <w:rsid w:val="7B672626"/>
    <w:rsid w:val="7B6F520F"/>
    <w:rsid w:val="7B732AEF"/>
    <w:rsid w:val="7B79679C"/>
    <w:rsid w:val="7B7B27BA"/>
    <w:rsid w:val="7B815DE0"/>
    <w:rsid w:val="7B893152"/>
    <w:rsid w:val="7B8D1930"/>
    <w:rsid w:val="7B94504D"/>
    <w:rsid w:val="7B9726D4"/>
    <w:rsid w:val="7B97675C"/>
    <w:rsid w:val="7B9D6283"/>
    <w:rsid w:val="7BA33DFA"/>
    <w:rsid w:val="7BA73891"/>
    <w:rsid w:val="7BB71D0A"/>
    <w:rsid w:val="7BBB7828"/>
    <w:rsid w:val="7BBF4A57"/>
    <w:rsid w:val="7BC90D4C"/>
    <w:rsid w:val="7BCE572E"/>
    <w:rsid w:val="7BDC2266"/>
    <w:rsid w:val="7BE021B9"/>
    <w:rsid w:val="7BE64EDE"/>
    <w:rsid w:val="7BF94403"/>
    <w:rsid w:val="7BFE330D"/>
    <w:rsid w:val="7C036B6C"/>
    <w:rsid w:val="7C0D42CC"/>
    <w:rsid w:val="7C0E5C37"/>
    <w:rsid w:val="7C1265E1"/>
    <w:rsid w:val="7C192DFD"/>
    <w:rsid w:val="7C1B030D"/>
    <w:rsid w:val="7C1B073B"/>
    <w:rsid w:val="7C2758EE"/>
    <w:rsid w:val="7C387699"/>
    <w:rsid w:val="7C3B5550"/>
    <w:rsid w:val="7C3C559D"/>
    <w:rsid w:val="7C3D43A8"/>
    <w:rsid w:val="7C3E323A"/>
    <w:rsid w:val="7C3E3FD3"/>
    <w:rsid w:val="7C417D92"/>
    <w:rsid w:val="7C4C01A6"/>
    <w:rsid w:val="7C530F05"/>
    <w:rsid w:val="7C541185"/>
    <w:rsid w:val="7C5C6E27"/>
    <w:rsid w:val="7C68278A"/>
    <w:rsid w:val="7C6B2424"/>
    <w:rsid w:val="7C6D6075"/>
    <w:rsid w:val="7C7707A9"/>
    <w:rsid w:val="7C7C2AEB"/>
    <w:rsid w:val="7C7C6DAE"/>
    <w:rsid w:val="7C7F06AF"/>
    <w:rsid w:val="7C8E11E8"/>
    <w:rsid w:val="7C9333C0"/>
    <w:rsid w:val="7CA60B4A"/>
    <w:rsid w:val="7CA94294"/>
    <w:rsid w:val="7CB2718A"/>
    <w:rsid w:val="7CB62252"/>
    <w:rsid w:val="7CB90562"/>
    <w:rsid w:val="7CD353ED"/>
    <w:rsid w:val="7CD944A3"/>
    <w:rsid w:val="7CE86881"/>
    <w:rsid w:val="7CE90287"/>
    <w:rsid w:val="7CEB71E4"/>
    <w:rsid w:val="7CF30482"/>
    <w:rsid w:val="7CF86A6C"/>
    <w:rsid w:val="7CFA0C04"/>
    <w:rsid w:val="7CFD37EC"/>
    <w:rsid w:val="7CFE46E5"/>
    <w:rsid w:val="7D013043"/>
    <w:rsid w:val="7D0219A7"/>
    <w:rsid w:val="7D0509BE"/>
    <w:rsid w:val="7D060A14"/>
    <w:rsid w:val="7D061F4D"/>
    <w:rsid w:val="7D0B0B1C"/>
    <w:rsid w:val="7D0D4DFA"/>
    <w:rsid w:val="7D140FA8"/>
    <w:rsid w:val="7D147FF5"/>
    <w:rsid w:val="7D1A1CE4"/>
    <w:rsid w:val="7D2B5269"/>
    <w:rsid w:val="7D3C62AC"/>
    <w:rsid w:val="7D3E5490"/>
    <w:rsid w:val="7D4229D6"/>
    <w:rsid w:val="7D4E7A1E"/>
    <w:rsid w:val="7D544B95"/>
    <w:rsid w:val="7D54545D"/>
    <w:rsid w:val="7D5C1A68"/>
    <w:rsid w:val="7D5C489B"/>
    <w:rsid w:val="7D5D64F1"/>
    <w:rsid w:val="7D610FD0"/>
    <w:rsid w:val="7D6441E3"/>
    <w:rsid w:val="7D684921"/>
    <w:rsid w:val="7D6C7CE2"/>
    <w:rsid w:val="7D704E26"/>
    <w:rsid w:val="7D73331F"/>
    <w:rsid w:val="7D74396C"/>
    <w:rsid w:val="7D774559"/>
    <w:rsid w:val="7D774C04"/>
    <w:rsid w:val="7D7928F6"/>
    <w:rsid w:val="7D7C32CB"/>
    <w:rsid w:val="7D80296E"/>
    <w:rsid w:val="7D874838"/>
    <w:rsid w:val="7D970A88"/>
    <w:rsid w:val="7D9810F0"/>
    <w:rsid w:val="7D987318"/>
    <w:rsid w:val="7DA038BE"/>
    <w:rsid w:val="7DA42B95"/>
    <w:rsid w:val="7DA464B2"/>
    <w:rsid w:val="7DA4743C"/>
    <w:rsid w:val="7DA9015A"/>
    <w:rsid w:val="7DAC2C25"/>
    <w:rsid w:val="7DAC5A45"/>
    <w:rsid w:val="7DAF4E99"/>
    <w:rsid w:val="7DB62AA3"/>
    <w:rsid w:val="7DBB3FB5"/>
    <w:rsid w:val="7DBE748D"/>
    <w:rsid w:val="7DC05B54"/>
    <w:rsid w:val="7DC54643"/>
    <w:rsid w:val="7DC67600"/>
    <w:rsid w:val="7DC70FA5"/>
    <w:rsid w:val="7DCE4F60"/>
    <w:rsid w:val="7DD96397"/>
    <w:rsid w:val="7DDB392F"/>
    <w:rsid w:val="7DE466DB"/>
    <w:rsid w:val="7DE745E1"/>
    <w:rsid w:val="7DEB3CA8"/>
    <w:rsid w:val="7DEB7A06"/>
    <w:rsid w:val="7DED36C2"/>
    <w:rsid w:val="7DF35631"/>
    <w:rsid w:val="7DF42A11"/>
    <w:rsid w:val="7DF52985"/>
    <w:rsid w:val="7DFD488E"/>
    <w:rsid w:val="7DFF359C"/>
    <w:rsid w:val="7E0215F5"/>
    <w:rsid w:val="7E063258"/>
    <w:rsid w:val="7E0A65D8"/>
    <w:rsid w:val="7E0E4DBE"/>
    <w:rsid w:val="7E0E6C2D"/>
    <w:rsid w:val="7E1B6711"/>
    <w:rsid w:val="7E216AA3"/>
    <w:rsid w:val="7E231A0C"/>
    <w:rsid w:val="7E2348C5"/>
    <w:rsid w:val="7E246165"/>
    <w:rsid w:val="7E26276D"/>
    <w:rsid w:val="7E2760F1"/>
    <w:rsid w:val="7E330FE8"/>
    <w:rsid w:val="7E380FD8"/>
    <w:rsid w:val="7E3D6195"/>
    <w:rsid w:val="7E421B66"/>
    <w:rsid w:val="7E431528"/>
    <w:rsid w:val="7E44549A"/>
    <w:rsid w:val="7E476D92"/>
    <w:rsid w:val="7E4C64F0"/>
    <w:rsid w:val="7E5519D0"/>
    <w:rsid w:val="7E6169CE"/>
    <w:rsid w:val="7E667220"/>
    <w:rsid w:val="7E6A4A8D"/>
    <w:rsid w:val="7E6F17C8"/>
    <w:rsid w:val="7E773EF7"/>
    <w:rsid w:val="7E7A3281"/>
    <w:rsid w:val="7E7C0054"/>
    <w:rsid w:val="7E7F1BCB"/>
    <w:rsid w:val="7E857064"/>
    <w:rsid w:val="7E8C0B11"/>
    <w:rsid w:val="7E91326B"/>
    <w:rsid w:val="7E955015"/>
    <w:rsid w:val="7E975686"/>
    <w:rsid w:val="7E994927"/>
    <w:rsid w:val="7E9E4817"/>
    <w:rsid w:val="7EA237D3"/>
    <w:rsid w:val="7EAD1F7E"/>
    <w:rsid w:val="7EAE2FF0"/>
    <w:rsid w:val="7EB31664"/>
    <w:rsid w:val="7EB53123"/>
    <w:rsid w:val="7EBB33C6"/>
    <w:rsid w:val="7ECE068E"/>
    <w:rsid w:val="7ECE5703"/>
    <w:rsid w:val="7ED53165"/>
    <w:rsid w:val="7ED66172"/>
    <w:rsid w:val="7EDA37B9"/>
    <w:rsid w:val="7EDE2B67"/>
    <w:rsid w:val="7EE16926"/>
    <w:rsid w:val="7EE72D6A"/>
    <w:rsid w:val="7EE82CCB"/>
    <w:rsid w:val="7EED6FD1"/>
    <w:rsid w:val="7F214438"/>
    <w:rsid w:val="7F2166EC"/>
    <w:rsid w:val="7F231A08"/>
    <w:rsid w:val="7F274860"/>
    <w:rsid w:val="7F2C4DAB"/>
    <w:rsid w:val="7F314FD3"/>
    <w:rsid w:val="7F3A656F"/>
    <w:rsid w:val="7F3D3ED3"/>
    <w:rsid w:val="7F45631B"/>
    <w:rsid w:val="7F485669"/>
    <w:rsid w:val="7F522DFA"/>
    <w:rsid w:val="7F561385"/>
    <w:rsid w:val="7F5651F1"/>
    <w:rsid w:val="7F5A52A0"/>
    <w:rsid w:val="7F651DB9"/>
    <w:rsid w:val="7F670DC8"/>
    <w:rsid w:val="7F6E50A9"/>
    <w:rsid w:val="7F716BC5"/>
    <w:rsid w:val="7F724D0F"/>
    <w:rsid w:val="7F727A0A"/>
    <w:rsid w:val="7F78235B"/>
    <w:rsid w:val="7F7A34C7"/>
    <w:rsid w:val="7F80132B"/>
    <w:rsid w:val="7F815155"/>
    <w:rsid w:val="7F8540D7"/>
    <w:rsid w:val="7F891B6E"/>
    <w:rsid w:val="7F8F7E72"/>
    <w:rsid w:val="7F953AB8"/>
    <w:rsid w:val="7F976362"/>
    <w:rsid w:val="7F9D0C8C"/>
    <w:rsid w:val="7FAC5D03"/>
    <w:rsid w:val="7FB8703D"/>
    <w:rsid w:val="7FB9037D"/>
    <w:rsid w:val="7FBD2C93"/>
    <w:rsid w:val="7FBD2E6E"/>
    <w:rsid w:val="7FC6309A"/>
    <w:rsid w:val="7FC70B2F"/>
    <w:rsid w:val="7FCA39A7"/>
    <w:rsid w:val="7FD16A5B"/>
    <w:rsid w:val="7FD72B4B"/>
    <w:rsid w:val="7FDD05B7"/>
    <w:rsid w:val="7FE225F5"/>
    <w:rsid w:val="7FE329BC"/>
    <w:rsid w:val="7FE50D44"/>
    <w:rsid w:val="7FEB651D"/>
    <w:rsid w:val="7FEC07B8"/>
    <w:rsid w:val="7FF05264"/>
    <w:rsid w:val="7FF22EF0"/>
    <w:rsid w:val="7FF468F2"/>
    <w:rsid w:val="7FFF363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qFormat="1"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9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4">
    <w:name w:val="heading 1"/>
    <w:basedOn w:val="1"/>
    <w:next w:val="1"/>
    <w:link w:val="141"/>
    <w:qFormat/>
    <w:uiPriority w:val="0"/>
    <w:pPr>
      <w:keepNext/>
      <w:keepLines/>
      <w:spacing w:line="360" w:lineRule="auto"/>
      <w:outlineLvl w:val="0"/>
    </w:pPr>
    <w:rPr>
      <w:b/>
      <w:bCs/>
      <w:kern w:val="44"/>
      <w:sz w:val="30"/>
      <w:szCs w:val="30"/>
    </w:rPr>
  </w:style>
  <w:style w:type="paragraph" w:styleId="5">
    <w:name w:val="heading 2"/>
    <w:basedOn w:val="1"/>
    <w:next w:val="1"/>
    <w:link w:val="119"/>
    <w:qFormat/>
    <w:uiPriority w:val="0"/>
    <w:pPr>
      <w:keepNext/>
      <w:keepLines/>
      <w:spacing w:before="50" w:beforeLines="50" w:after="50" w:afterLines="50" w:line="380" w:lineRule="exact"/>
      <w:outlineLvl w:val="1"/>
    </w:pPr>
    <w:rPr>
      <w:rFonts w:ascii="Arial" w:hAnsi="Arial" w:eastAsia="黑体"/>
      <w:bCs/>
      <w:kern w:val="0"/>
      <w:sz w:val="24"/>
    </w:rPr>
  </w:style>
  <w:style w:type="paragraph" w:styleId="6">
    <w:name w:val="heading 3"/>
    <w:basedOn w:val="1"/>
    <w:next w:val="1"/>
    <w:qFormat/>
    <w:uiPriority w:val="0"/>
    <w:pPr>
      <w:keepNext/>
      <w:keepLines/>
      <w:spacing w:before="50" w:beforeLines="50" w:after="50" w:afterLines="50" w:line="380" w:lineRule="exact"/>
      <w:outlineLvl w:val="2"/>
    </w:pPr>
    <w:rPr>
      <w:rFonts w:eastAsia="黑体"/>
      <w:bCs/>
      <w:sz w:val="24"/>
      <w:szCs w:val="32"/>
    </w:rPr>
  </w:style>
  <w:style w:type="paragraph" w:styleId="7">
    <w:name w:val="heading 4"/>
    <w:basedOn w:val="1"/>
    <w:next w:val="1"/>
    <w:link w:val="132"/>
    <w:qFormat/>
    <w:uiPriority w:val="0"/>
    <w:pPr>
      <w:keepNext/>
      <w:keepLines/>
      <w:spacing w:before="156" w:beforeLines="50" w:after="156" w:afterLines="50" w:line="380" w:lineRule="exact"/>
      <w:outlineLvl w:val="3"/>
    </w:pPr>
    <w:rPr>
      <w:b/>
      <w:bCs/>
      <w:sz w:val="24"/>
      <w:szCs w:val="28"/>
    </w:rPr>
  </w:style>
  <w:style w:type="character" w:default="1" w:styleId="31">
    <w:name w:val="Default Paragraph Font"/>
    <w:semiHidden/>
    <w:qFormat/>
    <w:uiPriority w:val="0"/>
  </w:style>
  <w:style w:type="table" w:default="1" w:styleId="27">
    <w:name w:val="Normal Table"/>
    <w:semiHidden/>
    <w:qFormat/>
    <w:uiPriority w:val="0"/>
    <w:tblPr>
      <w:tblCellMar>
        <w:top w:w="0" w:type="dxa"/>
        <w:left w:w="108" w:type="dxa"/>
        <w:bottom w:w="0" w:type="dxa"/>
        <w:right w:w="108" w:type="dxa"/>
      </w:tblCellMar>
    </w:tblPr>
  </w:style>
  <w:style w:type="paragraph" w:styleId="2">
    <w:name w:val="Plain Text"/>
    <w:basedOn w:val="1"/>
    <w:next w:val="3"/>
    <w:link w:val="122"/>
    <w:qFormat/>
    <w:uiPriority w:val="0"/>
    <w:rPr>
      <w:rFonts w:ascii="宋体" w:hAnsi="Courier New" w:cs="Courier New"/>
      <w:szCs w:val="21"/>
    </w:rPr>
  </w:style>
  <w:style w:type="paragraph" w:styleId="3">
    <w:name w:val="Salutation"/>
    <w:basedOn w:val="1"/>
    <w:next w:val="1"/>
    <w:qFormat/>
    <w:uiPriority w:val="0"/>
    <w:pPr>
      <w:spacing w:line="240" w:lineRule="auto"/>
      <w:ind w:firstLine="0" w:firstLineChars="0"/>
    </w:pPr>
    <w:rPr>
      <w:sz w:val="28"/>
      <w:szCs w:val="20"/>
    </w:rPr>
  </w:style>
  <w:style w:type="paragraph" w:styleId="8">
    <w:name w:val="Normal Indent"/>
    <w:basedOn w:val="1"/>
    <w:link w:val="125"/>
    <w:qFormat/>
    <w:uiPriority w:val="0"/>
    <w:pPr>
      <w:ind w:firstLine="420" w:firstLineChars="200"/>
    </w:pPr>
  </w:style>
  <w:style w:type="paragraph" w:styleId="9">
    <w:name w:val="caption"/>
    <w:basedOn w:val="1"/>
    <w:next w:val="1"/>
    <w:qFormat/>
    <w:uiPriority w:val="0"/>
    <w:rPr>
      <w:rFonts w:ascii="Arial" w:hAnsi="Arial" w:eastAsia="黑体" w:cs="Arial"/>
      <w:sz w:val="20"/>
      <w:szCs w:val="20"/>
    </w:rPr>
  </w:style>
  <w:style w:type="paragraph" w:styleId="10">
    <w:name w:val="Document Map"/>
    <w:basedOn w:val="1"/>
    <w:semiHidden/>
    <w:qFormat/>
    <w:uiPriority w:val="0"/>
    <w:pPr>
      <w:shd w:val="clear" w:color="auto" w:fill="000080"/>
    </w:pPr>
  </w:style>
  <w:style w:type="paragraph" w:styleId="11">
    <w:name w:val="annotation text"/>
    <w:basedOn w:val="1"/>
    <w:semiHidden/>
    <w:qFormat/>
    <w:uiPriority w:val="0"/>
    <w:pPr>
      <w:jc w:val="left"/>
    </w:pPr>
  </w:style>
  <w:style w:type="paragraph" w:styleId="12">
    <w:name w:val="Body Text"/>
    <w:basedOn w:val="1"/>
    <w:next w:val="1"/>
    <w:qFormat/>
    <w:uiPriority w:val="0"/>
    <w:pPr>
      <w:spacing w:after="120"/>
    </w:pPr>
  </w:style>
  <w:style w:type="paragraph" w:styleId="13">
    <w:name w:val="Body Text Indent"/>
    <w:basedOn w:val="1"/>
    <w:next w:val="14"/>
    <w:link w:val="118"/>
    <w:qFormat/>
    <w:uiPriority w:val="0"/>
    <w:pPr>
      <w:ind w:firstLine="540"/>
    </w:pPr>
    <w:rPr>
      <w:rFonts w:ascii="宋体"/>
      <w:sz w:val="28"/>
    </w:rPr>
  </w:style>
  <w:style w:type="paragraph" w:styleId="14">
    <w:name w:val="Body Text Indent 2"/>
    <w:basedOn w:val="1"/>
    <w:next w:val="15"/>
    <w:qFormat/>
    <w:uiPriority w:val="0"/>
    <w:pPr>
      <w:spacing w:after="120" w:line="480" w:lineRule="auto"/>
      <w:ind w:left="420" w:leftChars="200"/>
    </w:pPr>
  </w:style>
  <w:style w:type="paragraph" w:styleId="15">
    <w:name w:val="Body Text First Indent 2"/>
    <w:basedOn w:val="13"/>
    <w:next w:val="1"/>
    <w:qFormat/>
    <w:uiPriority w:val="0"/>
    <w:pPr>
      <w:spacing w:after="120" w:afterLines="0" w:line="240" w:lineRule="auto"/>
      <w:ind w:left="420" w:leftChars="200" w:firstLine="420" w:firstLineChars="200"/>
    </w:pPr>
    <w:rPr>
      <w:sz w:val="21"/>
      <w:szCs w:val="24"/>
    </w:rPr>
  </w:style>
  <w:style w:type="paragraph" w:styleId="16">
    <w:name w:val="toc 8"/>
    <w:basedOn w:val="1"/>
    <w:next w:val="1"/>
    <w:qFormat/>
    <w:uiPriority w:val="0"/>
    <w:pPr>
      <w:ind w:left="1470"/>
      <w:jc w:val="left"/>
    </w:pPr>
    <w:rPr>
      <w:sz w:val="18"/>
      <w:szCs w:val="18"/>
    </w:rPr>
  </w:style>
  <w:style w:type="paragraph" w:styleId="17">
    <w:name w:val="Balloon Text"/>
    <w:basedOn w:val="1"/>
    <w:semiHidden/>
    <w:qFormat/>
    <w:uiPriority w:val="0"/>
    <w:rPr>
      <w:sz w:val="18"/>
      <w:szCs w:val="18"/>
    </w:rPr>
  </w:style>
  <w:style w:type="paragraph" w:styleId="18">
    <w:name w:val="footer"/>
    <w:basedOn w:val="1"/>
    <w:link w:val="126"/>
    <w:qFormat/>
    <w:uiPriority w:val="0"/>
    <w:pPr>
      <w:tabs>
        <w:tab w:val="center" w:pos="4153"/>
        <w:tab w:val="right" w:pos="8306"/>
      </w:tabs>
      <w:snapToGrid w:val="0"/>
      <w:jc w:val="left"/>
    </w:pPr>
    <w:rPr>
      <w:sz w:val="18"/>
      <w:szCs w:val="18"/>
    </w:rPr>
  </w:style>
  <w:style w:type="paragraph" w:styleId="19">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20">
    <w:name w:val="Body Text Indent 3"/>
    <w:basedOn w:val="1"/>
    <w:qFormat/>
    <w:uiPriority w:val="0"/>
    <w:pPr>
      <w:spacing w:after="120"/>
      <w:ind w:left="420" w:leftChars="200"/>
    </w:pPr>
    <w:rPr>
      <w:sz w:val="16"/>
      <w:szCs w:val="16"/>
    </w:rPr>
  </w:style>
  <w:style w:type="paragraph" w:styleId="21">
    <w:name w:val="table of figures"/>
    <w:basedOn w:val="1"/>
    <w:next w:val="1"/>
    <w:qFormat/>
    <w:uiPriority w:val="0"/>
    <w:pPr>
      <w:widowControl w:val="0"/>
      <w:ind w:leftChars="200" w:hanging="200" w:hangingChars="200"/>
      <w:jc w:val="both"/>
    </w:pPr>
    <w:rPr>
      <w:rFonts w:ascii="Calibri" w:hAnsi="Calibri" w:cs="Times New Roman"/>
      <w:kern w:val="2"/>
      <w:sz w:val="21"/>
      <w:szCs w:val="22"/>
    </w:rPr>
  </w:style>
  <w:style w:type="paragraph" w:styleId="22">
    <w:name w:val="Body Text 2"/>
    <w:basedOn w:val="1"/>
    <w:qFormat/>
    <w:uiPriority w:val="0"/>
    <w:pPr>
      <w:spacing w:after="120" w:line="480" w:lineRule="auto"/>
    </w:pPr>
    <w:rPr>
      <w:szCs w:val="24"/>
    </w:rPr>
  </w:style>
  <w:style w:type="paragraph" w:styleId="23">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4">
    <w:name w:val="Normal (Web)"/>
    <w:basedOn w:val="1"/>
    <w:qFormat/>
    <w:uiPriority w:val="0"/>
    <w:rPr>
      <w:sz w:val="24"/>
      <w:szCs w:val="24"/>
    </w:rPr>
  </w:style>
  <w:style w:type="paragraph" w:styleId="25">
    <w:name w:val="annotation subject"/>
    <w:basedOn w:val="11"/>
    <w:next w:val="11"/>
    <w:semiHidden/>
    <w:qFormat/>
    <w:uiPriority w:val="0"/>
    <w:rPr>
      <w:b/>
      <w:bCs/>
    </w:rPr>
  </w:style>
  <w:style w:type="paragraph" w:styleId="26">
    <w:name w:val="Body Text First Indent"/>
    <w:basedOn w:val="12"/>
    <w:qFormat/>
    <w:uiPriority w:val="0"/>
    <w:pPr>
      <w:ind w:firstLine="420" w:firstLineChars="100"/>
    </w:pPr>
  </w:style>
  <w:style w:type="table" w:styleId="28">
    <w:name w:val="Table Grid"/>
    <w:basedOn w:val="2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9">
    <w:name w:val="Table Theme"/>
    <w:basedOn w:val="2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0">
    <w:name w:val="Table Grid 5"/>
    <w:basedOn w:val="2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single" w:color="000000" w:sz="12" w:space="0"/>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32">
    <w:name w:val="Strong"/>
    <w:qFormat/>
    <w:uiPriority w:val="22"/>
    <w:rPr>
      <w:b/>
      <w:bCs/>
    </w:rPr>
  </w:style>
  <w:style w:type="character" w:styleId="33">
    <w:name w:val="page number"/>
    <w:basedOn w:val="31"/>
    <w:qFormat/>
    <w:uiPriority w:val="0"/>
  </w:style>
  <w:style w:type="character" w:styleId="34">
    <w:name w:val="Hyperlink"/>
    <w:qFormat/>
    <w:uiPriority w:val="0"/>
    <w:rPr>
      <w:color w:val="3366CC"/>
      <w:u w:val="single"/>
    </w:rPr>
  </w:style>
  <w:style w:type="character" w:styleId="35">
    <w:name w:val="annotation reference"/>
    <w:qFormat/>
    <w:uiPriority w:val="0"/>
    <w:rPr>
      <w:sz w:val="21"/>
      <w:szCs w:val="21"/>
    </w:rPr>
  </w:style>
  <w:style w:type="paragraph" w:customStyle="1" w:styleId="36">
    <w:name w:val="Default"/>
    <w:next w:val="15"/>
    <w:qFormat/>
    <w:uiPriority w:val="0"/>
    <w:pPr>
      <w:widowControl w:val="0"/>
      <w:autoSpaceDE w:val="0"/>
      <w:autoSpaceDN w:val="0"/>
      <w:adjustRightInd w:val="0"/>
      <w:jc w:val="center"/>
    </w:pPr>
    <w:rPr>
      <w:rFonts w:ascii="仿宋_GB2312" w:hAnsi="仿宋_GB2312" w:eastAsia="宋体" w:cs="仿宋_GB2312"/>
      <w:color w:val="000000"/>
      <w:sz w:val="24"/>
      <w:szCs w:val="24"/>
      <w:lang w:val="en-US" w:eastAsia="zh-CN" w:bidi="ar-SA"/>
    </w:rPr>
  </w:style>
  <w:style w:type="paragraph" w:customStyle="1" w:styleId="37">
    <w:name w:val="表格内"/>
    <w:basedOn w:val="1"/>
    <w:qFormat/>
    <w:uiPriority w:val="0"/>
    <w:pPr>
      <w:adjustRightInd w:val="0"/>
      <w:spacing w:line="240" w:lineRule="atLeast"/>
      <w:jc w:val="center"/>
      <w:textAlignment w:val="baseline"/>
    </w:pPr>
    <w:rPr>
      <w:rFonts w:ascii="宋体"/>
      <w:kern w:val="0"/>
      <w:sz w:val="28"/>
      <w:szCs w:val="20"/>
      <w:lang w:val="en-US" w:eastAsia="zh-CN"/>
    </w:rPr>
  </w:style>
  <w:style w:type="paragraph" w:customStyle="1" w:styleId="38">
    <w:name w:val="报告表正文"/>
    <w:basedOn w:val="1"/>
    <w:qFormat/>
    <w:uiPriority w:val="0"/>
    <w:pPr>
      <w:adjustRightInd w:val="0"/>
      <w:spacing w:line="312" w:lineRule="auto"/>
      <w:ind w:left="113" w:right="113" w:firstLine="482"/>
      <w:jc w:val="left"/>
      <w:textAlignment w:val="baseline"/>
    </w:pPr>
    <w:rPr>
      <w:kern w:val="0"/>
      <w:sz w:val="24"/>
    </w:rPr>
  </w:style>
  <w:style w:type="paragraph" w:customStyle="1" w:styleId="39">
    <w:name w:val="样式1"/>
    <w:basedOn w:val="4"/>
    <w:qFormat/>
    <w:uiPriority w:val="0"/>
    <w:pPr>
      <w:spacing w:before="0" w:after="0" w:line="360" w:lineRule="auto"/>
    </w:pPr>
    <w:rPr>
      <w:sz w:val="30"/>
      <w:szCs w:val="30"/>
    </w:rPr>
  </w:style>
  <w:style w:type="paragraph" w:customStyle="1" w:styleId="40">
    <w:name w:val="_Style 19"/>
    <w:basedOn w:val="1"/>
    <w:qFormat/>
    <w:uiPriority w:val="0"/>
    <w:pPr>
      <w:ind w:firstLine="420" w:firstLineChars="200"/>
    </w:pPr>
    <w:rPr>
      <w:kern w:val="0"/>
      <w:sz w:val="24"/>
    </w:rPr>
  </w:style>
  <w:style w:type="paragraph" w:customStyle="1" w:styleId="41">
    <w:name w:val="默认段落字体 Para Char"/>
    <w:basedOn w:val="1"/>
    <w:qFormat/>
    <w:uiPriority w:val="0"/>
    <w:rPr>
      <w:sz w:val="24"/>
      <w:szCs w:val="24"/>
    </w:rPr>
  </w:style>
  <w:style w:type="paragraph" w:customStyle="1" w:styleId="42">
    <w:name w:val=" Char1"/>
    <w:basedOn w:val="1"/>
    <w:next w:val="1"/>
    <w:semiHidden/>
    <w:qFormat/>
    <w:uiPriority w:val="0"/>
    <w:pPr>
      <w:spacing w:line="360" w:lineRule="auto"/>
      <w:ind w:firstLine="200" w:firstLineChars="200"/>
    </w:pPr>
    <w:rPr>
      <w:rFonts w:ascii="宋体" w:hAnsi="宋体" w:cs="宋体"/>
      <w:sz w:val="24"/>
      <w:szCs w:val="24"/>
    </w:rPr>
  </w:style>
  <w:style w:type="paragraph" w:customStyle="1" w:styleId="43">
    <w:name w:val="1正文段落"/>
    <w:basedOn w:val="1"/>
    <w:link w:val="111"/>
    <w:qFormat/>
    <w:uiPriority w:val="0"/>
    <w:pPr>
      <w:spacing w:line="360" w:lineRule="auto"/>
      <w:ind w:firstLine="480" w:firstLineChars="200"/>
      <w:jc w:val="left"/>
    </w:pPr>
    <w:rPr>
      <w:kern w:val="0"/>
      <w:sz w:val="24"/>
      <w:szCs w:val="24"/>
    </w:rPr>
  </w:style>
  <w:style w:type="paragraph" w:customStyle="1" w:styleId="44">
    <w:name w:val="样式 五号 居中"/>
    <w:basedOn w:val="1"/>
    <w:link w:val="129"/>
    <w:qFormat/>
    <w:uiPriority w:val="0"/>
    <w:pPr>
      <w:jc w:val="center"/>
    </w:pPr>
    <w:rPr>
      <w:rFonts w:cs="宋体"/>
    </w:rPr>
  </w:style>
  <w:style w:type="paragraph" w:customStyle="1" w:styleId="45">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rPr>
  </w:style>
  <w:style w:type="paragraph" w:customStyle="1" w:styleId="46">
    <w:name w:val="正文样式1"/>
    <w:basedOn w:val="1"/>
    <w:qFormat/>
    <w:uiPriority w:val="0"/>
    <w:pPr>
      <w:adjustRightInd w:val="0"/>
      <w:spacing w:beforeLines="10" w:afterLines="10" w:line="312" w:lineRule="auto"/>
      <w:ind w:firstLine="200" w:firstLineChars="200"/>
      <w:textAlignment w:val="baseline"/>
    </w:pPr>
    <w:rPr>
      <w:snapToGrid w:val="0"/>
      <w:position w:val="-12"/>
      <w:sz w:val="24"/>
      <w:szCs w:val="20"/>
    </w:rPr>
  </w:style>
  <w:style w:type="paragraph" w:customStyle="1" w:styleId="47">
    <w:name w:val="正文首行缩进 2 + Times New Roman"/>
    <w:basedOn w:val="1"/>
    <w:qFormat/>
    <w:uiPriority w:val="0"/>
    <w:pPr>
      <w:tabs>
        <w:tab w:val="left" w:pos="0"/>
        <w:tab w:val="left" w:pos="870"/>
        <w:tab w:val="left" w:pos="3150"/>
      </w:tabs>
      <w:autoSpaceDE w:val="0"/>
      <w:autoSpaceDN w:val="0"/>
      <w:spacing w:line="360" w:lineRule="auto"/>
      <w:ind w:firstLine="480" w:firstLineChars="200"/>
      <w:jc w:val="left"/>
    </w:pPr>
    <w:rPr>
      <w:kern w:val="0"/>
      <w:sz w:val="24"/>
      <w:szCs w:val="24"/>
    </w:rPr>
  </w:style>
  <w:style w:type="paragraph" w:customStyle="1" w:styleId="48">
    <w:name w:val="表格hy"/>
    <w:basedOn w:val="1"/>
    <w:link w:val="133"/>
    <w:qFormat/>
    <w:uiPriority w:val="0"/>
    <w:pPr>
      <w:spacing w:line="0" w:lineRule="atLeast"/>
      <w:jc w:val="center"/>
    </w:pPr>
    <w:rPr>
      <w:rFonts w:ascii="楷体_GB2312" w:eastAsia="楷体_GB2312"/>
      <w:color w:val="000000"/>
      <w:szCs w:val="22"/>
    </w:rPr>
  </w:style>
  <w:style w:type="paragraph" w:customStyle="1" w:styleId="49">
    <w:name w:val="报告表  段"/>
    <w:basedOn w:val="1"/>
    <w:link w:val="116"/>
    <w:qFormat/>
    <w:uiPriority w:val="0"/>
    <w:pPr>
      <w:adjustRightInd w:val="0"/>
      <w:spacing w:line="360" w:lineRule="auto"/>
      <w:ind w:firstLine="505"/>
      <w:textAlignment w:val="baseline"/>
    </w:pPr>
    <w:rPr>
      <w:rFonts w:ascii="宋体"/>
      <w:kern w:val="0"/>
      <w:sz w:val="24"/>
    </w:rPr>
  </w:style>
  <w:style w:type="paragraph" w:customStyle="1" w:styleId="50">
    <w:name w:val="表文字"/>
    <w:basedOn w:val="1"/>
    <w:qFormat/>
    <w:uiPriority w:val="0"/>
    <w:pPr>
      <w:topLinePunct/>
      <w:adjustRightInd w:val="0"/>
      <w:spacing w:line="360" w:lineRule="exact"/>
      <w:jc w:val="center"/>
      <w:textAlignment w:val="baseline"/>
    </w:pPr>
    <w:rPr>
      <w:kern w:val="0"/>
      <w:szCs w:val="21"/>
    </w:rPr>
  </w:style>
  <w:style w:type="paragraph" w:customStyle="1" w:styleId="51">
    <w:name w:val="表内文字"/>
    <w:basedOn w:val="1"/>
    <w:qFormat/>
    <w:uiPriority w:val="0"/>
    <w:pPr>
      <w:adjustRightInd w:val="0"/>
      <w:spacing w:line="240" w:lineRule="auto"/>
      <w:ind w:firstLine="0" w:firstLineChars="0"/>
      <w:jc w:val="center"/>
      <w:textAlignment w:val="baseline"/>
    </w:pPr>
    <w:rPr>
      <w:sz w:val="21"/>
      <w:szCs w:val="20"/>
    </w:rPr>
  </w:style>
  <w:style w:type="paragraph" w:customStyle="1" w:styleId="52">
    <w:name w:val="样式 表格 32 + 首行缩进:  2 字符"/>
    <w:basedOn w:val="1"/>
    <w:qFormat/>
    <w:uiPriority w:val="0"/>
    <w:pPr>
      <w:autoSpaceDE w:val="0"/>
      <w:autoSpaceDN w:val="0"/>
      <w:adjustRightInd w:val="0"/>
      <w:spacing w:line="0" w:lineRule="atLeast"/>
      <w:jc w:val="center"/>
      <w:textAlignment w:val="baseline"/>
    </w:pPr>
    <w:rPr>
      <w:rFonts w:cs="宋体"/>
      <w:kern w:val="0"/>
      <w:szCs w:val="21"/>
    </w:rPr>
  </w:style>
  <w:style w:type="paragraph" w:customStyle="1" w:styleId="53">
    <w:name w:val="正文 + 仿宋_GB2312"/>
    <w:basedOn w:val="1"/>
    <w:qFormat/>
    <w:uiPriority w:val="99"/>
    <w:pPr>
      <w:ind w:firstLine="480" w:firstLineChars="200"/>
    </w:pPr>
    <w:rPr>
      <w:rFonts w:ascii="仿宋_GB2312" w:hAnsi="Calibri" w:eastAsia="仿宋_GB2312"/>
      <w:sz w:val="24"/>
      <w:szCs w:val="22"/>
    </w:rPr>
  </w:style>
  <w:style w:type="paragraph" w:customStyle="1" w:styleId="54">
    <w:name w:val="表标题"/>
    <w:basedOn w:val="1"/>
    <w:link w:val="142"/>
    <w:qFormat/>
    <w:uiPriority w:val="0"/>
    <w:pPr>
      <w:adjustRightInd w:val="0"/>
      <w:snapToGrid w:val="0"/>
      <w:spacing w:line="360" w:lineRule="auto"/>
      <w:jc w:val="center"/>
    </w:pPr>
    <w:rPr>
      <w:b/>
      <w:bCs/>
      <w:kern w:val="0"/>
      <w:sz w:val="24"/>
      <w:szCs w:val="18"/>
    </w:rPr>
  </w:style>
  <w:style w:type="paragraph" w:customStyle="1" w:styleId="55">
    <w:name w:val="表格内容自定"/>
    <w:basedOn w:val="1"/>
    <w:qFormat/>
    <w:uiPriority w:val="0"/>
    <w:pPr>
      <w:spacing w:line="280" w:lineRule="exact"/>
      <w:jc w:val="center"/>
    </w:pPr>
    <w:rPr>
      <w:kern w:val="0"/>
      <w:sz w:val="18"/>
      <w:szCs w:val="21"/>
    </w:rPr>
  </w:style>
  <w:style w:type="paragraph" w:styleId="56">
    <w:name w:val="No Spacing"/>
    <w:qFormat/>
    <w:uiPriority w:val="99"/>
    <w:pPr>
      <w:jc w:val="center"/>
    </w:pPr>
    <w:rPr>
      <w:rFonts w:ascii="Times New Roman" w:hAnsi="Times New Roman" w:eastAsia="宋体" w:cs="宋体"/>
      <w:color w:val="000000"/>
      <w:sz w:val="21"/>
      <w:szCs w:val="24"/>
      <w:lang w:val="en-US" w:eastAsia="zh-CN" w:bidi="ar-SA"/>
    </w:rPr>
  </w:style>
  <w:style w:type="paragraph" w:customStyle="1" w:styleId="57">
    <w:name w:val="MFS单位3"/>
    <w:basedOn w:val="1"/>
    <w:link w:val="121"/>
    <w:qFormat/>
    <w:uiPriority w:val="0"/>
    <w:pPr>
      <w:tabs>
        <w:tab w:val="left" w:pos="780"/>
      </w:tabs>
      <w:jc w:val="right"/>
    </w:pPr>
    <w:rPr>
      <w:rFonts w:eastAsia="楷体_GB2312"/>
      <w:sz w:val="18"/>
      <w:szCs w:val="18"/>
    </w:rPr>
  </w:style>
  <w:style w:type="paragraph" w:customStyle="1" w:styleId="58">
    <w:name w:val="Lux 正文"/>
    <w:basedOn w:val="1"/>
    <w:qFormat/>
    <w:uiPriority w:val="0"/>
    <w:pPr>
      <w:ind w:firstLine="200"/>
    </w:pPr>
    <w:rPr>
      <w:kern w:val="0"/>
      <w:szCs w:val="20"/>
    </w:rPr>
  </w:style>
  <w:style w:type="paragraph" w:customStyle="1" w:styleId="59">
    <w:name w:val="表头样式1"/>
    <w:basedOn w:val="1"/>
    <w:qFormat/>
    <w:uiPriority w:val="0"/>
    <w:pPr>
      <w:spacing w:before="156" w:beforeLines="50"/>
      <w:jc w:val="center"/>
    </w:pPr>
    <w:rPr>
      <w:rFonts w:eastAsia="黑体"/>
      <w:b/>
      <w:sz w:val="24"/>
      <w:szCs w:val="20"/>
    </w:rPr>
  </w:style>
  <w:style w:type="paragraph" w:customStyle="1" w:styleId="60">
    <w:name w:val="正文-biao"/>
    <w:basedOn w:val="1"/>
    <w:qFormat/>
    <w:uiPriority w:val="0"/>
    <w:pPr>
      <w:spacing w:before="60" w:line="460" w:lineRule="exact"/>
      <w:ind w:firstLine="482" w:firstLineChars="0"/>
    </w:pPr>
    <w:rPr>
      <w:rFonts w:ascii="Times New Roman"/>
      <w:color w:val="auto"/>
      <w:szCs w:val="24"/>
    </w:rPr>
  </w:style>
  <w:style w:type="paragraph" w:customStyle="1" w:styleId="61">
    <w:name w:val="居中正文"/>
    <w:basedOn w:val="26"/>
    <w:qFormat/>
    <w:uiPriority w:val="0"/>
    <w:pPr>
      <w:adjustRightInd w:val="0"/>
      <w:spacing w:before="120" w:after="0" w:line="360" w:lineRule="auto"/>
      <w:ind w:firstLine="0" w:firstLineChars="0"/>
      <w:jc w:val="center"/>
    </w:pPr>
    <w:rPr>
      <w:rFonts w:hint="eastAsia" w:ascii="宋体"/>
      <w:kern w:val="28"/>
      <w:sz w:val="24"/>
    </w:rPr>
  </w:style>
  <w:style w:type="paragraph" w:customStyle="1" w:styleId="62">
    <w:name w:val="hhcwt正文"/>
    <w:basedOn w:val="1"/>
    <w:link w:val="139"/>
    <w:qFormat/>
    <w:uiPriority w:val="0"/>
    <w:pPr>
      <w:spacing w:line="360" w:lineRule="auto"/>
      <w:ind w:firstLine="480" w:firstLineChars="200"/>
    </w:pPr>
    <w:rPr>
      <w:sz w:val="24"/>
    </w:rPr>
  </w:style>
  <w:style w:type="paragraph" w:customStyle="1" w:styleId="63">
    <w:name w:val="Char"/>
    <w:basedOn w:val="1"/>
    <w:qFormat/>
    <w:uiPriority w:val="0"/>
    <w:rPr>
      <w:b/>
      <w:bCs/>
      <w:kern w:val="0"/>
      <w:sz w:val="36"/>
      <w:szCs w:val="32"/>
    </w:rPr>
  </w:style>
  <w:style w:type="paragraph" w:styleId="64">
    <w:name w:val="List Paragraph"/>
    <w:basedOn w:val="1"/>
    <w:qFormat/>
    <w:uiPriority w:val="34"/>
    <w:pPr>
      <w:ind w:firstLine="420" w:firstLineChars="200"/>
    </w:pPr>
  </w:style>
  <w:style w:type="paragraph" w:customStyle="1" w:styleId="65">
    <w:name w:val="xl24"/>
    <w:basedOn w:val="1"/>
    <w:qFormat/>
    <w:uiPriority w:val="0"/>
    <w:pPr>
      <w:widowControl/>
      <w:spacing w:before="100" w:beforeAutospacing="1" w:after="100" w:afterAutospacing="1"/>
      <w:jc w:val="left"/>
      <w:textAlignment w:val="center"/>
    </w:pPr>
    <w:rPr>
      <w:rFonts w:eastAsia="Arial Unicode MS"/>
      <w:kern w:val="0"/>
      <w:sz w:val="20"/>
    </w:rPr>
  </w:style>
  <w:style w:type="paragraph" w:customStyle="1" w:styleId="66">
    <w:name w:val=" Char Char Char1 Char Char Char Char Char Char Char"/>
    <w:basedOn w:val="1"/>
    <w:qFormat/>
    <w:uiPriority w:val="0"/>
  </w:style>
  <w:style w:type="paragraph" w:customStyle="1" w:styleId="67">
    <w:name w:val=" Char Char1 Char Char Char Char Char Char Char Char Char Char Char Char Char Char Char Char Char Char Char Char1 Char"/>
    <w:basedOn w:val="1"/>
    <w:qFormat/>
    <w:uiPriority w:val="0"/>
    <w:pPr>
      <w:spacing w:line="360" w:lineRule="auto"/>
      <w:ind w:firstLine="200" w:firstLineChars="200"/>
    </w:pPr>
    <w:rPr>
      <w:rFonts w:ascii="宋体" w:hAnsi="宋体" w:cs="宋体"/>
      <w:sz w:val="24"/>
      <w:szCs w:val="24"/>
    </w:rPr>
  </w:style>
  <w:style w:type="paragraph" w:customStyle="1" w:styleId="68">
    <w:name w:val="表头样式"/>
    <w:basedOn w:val="1"/>
    <w:next w:val="38"/>
    <w:qFormat/>
    <w:uiPriority w:val="0"/>
    <w:pPr>
      <w:snapToGrid w:val="0"/>
      <w:jc w:val="center"/>
    </w:pPr>
    <w:rPr>
      <w:rFonts w:eastAsia="楷体_GB2312"/>
      <w:b/>
      <w:sz w:val="24"/>
      <w:szCs w:val="24"/>
    </w:rPr>
  </w:style>
  <w:style w:type="paragraph" w:customStyle="1" w:styleId="69">
    <w:name w:val="正文修改"/>
    <w:basedOn w:val="1"/>
    <w:link w:val="128"/>
    <w:qFormat/>
    <w:uiPriority w:val="0"/>
    <w:pPr>
      <w:spacing w:line="360" w:lineRule="auto"/>
      <w:ind w:firstLine="480" w:firstLineChars="200"/>
    </w:pPr>
    <w:rPr>
      <w:kern w:val="0"/>
      <w:sz w:val="24"/>
    </w:rPr>
  </w:style>
  <w:style w:type="paragraph" w:customStyle="1" w:styleId="70">
    <w:name w:val="样式35"/>
    <w:basedOn w:val="1"/>
    <w:qFormat/>
    <w:uiPriority w:val="0"/>
    <w:pPr>
      <w:adjustRightInd w:val="0"/>
      <w:spacing w:line="312" w:lineRule="auto"/>
      <w:ind w:firstLine="567"/>
    </w:pPr>
    <w:rPr>
      <w:rFonts w:ascii="宋体" w:hAnsi="Calibri" w:eastAsia="宋体" w:cs="Times New Roman"/>
      <w:kern w:val="0"/>
      <w:sz w:val="28"/>
      <w:szCs w:val="24"/>
    </w:rPr>
  </w:style>
  <w:style w:type="paragraph" w:customStyle="1" w:styleId="71">
    <w:name w:val="正文－1.5行距－段后6磅"/>
    <w:basedOn w:val="1"/>
    <w:link w:val="114"/>
    <w:qFormat/>
    <w:uiPriority w:val="0"/>
    <w:pPr>
      <w:spacing w:after="120" w:line="360" w:lineRule="auto"/>
      <w:ind w:firstLine="200" w:firstLineChars="200"/>
    </w:pPr>
    <w:rPr>
      <w:sz w:val="24"/>
      <w:szCs w:val="21"/>
    </w:rPr>
  </w:style>
  <w:style w:type="paragraph" w:customStyle="1" w:styleId="72">
    <w:name w:val="表格内容"/>
    <w:basedOn w:val="1"/>
    <w:qFormat/>
    <w:uiPriority w:val="0"/>
    <w:pPr>
      <w:spacing w:line="240" w:lineRule="atLeast"/>
      <w:jc w:val="center"/>
    </w:pPr>
    <w:rPr>
      <w:rFonts w:eastAsia="宋体"/>
      <w:sz w:val="21"/>
    </w:rPr>
  </w:style>
  <w:style w:type="paragraph" w:customStyle="1" w:styleId="73">
    <w:name w:val="默认段落字体 Para Char Char Char Char Char Char Char Char Char Char"/>
    <w:basedOn w:val="6"/>
    <w:qFormat/>
    <w:uiPriority w:val="0"/>
    <w:pPr>
      <w:keepNext w:val="0"/>
      <w:tabs>
        <w:tab w:val="left" w:pos="360"/>
        <w:tab w:val="left" w:pos="900"/>
      </w:tabs>
      <w:snapToGrid w:val="0"/>
      <w:spacing w:before="120" w:beforeLines="0" w:after="120" w:afterLines="0" w:line="360" w:lineRule="auto"/>
      <w:ind w:left="542" w:leftChars="-12" w:firstLine="200" w:firstLineChars="200"/>
      <w:jc w:val="left"/>
    </w:pPr>
    <w:rPr>
      <w:rFonts w:hint="eastAsia" w:ascii="宋体" w:hAnsi="宋体" w:cs="宋体"/>
      <w:b/>
      <w:bCs w:val="0"/>
      <w:snapToGrid w:val="0"/>
      <w:kern w:val="0"/>
      <w:szCs w:val="24"/>
    </w:rPr>
  </w:style>
  <w:style w:type="paragraph" w:customStyle="1" w:styleId="74">
    <w:name w:val="reader-word-layer reader-word-s1-1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5">
    <w:name w:val="表中文字"/>
    <w:basedOn w:val="1"/>
    <w:qFormat/>
    <w:uiPriority w:val="0"/>
    <w:pPr>
      <w:spacing w:line="300" w:lineRule="exact"/>
      <w:jc w:val="center"/>
    </w:pPr>
    <w:rPr>
      <w:rFonts w:ascii="宋体" w:hAnsi="宋体" w:cs="宋体"/>
      <w:b/>
      <w:color w:val="000000"/>
      <w:spacing w:val="4"/>
      <w:szCs w:val="24"/>
    </w:rPr>
  </w:style>
  <w:style w:type="paragraph" w:customStyle="1" w:styleId="76">
    <w:name w:val="reader-word-layer reader-word-s1-1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7">
    <w:name w:val="表内字体"/>
    <w:basedOn w:val="1"/>
    <w:qFormat/>
    <w:uiPriority w:val="0"/>
    <w:pPr>
      <w:adjustRightInd w:val="0"/>
      <w:snapToGrid w:val="0"/>
      <w:jc w:val="center"/>
      <w:textAlignment w:val="baseline"/>
    </w:pPr>
    <w:rPr>
      <w:kern w:val="0"/>
      <w:sz w:val="18"/>
      <w:szCs w:val="18"/>
    </w:rPr>
  </w:style>
  <w:style w:type="paragraph" w:customStyle="1" w:styleId="78">
    <w:name w:val="正文B"/>
    <w:basedOn w:val="1"/>
    <w:qFormat/>
    <w:uiPriority w:val="0"/>
    <w:pPr>
      <w:spacing w:line="500" w:lineRule="exact"/>
      <w:ind w:firstLine="480" w:firstLineChars="200"/>
    </w:pPr>
    <w:rPr>
      <w:rFonts w:ascii="宋体" w:hAnsi="宋体" w:cs="宋体"/>
      <w:sz w:val="24"/>
    </w:rPr>
  </w:style>
  <w:style w:type="paragraph" w:customStyle="1" w:styleId="79">
    <w:name w:val="表格正文"/>
    <w:basedOn w:val="1"/>
    <w:qFormat/>
    <w:uiPriority w:val="0"/>
    <w:pPr>
      <w:jc w:val="center"/>
    </w:pPr>
    <w:rPr>
      <w:rFonts w:ascii="仿宋_GB2312" w:eastAsia="仿宋_GB2312"/>
      <w:sz w:val="21"/>
    </w:rPr>
  </w:style>
  <w:style w:type="paragraph" w:customStyle="1" w:styleId="80">
    <w:name w:val="标准文本 首行缩进:2 字符 行距1倍"/>
    <w:basedOn w:val="1"/>
    <w:qFormat/>
    <w:uiPriority w:val="0"/>
    <w:pPr>
      <w:tabs>
        <w:tab w:val="left" w:pos="840"/>
      </w:tabs>
      <w:adjustRightInd w:val="0"/>
      <w:snapToGrid w:val="0"/>
      <w:textAlignment w:val="center"/>
    </w:pPr>
    <w:rPr>
      <w:rFonts w:cs="宋体"/>
      <w:sz w:val="24"/>
      <w:szCs w:val="20"/>
    </w:rPr>
  </w:style>
  <w:style w:type="paragraph" w:customStyle="1" w:styleId="81">
    <w:name w:val=" Char Char Char Char Char Char1 Char"/>
    <w:basedOn w:val="1"/>
    <w:qFormat/>
    <w:uiPriority w:val="0"/>
    <w:rPr>
      <w:szCs w:val="24"/>
    </w:rPr>
  </w:style>
  <w:style w:type="paragraph" w:customStyle="1" w:styleId="82">
    <w:name w:val="样式2"/>
    <w:basedOn w:val="1"/>
    <w:link w:val="131"/>
    <w:qFormat/>
    <w:uiPriority w:val="0"/>
    <w:pPr>
      <w:spacing w:line="360" w:lineRule="auto"/>
      <w:ind w:firstLine="480"/>
    </w:pPr>
    <w:rPr>
      <w:sz w:val="24"/>
      <w:szCs w:val="24"/>
    </w:rPr>
  </w:style>
  <w:style w:type="paragraph" w:customStyle="1" w:styleId="83">
    <w:name w:val="p15"/>
    <w:basedOn w:val="1"/>
    <w:qFormat/>
    <w:uiPriority w:val="0"/>
    <w:pPr>
      <w:widowControl/>
      <w:jc w:val="left"/>
    </w:pPr>
    <w:rPr>
      <w:kern w:val="0"/>
      <w:sz w:val="20"/>
    </w:rPr>
  </w:style>
  <w:style w:type="paragraph" w:customStyle="1" w:styleId="84">
    <w:name w:val="样式 样式 样式 小四 灰色-80% 左侧:  0.16 厘米 行距: 固定值 20 磅 + 宋体 首行缩进:  2 字符 + ..."/>
    <w:basedOn w:val="1"/>
    <w:link w:val="124"/>
    <w:qFormat/>
    <w:uiPriority w:val="0"/>
    <w:pPr>
      <w:spacing w:line="360" w:lineRule="auto"/>
      <w:ind w:firstLine="480" w:firstLineChars="200"/>
    </w:pPr>
    <w:rPr>
      <w:rFonts w:ascii="宋体" w:hAnsi="宋体" w:cs="宋体"/>
      <w:color w:val="333333"/>
      <w:sz w:val="24"/>
    </w:rPr>
  </w:style>
  <w:style w:type="paragraph" w:customStyle="1" w:styleId="85">
    <w:name w:val=" Char"/>
    <w:basedOn w:val="1"/>
    <w:qFormat/>
    <w:uiPriority w:val="0"/>
    <w:rPr>
      <w:sz w:val="24"/>
      <w:szCs w:val="24"/>
    </w:rPr>
  </w:style>
  <w:style w:type="paragraph" w:customStyle="1" w:styleId="86">
    <w:name w:val="表头"/>
    <w:basedOn w:val="1"/>
    <w:next w:val="1"/>
    <w:qFormat/>
    <w:uiPriority w:val="0"/>
    <w:pPr>
      <w:adjustRightInd w:val="0"/>
      <w:spacing w:line="320" w:lineRule="atLeast"/>
      <w:jc w:val="center"/>
      <w:textAlignment w:val="baseline"/>
    </w:pPr>
    <w:rPr>
      <w:rFonts w:eastAsia="黑体"/>
      <w:spacing w:val="-10"/>
      <w:kern w:val="0"/>
      <w:szCs w:val="20"/>
    </w:rPr>
  </w:style>
  <w:style w:type="paragraph" w:customStyle="1" w:styleId="87">
    <w:name w:val="正文首行缩进1"/>
    <w:basedOn w:val="12"/>
    <w:qFormat/>
    <w:uiPriority w:val="0"/>
    <w:pPr>
      <w:spacing w:after="120"/>
      <w:ind w:firstLine="420" w:firstLineChars="100"/>
    </w:pPr>
    <w:rPr>
      <w:sz w:val="21"/>
    </w:rPr>
  </w:style>
  <w:style w:type="paragraph" w:customStyle="1" w:styleId="88">
    <w:name w:val="表内格式"/>
    <w:basedOn w:val="1"/>
    <w:qFormat/>
    <w:uiPriority w:val="0"/>
    <w:pPr>
      <w:jc w:val="center"/>
    </w:pPr>
    <w:rPr>
      <w:sz w:val="18"/>
      <w:szCs w:val="20"/>
    </w:rPr>
  </w:style>
  <w:style w:type="paragraph" w:customStyle="1" w:styleId="89">
    <w:name w:val="表格内容1"/>
    <w:basedOn w:val="1"/>
    <w:qFormat/>
    <w:uiPriority w:val="0"/>
    <w:pPr>
      <w:spacing w:line="240" w:lineRule="auto"/>
      <w:ind w:firstLine="0" w:firstLineChars="0"/>
      <w:jc w:val="center"/>
    </w:pPr>
    <w:rPr>
      <w:rFonts w:ascii="Times New Roman" w:hAnsi="Times New Roman"/>
      <w:kern w:val="0"/>
      <w:sz w:val="21"/>
      <w:szCs w:val="21"/>
    </w:rPr>
  </w:style>
  <w:style w:type="paragraph" w:customStyle="1" w:styleId="90">
    <w:name w:val="样式3"/>
    <w:basedOn w:val="1"/>
    <w:qFormat/>
    <w:uiPriority w:val="0"/>
    <w:pPr>
      <w:autoSpaceDE w:val="0"/>
      <w:autoSpaceDN w:val="0"/>
      <w:snapToGrid w:val="0"/>
      <w:spacing w:before="120" w:line="460" w:lineRule="atLeast"/>
      <w:jc w:val="center"/>
    </w:pPr>
    <w:rPr>
      <w:rFonts w:eastAsia="黑体"/>
      <w:sz w:val="28"/>
      <w:szCs w:val="24"/>
    </w:rPr>
  </w:style>
  <w:style w:type="paragraph" w:customStyle="1" w:styleId="91">
    <w:name w:val="_Style 16"/>
    <w:basedOn w:val="1"/>
    <w:qFormat/>
    <w:uiPriority w:val="0"/>
    <w:rPr>
      <w:sz w:val="24"/>
      <w:szCs w:val="24"/>
    </w:rPr>
  </w:style>
  <w:style w:type="paragraph" w:customStyle="1" w:styleId="92">
    <w:name w:val="xl22"/>
    <w:basedOn w:val="1"/>
    <w:qFormat/>
    <w:uiPriority w:val="0"/>
    <w:pPr>
      <w:widowControl/>
      <w:pBdr>
        <w:bottom w:val="single" w:color="auto" w:sz="4" w:space="0"/>
        <w:right w:val="single" w:color="auto" w:sz="4" w:space="0"/>
      </w:pBdr>
      <w:spacing w:before="100" w:after="100"/>
      <w:jc w:val="center"/>
    </w:pPr>
    <w:rPr>
      <w:rFonts w:ascii="宋体" w:hAnsi="宋体"/>
      <w:kern w:val="0"/>
    </w:rPr>
  </w:style>
  <w:style w:type="paragraph" w:customStyle="1" w:styleId="93">
    <w:name w:val="xl34"/>
    <w:basedOn w:val="1"/>
    <w:qFormat/>
    <w:uiPriority w:val="0"/>
    <w:pPr>
      <w:widowControl/>
      <w:spacing w:before="100" w:beforeAutospacing="1" w:after="100" w:afterAutospacing="1"/>
      <w:jc w:val="center"/>
    </w:pPr>
    <w:rPr>
      <w:rFonts w:ascii="Arial Unicode MS" w:hAnsi="Arial Unicode MS" w:eastAsia="Arial Unicode MS"/>
      <w:kern w:val="0"/>
      <w:sz w:val="24"/>
      <w:szCs w:val="24"/>
    </w:rPr>
  </w:style>
  <w:style w:type="paragraph" w:customStyle="1" w:styleId="94">
    <w:name w:val="Table Paragraph"/>
    <w:basedOn w:val="1"/>
    <w:qFormat/>
    <w:uiPriority w:val="1"/>
    <w:pPr>
      <w:jc w:val="left"/>
    </w:pPr>
    <w:rPr>
      <w:rFonts w:ascii="Calibri" w:hAnsi="Calibri"/>
      <w:kern w:val="0"/>
      <w:sz w:val="22"/>
      <w:szCs w:val="22"/>
      <w:lang w:eastAsia="en-US"/>
    </w:rPr>
  </w:style>
  <w:style w:type="paragraph" w:customStyle="1" w:styleId="95">
    <w:name w:val="目录22222222"/>
    <w:basedOn w:val="1"/>
    <w:qFormat/>
    <w:uiPriority w:val="0"/>
    <w:pPr>
      <w:keepNext/>
      <w:keepLines/>
      <w:spacing w:line="480" w:lineRule="exact"/>
      <w:jc w:val="left"/>
      <w:outlineLvl w:val="1"/>
    </w:pPr>
    <w:rPr>
      <w:rFonts w:ascii="Arial" w:hAnsi="Arial" w:eastAsia="黑体"/>
      <w:bCs/>
      <w:sz w:val="28"/>
      <w:szCs w:val="32"/>
    </w:rPr>
  </w:style>
  <w:style w:type="paragraph" w:customStyle="1" w:styleId="96">
    <w:name w:val="表格文字"/>
    <w:basedOn w:val="1"/>
    <w:qFormat/>
    <w:uiPriority w:val="0"/>
    <w:pPr>
      <w:jc w:val="center"/>
    </w:pPr>
    <w:rPr>
      <w:rFonts w:ascii="仿宋_GB2312" w:hAnsi="Arial Black" w:eastAsia="仿宋_GB2312"/>
      <w:kern w:val="44"/>
      <w:sz w:val="24"/>
    </w:rPr>
  </w:style>
  <w:style w:type="paragraph" w:customStyle="1" w:styleId="97">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rPr>
  </w:style>
  <w:style w:type="paragraph" w:customStyle="1" w:styleId="98">
    <w:name w:val="表格"/>
    <w:basedOn w:val="1"/>
    <w:link w:val="138"/>
    <w:qFormat/>
    <w:uiPriority w:val="0"/>
    <w:pPr>
      <w:jc w:val="center"/>
    </w:pPr>
    <w:rPr>
      <w:sz w:val="24"/>
      <w:szCs w:val="24"/>
    </w:rPr>
  </w:style>
  <w:style w:type="paragraph" w:customStyle="1" w:styleId="99">
    <w:name w:val="列出段落1"/>
    <w:basedOn w:val="1"/>
    <w:qFormat/>
    <w:uiPriority w:val="0"/>
    <w:pPr>
      <w:ind w:firstLine="420" w:firstLineChars="200"/>
    </w:pPr>
  </w:style>
  <w:style w:type="paragraph" w:customStyle="1" w:styleId="100">
    <w:name w:val="zhang正文"/>
    <w:basedOn w:val="13"/>
    <w:qFormat/>
    <w:uiPriority w:val="0"/>
    <w:pPr>
      <w:autoSpaceDE w:val="0"/>
      <w:autoSpaceDN w:val="0"/>
      <w:adjustRightInd w:val="0"/>
      <w:snapToGrid w:val="0"/>
      <w:spacing w:line="500" w:lineRule="exact"/>
      <w:ind w:firstLine="539"/>
      <w:textAlignment w:val="baseline"/>
    </w:pPr>
    <w:rPr>
      <w:rFonts w:ascii="Times New Roman" w:eastAsia="楷体_GB2312"/>
      <w:kern w:val="0"/>
    </w:rPr>
  </w:style>
  <w:style w:type="paragraph" w:customStyle="1" w:styleId="101">
    <w:name w:val="默认段落字体 Para Char Char Char Char"/>
    <w:basedOn w:val="1"/>
    <w:qFormat/>
    <w:uiPriority w:val="0"/>
    <w:pPr>
      <w:spacing w:beforeLines="100" w:afterLines="50" w:line="600" w:lineRule="exact"/>
      <w:ind w:firstLine="200" w:firstLineChars="200"/>
    </w:pPr>
    <w:rPr>
      <w:rFonts w:eastAsia="黑体"/>
      <w:sz w:val="28"/>
      <w:szCs w:val="24"/>
    </w:rPr>
  </w:style>
  <w:style w:type="paragraph" w:customStyle="1" w:styleId="102">
    <w:name w:val="本文正文"/>
    <w:basedOn w:val="1"/>
    <w:qFormat/>
    <w:uiPriority w:val="0"/>
    <w:pPr>
      <w:autoSpaceDE w:val="0"/>
      <w:autoSpaceDN w:val="0"/>
      <w:adjustRightInd w:val="0"/>
      <w:ind w:firstLine="0" w:firstLineChars="0"/>
      <w:textAlignment w:val="baseline"/>
    </w:pPr>
  </w:style>
  <w:style w:type="paragraph" w:customStyle="1" w:styleId="103">
    <w:name w:val=" Char Char Char"/>
    <w:basedOn w:val="1"/>
    <w:qFormat/>
    <w:uiPriority w:val="0"/>
    <w:pPr>
      <w:adjustRightInd w:val="0"/>
      <w:spacing w:line="360" w:lineRule="auto"/>
    </w:pPr>
    <w:rPr>
      <w:kern w:val="0"/>
      <w:sz w:val="24"/>
    </w:rPr>
  </w:style>
  <w:style w:type="paragraph" w:customStyle="1" w:styleId="104">
    <w:name w:val="Body Text First Indent"/>
    <w:basedOn w:val="12"/>
    <w:qFormat/>
    <w:uiPriority w:val="0"/>
    <w:pPr>
      <w:spacing w:after="120" w:afterLines="0"/>
      <w:ind w:firstLine="420" w:firstLineChars="100"/>
    </w:pPr>
    <w:rPr>
      <w:sz w:val="21"/>
    </w:rPr>
  </w:style>
  <w:style w:type="paragraph" w:customStyle="1" w:styleId="105">
    <w:name w:val="中文报告书样式"/>
    <w:basedOn w:val="1"/>
    <w:qFormat/>
    <w:uiPriority w:val="0"/>
    <w:pPr>
      <w:adjustRightInd w:val="0"/>
      <w:spacing w:line="480" w:lineRule="atLeast"/>
      <w:ind w:firstLine="482"/>
      <w:textAlignment w:val="baseline"/>
    </w:pPr>
    <w:rPr>
      <w:kern w:val="24"/>
      <w:sz w:val="24"/>
    </w:rPr>
  </w:style>
  <w:style w:type="paragraph" w:customStyle="1" w:styleId="106">
    <w:name w:val="1表格"/>
    <w:basedOn w:val="1"/>
    <w:qFormat/>
    <w:uiPriority w:val="0"/>
    <w:pPr>
      <w:snapToGrid w:val="0"/>
      <w:jc w:val="center"/>
    </w:pPr>
    <w:rPr>
      <w:rFonts w:eastAsia="楷体_GB2312"/>
    </w:rPr>
  </w:style>
  <w:style w:type="paragraph" w:customStyle="1" w:styleId="107">
    <w:name w:val=" Char Char Char Char Char Char Char"/>
    <w:basedOn w:val="1"/>
    <w:qFormat/>
    <w:uiPriority w:val="0"/>
    <w:rPr>
      <w:sz w:val="24"/>
      <w:szCs w:val="24"/>
    </w:rPr>
  </w:style>
  <w:style w:type="paragraph" w:customStyle="1" w:styleId="108">
    <w:name w:val="A标准格式"/>
    <w:basedOn w:val="1"/>
    <w:qFormat/>
    <w:uiPriority w:val="0"/>
    <w:pPr>
      <w:adjustRightInd w:val="0"/>
      <w:spacing w:line="440" w:lineRule="exact"/>
      <w:ind w:firstLine="480" w:firstLineChars="200"/>
      <w:textAlignment w:val="baseline"/>
    </w:pPr>
    <w:rPr>
      <w:rFonts w:ascii="等线" w:hAnsi="等线"/>
      <w:sz w:val="24"/>
    </w:rPr>
  </w:style>
  <w:style w:type="character" w:customStyle="1" w:styleId="109">
    <w:name w:val="font31"/>
    <w:qFormat/>
    <w:uiPriority w:val="0"/>
    <w:rPr>
      <w:rFonts w:hint="eastAsia" w:ascii="宋体" w:hAnsi="宋体" w:eastAsia="宋体" w:cs="宋体"/>
      <w:color w:val="000000"/>
      <w:sz w:val="21"/>
      <w:szCs w:val="21"/>
      <w:u w:val="none"/>
    </w:rPr>
  </w:style>
  <w:style w:type="character" w:customStyle="1" w:styleId="110">
    <w:name w:val="标题 4 字符"/>
    <w:qFormat/>
    <w:uiPriority w:val="0"/>
    <w:rPr>
      <w:rFonts w:eastAsia="黑体"/>
      <w:bCs/>
      <w:sz w:val="24"/>
    </w:rPr>
  </w:style>
  <w:style w:type="character" w:customStyle="1" w:styleId="111">
    <w:name w:val="1正文段落 Char"/>
    <w:link w:val="43"/>
    <w:qFormat/>
    <w:locked/>
    <w:uiPriority w:val="0"/>
    <w:rPr>
      <w:rFonts w:ascii="Calibri" w:hAnsi="Calibri"/>
      <w:sz w:val="24"/>
      <w:szCs w:val="24"/>
    </w:rPr>
  </w:style>
  <w:style w:type="character" w:customStyle="1" w:styleId="112">
    <w:name w:val="style1"/>
    <w:qFormat/>
    <w:uiPriority w:val="0"/>
    <w:rPr>
      <w:rFonts w:hint="default" w:ascii="Arial" w:hAnsi="Arial" w:cs="Arial"/>
      <w:sz w:val="18"/>
      <w:szCs w:val="18"/>
    </w:rPr>
  </w:style>
  <w:style w:type="character" w:customStyle="1" w:styleId="113">
    <w:name w:val="样式 四号"/>
    <w:qFormat/>
    <w:uiPriority w:val="0"/>
    <w:rPr>
      <w:sz w:val="24"/>
      <w:szCs w:val="20"/>
    </w:rPr>
  </w:style>
  <w:style w:type="character" w:customStyle="1" w:styleId="114">
    <w:name w:val="正文－1.5行距－段后6磅 Char"/>
    <w:link w:val="71"/>
    <w:qFormat/>
    <w:uiPriority w:val="0"/>
    <w:rPr>
      <w:rFonts w:ascii="Calibri" w:hAnsi="Calibri" w:eastAsia="宋体"/>
      <w:kern w:val="2"/>
      <w:sz w:val="24"/>
      <w:szCs w:val="21"/>
      <w:lang w:val="en-US" w:eastAsia="zh-CN" w:bidi="ar-SA"/>
    </w:rPr>
  </w:style>
  <w:style w:type="character" w:customStyle="1" w:styleId="115">
    <w:name w:val="表格 Char"/>
    <w:qFormat/>
    <w:locked/>
    <w:uiPriority w:val="99"/>
    <w:rPr>
      <w:rFonts w:ascii="宋体" w:eastAsia="仿宋_GB2312" w:cs="Times New Roman"/>
      <w:snapToGrid/>
      <w:spacing w:val="4"/>
      <w:sz w:val="24"/>
      <w:szCs w:val="24"/>
    </w:rPr>
  </w:style>
  <w:style w:type="character" w:customStyle="1" w:styleId="116">
    <w:name w:val="报告表  段 Char"/>
    <w:link w:val="49"/>
    <w:qFormat/>
    <w:uiPriority w:val="0"/>
    <w:rPr>
      <w:rFonts w:ascii="宋体"/>
      <w:sz w:val="24"/>
    </w:rPr>
  </w:style>
  <w:style w:type="character" w:customStyle="1" w:styleId="117">
    <w:name w:val="页眉 Char"/>
    <w:link w:val="19"/>
    <w:qFormat/>
    <w:uiPriority w:val="0"/>
    <w:rPr>
      <w:kern w:val="2"/>
      <w:sz w:val="18"/>
      <w:szCs w:val="18"/>
    </w:rPr>
  </w:style>
  <w:style w:type="character" w:customStyle="1" w:styleId="118">
    <w:name w:val="正文文本缩进 Char"/>
    <w:link w:val="13"/>
    <w:qFormat/>
    <w:uiPriority w:val="0"/>
    <w:rPr>
      <w:rFonts w:ascii="宋体" w:eastAsia="宋体"/>
      <w:kern w:val="2"/>
      <w:sz w:val="28"/>
      <w:lang w:val="en-US" w:eastAsia="zh-CN" w:bidi="ar-SA"/>
    </w:rPr>
  </w:style>
  <w:style w:type="character" w:customStyle="1" w:styleId="119">
    <w:name w:val="标题 2 Char"/>
    <w:link w:val="5"/>
    <w:qFormat/>
    <w:uiPriority w:val="0"/>
    <w:rPr>
      <w:rFonts w:ascii="Arial" w:hAnsi="Arial" w:eastAsia="黑体"/>
      <w:bCs/>
      <w:sz w:val="24"/>
    </w:rPr>
  </w:style>
  <w:style w:type="character" w:customStyle="1" w:styleId="120">
    <w:name w:val="f151"/>
    <w:qFormat/>
    <w:uiPriority w:val="0"/>
    <w:rPr>
      <w:sz w:val="23"/>
      <w:szCs w:val="23"/>
    </w:rPr>
  </w:style>
  <w:style w:type="character" w:customStyle="1" w:styleId="121">
    <w:name w:val="MFS单位3 Char Char"/>
    <w:link w:val="57"/>
    <w:qFormat/>
    <w:uiPriority w:val="0"/>
    <w:rPr>
      <w:rFonts w:eastAsia="楷体_GB2312"/>
      <w:kern w:val="2"/>
      <w:sz w:val="18"/>
      <w:szCs w:val="18"/>
    </w:rPr>
  </w:style>
  <w:style w:type="character" w:customStyle="1" w:styleId="122">
    <w:name w:val="纯文本 Char"/>
    <w:link w:val="2"/>
    <w:qFormat/>
    <w:uiPriority w:val="0"/>
    <w:rPr>
      <w:rFonts w:ascii="宋体" w:hAnsi="Courier New" w:eastAsia="宋体" w:cs="Courier New"/>
      <w:kern w:val="2"/>
      <w:sz w:val="21"/>
      <w:szCs w:val="21"/>
      <w:lang w:val="en-US" w:eastAsia="zh-CN" w:bidi="ar-SA"/>
    </w:rPr>
  </w:style>
  <w:style w:type="character" w:customStyle="1" w:styleId="123">
    <w:name w:val="font21"/>
    <w:qFormat/>
    <w:uiPriority w:val="0"/>
    <w:rPr>
      <w:rFonts w:hint="default" w:ascii="Times New Roman" w:hAnsi="Times New Roman" w:cs="Times New Roman"/>
      <w:color w:val="000000"/>
      <w:sz w:val="21"/>
      <w:szCs w:val="21"/>
      <w:u w:val="none"/>
    </w:rPr>
  </w:style>
  <w:style w:type="character" w:customStyle="1" w:styleId="124">
    <w:name w:val="样式 样式 样式 小四 灰色-80% 左侧:  0.16 厘米 行距: 固定值 20 磅 + 宋体 首行缩进:  2 字符 + ... Char"/>
    <w:link w:val="84"/>
    <w:qFormat/>
    <w:uiPriority w:val="0"/>
    <w:rPr>
      <w:rFonts w:ascii="宋体" w:hAnsi="宋体" w:eastAsia="宋体" w:cs="宋体"/>
      <w:color w:val="333333"/>
      <w:kern w:val="2"/>
      <w:sz w:val="24"/>
      <w:lang w:val="en-US" w:eastAsia="zh-CN" w:bidi="ar-SA"/>
    </w:rPr>
  </w:style>
  <w:style w:type="character" w:customStyle="1" w:styleId="125">
    <w:name w:val="正文缩进 Char"/>
    <w:link w:val="8"/>
    <w:qFormat/>
    <w:uiPriority w:val="0"/>
    <w:rPr>
      <w:rFonts w:eastAsia="宋体"/>
      <w:kern w:val="2"/>
      <w:sz w:val="21"/>
      <w:lang w:val="en-US" w:eastAsia="zh-CN" w:bidi="ar-SA"/>
    </w:rPr>
  </w:style>
  <w:style w:type="character" w:customStyle="1" w:styleId="126">
    <w:name w:val="页脚 Char"/>
    <w:link w:val="18"/>
    <w:qFormat/>
    <w:uiPriority w:val="0"/>
    <w:rPr>
      <w:kern w:val="2"/>
      <w:sz w:val="18"/>
      <w:szCs w:val="18"/>
    </w:rPr>
  </w:style>
  <w:style w:type="character" w:customStyle="1" w:styleId="127">
    <w:name w:val="su04"/>
    <w:basedOn w:val="31"/>
    <w:qFormat/>
    <w:uiPriority w:val="0"/>
  </w:style>
  <w:style w:type="character" w:customStyle="1" w:styleId="128">
    <w:name w:val="正文修改 Char"/>
    <w:link w:val="69"/>
    <w:qFormat/>
    <w:uiPriority w:val="0"/>
    <w:rPr>
      <w:rFonts w:cs="宋体"/>
      <w:sz w:val="24"/>
    </w:rPr>
  </w:style>
  <w:style w:type="character" w:customStyle="1" w:styleId="129">
    <w:name w:val="样式 五号 居中 Char"/>
    <w:link w:val="44"/>
    <w:qFormat/>
    <w:uiPriority w:val="0"/>
    <w:rPr>
      <w:rFonts w:eastAsia="宋体" w:cs="宋体"/>
      <w:kern w:val="2"/>
      <w:sz w:val="21"/>
      <w:lang w:val="en-US" w:eastAsia="zh-CN" w:bidi="ar-SA"/>
    </w:rPr>
  </w:style>
  <w:style w:type="character" w:customStyle="1" w:styleId="130">
    <w:name w:val="font11"/>
    <w:basedOn w:val="31"/>
    <w:qFormat/>
    <w:uiPriority w:val="0"/>
    <w:rPr>
      <w:rFonts w:hint="default" w:ascii="Times New Roman" w:hAnsi="Times New Roman" w:cs="Times New Roman"/>
      <w:color w:val="000000"/>
      <w:sz w:val="21"/>
      <w:szCs w:val="21"/>
      <w:u w:val="none"/>
      <w:vertAlign w:val="superscript"/>
    </w:rPr>
  </w:style>
  <w:style w:type="character" w:customStyle="1" w:styleId="131">
    <w:name w:val="样式2 Char"/>
    <w:link w:val="82"/>
    <w:qFormat/>
    <w:uiPriority w:val="0"/>
    <w:rPr>
      <w:rFonts w:eastAsia="宋体"/>
      <w:kern w:val="2"/>
      <w:sz w:val="24"/>
      <w:szCs w:val="24"/>
      <w:lang w:val="en-US" w:eastAsia="zh-CN" w:bidi="ar-SA"/>
    </w:rPr>
  </w:style>
  <w:style w:type="character" w:customStyle="1" w:styleId="132">
    <w:name w:val="标题 4 Char"/>
    <w:link w:val="7"/>
    <w:qFormat/>
    <w:uiPriority w:val="0"/>
    <w:rPr>
      <w:rFonts w:eastAsia="宋体"/>
      <w:b/>
      <w:bCs/>
      <w:kern w:val="2"/>
      <w:sz w:val="24"/>
      <w:szCs w:val="28"/>
      <w:lang w:val="en-US" w:eastAsia="zh-CN" w:bidi="ar-SA"/>
    </w:rPr>
  </w:style>
  <w:style w:type="character" w:customStyle="1" w:styleId="133">
    <w:name w:val="表格hy Char"/>
    <w:link w:val="48"/>
    <w:qFormat/>
    <w:uiPriority w:val="0"/>
    <w:rPr>
      <w:rFonts w:ascii="楷体_GB2312" w:eastAsia="楷体_GB2312"/>
      <w:color w:val="000000"/>
      <w:kern w:val="2"/>
      <w:sz w:val="21"/>
      <w:szCs w:val="22"/>
    </w:rPr>
  </w:style>
  <w:style w:type="character" w:customStyle="1" w:styleId="134">
    <w:name w:val="gray s"/>
    <w:basedOn w:val="31"/>
    <w:qFormat/>
    <w:uiPriority w:val="0"/>
  </w:style>
  <w:style w:type="character" w:customStyle="1" w:styleId="135">
    <w:name w:val="font01"/>
    <w:qFormat/>
    <w:uiPriority w:val="0"/>
    <w:rPr>
      <w:rFonts w:hint="default" w:ascii="Times New Roman" w:hAnsi="Times New Roman" w:cs="Times New Roman"/>
      <w:color w:val="000000"/>
      <w:sz w:val="21"/>
      <w:szCs w:val="21"/>
      <w:u w:val="none"/>
      <w:vertAlign w:val="superscript"/>
    </w:rPr>
  </w:style>
  <w:style w:type="character" w:customStyle="1" w:styleId="136">
    <w:name w:val="font51"/>
    <w:qFormat/>
    <w:uiPriority w:val="0"/>
    <w:rPr>
      <w:rFonts w:hint="eastAsia" w:ascii="宋体" w:hAnsi="宋体" w:eastAsia="宋体" w:cs="宋体"/>
      <w:color w:val="000000"/>
      <w:sz w:val="21"/>
      <w:szCs w:val="21"/>
      <w:u w:val="none"/>
      <w:vertAlign w:val="superscript"/>
    </w:rPr>
  </w:style>
  <w:style w:type="character" w:customStyle="1" w:styleId="137">
    <w:name w:val="keyword1"/>
    <w:qFormat/>
    <w:uiPriority w:val="0"/>
    <w:rPr>
      <w:color w:val="FF0000"/>
    </w:rPr>
  </w:style>
  <w:style w:type="character" w:customStyle="1" w:styleId="138">
    <w:name w:val="表格 Char1"/>
    <w:link w:val="98"/>
    <w:qFormat/>
    <w:uiPriority w:val="0"/>
    <w:rPr>
      <w:rFonts w:eastAsia="宋体"/>
      <w:kern w:val="2"/>
      <w:sz w:val="24"/>
      <w:szCs w:val="24"/>
      <w:lang w:val="en-US" w:eastAsia="zh-CN" w:bidi="ar-SA"/>
    </w:rPr>
  </w:style>
  <w:style w:type="character" w:customStyle="1" w:styleId="139">
    <w:name w:val="hhcwt正文 Char Char"/>
    <w:link w:val="62"/>
    <w:qFormat/>
    <w:uiPriority w:val="0"/>
    <w:rPr>
      <w:rFonts w:cs="宋体"/>
      <w:kern w:val="2"/>
      <w:sz w:val="24"/>
    </w:rPr>
  </w:style>
  <w:style w:type="character" w:customStyle="1" w:styleId="140">
    <w:name w:val="aar_9ptcopy1"/>
    <w:qFormat/>
    <w:uiPriority w:val="0"/>
    <w:rPr>
      <w:rFonts w:ascii="??" w:hAnsi="??" w:cs="Times New Roman"/>
      <w:sz w:val="18"/>
      <w:szCs w:val="18"/>
    </w:rPr>
  </w:style>
  <w:style w:type="character" w:customStyle="1" w:styleId="141">
    <w:name w:val="标题 1 Char"/>
    <w:link w:val="4"/>
    <w:qFormat/>
    <w:uiPriority w:val="0"/>
    <w:rPr>
      <w:b/>
      <w:bCs/>
      <w:kern w:val="44"/>
      <w:sz w:val="30"/>
      <w:szCs w:val="30"/>
    </w:rPr>
  </w:style>
  <w:style w:type="character" w:customStyle="1" w:styleId="142">
    <w:name w:val="表标题 Char"/>
    <w:link w:val="54"/>
    <w:qFormat/>
    <w:uiPriority w:val="0"/>
    <w:rPr>
      <w:b/>
      <w:bCs/>
      <w:sz w:val="24"/>
      <w:szCs w:val="18"/>
    </w:rPr>
  </w:style>
  <w:style w:type="table" w:customStyle="1" w:styleId="143">
    <w:name w:val="Table Normal"/>
    <w:unhideWhenUsed/>
    <w:qFormat/>
    <w:uiPriority w:val="2"/>
    <w:pPr>
      <w:widowControl w:val="0"/>
    </w:pPr>
    <w:rPr>
      <w:sz w:val="22"/>
      <w:szCs w:val="22"/>
      <w:lang w:val="en-US" w:eastAsia="en-US" w:bidi="ar-SA"/>
    </w:rPr>
    <w:tblPr>
      <w:tblCellMar>
        <w:top w:w="0" w:type="dxa"/>
        <w:left w:w="0" w:type="dxa"/>
        <w:bottom w:w="0" w:type="dxa"/>
        <w:right w:w="0" w:type="dxa"/>
      </w:tblCellMar>
    </w:tblPr>
  </w:style>
  <w:style w:type="paragraph" w:customStyle="1" w:styleId="144">
    <w:name w:val="新格式表"/>
    <w:basedOn w:val="1"/>
    <w:qFormat/>
    <w:uiPriority w:val="0"/>
    <w:pPr>
      <w:adjustRightInd w:val="0"/>
      <w:snapToGrid w:val="0"/>
      <w:spacing w:line="0" w:lineRule="atLeast"/>
      <w:jc w:val="center"/>
    </w:pPr>
    <w:rPr>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6" Type="http://schemas.openxmlformats.org/officeDocument/2006/relationships/fontTable" Target="fontTable.xml"/><Relationship Id="rId45" Type="http://schemas.openxmlformats.org/officeDocument/2006/relationships/numbering" Target="numbering.xml"/><Relationship Id="rId44" Type="http://schemas.openxmlformats.org/officeDocument/2006/relationships/customXml" Target="../customXml/item1.xml"/><Relationship Id="rId43" Type="http://schemas.openxmlformats.org/officeDocument/2006/relationships/image" Target="media/image37.png"/><Relationship Id="rId42" Type="http://schemas.openxmlformats.org/officeDocument/2006/relationships/image" Target="media/image36.png"/><Relationship Id="rId41" Type="http://schemas.openxmlformats.org/officeDocument/2006/relationships/image" Target="media/image35.png"/><Relationship Id="rId40" Type="http://schemas.openxmlformats.org/officeDocument/2006/relationships/image" Target="media/image34.png"/><Relationship Id="rId4" Type="http://schemas.openxmlformats.org/officeDocument/2006/relationships/footer" Target="footer2.xml"/><Relationship Id="rId39" Type="http://schemas.openxmlformats.org/officeDocument/2006/relationships/image" Target="media/image33.png"/><Relationship Id="rId38" Type="http://schemas.openxmlformats.org/officeDocument/2006/relationships/image" Target="media/image32.pn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png"/><Relationship Id="rId34" Type="http://schemas.openxmlformats.org/officeDocument/2006/relationships/image" Target="media/image28.png"/><Relationship Id="rId33" Type="http://schemas.openxmlformats.org/officeDocument/2006/relationships/image" Target="media/image27.pn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footer" Target="footer1.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115</Pages>
  <Words>42048</Words>
  <Characters>50928</Characters>
  <Lines>473</Lines>
  <Paragraphs>133</Paragraphs>
  <TotalTime>2</TotalTime>
  <ScaleCrop>false</ScaleCrop>
  <LinksUpToDate>false</LinksUpToDate>
  <CharactersWithSpaces>51863</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2019-10-16T06:03:00Z</dcterms:created>
  <dc:creator>jason</dc:creator>
  <cp:lastModifiedBy>吕雨泽</cp:lastModifiedBy>
  <cp:lastPrinted>2016-12-14T09:03:00Z</cp:lastPrinted>
  <dcterms:modified xsi:type="dcterms:W3CDTF">2020-10-26T01:55:20Z</dcterms:modified>
  <dc:title>BBHKSHF/HPBWH001-2007</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